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7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5"/>
      </w:tblGrid>
      <w:tr w:rsidR="008E7846" w:rsidRPr="00487162" w:rsidTr="00C8707C">
        <w:trPr>
          <w:trHeight w:val="1977"/>
        </w:trPr>
        <w:tc>
          <w:tcPr>
            <w:tcW w:w="7725" w:type="dxa"/>
            <w:tcBorders>
              <w:top w:val="nil"/>
              <w:left w:val="nil"/>
              <w:bottom w:val="nil"/>
              <w:right w:val="nil"/>
            </w:tcBorders>
          </w:tcPr>
          <w:p w:rsidR="00C8707C" w:rsidRDefault="005517FC" w:rsidP="00C8707C">
            <w:pPr>
              <w:rPr>
                <w:rFonts w:ascii="Arial" w:hAnsi="Arial" w:cs="Arial"/>
                <w:b/>
                <w:sz w:val="28"/>
                <w:szCs w:val="28"/>
              </w:rPr>
            </w:pPr>
            <w:r>
              <w:rPr>
                <w:rFonts w:ascii="Arial" w:hAnsi="Arial" w:cs="Arial"/>
                <w:b/>
                <w:sz w:val="28"/>
                <w:szCs w:val="28"/>
              </w:rPr>
              <w:t xml:space="preserve">First </w:t>
            </w:r>
            <w:r w:rsidR="00C8707C">
              <w:rPr>
                <w:rFonts w:ascii="Arial" w:hAnsi="Arial" w:cs="Arial"/>
                <w:b/>
                <w:sz w:val="28"/>
                <w:szCs w:val="28"/>
              </w:rPr>
              <w:t>round evaluation: 29 October 2014</w:t>
            </w:r>
          </w:p>
          <w:p w:rsidR="008E7846" w:rsidRPr="0017078F" w:rsidRDefault="00C8707C" w:rsidP="00C8707C">
            <w:pPr>
              <w:rPr>
                <w:rFonts w:ascii="Arial" w:hAnsi="Arial" w:cs="Arial"/>
                <w:b/>
                <w:color w:val="002C47"/>
                <w:sz w:val="36"/>
                <w:szCs w:val="36"/>
              </w:rPr>
            </w:pPr>
            <w:r>
              <w:rPr>
                <w:rFonts w:ascii="Arial" w:hAnsi="Arial" w:cs="Arial"/>
                <w:b/>
                <w:sz w:val="28"/>
                <w:szCs w:val="28"/>
              </w:rPr>
              <w:t>Second round evaluation: 13 February 2015</w:t>
            </w:r>
          </w:p>
        </w:tc>
      </w:tr>
    </w:tbl>
    <w:p w:rsidR="000E4578" w:rsidRPr="000E4578" w:rsidRDefault="000E4578" w:rsidP="000E4578">
      <w:pPr>
        <w:spacing w:before="0" w:after="0"/>
        <w:rPr>
          <w:vanish/>
        </w:rPr>
      </w:pPr>
    </w:p>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E07F15">
        <w:trPr>
          <w:trHeight w:val="1548"/>
        </w:trPr>
        <w:tc>
          <w:tcPr>
            <w:tcW w:w="9079" w:type="dxa"/>
          </w:tcPr>
          <w:p w:rsidR="0032583B" w:rsidRPr="00A964D1" w:rsidRDefault="00E07F15" w:rsidP="00A964D1">
            <w:pPr>
              <w:pStyle w:val="Title"/>
              <w:rPr>
                <w:color w:val="FFFFFF"/>
              </w:rPr>
            </w:pPr>
            <w:proofErr w:type="spellStart"/>
            <w:r>
              <w:rPr>
                <w:color w:val="FFFFFF"/>
              </w:rPr>
              <w:t>AusPAR</w:t>
            </w:r>
            <w:proofErr w:type="spellEnd"/>
            <w:r>
              <w:rPr>
                <w:color w:val="FFFFFF"/>
              </w:rPr>
              <w:t xml:space="preserve"> Attachment 2</w:t>
            </w:r>
          </w:p>
        </w:tc>
      </w:tr>
      <w:tr w:rsidR="00E07F15" w:rsidRPr="00A964D1" w:rsidTr="00E07F15">
        <w:trPr>
          <w:trHeight w:val="868"/>
        </w:trPr>
        <w:tc>
          <w:tcPr>
            <w:tcW w:w="9079" w:type="dxa"/>
          </w:tcPr>
          <w:p w:rsidR="00E07F15" w:rsidRPr="00A964D1" w:rsidRDefault="00E07F15" w:rsidP="00A95EBE">
            <w:pPr>
              <w:pStyle w:val="Title"/>
              <w:rPr>
                <w:color w:val="FFFFFF"/>
              </w:rPr>
            </w:pPr>
            <w:r>
              <w:rPr>
                <w:color w:val="FFFFFF"/>
              </w:rPr>
              <w:t>Extract from the Clinical Evaluation Report</w:t>
            </w:r>
            <w:r w:rsidRPr="00A964D1">
              <w:rPr>
                <w:color w:val="FFFFFF"/>
              </w:rPr>
              <w:t xml:space="preserve"> for </w:t>
            </w:r>
            <w:proofErr w:type="spellStart"/>
            <w:r w:rsidR="00A95EBE">
              <w:rPr>
                <w:rFonts w:cs="Arial"/>
                <w:color w:val="FFFFFF"/>
              </w:rPr>
              <w:t>a</w:t>
            </w:r>
            <w:r w:rsidR="00C8707C">
              <w:rPr>
                <w:rFonts w:cs="Arial"/>
                <w:color w:val="FFFFFF"/>
              </w:rPr>
              <w:t>sunaprevir</w:t>
            </w:r>
            <w:proofErr w:type="spellEnd"/>
          </w:p>
        </w:tc>
      </w:tr>
      <w:tr w:rsidR="00E07F15" w:rsidRPr="00B64760" w:rsidTr="00E07F15">
        <w:tc>
          <w:tcPr>
            <w:tcW w:w="9079" w:type="dxa"/>
          </w:tcPr>
          <w:p w:rsidR="00E07F15" w:rsidRPr="008E7846" w:rsidRDefault="00E07F15" w:rsidP="00C8707C">
            <w:pPr>
              <w:pStyle w:val="Subtitle"/>
              <w:rPr>
                <w:color w:val="FFFFFF"/>
              </w:rPr>
            </w:pPr>
            <w:r w:rsidRPr="008E7846">
              <w:rPr>
                <w:color w:val="FFFFFF"/>
              </w:rPr>
              <w:t>Proprietary Product Name:</w:t>
            </w:r>
            <w:r w:rsidR="001A78EF">
              <w:rPr>
                <w:rFonts w:cs="Arial"/>
                <w:color w:val="FFFFFF"/>
                <w:szCs w:val="40"/>
              </w:rPr>
              <w:t xml:space="preserve"> </w:t>
            </w:r>
            <w:proofErr w:type="spellStart"/>
            <w:r w:rsidR="00C8707C">
              <w:rPr>
                <w:rFonts w:cs="Arial"/>
                <w:color w:val="FFFFFF"/>
                <w:szCs w:val="40"/>
              </w:rPr>
              <w:t>Sunvepra</w:t>
            </w:r>
            <w:proofErr w:type="spellEnd"/>
            <w:r w:rsidRPr="008E7846">
              <w:rPr>
                <w:color w:val="FFFFFF"/>
              </w:rPr>
              <w:t xml:space="preserve"> </w:t>
            </w:r>
          </w:p>
        </w:tc>
      </w:tr>
      <w:tr w:rsidR="00E07F15" w:rsidRPr="00B64760" w:rsidTr="00E07F15">
        <w:trPr>
          <w:trHeight w:val="486"/>
        </w:trPr>
        <w:tc>
          <w:tcPr>
            <w:tcW w:w="9079" w:type="dxa"/>
          </w:tcPr>
          <w:p w:rsidR="00E07F15" w:rsidRPr="008E7846" w:rsidRDefault="00E07F15" w:rsidP="00C8707C">
            <w:pPr>
              <w:pStyle w:val="Subtitle"/>
              <w:rPr>
                <w:color w:val="FFFFFF"/>
              </w:rPr>
            </w:pPr>
            <w:r w:rsidRPr="008E7846">
              <w:rPr>
                <w:color w:val="FFFFFF"/>
              </w:rPr>
              <w:t xml:space="preserve">Sponsor: </w:t>
            </w:r>
            <w:r w:rsidR="00C8707C">
              <w:rPr>
                <w:rFonts w:cs="Arial"/>
                <w:color w:val="FFFFFF"/>
                <w:szCs w:val="40"/>
              </w:rPr>
              <w:t>Bristol-Myers Squibb Australia Pty Ltd</w:t>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C8707C">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11C0" w:rsidP="00C8707C">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C8707C">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C8707C">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C8707C">
      <w:pPr>
        <w:pStyle w:val="ListBullet"/>
        <w:numPr>
          <w:ilvl w:val="0"/>
          <w:numId w:val="1"/>
        </w:numPr>
        <w:ind w:left="357" w:hanging="357"/>
      </w:pPr>
      <w:r>
        <w:t>To report a problem with a medicine or medical device, please see the information on the TGA website</w:t>
      </w:r>
      <w:r w:rsidR="00112F56">
        <w:t xml:space="preserve"> &lt;</w:t>
      </w:r>
      <w:hyperlink r:id="rId9" w:history="1">
        <w:r w:rsidR="00E979F4" w:rsidRPr="00FE02B1">
          <w:rPr>
            <w:rStyle w:val="Hyperlink"/>
          </w:rPr>
          <w:t>https://www.tga.gov.au</w:t>
        </w:r>
      </w:hyperlink>
      <w:r w:rsidR="00112F56">
        <w:t>&gt;</w:t>
      </w:r>
      <w:r>
        <w:t>.</w:t>
      </w:r>
    </w:p>
    <w:p w:rsidR="0017078F" w:rsidRPr="001F6CBA" w:rsidRDefault="0017078F" w:rsidP="0017078F">
      <w:pPr>
        <w:pStyle w:val="NonTOCHeading2"/>
      </w:pPr>
      <w:r w:rsidRPr="001F6CBA">
        <w:t xml:space="preserve">About the </w:t>
      </w:r>
      <w:r w:rsidRPr="0017078F">
        <w:t>Extract</w:t>
      </w:r>
      <w:r>
        <w:t xml:space="preserve"> from the Clinical Evaluation Report</w:t>
      </w:r>
    </w:p>
    <w:p w:rsidR="0017078F" w:rsidRDefault="003D0A3B" w:rsidP="0017078F">
      <w:pPr>
        <w:pStyle w:val="ListBullet"/>
      </w:pPr>
      <w:r w:rsidRPr="003D0A3B">
        <w:t>This document provides a more detailed evaluation of the clinical findings, extracted from the Clinical Evaluation Report (CER) prepared by the TGA. This extract does not include sections from the CER regarding product documentation or post market activities.</w:t>
      </w:r>
    </w:p>
    <w:p w:rsidR="003D0A3B" w:rsidRDefault="003D0A3B" w:rsidP="003D0A3B">
      <w:pPr>
        <w:pStyle w:val="ListBullet"/>
      </w:pPr>
      <w:r w:rsidRPr="003D0A3B">
        <w:t>The words [Information redacted], where they appear in this document, indicate that confidential information has been deleted.</w:t>
      </w:r>
    </w:p>
    <w:p w:rsidR="0017078F" w:rsidRDefault="003D0A3B" w:rsidP="0017078F">
      <w:pPr>
        <w:pStyle w:val="ListBullet"/>
      </w:pPr>
      <w:r w:rsidRPr="003D0A3B">
        <w:t>For the most recent Product Information (PI), please refer to the TGA website</w:t>
      </w:r>
      <w:r>
        <w:t xml:space="preserve"> </w:t>
      </w:r>
      <w:r w:rsidR="00B1425E" w:rsidRPr="00B1425E">
        <w:t>&lt;</w:t>
      </w:r>
      <w:hyperlink r:id="rId10" w:history="1">
        <w:r w:rsidR="0010193C">
          <w:rPr>
            <w:rStyle w:val="Hyperlink"/>
          </w:rPr>
          <w:t>https://www.tga.gov.au/product-information-pi</w:t>
        </w:r>
      </w:hyperlink>
      <w:r w:rsidR="0017078F">
        <w:t>&gt;.</w:t>
      </w:r>
    </w:p>
    <w:p w:rsidR="00924482" w:rsidRPr="00DF1D7F" w:rsidRDefault="00924482" w:rsidP="000050C2">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D87961">
        <w:rPr>
          <w:rFonts w:cs="Arial"/>
          <w:lang w:val="en-GB"/>
        </w:rPr>
        <w:t>5</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1"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2"/>
          <w:footerReference w:type="default" r:id="rId13"/>
          <w:headerReference w:type="first" r:id="rId14"/>
          <w:pgSz w:w="11906" w:h="16838" w:code="9"/>
          <w:pgMar w:top="426" w:right="1701" w:bottom="0" w:left="1701" w:header="907" w:footer="142" w:gutter="0"/>
          <w:pgNumType w:fmt="lowerRoman" w:start="1"/>
          <w:cols w:space="708"/>
          <w:titlePg/>
          <w:docGrid w:linePitch="360"/>
        </w:sectPr>
      </w:pPr>
    </w:p>
    <w:p w:rsidR="0089635C" w:rsidRPr="0089635C" w:rsidRDefault="0089635C" w:rsidP="0010788A">
      <w:pPr>
        <w:pStyle w:val="Contents"/>
      </w:pPr>
      <w:bookmarkStart w:id="0" w:name="_Toc247691501"/>
      <w:bookmarkStart w:id="1" w:name="_Toc196046425"/>
      <w:r w:rsidRPr="0010788A">
        <w:lastRenderedPageBreak/>
        <w:t>Contents</w:t>
      </w:r>
      <w:bookmarkStart w:id="2" w:name="_GoBack"/>
      <w:bookmarkEnd w:id="2"/>
    </w:p>
    <w:p w:rsidR="00492677" w:rsidRDefault="00902B4A">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438116057" w:history="1">
        <w:r w:rsidR="00492677" w:rsidRPr="000329B7">
          <w:rPr>
            <w:rStyle w:val="Hyperlink"/>
            <w:noProof/>
          </w:rPr>
          <w:t>Most common abbreviations used</w:t>
        </w:r>
        <w:r w:rsidR="00492677">
          <w:rPr>
            <w:noProof/>
            <w:webHidden/>
          </w:rPr>
          <w:tab/>
        </w:r>
        <w:r w:rsidR="00492677">
          <w:rPr>
            <w:noProof/>
            <w:webHidden/>
          </w:rPr>
          <w:fldChar w:fldCharType="begin"/>
        </w:r>
        <w:r w:rsidR="00492677">
          <w:rPr>
            <w:noProof/>
            <w:webHidden/>
          </w:rPr>
          <w:instrText xml:space="preserve"> PAGEREF _Toc438116057 \h </w:instrText>
        </w:r>
        <w:r w:rsidR="00492677">
          <w:rPr>
            <w:noProof/>
            <w:webHidden/>
          </w:rPr>
        </w:r>
        <w:r w:rsidR="00492677">
          <w:rPr>
            <w:noProof/>
            <w:webHidden/>
          </w:rPr>
          <w:fldChar w:fldCharType="separate"/>
        </w:r>
        <w:r w:rsidR="00492677">
          <w:rPr>
            <w:noProof/>
            <w:webHidden/>
          </w:rPr>
          <w:t>3</w:t>
        </w:r>
        <w:r w:rsidR="00492677">
          <w:rPr>
            <w:noProof/>
            <w:webHidden/>
          </w:rPr>
          <w:fldChar w:fldCharType="end"/>
        </w:r>
      </w:hyperlink>
    </w:p>
    <w:p w:rsidR="00492677" w:rsidRDefault="00492677">
      <w:pPr>
        <w:pStyle w:val="TOC2"/>
        <w:tabs>
          <w:tab w:val="left" w:pos="1247"/>
        </w:tabs>
        <w:rPr>
          <w:rFonts w:asciiTheme="minorHAnsi" w:eastAsiaTheme="minorEastAsia" w:hAnsiTheme="minorHAnsi" w:cstheme="minorBidi"/>
          <w:b w:val="0"/>
          <w:noProof/>
          <w:sz w:val="22"/>
          <w:lang w:eastAsia="en-AU"/>
        </w:rPr>
      </w:pPr>
      <w:hyperlink w:anchor="_Toc438116058" w:history="1">
        <w:r w:rsidRPr="000329B7">
          <w:rPr>
            <w:rStyle w:val="Hyperlink"/>
            <w:noProof/>
            <w:lang w:eastAsia="en-AU"/>
          </w:rPr>
          <w:t>1.</w:t>
        </w:r>
        <w:r>
          <w:rPr>
            <w:rFonts w:asciiTheme="minorHAnsi" w:eastAsiaTheme="minorEastAsia" w:hAnsiTheme="minorHAnsi" w:cstheme="minorBidi"/>
            <w:b w:val="0"/>
            <w:noProof/>
            <w:sz w:val="22"/>
            <w:lang w:eastAsia="en-AU"/>
          </w:rPr>
          <w:tab/>
        </w:r>
        <w:r w:rsidRPr="000329B7">
          <w:rPr>
            <w:rStyle w:val="Hyperlink"/>
            <w:noProof/>
            <w:lang w:eastAsia="en-AU"/>
          </w:rPr>
          <w:t>Introduction</w:t>
        </w:r>
        <w:r>
          <w:rPr>
            <w:noProof/>
            <w:webHidden/>
          </w:rPr>
          <w:tab/>
        </w:r>
        <w:r>
          <w:rPr>
            <w:noProof/>
            <w:webHidden/>
          </w:rPr>
          <w:fldChar w:fldCharType="begin"/>
        </w:r>
        <w:r>
          <w:rPr>
            <w:noProof/>
            <w:webHidden/>
          </w:rPr>
          <w:instrText xml:space="preserve"> PAGEREF _Toc438116058 \h </w:instrText>
        </w:r>
        <w:r>
          <w:rPr>
            <w:noProof/>
            <w:webHidden/>
          </w:rPr>
        </w:r>
        <w:r>
          <w:rPr>
            <w:noProof/>
            <w:webHidden/>
          </w:rPr>
          <w:fldChar w:fldCharType="separate"/>
        </w:r>
        <w:r>
          <w:rPr>
            <w:noProof/>
            <w:webHidden/>
          </w:rPr>
          <w:t>6</w:t>
        </w:r>
        <w:r>
          <w:rPr>
            <w:noProof/>
            <w:webHidden/>
          </w:rPr>
          <w:fldChar w:fldCharType="end"/>
        </w:r>
      </w:hyperlink>
    </w:p>
    <w:p w:rsidR="00492677" w:rsidRDefault="00492677">
      <w:pPr>
        <w:pStyle w:val="TOC3"/>
        <w:tabs>
          <w:tab w:val="left" w:pos="1575"/>
        </w:tabs>
        <w:rPr>
          <w:rFonts w:asciiTheme="minorHAnsi" w:eastAsiaTheme="minorEastAsia" w:hAnsiTheme="minorHAnsi" w:cstheme="minorBidi"/>
          <w:noProof/>
          <w:lang w:eastAsia="en-AU"/>
        </w:rPr>
      </w:pPr>
      <w:hyperlink w:anchor="_Toc438116059" w:history="1">
        <w:r w:rsidRPr="000329B7">
          <w:rPr>
            <w:rStyle w:val="Hyperlink"/>
            <w:noProof/>
          </w:rPr>
          <w:t>1.1.</w:t>
        </w:r>
        <w:r>
          <w:rPr>
            <w:rFonts w:asciiTheme="minorHAnsi" w:eastAsiaTheme="minorEastAsia" w:hAnsiTheme="minorHAnsi" w:cstheme="minorBidi"/>
            <w:noProof/>
            <w:lang w:eastAsia="en-AU"/>
          </w:rPr>
          <w:tab/>
        </w:r>
        <w:r w:rsidRPr="000329B7">
          <w:rPr>
            <w:rStyle w:val="Hyperlink"/>
            <w:noProof/>
          </w:rPr>
          <w:t>Guidance</w:t>
        </w:r>
        <w:r>
          <w:rPr>
            <w:noProof/>
            <w:webHidden/>
          </w:rPr>
          <w:tab/>
        </w:r>
        <w:r>
          <w:rPr>
            <w:noProof/>
            <w:webHidden/>
          </w:rPr>
          <w:fldChar w:fldCharType="begin"/>
        </w:r>
        <w:r>
          <w:rPr>
            <w:noProof/>
            <w:webHidden/>
          </w:rPr>
          <w:instrText xml:space="preserve"> PAGEREF _Toc438116059 \h </w:instrText>
        </w:r>
        <w:r>
          <w:rPr>
            <w:noProof/>
            <w:webHidden/>
          </w:rPr>
        </w:r>
        <w:r>
          <w:rPr>
            <w:noProof/>
            <w:webHidden/>
          </w:rPr>
          <w:fldChar w:fldCharType="separate"/>
        </w:r>
        <w:r>
          <w:rPr>
            <w:noProof/>
            <w:webHidden/>
          </w:rPr>
          <w:t>6</w:t>
        </w:r>
        <w:r>
          <w:rPr>
            <w:noProof/>
            <w:webHidden/>
          </w:rPr>
          <w:fldChar w:fldCharType="end"/>
        </w:r>
      </w:hyperlink>
    </w:p>
    <w:p w:rsidR="00492677" w:rsidRDefault="00492677">
      <w:pPr>
        <w:pStyle w:val="TOC3"/>
        <w:tabs>
          <w:tab w:val="left" w:pos="1575"/>
        </w:tabs>
        <w:rPr>
          <w:rFonts w:asciiTheme="minorHAnsi" w:eastAsiaTheme="minorEastAsia" w:hAnsiTheme="minorHAnsi" w:cstheme="minorBidi"/>
          <w:noProof/>
          <w:lang w:eastAsia="en-AU"/>
        </w:rPr>
      </w:pPr>
      <w:hyperlink w:anchor="_Toc438116060" w:history="1">
        <w:r w:rsidRPr="000329B7">
          <w:rPr>
            <w:rStyle w:val="Hyperlink"/>
            <w:noProof/>
          </w:rPr>
          <w:t>1.2.</w:t>
        </w:r>
        <w:r>
          <w:rPr>
            <w:rFonts w:asciiTheme="minorHAnsi" w:eastAsiaTheme="minorEastAsia" w:hAnsiTheme="minorHAnsi" w:cstheme="minorBidi"/>
            <w:noProof/>
            <w:lang w:eastAsia="en-AU"/>
          </w:rPr>
          <w:tab/>
        </w:r>
        <w:r w:rsidRPr="000329B7">
          <w:rPr>
            <w:rStyle w:val="Hyperlink"/>
            <w:noProof/>
          </w:rPr>
          <w:t>Related submissions</w:t>
        </w:r>
        <w:r>
          <w:rPr>
            <w:noProof/>
            <w:webHidden/>
          </w:rPr>
          <w:tab/>
        </w:r>
        <w:r>
          <w:rPr>
            <w:noProof/>
            <w:webHidden/>
          </w:rPr>
          <w:fldChar w:fldCharType="begin"/>
        </w:r>
        <w:r>
          <w:rPr>
            <w:noProof/>
            <w:webHidden/>
          </w:rPr>
          <w:instrText xml:space="preserve"> PAGEREF _Toc438116060 \h </w:instrText>
        </w:r>
        <w:r>
          <w:rPr>
            <w:noProof/>
            <w:webHidden/>
          </w:rPr>
        </w:r>
        <w:r>
          <w:rPr>
            <w:noProof/>
            <w:webHidden/>
          </w:rPr>
          <w:fldChar w:fldCharType="separate"/>
        </w:r>
        <w:r>
          <w:rPr>
            <w:noProof/>
            <w:webHidden/>
          </w:rPr>
          <w:t>6</w:t>
        </w:r>
        <w:r>
          <w:rPr>
            <w:noProof/>
            <w:webHidden/>
          </w:rPr>
          <w:fldChar w:fldCharType="end"/>
        </w:r>
      </w:hyperlink>
    </w:p>
    <w:p w:rsidR="00492677" w:rsidRDefault="00492677">
      <w:pPr>
        <w:pStyle w:val="TOC3"/>
        <w:tabs>
          <w:tab w:val="left" w:pos="1575"/>
        </w:tabs>
        <w:rPr>
          <w:rFonts w:asciiTheme="minorHAnsi" w:eastAsiaTheme="minorEastAsia" w:hAnsiTheme="minorHAnsi" w:cstheme="minorBidi"/>
          <w:noProof/>
          <w:lang w:eastAsia="en-AU"/>
        </w:rPr>
      </w:pPr>
      <w:hyperlink w:anchor="_Toc438116061" w:history="1">
        <w:r w:rsidRPr="000329B7">
          <w:rPr>
            <w:rStyle w:val="Hyperlink"/>
            <w:noProof/>
          </w:rPr>
          <w:t>1.3.</w:t>
        </w:r>
        <w:r>
          <w:rPr>
            <w:rFonts w:asciiTheme="minorHAnsi" w:eastAsiaTheme="minorEastAsia" w:hAnsiTheme="minorHAnsi" w:cstheme="minorBidi"/>
            <w:noProof/>
            <w:lang w:eastAsia="en-AU"/>
          </w:rPr>
          <w:tab/>
        </w:r>
        <w:r w:rsidRPr="000329B7">
          <w:rPr>
            <w:rStyle w:val="Hyperlink"/>
            <w:noProof/>
          </w:rPr>
          <w:t>Clinical rationale</w:t>
        </w:r>
        <w:r>
          <w:rPr>
            <w:noProof/>
            <w:webHidden/>
          </w:rPr>
          <w:tab/>
        </w:r>
        <w:r>
          <w:rPr>
            <w:noProof/>
            <w:webHidden/>
          </w:rPr>
          <w:fldChar w:fldCharType="begin"/>
        </w:r>
        <w:r>
          <w:rPr>
            <w:noProof/>
            <w:webHidden/>
          </w:rPr>
          <w:instrText xml:space="preserve"> PAGEREF _Toc438116061 \h </w:instrText>
        </w:r>
        <w:r>
          <w:rPr>
            <w:noProof/>
            <w:webHidden/>
          </w:rPr>
        </w:r>
        <w:r>
          <w:rPr>
            <w:noProof/>
            <w:webHidden/>
          </w:rPr>
          <w:fldChar w:fldCharType="separate"/>
        </w:r>
        <w:r>
          <w:rPr>
            <w:noProof/>
            <w:webHidden/>
          </w:rPr>
          <w:t>7</w:t>
        </w:r>
        <w:r>
          <w:rPr>
            <w:noProof/>
            <w:webHidden/>
          </w:rPr>
          <w:fldChar w:fldCharType="end"/>
        </w:r>
      </w:hyperlink>
    </w:p>
    <w:p w:rsidR="00492677" w:rsidRDefault="00492677">
      <w:pPr>
        <w:pStyle w:val="TOC2"/>
        <w:tabs>
          <w:tab w:val="left" w:pos="1247"/>
        </w:tabs>
        <w:rPr>
          <w:rFonts w:asciiTheme="minorHAnsi" w:eastAsiaTheme="minorEastAsia" w:hAnsiTheme="minorHAnsi" w:cstheme="minorBidi"/>
          <w:b w:val="0"/>
          <w:noProof/>
          <w:sz w:val="22"/>
          <w:lang w:eastAsia="en-AU"/>
        </w:rPr>
      </w:pPr>
      <w:hyperlink w:anchor="_Toc438116062" w:history="1">
        <w:r w:rsidRPr="000329B7">
          <w:rPr>
            <w:rStyle w:val="Hyperlink"/>
            <w:noProof/>
            <w:lang w:eastAsia="en-AU"/>
          </w:rPr>
          <w:t>2.</w:t>
        </w:r>
        <w:r>
          <w:rPr>
            <w:rFonts w:asciiTheme="minorHAnsi" w:eastAsiaTheme="minorEastAsia" w:hAnsiTheme="minorHAnsi" w:cstheme="minorBidi"/>
            <w:b w:val="0"/>
            <w:noProof/>
            <w:sz w:val="22"/>
            <w:lang w:eastAsia="en-AU"/>
          </w:rPr>
          <w:tab/>
        </w:r>
        <w:r w:rsidRPr="000329B7">
          <w:rPr>
            <w:rStyle w:val="Hyperlink"/>
            <w:noProof/>
            <w:lang w:eastAsia="en-AU"/>
          </w:rPr>
          <w:t>Contents of the clinical dossier</w:t>
        </w:r>
        <w:r>
          <w:rPr>
            <w:noProof/>
            <w:webHidden/>
          </w:rPr>
          <w:tab/>
        </w:r>
        <w:r>
          <w:rPr>
            <w:noProof/>
            <w:webHidden/>
          </w:rPr>
          <w:fldChar w:fldCharType="begin"/>
        </w:r>
        <w:r>
          <w:rPr>
            <w:noProof/>
            <w:webHidden/>
          </w:rPr>
          <w:instrText xml:space="preserve"> PAGEREF _Toc438116062 \h </w:instrText>
        </w:r>
        <w:r>
          <w:rPr>
            <w:noProof/>
            <w:webHidden/>
          </w:rPr>
        </w:r>
        <w:r>
          <w:rPr>
            <w:noProof/>
            <w:webHidden/>
          </w:rPr>
          <w:fldChar w:fldCharType="separate"/>
        </w:r>
        <w:r>
          <w:rPr>
            <w:noProof/>
            <w:webHidden/>
          </w:rPr>
          <w:t>8</w:t>
        </w:r>
        <w:r>
          <w:rPr>
            <w:noProof/>
            <w:webHidden/>
          </w:rPr>
          <w:fldChar w:fldCharType="end"/>
        </w:r>
      </w:hyperlink>
    </w:p>
    <w:p w:rsidR="00492677" w:rsidRDefault="00492677">
      <w:pPr>
        <w:pStyle w:val="TOC3"/>
        <w:tabs>
          <w:tab w:val="left" w:pos="1575"/>
        </w:tabs>
        <w:rPr>
          <w:rFonts w:asciiTheme="minorHAnsi" w:eastAsiaTheme="minorEastAsia" w:hAnsiTheme="minorHAnsi" w:cstheme="minorBidi"/>
          <w:noProof/>
          <w:lang w:eastAsia="en-AU"/>
        </w:rPr>
      </w:pPr>
      <w:hyperlink w:anchor="_Toc438116063" w:history="1">
        <w:r w:rsidRPr="000329B7">
          <w:rPr>
            <w:rStyle w:val="Hyperlink"/>
            <w:noProof/>
          </w:rPr>
          <w:t>2.1.</w:t>
        </w:r>
        <w:r>
          <w:rPr>
            <w:rFonts w:asciiTheme="minorHAnsi" w:eastAsiaTheme="minorEastAsia" w:hAnsiTheme="minorHAnsi" w:cstheme="minorBidi"/>
            <w:noProof/>
            <w:lang w:eastAsia="en-AU"/>
          </w:rPr>
          <w:tab/>
        </w:r>
        <w:r w:rsidRPr="000329B7">
          <w:rPr>
            <w:rStyle w:val="Hyperlink"/>
            <w:noProof/>
          </w:rPr>
          <w:t>Scope of the clinical dossier</w:t>
        </w:r>
        <w:r>
          <w:rPr>
            <w:noProof/>
            <w:webHidden/>
          </w:rPr>
          <w:tab/>
        </w:r>
        <w:r>
          <w:rPr>
            <w:noProof/>
            <w:webHidden/>
          </w:rPr>
          <w:fldChar w:fldCharType="begin"/>
        </w:r>
        <w:r>
          <w:rPr>
            <w:noProof/>
            <w:webHidden/>
          </w:rPr>
          <w:instrText xml:space="preserve"> PAGEREF _Toc438116063 \h </w:instrText>
        </w:r>
        <w:r>
          <w:rPr>
            <w:noProof/>
            <w:webHidden/>
          </w:rPr>
        </w:r>
        <w:r>
          <w:rPr>
            <w:noProof/>
            <w:webHidden/>
          </w:rPr>
          <w:fldChar w:fldCharType="separate"/>
        </w:r>
        <w:r>
          <w:rPr>
            <w:noProof/>
            <w:webHidden/>
          </w:rPr>
          <w:t>8</w:t>
        </w:r>
        <w:r>
          <w:rPr>
            <w:noProof/>
            <w:webHidden/>
          </w:rPr>
          <w:fldChar w:fldCharType="end"/>
        </w:r>
      </w:hyperlink>
    </w:p>
    <w:p w:rsidR="00492677" w:rsidRDefault="00492677">
      <w:pPr>
        <w:pStyle w:val="TOC3"/>
        <w:tabs>
          <w:tab w:val="left" w:pos="1575"/>
        </w:tabs>
        <w:rPr>
          <w:rFonts w:asciiTheme="minorHAnsi" w:eastAsiaTheme="minorEastAsia" w:hAnsiTheme="minorHAnsi" w:cstheme="minorBidi"/>
          <w:noProof/>
          <w:lang w:eastAsia="en-AU"/>
        </w:rPr>
      </w:pPr>
      <w:hyperlink w:anchor="_Toc438116064" w:history="1">
        <w:r w:rsidRPr="000329B7">
          <w:rPr>
            <w:rStyle w:val="Hyperlink"/>
            <w:noProof/>
          </w:rPr>
          <w:t>2.2.</w:t>
        </w:r>
        <w:r>
          <w:rPr>
            <w:rFonts w:asciiTheme="minorHAnsi" w:eastAsiaTheme="minorEastAsia" w:hAnsiTheme="minorHAnsi" w:cstheme="minorBidi"/>
            <w:noProof/>
            <w:lang w:eastAsia="en-AU"/>
          </w:rPr>
          <w:tab/>
        </w:r>
        <w:r w:rsidRPr="000329B7">
          <w:rPr>
            <w:rStyle w:val="Hyperlink"/>
            <w:noProof/>
          </w:rPr>
          <w:t>Paediatric data</w:t>
        </w:r>
        <w:r>
          <w:rPr>
            <w:noProof/>
            <w:webHidden/>
          </w:rPr>
          <w:tab/>
        </w:r>
        <w:r>
          <w:rPr>
            <w:noProof/>
            <w:webHidden/>
          </w:rPr>
          <w:fldChar w:fldCharType="begin"/>
        </w:r>
        <w:r>
          <w:rPr>
            <w:noProof/>
            <w:webHidden/>
          </w:rPr>
          <w:instrText xml:space="preserve"> PAGEREF _Toc438116064 \h </w:instrText>
        </w:r>
        <w:r>
          <w:rPr>
            <w:noProof/>
            <w:webHidden/>
          </w:rPr>
        </w:r>
        <w:r>
          <w:rPr>
            <w:noProof/>
            <w:webHidden/>
          </w:rPr>
          <w:fldChar w:fldCharType="separate"/>
        </w:r>
        <w:r>
          <w:rPr>
            <w:noProof/>
            <w:webHidden/>
          </w:rPr>
          <w:t>9</w:t>
        </w:r>
        <w:r>
          <w:rPr>
            <w:noProof/>
            <w:webHidden/>
          </w:rPr>
          <w:fldChar w:fldCharType="end"/>
        </w:r>
      </w:hyperlink>
    </w:p>
    <w:p w:rsidR="00492677" w:rsidRDefault="00492677">
      <w:pPr>
        <w:pStyle w:val="TOC3"/>
        <w:tabs>
          <w:tab w:val="left" w:pos="1575"/>
        </w:tabs>
        <w:rPr>
          <w:rFonts w:asciiTheme="minorHAnsi" w:eastAsiaTheme="minorEastAsia" w:hAnsiTheme="minorHAnsi" w:cstheme="minorBidi"/>
          <w:noProof/>
          <w:lang w:eastAsia="en-AU"/>
        </w:rPr>
      </w:pPr>
      <w:hyperlink w:anchor="_Toc438116065" w:history="1">
        <w:r w:rsidRPr="000329B7">
          <w:rPr>
            <w:rStyle w:val="Hyperlink"/>
            <w:noProof/>
          </w:rPr>
          <w:t>2.3.</w:t>
        </w:r>
        <w:r>
          <w:rPr>
            <w:rFonts w:asciiTheme="minorHAnsi" w:eastAsiaTheme="minorEastAsia" w:hAnsiTheme="minorHAnsi" w:cstheme="minorBidi"/>
            <w:noProof/>
            <w:lang w:eastAsia="en-AU"/>
          </w:rPr>
          <w:tab/>
        </w:r>
        <w:r w:rsidRPr="000329B7">
          <w:rPr>
            <w:rStyle w:val="Hyperlink"/>
            <w:noProof/>
          </w:rPr>
          <w:t>Good clinical practice</w:t>
        </w:r>
        <w:r>
          <w:rPr>
            <w:noProof/>
            <w:webHidden/>
          </w:rPr>
          <w:tab/>
        </w:r>
        <w:r>
          <w:rPr>
            <w:noProof/>
            <w:webHidden/>
          </w:rPr>
          <w:fldChar w:fldCharType="begin"/>
        </w:r>
        <w:r>
          <w:rPr>
            <w:noProof/>
            <w:webHidden/>
          </w:rPr>
          <w:instrText xml:space="preserve"> PAGEREF _Toc438116065 \h </w:instrText>
        </w:r>
        <w:r>
          <w:rPr>
            <w:noProof/>
            <w:webHidden/>
          </w:rPr>
        </w:r>
        <w:r>
          <w:rPr>
            <w:noProof/>
            <w:webHidden/>
          </w:rPr>
          <w:fldChar w:fldCharType="separate"/>
        </w:r>
        <w:r>
          <w:rPr>
            <w:noProof/>
            <w:webHidden/>
          </w:rPr>
          <w:t>9</w:t>
        </w:r>
        <w:r>
          <w:rPr>
            <w:noProof/>
            <w:webHidden/>
          </w:rPr>
          <w:fldChar w:fldCharType="end"/>
        </w:r>
      </w:hyperlink>
    </w:p>
    <w:p w:rsidR="00492677" w:rsidRDefault="00492677">
      <w:pPr>
        <w:pStyle w:val="TOC2"/>
        <w:tabs>
          <w:tab w:val="left" w:pos="1247"/>
        </w:tabs>
        <w:rPr>
          <w:rFonts w:asciiTheme="minorHAnsi" w:eastAsiaTheme="minorEastAsia" w:hAnsiTheme="minorHAnsi" w:cstheme="minorBidi"/>
          <w:b w:val="0"/>
          <w:noProof/>
          <w:sz w:val="22"/>
          <w:lang w:eastAsia="en-AU"/>
        </w:rPr>
      </w:pPr>
      <w:hyperlink w:anchor="_Toc438116066" w:history="1">
        <w:r w:rsidRPr="000329B7">
          <w:rPr>
            <w:rStyle w:val="Hyperlink"/>
            <w:noProof/>
          </w:rPr>
          <w:t>3.</w:t>
        </w:r>
        <w:r>
          <w:rPr>
            <w:rFonts w:asciiTheme="minorHAnsi" w:eastAsiaTheme="minorEastAsia" w:hAnsiTheme="minorHAnsi" w:cstheme="minorBidi"/>
            <w:b w:val="0"/>
            <w:noProof/>
            <w:sz w:val="22"/>
            <w:lang w:eastAsia="en-AU"/>
          </w:rPr>
          <w:tab/>
        </w:r>
        <w:r w:rsidRPr="000329B7">
          <w:rPr>
            <w:rStyle w:val="Hyperlink"/>
            <w:noProof/>
          </w:rPr>
          <w:t>Pharmacokinetics</w:t>
        </w:r>
        <w:r>
          <w:rPr>
            <w:noProof/>
            <w:webHidden/>
          </w:rPr>
          <w:tab/>
        </w:r>
        <w:r>
          <w:rPr>
            <w:noProof/>
            <w:webHidden/>
          </w:rPr>
          <w:fldChar w:fldCharType="begin"/>
        </w:r>
        <w:r>
          <w:rPr>
            <w:noProof/>
            <w:webHidden/>
          </w:rPr>
          <w:instrText xml:space="preserve"> PAGEREF _Toc438116066 \h </w:instrText>
        </w:r>
        <w:r>
          <w:rPr>
            <w:noProof/>
            <w:webHidden/>
          </w:rPr>
        </w:r>
        <w:r>
          <w:rPr>
            <w:noProof/>
            <w:webHidden/>
          </w:rPr>
          <w:fldChar w:fldCharType="separate"/>
        </w:r>
        <w:r>
          <w:rPr>
            <w:noProof/>
            <w:webHidden/>
          </w:rPr>
          <w:t>9</w:t>
        </w:r>
        <w:r>
          <w:rPr>
            <w:noProof/>
            <w:webHidden/>
          </w:rPr>
          <w:fldChar w:fldCharType="end"/>
        </w:r>
      </w:hyperlink>
    </w:p>
    <w:p w:rsidR="00492677" w:rsidRDefault="00492677">
      <w:pPr>
        <w:pStyle w:val="TOC3"/>
        <w:tabs>
          <w:tab w:val="left" w:pos="1575"/>
        </w:tabs>
        <w:rPr>
          <w:rFonts w:asciiTheme="minorHAnsi" w:eastAsiaTheme="minorEastAsia" w:hAnsiTheme="minorHAnsi" w:cstheme="minorBidi"/>
          <w:noProof/>
          <w:lang w:eastAsia="en-AU"/>
        </w:rPr>
      </w:pPr>
      <w:hyperlink w:anchor="_Toc438116067" w:history="1">
        <w:r w:rsidRPr="000329B7">
          <w:rPr>
            <w:rStyle w:val="Hyperlink"/>
            <w:noProof/>
          </w:rPr>
          <w:t>3.1.</w:t>
        </w:r>
        <w:r>
          <w:rPr>
            <w:rFonts w:asciiTheme="minorHAnsi" w:eastAsiaTheme="minorEastAsia" w:hAnsiTheme="minorHAnsi" w:cstheme="minorBidi"/>
            <w:noProof/>
            <w:lang w:eastAsia="en-AU"/>
          </w:rPr>
          <w:tab/>
        </w:r>
        <w:r w:rsidRPr="000329B7">
          <w:rPr>
            <w:rStyle w:val="Hyperlink"/>
            <w:noProof/>
          </w:rPr>
          <w:t>Studies providing pharmacokinetic data</w:t>
        </w:r>
        <w:r>
          <w:rPr>
            <w:noProof/>
            <w:webHidden/>
          </w:rPr>
          <w:tab/>
        </w:r>
        <w:r>
          <w:rPr>
            <w:noProof/>
            <w:webHidden/>
          </w:rPr>
          <w:fldChar w:fldCharType="begin"/>
        </w:r>
        <w:r>
          <w:rPr>
            <w:noProof/>
            <w:webHidden/>
          </w:rPr>
          <w:instrText xml:space="preserve"> PAGEREF _Toc438116067 \h </w:instrText>
        </w:r>
        <w:r>
          <w:rPr>
            <w:noProof/>
            <w:webHidden/>
          </w:rPr>
        </w:r>
        <w:r>
          <w:rPr>
            <w:noProof/>
            <w:webHidden/>
          </w:rPr>
          <w:fldChar w:fldCharType="separate"/>
        </w:r>
        <w:r>
          <w:rPr>
            <w:noProof/>
            <w:webHidden/>
          </w:rPr>
          <w:t>9</w:t>
        </w:r>
        <w:r>
          <w:rPr>
            <w:noProof/>
            <w:webHidden/>
          </w:rPr>
          <w:fldChar w:fldCharType="end"/>
        </w:r>
      </w:hyperlink>
    </w:p>
    <w:p w:rsidR="00492677" w:rsidRDefault="00492677">
      <w:pPr>
        <w:pStyle w:val="TOC2"/>
        <w:tabs>
          <w:tab w:val="left" w:pos="1247"/>
        </w:tabs>
        <w:rPr>
          <w:rFonts w:asciiTheme="minorHAnsi" w:eastAsiaTheme="minorEastAsia" w:hAnsiTheme="minorHAnsi" w:cstheme="minorBidi"/>
          <w:b w:val="0"/>
          <w:noProof/>
          <w:sz w:val="22"/>
          <w:lang w:eastAsia="en-AU"/>
        </w:rPr>
      </w:pPr>
      <w:hyperlink w:anchor="_Toc438116068" w:history="1">
        <w:r w:rsidRPr="000329B7">
          <w:rPr>
            <w:rStyle w:val="Hyperlink"/>
            <w:noProof/>
          </w:rPr>
          <w:t>4.</w:t>
        </w:r>
        <w:r>
          <w:rPr>
            <w:rFonts w:asciiTheme="minorHAnsi" w:eastAsiaTheme="minorEastAsia" w:hAnsiTheme="minorHAnsi" w:cstheme="minorBidi"/>
            <w:b w:val="0"/>
            <w:noProof/>
            <w:sz w:val="22"/>
            <w:lang w:eastAsia="en-AU"/>
          </w:rPr>
          <w:tab/>
        </w:r>
        <w:r w:rsidRPr="000329B7">
          <w:rPr>
            <w:rStyle w:val="Hyperlink"/>
            <w:noProof/>
          </w:rPr>
          <w:t>Summary of pharmacokinetics</w:t>
        </w:r>
        <w:r>
          <w:rPr>
            <w:noProof/>
            <w:webHidden/>
          </w:rPr>
          <w:tab/>
        </w:r>
        <w:r>
          <w:rPr>
            <w:noProof/>
            <w:webHidden/>
          </w:rPr>
          <w:fldChar w:fldCharType="begin"/>
        </w:r>
        <w:r>
          <w:rPr>
            <w:noProof/>
            <w:webHidden/>
          </w:rPr>
          <w:instrText xml:space="preserve"> PAGEREF _Toc438116068 \h </w:instrText>
        </w:r>
        <w:r>
          <w:rPr>
            <w:noProof/>
            <w:webHidden/>
          </w:rPr>
        </w:r>
        <w:r>
          <w:rPr>
            <w:noProof/>
            <w:webHidden/>
          </w:rPr>
          <w:fldChar w:fldCharType="separate"/>
        </w:r>
        <w:r>
          <w:rPr>
            <w:noProof/>
            <w:webHidden/>
          </w:rPr>
          <w:t>11</w:t>
        </w:r>
        <w:r>
          <w:rPr>
            <w:noProof/>
            <w:webHidden/>
          </w:rPr>
          <w:fldChar w:fldCharType="end"/>
        </w:r>
      </w:hyperlink>
    </w:p>
    <w:p w:rsidR="00492677" w:rsidRDefault="00492677">
      <w:pPr>
        <w:pStyle w:val="TOC3"/>
        <w:tabs>
          <w:tab w:val="left" w:pos="1575"/>
        </w:tabs>
        <w:rPr>
          <w:rFonts w:asciiTheme="minorHAnsi" w:eastAsiaTheme="minorEastAsia" w:hAnsiTheme="minorHAnsi" w:cstheme="minorBidi"/>
          <w:noProof/>
          <w:lang w:eastAsia="en-AU"/>
        </w:rPr>
      </w:pPr>
      <w:hyperlink w:anchor="_Toc438116069" w:history="1">
        <w:r w:rsidRPr="000329B7">
          <w:rPr>
            <w:rStyle w:val="Hyperlink"/>
            <w:noProof/>
          </w:rPr>
          <w:t>4.1.</w:t>
        </w:r>
        <w:r>
          <w:rPr>
            <w:rFonts w:asciiTheme="minorHAnsi" w:eastAsiaTheme="minorEastAsia" w:hAnsiTheme="minorHAnsi" w:cstheme="minorBidi"/>
            <w:noProof/>
            <w:lang w:eastAsia="en-AU"/>
          </w:rPr>
          <w:tab/>
        </w:r>
        <w:r w:rsidRPr="000329B7">
          <w:rPr>
            <w:rStyle w:val="Hyperlink"/>
            <w:noProof/>
          </w:rPr>
          <w:t>Physicochemical characteristics of the active substance</w:t>
        </w:r>
        <w:r>
          <w:rPr>
            <w:noProof/>
            <w:webHidden/>
          </w:rPr>
          <w:tab/>
        </w:r>
        <w:r>
          <w:rPr>
            <w:noProof/>
            <w:webHidden/>
          </w:rPr>
          <w:fldChar w:fldCharType="begin"/>
        </w:r>
        <w:r>
          <w:rPr>
            <w:noProof/>
            <w:webHidden/>
          </w:rPr>
          <w:instrText xml:space="preserve"> PAGEREF _Toc438116069 \h </w:instrText>
        </w:r>
        <w:r>
          <w:rPr>
            <w:noProof/>
            <w:webHidden/>
          </w:rPr>
        </w:r>
        <w:r>
          <w:rPr>
            <w:noProof/>
            <w:webHidden/>
          </w:rPr>
          <w:fldChar w:fldCharType="separate"/>
        </w:r>
        <w:r>
          <w:rPr>
            <w:noProof/>
            <w:webHidden/>
          </w:rPr>
          <w:t>11</w:t>
        </w:r>
        <w:r>
          <w:rPr>
            <w:noProof/>
            <w:webHidden/>
          </w:rPr>
          <w:fldChar w:fldCharType="end"/>
        </w:r>
      </w:hyperlink>
    </w:p>
    <w:p w:rsidR="00492677" w:rsidRDefault="00492677">
      <w:pPr>
        <w:pStyle w:val="TOC3"/>
        <w:tabs>
          <w:tab w:val="left" w:pos="1575"/>
        </w:tabs>
        <w:rPr>
          <w:rFonts w:asciiTheme="minorHAnsi" w:eastAsiaTheme="minorEastAsia" w:hAnsiTheme="minorHAnsi" w:cstheme="minorBidi"/>
          <w:noProof/>
          <w:lang w:eastAsia="en-AU"/>
        </w:rPr>
      </w:pPr>
      <w:hyperlink w:anchor="_Toc438116070" w:history="1">
        <w:r w:rsidRPr="000329B7">
          <w:rPr>
            <w:rStyle w:val="Hyperlink"/>
            <w:noProof/>
          </w:rPr>
          <w:t>4.2.</w:t>
        </w:r>
        <w:r>
          <w:rPr>
            <w:rFonts w:asciiTheme="minorHAnsi" w:eastAsiaTheme="minorEastAsia" w:hAnsiTheme="minorHAnsi" w:cstheme="minorBidi"/>
            <w:noProof/>
            <w:lang w:eastAsia="en-AU"/>
          </w:rPr>
          <w:tab/>
        </w:r>
        <w:r w:rsidRPr="000329B7">
          <w:rPr>
            <w:rStyle w:val="Hyperlink"/>
            <w:noProof/>
          </w:rPr>
          <w:t>Pharmacokinetics in healthy subjects</w:t>
        </w:r>
        <w:r>
          <w:rPr>
            <w:noProof/>
            <w:webHidden/>
          </w:rPr>
          <w:tab/>
        </w:r>
        <w:r>
          <w:rPr>
            <w:noProof/>
            <w:webHidden/>
          </w:rPr>
          <w:fldChar w:fldCharType="begin"/>
        </w:r>
        <w:r>
          <w:rPr>
            <w:noProof/>
            <w:webHidden/>
          </w:rPr>
          <w:instrText xml:space="preserve"> PAGEREF _Toc438116070 \h </w:instrText>
        </w:r>
        <w:r>
          <w:rPr>
            <w:noProof/>
            <w:webHidden/>
          </w:rPr>
        </w:r>
        <w:r>
          <w:rPr>
            <w:noProof/>
            <w:webHidden/>
          </w:rPr>
          <w:fldChar w:fldCharType="separate"/>
        </w:r>
        <w:r>
          <w:rPr>
            <w:noProof/>
            <w:webHidden/>
          </w:rPr>
          <w:t>11</w:t>
        </w:r>
        <w:r>
          <w:rPr>
            <w:noProof/>
            <w:webHidden/>
          </w:rPr>
          <w:fldChar w:fldCharType="end"/>
        </w:r>
      </w:hyperlink>
    </w:p>
    <w:p w:rsidR="00492677" w:rsidRDefault="00492677">
      <w:pPr>
        <w:pStyle w:val="TOC3"/>
        <w:tabs>
          <w:tab w:val="left" w:pos="1575"/>
        </w:tabs>
        <w:rPr>
          <w:rFonts w:asciiTheme="minorHAnsi" w:eastAsiaTheme="minorEastAsia" w:hAnsiTheme="minorHAnsi" w:cstheme="minorBidi"/>
          <w:noProof/>
          <w:lang w:eastAsia="en-AU"/>
        </w:rPr>
      </w:pPr>
      <w:hyperlink w:anchor="_Toc438116071" w:history="1">
        <w:r w:rsidRPr="000329B7">
          <w:rPr>
            <w:rStyle w:val="Hyperlink"/>
            <w:noProof/>
          </w:rPr>
          <w:t>4.3.</w:t>
        </w:r>
        <w:r>
          <w:rPr>
            <w:rFonts w:asciiTheme="minorHAnsi" w:eastAsiaTheme="minorEastAsia" w:hAnsiTheme="minorHAnsi" w:cstheme="minorBidi"/>
            <w:noProof/>
            <w:lang w:eastAsia="en-AU"/>
          </w:rPr>
          <w:tab/>
        </w:r>
        <w:r w:rsidRPr="000329B7">
          <w:rPr>
            <w:rStyle w:val="Hyperlink"/>
            <w:noProof/>
          </w:rPr>
          <w:t>Pharmacokinetics in the target population</w:t>
        </w:r>
        <w:r>
          <w:rPr>
            <w:noProof/>
            <w:webHidden/>
          </w:rPr>
          <w:tab/>
        </w:r>
        <w:r>
          <w:rPr>
            <w:noProof/>
            <w:webHidden/>
          </w:rPr>
          <w:fldChar w:fldCharType="begin"/>
        </w:r>
        <w:r>
          <w:rPr>
            <w:noProof/>
            <w:webHidden/>
          </w:rPr>
          <w:instrText xml:space="preserve"> PAGEREF _Toc438116071 \h </w:instrText>
        </w:r>
        <w:r>
          <w:rPr>
            <w:noProof/>
            <w:webHidden/>
          </w:rPr>
        </w:r>
        <w:r>
          <w:rPr>
            <w:noProof/>
            <w:webHidden/>
          </w:rPr>
          <w:fldChar w:fldCharType="separate"/>
        </w:r>
        <w:r>
          <w:rPr>
            <w:noProof/>
            <w:webHidden/>
          </w:rPr>
          <w:t>13</w:t>
        </w:r>
        <w:r>
          <w:rPr>
            <w:noProof/>
            <w:webHidden/>
          </w:rPr>
          <w:fldChar w:fldCharType="end"/>
        </w:r>
      </w:hyperlink>
    </w:p>
    <w:p w:rsidR="00492677" w:rsidRDefault="00492677">
      <w:pPr>
        <w:pStyle w:val="TOC3"/>
        <w:tabs>
          <w:tab w:val="left" w:pos="1575"/>
        </w:tabs>
        <w:rPr>
          <w:rFonts w:asciiTheme="minorHAnsi" w:eastAsiaTheme="minorEastAsia" w:hAnsiTheme="minorHAnsi" w:cstheme="minorBidi"/>
          <w:noProof/>
          <w:lang w:eastAsia="en-AU"/>
        </w:rPr>
      </w:pPr>
      <w:hyperlink w:anchor="_Toc438116072" w:history="1">
        <w:r w:rsidRPr="000329B7">
          <w:rPr>
            <w:rStyle w:val="Hyperlink"/>
            <w:noProof/>
          </w:rPr>
          <w:t>4.4.</w:t>
        </w:r>
        <w:r>
          <w:rPr>
            <w:rFonts w:asciiTheme="minorHAnsi" w:eastAsiaTheme="minorEastAsia" w:hAnsiTheme="minorHAnsi" w:cstheme="minorBidi"/>
            <w:noProof/>
            <w:lang w:eastAsia="en-AU"/>
          </w:rPr>
          <w:tab/>
        </w:r>
        <w:r w:rsidRPr="000329B7">
          <w:rPr>
            <w:rStyle w:val="Hyperlink"/>
            <w:noProof/>
          </w:rPr>
          <w:t>Pharmacokinetics in other special populations</w:t>
        </w:r>
        <w:r>
          <w:rPr>
            <w:noProof/>
            <w:webHidden/>
          </w:rPr>
          <w:tab/>
        </w:r>
        <w:r>
          <w:rPr>
            <w:noProof/>
            <w:webHidden/>
          </w:rPr>
          <w:fldChar w:fldCharType="begin"/>
        </w:r>
        <w:r>
          <w:rPr>
            <w:noProof/>
            <w:webHidden/>
          </w:rPr>
          <w:instrText xml:space="preserve"> PAGEREF _Toc438116072 \h </w:instrText>
        </w:r>
        <w:r>
          <w:rPr>
            <w:noProof/>
            <w:webHidden/>
          </w:rPr>
        </w:r>
        <w:r>
          <w:rPr>
            <w:noProof/>
            <w:webHidden/>
          </w:rPr>
          <w:fldChar w:fldCharType="separate"/>
        </w:r>
        <w:r>
          <w:rPr>
            <w:noProof/>
            <w:webHidden/>
          </w:rPr>
          <w:t>14</w:t>
        </w:r>
        <w:r>
          <w:rPr>
            <w:noProof/>
            <w:webHidden/>
          </w:rPr>
          <w:fldChar w:fldCharType="end"/>
        </w:r>
      </w:hyperlink>
    </w:p>
    <w:p w:rsidR="00492677" w:rsidRDefault="00492677">
      <w:pPr>
        <w:pStyle w:val="TOC3"/>
        <w:tabs>
          <w:tab w:val="left" w:pos="1575"/>
        </w:tabs>
        <w:rPr>
          <w:rFonts w:asciiTheme="minorHAnsi" w:eastAsiaTheme="minorEastAsia" w:hAnsiTheme="minorHAnsi" w:cstheme="minorBidi"/>
          <w:noProof/>
          <w:lang w:eastAsia="en-AU"/>
        </w:rPr>
      </w:pPr>
      <w:hyperlink w:anchor="_Toc438116073" w:history="1">
        <w:r w:rsidRPr="000329B7">
          <w:rPr>
            <w:rStyle w:val="Hyperlink"/>
            <w:noProof/>
          </w:rPr>
          <w:t>4.5.</w:t>
        </w:r>
        <w:r>
          <w:rPr>
            <w:rFonts w:asciiTheme="minorHAnsi" w:eastAsiaTheme="minorEastAsia" w:hAnsiTheme="minorHAnsi" w:cstheme="minorBidi"/>
            <w:noProof/>
            <w:lang w:eastAsia="en-AU"/>
          </w:rPr>
          <w:tab/>
        </w:r>
        <w:r w:rsidRPr="000329B7">
          <w:rPr>
            <w:rStyle w:val="Hyperlink"/>
            <w:noProof/>
          </w:rPr>
          <w:t>Pharmacokinetic interactions</w:t>
        </w:r>
        <w:r>
          <w:rPr>
            <w:noProof/>
            <w:webHidden/>
          </w:rPr>
          <w:tab/>
        </w:r>
        <w:r>
          <w:rPr>
            <w:noProof/>
            <w:webHidden/>
          </w:rPr>
          <w:fldChar w:fldCharType="begin"/>
        </w:r>
        <w:r>
          <w:rPr>
            <w:noProof/>
            <w:webHidden/>
          </w:rPr>
          <w:instrText xml:space="preserve"> PAGEREF _Toc438116073 \h </w:instrText>
        </w:r>
        <w:r>
          <w:rPr>
            <w:noProof/>
            <w:webHidden/>
          </w:rPr>
        </w:r>
        <w:r>
          <w:rPr>
            <w:noProof/>
            <w:webHidden/>
          </w:rPr>
          <w:fldChar w:fldCharType="separate"/>
        </w:r>
        <w:r>
          <w:rPr>
            <w:noProof/>
            <w:webHidden/>
          </w:rPr>
          <w:t>14</w:t>
        </w:r>
        <w:r>
          <w:rPr>
            <w:noProof/>
            <w:webHidden/>
          </w:rPr>
          <w:fldChar w:fldCharType="end"/>
        </w:r>
      </w:hyperlink>
    </w:p>
    <w:p w:rsidR="00492677" w:rsidRDefault="00492677">
      <w:pPr>
        <w:pStyle w:val="TOC3"/>
        <w:tabs>
          <w:tab w:val="left" w:pos="1575"/>
        </w:tabs>
        <w:rPr>
          <w:rFonts w:asciiTheme="minorHAnsi" w:eastAsiaTheme="minorEastAsia" w:hAnsiTheme="minorHAnsi" w:cstheme="minorBidi"/>
          <w:noProof/>
          <w:lang w:eastAsia="en-AU"/>
        </w:rPr>
      </w:pPr>
      <w:hyperlink w:anchor="_Toc438116074" w:history="1">
        <w:r w:rsidRPr="000329B7">
          <w:rPr>
            <w:rStyle w:val="Hyperlink"/>
            <w:noProof/>
          </w:rPr>
          <w:t>4.6.</w:t>
        </w:r>
        <w:r>
          <w:rPr>
            <w:rFonts w:asciiTheme="minorHAnsi" w:eastAsiaTheme="minorEastAsia" w:hAnsiTheme="minorHAnsi" w:cstheme="minorBidi"/>
            <w:noProof/>
            <w:lang w:eastAsia="en-AU"/>
          </w:rPr>
          <w:tab/>
        </w:r>
        <w:r w:rsidRPr="000329B7">
          <w:rPr>
            <w:rStyle w:val="Hyperlink"/>
            <w:noProof/>
          </w:rPr>
          <w:t>Evaluator’s overall conclusions on pharmacokinetics</w:t>
        </w:r>
        <w:r>
          <w:rPr>
            <w:noProof/>
            <w:webHidden/>
          </w:rPr>
          <w:tab/>
        </w:r>
        <w:r>
          <w:rPr>
            <w:noProof/>
            <w:webHidden/>
          </w:rPr>
          <w:fldChar w:fldCharType="begin"/>
        </w:r>
        <w:r>
          <w:rPr>
            <w:noProof/>
            <w:webHidden/>
          </w:rPr>
          <w:instrText xml:space="preserve"> PAGEREF _Toc438116074 \h </w:instrText>
        </w:r>
        <w:r>
          <w:rPr>
            <w:noProof/>
            <w:webHidden/>
          </w:rPr>
        </w:r>
        <w:r>
          <w:rPr>
            <w:noProof/>
            <w:webHidden/>
          </w:rPr>
          <w:fldChar w:fldCharType="separate"/>
        </w:r>
        <w:r>
          <w:rPr>
            <w:noProof/>
            <w:webHidden/>
          </w:rPr>
          <w:t>15</w:t>
        </w:r>
        <w:r>
          <w:rPr>
            <w:noProof/>
            <w:webHidden/>
          </w:rPr>
          <w:fldChar w:fldCharType="end"/>
        </w:r>
      </w:hyperlink>
    </w:p>
    <w:p w:rsidR="00492677" w:rsidRDefault="00492677">
      <w:pPr>
        <w:pStyle w:val="TOC2"/>
        <w:tabs>
          <w:tab w:val="left" w:pos="1247"/>
        </w:tabs>
        <w:rPr>
          <w:rFonts w:asciiTheme="minorHAnsi" w:eastAsiaTheme="minorEastAsia" w:hAnsiTheme="minorHAnsi" w:cstheme="minorBidi"/>
          <w:b w:val="0"/>
          <w:noProof/>
          <w:sz w:val="22"/>
          <w:lang w:eastAsia="en-AU"/>
        </w:rPr>
      </w:pPr>
      <w:hyperlink w:anchor="_Toc438116075" w:history="1">
        <w:r w:rsidRPr="000329B7">
          <w:rPr>
            <w:rStyle w:val="Hyperlink"/>
            <w:noProof/>
          </w:rPr>
          <w:t>5.</w:t>
        </w:r>
        <w:r>
          <w:rPr>
            <w:rFonts w:asciiTheme="minorHAnsi" w:eastAsiaTheme="minorEastAsia" w:hAnsiTheme="minorHAnsi" w:cstheme="minorBidi"/>
            <w:b w:val="0"/>
            <w:noProof/>
            <w:sz w:val="22"/>
            <w:lang w:eastAsia="en-AU"/>
          </w:rPr>
          <w:tab/>
        </w:r>
        <w:r w:rsidRPr="000329B7">
          <w:rPr>
            <w:rStyle w:val="Hyperlink"/>
            <w:noProof/>
          </w:rPr>
          <w:t>Pharmacodynamics</w:t>
        </w:r>
        <w:r>
          <w:rPr>
            <w:noProof/>
            <w:webHidden/>
          </w:rPr>
          <w:tab/>
        </w:r>
        <w:r>
          <w:rPr>
            <w:noProof/>
            <w:webHidden/>
          </w:rPr>
          <w:fldChar w:fldCharType="begin"/>
        </w:r>
        <w:r>
          <w:rPr>
            <w:noProof/>
            <w:webHidden/>
          </w:rPr>
          <w:instrText xml:space="preserve"> PAGEREF _Toc438116075 \h </w:instrText>
        </w:r>
        <w:r>
          <w:rPr>
            <w:noProof/>
            <w:webHidden/>
          </w:rPr>
        </w:r>
        <w:r>
          <w:rPr>
            <w:noProof/>
            <w:webHidden/>
          </w:rPr>
          <w:fldChar w:fldCharType="separate"/>
        </w:r>
        <w:r>
          <w:rPr>
            <w:noProof/>
            <w:webHidden/>
          </w:rPr>
          <w:t>16</w:t>
        </w:r>
        <w:r>
          <w:rPr>
            <w:noProof/>
            <w:webHidden/>
          </w:rPr>
          <w:fldChar w:fldCharType="end"/>
        </w:r>
      </w:hyperlink>
    </w:p>
    <w:p w:rsidR="00492677" w:rsidRDefault="00492677">
      <w:pPr>
        <w:pStyle w:val="TOC3"/>
        <w:tabs>
          <w:tab w:val="left" w:pos="1575"/>
        </w:tabs>
        <w:rPr>
          <w:rFonts w:asciiTheme="minorHAnsi" w:eastAsiaTheme="minorEastAsia" w:hAnsiTheme="minorHAnsi" w:cstheme="minorBidi"/>
          <w:noProof/>
          <w:lang w:eastAsia="en-AU"/>
        </w:rPr>
      </w:pPr>
      <w:hyperlink w:anchor="_Toc438116076" w:history="1">
        <w:r w:rsidRPr="000329B7">
          <w:rPr>
            <w:rStyle w:val="Hyperlink"/>
            <w:noProof/>
          </w:rPr>
          <w:t>5.1.</w:t>
        </w:r>
        <w:r>
          <w:rPr>
            <w:rFonts w:asciiTheme="minorHAnsi" w:eastAsiaTheme="minorEastAsia" w:hAnsiTheme="minorHAnsi" w:cstheme="minorBidi"/>
            <w:noProof/>
            <w:lang w:eastAsia="en-AU"/>
          </w:rPr>
          <w:tab/>
        </w:r>
        <w:r w:rsidRPr="000329B7">
          <w:rPr>
            <w:rStyle w:val="Hyperlink"/>
            <w:noProof/>
          </w:rPr>
          <w:t>Summary of pharmacodynamics</w:t>
        </w:r>
        <w:r>
          <w:rPr>
            <w:noProof/>
            <w:webHidden/>
          </w:rPr>
          <w:tab/>
        </w:r>
        <w:r>
          <w:rPr>
            <w:noProof/>
            <w:webHidden/>
          </w:rPr>
          <w:fldChar w:fldCharType="begin"/>
        </w:r>
        <w:r>
          <w:rPr>
            <w:noProof/>
            <w:webHidden/>
          </w:rPr>
          <w:instrText xml:space="preserve"> PAGEREF _Toc438116076 \h </w:instrText>
        </w:r>
        <w:r>
          <w:rPr>
            <w:noProof/>
            <w:webHidden/>
          </w:rPr>
        </w:r>
        <w:r>
          <w:rPr>
            <w:noProof/>
            <w:webHidden/>
          </w:rPr>
          <w:fldChar w:fldCharType="separate"/>
        </w:r>
        <w:r>
          <w:rPr>
            <w:noProof/>
            <w:webHidden/>
          </w:rPr>
          <w:t>16</w:t>
        </w:r>
        <w:r>
          <w:rPr>
            <w:noProof/>
            <w:webHidden/>
          </w:rPr>
          <w:fldChar w:fldCharType="end"/>
        </w:r>
      </w:hyperlink>
    </w:p>
    <w:p w:rsidR="00492677" w:rsidRDefault="00492677">
      <w:pPr>
        <w:pStyle w:val="TOC3"/>
        <w:tabs>
          <w:tab w:val="left" w:pos="1575"/>
        </w:tabs>
        <w:rPr>
          <w:rFonts w:asciiTheme="minorHAnsi" w:eastAsiaTheme="minorEastAsia" w:hAnsiTheme="minorHAnsi" w:cstheme="minorBidi"/>
          <w:noProof/>
          <w:lang w:eastAsia="en-AU"/>
        </w:rPr>
      </w:pPr>
      <w:hyperlink w:anchor="_Toc438116077" w:history="1">
        <w:r w:rsidRPr="000329B7">
          <w:rPr>
            <w:rStyle w:val="Hyperlink"/>
            <w:noProof/>
          </w:rPr>
          <w:t>5.2.</w:t>
        </w:r>
        <w:r>
          <w:rPr>
            <w:rFonts w:asciiTheme="minorHAnsi" w:eastAsiaTheme="minorEastAsia" w:hAnsiTheme="minorHAnsi" w:cstheme="minorBidi"/>
            <w:noProof/>
            <w:lang w:eastAsia="en-AU"/>
          </w:rPr>
          <w:tab/>
        </w:r>
        <w:r w:rsidRPr="000329B7">
          <w:rPr>
            <w:rStyle w:val="Hyperlink"/>
            <w:noProof/>
          </w:rPr>
          <w:t>Evaluator’s overall conclusions on pharmacodynamics</w:t>
        </w:r>
        <w:r>
          <w:rPr>
            <w:noProof/>
            <w:webHidden/>
          </w:rPr>
          <w:tab/>
        </w:r>
        <w:r>
          <w:rPr>
            <w:noProof/>
            <w:webHidden/>
          </w:rPr>
          <w:fldChar w:fldCharType="begin"/>
        </w:r>
        <w:r>
          <w:rPr>
            <w:noProof/>
            <w:webHidden/>
          </w:rPr>
          <w:instrText xml:space="preserve"> PAGEREF _Toc438116077 \h </w:instrText>
        </w:r>
        <w:r>
          <w:rPr>
            <w:noProof/>
            <w:webHidden/>
          </w:rPr>
        </w:r>
        <w:r>
          <w:rPr>
            <w:noProof/>
            <w:webHidden/>
          </w:rPr>
          <w:fldChar w:fldCharType="separate"/>
        </w:r>
        <w:r>
          <w:rPr>
            <w:noProof/>
            <w:webHidden/>
          </w:rPr>
          <w:t>16</w:t>
        </w:r>
        <w:r>
          <w:rPr>
            <w:noProof/>
            <w:webHidden/>
          </w:rPr>
          <w:fldChar w:fldCharType="end"/>
        </w:r>
      </w:hyperlink>
    </w:p>
    <w:p w:rsidR="00492677" w:rsidRDefault="00492677">
      <w:pPr>
        <w:pStyle w:val="TOC2"/>
        <w:tabs>
          <w:tab w:val="left" w:pos="1247"/>
        </w:tabs>
        <w:rPr>
          <w:rFonts w:asciiTheme="minorHAnsi" w:eastAsiaTheme="minorEastAsia" w:hAnsiTheme="minorHAnsi" w:cstheme="minorBidi"/>
          <w:b w:val="0"/>
          <w:noProof/>
          <w:sz w:val="22"/>
          <w:lang w:eastAsia="en-AU"/>
        </w:rPr>
      </w:pPr>
      <w:hyperlink w:anchor="_Toc438116078" w:history="1">
        <w:r w:rsidRPr="000329B7">
          <w:rPr>
            <w:rStyle w:val="Hyperlink"/>
            <w:noProof/>
          </w:rPr>
          <w:t>6.</w:t>
        </w:r>
        <w:r>
          <w:rPr>
            <w:rFonts w:asciiTheme="minorHAnsi" w:eastAsiaTheme="minorEastAsia" w:hAnsiTheme="minorHAnsi" w:cstheme="minorBidi"/>
            <w:b w:val="0"/>
            <w:noProof/>
            <w:sz w:val="22"/>
            <w:lang w:eastAsia="en-AU"/>
          </w:rPr>
          <w:tab/>
        </w:r>
        <w:r w:rsidRPr="000329B7">
          <w:rPr>
            <w:rStyle w:val="Hyperlink"/>
            <w:noProof/>
          </w:rPr>
          <w:t>Dosage selection for the pivotal studies</w:t>
        </w:r>
        <w:r>
          <w:rPr>
            <w:noProof/>
            <w:webHidden/>
          </w:rPr>
          <w:tab/>
        </w:r>
        <w:r>
          <w:rPr>
            <w:noProof/>
            <w:webHidden/>
          </w:rPr>
          <w:fldChar w:fldCharType="begin"/>
        </w:r>
        <w:r>
          <w:rPr>
            <w:noProof/>
            <w:webHidden/>
          </w:rPr>
          <w:instrText xml:space="preserve"> PAGEREF _Toc438116078 \h </w:instrText>
        </w:r>
        <w:r>
          <w:rPr>
            <w:noProof/>
            <w:webHidden/>
          </w:rPr>
        </w:r>
        <w:r>
          <w:rPr>
            <w:noProof/>
            <w:webHidden/>
          </w:rPr>
          <w:fldChar w:fldCharType="separate"/>
        </w:r>
        <w:r>
          <w:rPr>
            <w:noProof/>
            <w:webHidden/>
          </w:rPr>
          <w:t>16</w:t>
        </w:r>
        <w:r>
          <w:rPr>
            <w:noProof/>
            <w:webHidden/>
          </w:rPr>
          <w:fldChar w:fldCharType="end"/>
        </w:r>
      </w:hyperlink>
    </w:p>
    <w:p w:rsidR="00492677" w:rsidRDefault="00492677">
      <w:pPr>
        <w:pStyle w:val="TOC3"/>
        <w:tabs>
          <w:tab w:val="left" w:pos="1575"/>
        </w:tabs>
        <w:rPr>
          <w:rFonts w:asciiTheme="minorHAnsi" w:eastAsiaTheme="minorEastAsia" w:hAnsiTheme="minorHAnsi" w:cstheme="minorBidi"/>
          <w:noProof/>
          <w:lang w:eastAsia="en-AU"/>
        </w:rPr>
      </w:pPr>
      <w:hyperlink w:anchor="_Toc438116079" w:history="1">
        <w:r w:rsidRPr="000329B7">
          <w:rPr>
            <w:rStyle w:val="Hyperlink"/>
            <w:noProof/>
          </w:rPr>
          <w:t>6.1.</w:t>
        </w:r>
        <w:r>
          <w:rPr>
            <w:rFonts w:asciiTheme="minorHAnsi" w:eastAsiaTheme="minorEastAsia" w:hAnsiTheme="minorHAnsi" w:cstheme="minorBidi"/>
            <w:noProof/>
            <w:lang w:eastAsia="en-AU"/>
          </w:rPr>
          <w:tab/>
        </w:r>
        <w:r w:rsidRPr="000329B7">
          <w:rPr>
            <w:rStyle w:val="Hyperlink"/>
            <w:noProof/>
          </w:rPr>
          <w:t>Introduction</w:t>
        </w:r>
        <w:r>
          <w:rPr>
            <w:noProof/>
            <w:webHidden/>
          </w:rPr>
          <w:tab/>
        </w:r>
        <w:r>
          <w:rPr>
            <w:noProof/>
            <w:webHidden/>
          </w:rPr>
          <w:fldChar w:fldCharType="begin"/>
        </w:r>
        <w:r>
          <w:rPr>
            <w:noProof/>
            <w:webHidden/>
          </w:rPr>
          <w:instrText xml:space="preserve"> PAGEREF _Toc438116079 \h </w:instrText>
        </w:r>
        <w:r>
          <w:rPr>
            <w:noProof/>
            <w:webHidden/>
          </w:rPr>
        </w:r>
        <w:r>
          <w:rPr>
            <w:noProof/>
            <w:webHidden/>
          </w:rPr>
          <w:fldChar w:fldCharType="separate"/>
        </w:r>
        <w:r>
          <w:rPr>
            <w:noProof/>
            <w:webHidden/>
          </w:rPr>
          <w:t>16</w:t>
        </w:r>
        <w:r>
          <w:rPr>
            <w:noProof/>
            <w:webHidden/>
          </w:rPr>
          <w:fldChar w:fldCharType="end"/>
        </w:r>
      </w:hyperlink>
    </w:p>
    <w:p w:rsidR="00492677" w:rsidRDefault="00492677">
      <w:pPr>
        <w:pStyle w:val="TOC3"/>
        <w:tabs>
          <w:tab w:val="left" w:pos="1575"/>
        </w:tabs>
        <w:rPr>
          <w:rFonts w:asciiTheme="minorHAnsi" w:eastAsiaTheme="minorEastAsia" w:hAnsiTheme="minorHAnsi" w:cstheme="minorBidi"/>
          <w:noProof/>
          <w:lang w:eastAsia="en-AU"/>
        </w:rPr>
      </w:pPr>
      <w:hyperlink w:anchor="_Toc438116080" w:history="1">
        <w:r w:rsidRPr="000329B7">
          <w:rPr>
            <w:rStyle w:val="Hyperlink"/>
            <w:noProof/>
          </w:rPr>
          <w:t>6.2.</w:t>
        </w:r>
        <w:r>
          <w:rPr>
            <w:rFonts w:asciiTheme="minorHAnsi" w:eastAsiaTheme="minorEastAsia" w:hAnsiTheme="minorHAnsi" w:cstheme="minorBidi"/>
            <w:noProof/>
            <w:lang w:eastAsia="en-AU"/>
          </w:rPr>
          <w:tab/>
        </w:r>
        <w:r w:rsidRPr="000329B7">
          <w:rPr>
            <w:rStyle w:val="Hyperlink"/>
            <w:noProof/>
          </w:rPr>
          <w:t>Study AI447016</w:t>
        </w:r>
        <w:r>
          <w:rPr>
            <w:noProof/>
            <w:webHidden/>
          </w:rPr>
          <w:tab/>
        </w:r>
        <w:r>
          <w:rPr>
            <w:noProof/>
            <w:webHidden/>
          </w:rPr>
          <w:fldChar w:fldCharType="begin"/>
        </w:r>
        <w:r>
          <w:rPr>
            <w:noProof/>
            <w:webHidden/>
          </w:rPr>
          <w:instrText xml:space="preserve"> PAGEREF _Toc438116080 \h </w:instrText>
        </w:r>
        <w:r>
          <w:rPr>
            <w:noProof/>
            <w:webHidden/>
          </w:rPr>
        </w:r>
        <w:r>
          <w:rPr>
            <w:noProof/>
            <w:webHidden/>
          </w:rPr>
          <w:fldChar w:fldCharType="separate"/>
        </w:r>
        <w:r>
          <w:rPr>
            <w:noProof/>
            <w:webHidden/>
          </w:rPr>
          <w:t>17</w:t>
        </w:r>
        <w:r>
          <w:rPr>
            <w:noProof/>
            <w:webHidden/>
          </w:rPr>
          <w:fldChar w:fldCharType="end"/>
        </w:r>
      </w:hyperlink>
    </w:p>
    <w:p w:rsidR="00492677" w:rsidRDefault="00492677">
      <w:pPr>
        <w:pStyle w:val="TOC3"/>
        <w:tabs>
          <w:tab w:val="left" w:pos="1575"/>
        </w:tabs>
        <w:rPr>
          <w:rFonts w:asciiTheme="minorHAnsi" w:eastAsiaTheme="minorEastAsia" w:hAnsiTheme="minorHAnsi" w:cstheme="minorBidi"/>
          <w:noProof/>
          <w:lang w:eastAsia="en-AU"/>
        </w:rPr>
      </w:pPr>
      <w:hyperlink w:anchor="_Toc438116081" w:history="1">
        <w:r w:rsidRPr="000329B7">
          <w:rPr>
            <w:rStyle w:val="Hyperlink"/>
            <w:noProof/>
          </w:rPr>
          <w:t>6.3.</w:t>
        </w:r>
        <w:r>
          <w:rPr>
            <w:rFonts w:asciiTheme="minorHAnsi" w:eastAsiaTheme="minorEastAsia" w:hAnsiTheme="minorHAnsi" w:cstheme="minorBidi"/>
            <w:noProof/>
            <w:lang w:eastAsia="en-AU"/>
          </w:rPr>
          <w:tab/>
        </w:r>
        <w:r w:rsidRPr="000329B7">
          <w:rPr>
            <w:rStyle w:val="Hyperlink"/>
            <w:noProof/>
          </w:rPr>
          <w:t>Discussion: Dosage selection for the pivotal studies</w:t>
        </w:r>
        <w:r>
          <w:rPr>
            <w:noProof/>
            <w:webHidden/>
          </w:rPr>
          <w:tab/>
        </w:r>
        <w:r>
          <w:rPr>
            <w:noProof/>
            <w:webHidden/>
          </w:rPr>
          <w:fldChar w:fldCharType="begin"/>
        </w:r>
        <w:r>
          <w:rPr>
            <w:noProof/>
            <w:webHidden/>
          </w:rPr>
          <w:instrText xml:space="preserve"> PAGEREF _Toc438116081 \h </w:instrText>
        </w:r>
        <w:r>
          <w:rPr>
            <w:noProof/>
            <w:webHidden/>
          </w:rPr>
        </w:r>
        <w:r>
          <w:rPr>
            <w:noProof/>
            <w:webHidden/>
          </w:rPr>
          <w:fldChar w:fldCharType="separate"/>
        </w:r>
        <w:r>
          <w:rPr>
            <w:noProof/>
            <w:webHidden/>
          </w:rPr>
          <w:t>40</w:t>
        </w:r>
        <w:r>
          <w:rPr>
            <w:noProof/>
            <w:webHidden/>
          </w:rPr>
          <w:fldChar w:fldCharType="end"/>
        </w:r>
      </w:hyperlink>
    </w:p>
    <w:p w:rsidR="00492677" w:rsidRDefault="00492677">
      <w:pPr>
        <w:pStyle w:val="TOC2"/>
        <w:tabs>
          <w:tab w:val="left" w:pos="1247"/>
        </w:tabs>
        <w:rPr>
          <w:rFonts w:asciiTheme="minorHAnsi" w:eastAsiaTheme="minorEastAsia" w:hAnsiTheme="minorHAnsi" w:cstheme="minorBidi"/>
          <w:b w:val="0"/>
          <w:noProof/>
          <w:sz w:val="22"/>
          <w:lang w:eastAsia="en-AU"/>
        </w:rPr>
      </w:pPr>
      <w:hyperlink w:anchor="_Toc438116082" w:history="1">
        <w:r w:rsidRPr="000329B7">
          <w:rPr>
            <w:rStyle w:val="Hyperlink"/>
            <w:noProof/>
          </w:rPr>
          <w:t>7.</w:t>
        </w:r>
        <w:r>
          <w:rPr>
            <w:rFonts w:asciiTheme="minorHAnsi" w:eastAsiaTheme="minorEastAsia" w:hAnsiTheme="minorHAnsi" w:cstheme="minorBidi"/>
            <w:b w:val="0"/>
            <w:noProof/>
            <w:sz w:val="22"/>
            <w:lang w:eastAsia="en-AU"/>
          </w:rPr>
          <w:tab/>
        </w:r>
        <w:r w:rsidRPr="000329B7">
          <w:rPr>
            <w:rStyle w:val="Hyperlink"/>
            <w:noProof/>
          </w:rPr>
          <w:t>Clinical efficacy</w:t>
        </w:r>
        <w:r>
          <w:rPr>
            <w:noProof/>
            <w:webHidden/>
          </w:rPr>
          <w:tab/>
        </w:r>
        <w:r>
          <w:rPr>
            <w:noProof/>
            <w:webHidden/>
          </w:rPr>
          <w:fldChar w:fldCharType="begin"/>
        </w:r>
        <w:r>
          <w:rPr>
            <w:noProof/>
            <w:webHidden/>
          </w:rPr>
          <w:instrText xml:space="preserve"> PAGEREF _Toc438116082 \h </w:instrText>
        </w:r>
        <w:r>
          <w:rPr>
            <w:noProof/>
            <w:webHidden/>
          </w:rPr>
        </w:r>
        <w:r>
          <w:rPr>
            <w:noProof/>
            <w:webHidden/>
          </w:rPr>
          <w:fldChar w:fldCharType="separate"/>
        </w:r>
        <w:r>
          <w:rPr>
            <w:noProof/>
            <w:webHidden/>
          </w:rPr>
          <w:t>41</w:t>
        </w:r>
        <w:r>
          <w:rPr>
            <w:noProof/>
            <w:webHidden/>
          </w:rPr>
          <w:fldChar w:fldCharType="end"/>
        </w:r>
      </w:hyperlink>
    </w:p>
    <w:p w:rsidR="00492677" w:rsidRDefault="00492677">
      <w:pPr>
        <w:pStyle w:val="TOC3"/>
        <w:tabs>
          <w:tab w:val="left" w:pos="1575"/>
        </w:tabs>
        <w:rPr>
          <w:rFonts w:asciiTheme="minorHAnsi" w:eastAsiaTheme="minorEastAsia" w:hAnsiTheme="minorHAnsi" w:cstheme="minorBidi"/>
          <w:noProof/>
          <w:lang w:eastAsia="en-AU"/>
        </w:rPr>
      </w:pPr>
      <w:hyperlink w:anchor="_Toc438116083" w:history="1">
        <w:r w:rsidRPr="000329B7">
          <w:rPr>
            <w:rStyle w:val="Hyperlink"/>
            <w:noProof/>
          </w:rPr>
          <w:t>7.1.</w:t>
        </w:r>
        <w:r>
          <w:rPr>
            <w:rFonts w:asciiTheme="minorHAnsi" w:eastAsiaTheme="minorEastAsia" w:hAnsiTheme="minorHAnsi" w:cstheme="minorBidi"/>
            <w:noProof/>
            <w:lang w:eastAsia="en-AU"/>
          </w:rPr>
          <w:tab/>
        </w:r>
        <w:r w:rsidRPr="000329B7">
          <w:rPr>
            <w:rStyle w:val="Hyperlink"/>
            <w:noProof/>
          </w:rPr>
          <w:t>Treatment of HCV – ASV combined with DCV</w:t>
        </w:r>
        <w:r>
          <w:rPr>
            <w:noProof/>
            <w:webHidden/>
          </w:rPr>
          <w:tab/>
        </w:r>
        <w:r>
          <w:rPr>
            <w:noProof/>
            <w:webHidden/>
          </w:rPr>
          <w:fldChar w:fldCharType="begin"/>
        </w:r>
        <w:r>
          <w:rPr>
            <w:noProof/>
            <w:webHidden/>
          </w:rPr>
          <w:instrText xml:space="preserve"> PAGEREF _Toc438116083 \h </w:instrText>
        </w:r>
        <w:r>
          <w:rPr>
            <w:noProof/>
            <w:webHidden/>
          </w:rPr>
        </w:r>
        <w:r>
          <w:rPr>
            <w:noProof/>
            <w:webHidden/>
          </w:rPr>
          <w:fldChar w:fldCharType="separate"/>
        </w:r>
        <w:r>
          <w:rPr>
            <w:noProof/>
            <w:webHidden/>
          </w:rPr>
          <w:t>41</w:t>
        </w:r>
        <w:r>
          <w:rPr>
            <w:noProof/>
            <w:webHidden/>
          </w:rPr>
          <w:fldChar w:fldCharType="end"/>
        </w:r>
      </w:hyperlink>
    </w:p>
    <w:p w:rsidR="00492677" w:rsidRDefault="00492677">
      <w:pPr>
        <w:pStyle w:val="TOC3"/>
        <w:tabs>
          <w:tab w:val="left" w:pos="1575"/>
        </w:tabs>
        <w:rPr>
          <w:rFonts w:asciiTheme="minorHAnsi" w:eastAsiaTheme="minorEastAsia" w:hAnsiTheme="minorHAnsi" w:cstheme="minorBidi"/>
          <w:noProof/>
          <w:lang w:eastAsia="en-AU"/>
        </w:rPr>
      </w:pPr>
      <w:hyperlink w:anchor="_Toc438116084" w:history="1">
        <w:r w:rsidRPr="000329B7">
          <w:rPr>
            <w:rStyle w:val="Hyperlink"/>
            <w:noProof/>
          </w:rPr>
          <w:t>7.2.</w:t>
        </w:r>
        <w:r>
          <w:rPr>
            <w:rFonts w:asciiTheme="minorHAnsi" w:eastAsiaTheme="minorEastAsia" w:hAnsiTheme="minorHAnsi" w:cstheme="minorBidi"/>
            <w:noProof/>
            <w:lang w:eastAsia="en-AU"/>
          </w:rPr>
          <w:tab/>
        </w:r>
        <w:r w:rsidRPr="000329B7">
          <w:rPr>
            <w:rStyle w:val="Hyperlink"/>
            <w:noProof/>
          </w:rPr>
          <w:t>Treatment of HCV: ASV+DCV+pegIFNα/RBV: QUAD regimen</w:t>
        </w:r>
        <w:r>
          <w:rPr>
            <w:noProof/>
            <w:webHidden/>
          </w:rPr>
          <w:tab/>
        </w:r>
        <w:r>
          <w:rPr>
            <w:noProof/>
            <w:webHidden/>
          </w:rPr>
          <w:fldChar w:fldCharType="begin"/>
        </w:r>
        <w:r>
          <w:rPr>
            <w:noProof/>
            <w:webHidden/>
          </w:rPr>
          <w:instrText xml:space="preserve"> PAGEREF _Toc438116084 \h </w:instrText>
        </w:r>
        <w:r>
          <w:rPr>
            <w:noProof/>
            <w:webHidden/>
          </w:rPr>
        </w:r>
        <w:r>
          <w:rPr>
            <w:noProof/>
            <w:webHidden/>
          </w:rPr>
          <w:fldChar w:fldCharType="separate"/>
        </w:r>
        <w:r>
          <w:rPr>
            <w:noProof/>
            <w:webHidden/>
          </w:rPr>
          <w:t>43</w:t>
        </w:r>
        <w:r>
          <w:rPr>
            <w:noProof/>
            <w:webHidden/>
          </w:rPr>
          <w:fldChar w:fldCharType="end"/>
        </w:r>
      </w:hyperlink>
    </w:p>
    <w:p w:rsidR="00492677" w:rsidRDefault="00492677">
      <w:pPr>
        <w:pStyle w:val="TOC3"/>
        <w:tabs>
          <w:tab w:val="left" w:pos="1575"/>
        </w:tabs>
        <w:rPr>
          <w:rFonts w:asciiTheme="minorHAnsi" w:eastAsiaTheme="minorEastAsia" w:hAnsiTheme="minorHAnsi" w:cstheme="minorBidi"/>
          <w:noProof/>
          <w:lang w:eastAsia="en-AU"/>
        </w:rPr>
      </w:pPr>
      <w:hyperlink w:anchor="_Toc438116085" w:history="1">
        <w:r w:rsidRPr="000329B7">
          <w:rPr>
            <w:rStyle w:val="Hyperlink"/>
            <w:noProof/>
          </w:rPr>
          <w:t>7.3.</w:t>
        </w:r>
        <w:r>
          <w:rPr>
            <w:rFonts w:asciiTheme="minorHAnsi" w:eastAsiaTheme="minorEastAsia" w:hAnsiTheme="minorHAnsi" w:cstheme="minorBidi"/>
            <w:noProof/>
            <w:lang w:eastAsia="en-AU"/>
          </w:rPr>
          <w:tab/>
        </w:r>
        <w:r w:rsidRPr="000329B7">
          <w:rPr>
            <w:rStyle w:val="Hyperlink"/>
            <w:noProof/>
          </w:rPr>
          <w:t>Analyses performed across trials (pooled analyses and meta-analyses)</w:t>
        </w:r>
        <w:r>
          <w:rPr>
            <w:noProof/>
            <w:webHidden/>
          </w:rPr>
          <w:tab/>
        </w:r>
        <w:r>
          <w:rPr>
            <w:noProof/>
            <w:webHidden/>
          </w:rPr>
          <w:fldChar w:fldCharType="begin"/>
        </w:r>
        <w:r>
          <w:rPr>
            <w:noProof/>
            <w:webHidden/>
          </w:rPr>
          <w:instrText xml:space="preserve"> PAGEREF _Toc438116085 \h </w:instrText>
        </w:r>
        <w:r>
          <w:rPr>
            <w:noProof/>
            <w:webHidden/>
          </w:rPr>
        </w:r>
        <w:r>
          <w:rPr>
            <w:noProof/>
            <w:webHidden/>
          </w:rPr>
          <w:fldChar w:fldCharType="separate"/>
        </w:r>
        <w:r>
          <w:rPr>
            <w:noProof/>
            <w:webHidden/>
          </w:rPr>
          <w:t>44</w:t>
        </w:r>
        <w:r>
          <w:rPr>
            <w:noProof/>
            <w:webHidden/>
          </w:rPr>
          <w:fldChar w:fldCharType="end"/>
        </w:r>
      </w:hyperlink>
    </w:p>
    <w:p w:rsidR="00492677" w:rsidRDefault="00492677">
      <w:pPr>
        <w:pStyle w:val="TOC3"/>
        <w:tabs>
          <w:tab w:val="left" w:pos="1575"/>
        </w:tabs>
        <w:rPr>
          <w:rFonts w:asciiTheme="minorHAnsi" w:eastAsiaTheme="minorEastAsia" w:hAnsiTheme="minorHAnsi" w:cstheme="minorBidi"/>
          <w:noProof/>
          <w:lang w:eastAsia="en-AU"/>
        </w:rPr>
      </w:pPr>
      <w:hyperlink w:anchor="_Toc438116086" w:history="1">
        <w:r w:rsidRPr="000329B7">
          <w:rPr>
            <w:rStyle w:val="Hyperlink"/>
            <w:noProof/>
          </w:rPr>
          <w:t>7.4.</w:t>
        </w:r>
        <w:r>
          <w:rPr>
            <w:rFonts w:asciiTheme="minorHAnsi" w:eastAsiaTheme="minorEastAsia" w:hAnsiTheme="minorHAnsi" w:cstheme="minorBidi"/>
            <w:noProof/>
            <w:lang w:eastAsia="en-AU"/>
          </w:rPr>
          <w:tab/>
        </w:r>
        <w:r w:rsidRPr="000329B7">
          <w:rPr>
            <w:rStyle w:val="Hyperlink"/>
            <w:noProof/>
          </w:rPr>
          <w:t>Evaluator’s conclusions on clinical efficacy for combination therapy with DCV</w:t>
        </w:r>
        <w:r>
          <w:rPr>
            <w:noProof/>
            <w:webHidden/>
          </w:rPr>
          <w:tab/>
        </w:r>
        <w:r>
          <w:rPr>
            <w:noProof/>
            <w:webHidden/>
          </w:rPr>
          <w:fldChar w:fldCharType="begin"/>
        </w:r>
        <w:r>
          <w:rPr>
            <w:noProof/>
            <w:webHidden/>
          </w:rPr>
          <w:instrText xml:space="preserve"> PAGEREF _Toc438116086 \h </w:instrText>
        </w:r>
        <w:r>
          <w:rPr>
            <w:noProof/>
            <w:webHidden/>
          </w:rPr>
        </w:r>
        <w:r>
          <w:rPr>
            <w:noProof/>
            <w:webHidden/>
          </w:rPr>
          <w:fldChar w:fldCharType="separate"/>
        </w:r>
        <w:r>
          <w:rPr>
            <w:noProof/>
            <w:webHidden/>
          </w:rPr>
          <w:t>44</w:t>
        </w:r>
        <w:r>
          <w:rPr>
            <w:noProof/>
            <w:webHidden/>
          </w:rPr>
          <w:fldChar w:fldCharType="end"/>
        </w:r>
      </w:hyperlink>
    </w:p>
    <w:p w:rsidR="00492677" w:rsidRDefault="00492677">
      <w:pPr>
        <w:pStyle w:val="TOC2"/>
        <w:tabs>
          <w:tab w:val="left" w:pos="1247"/>
        </w:tabs>
        <w:rPr>
          <w:rFonts w:asciiTheme="minorHAnsi" w:eastAsiaTheme="minorEastAsia" w:hAnsiTheme="minorHAnsi" w:cstheme="minorBidi"/>
          <w:b w:val="0"/>
          <w:noProof/>
          <w:sz w:val="22"/>
          <w:lang w:eastAsia="en-AU"/>
        </w:rPr>
      </w:pPr>
      <w:hyperlink w:anchor="_Toc438116087" w:history="1">
        <w:r w:rsidRPr="000329B7">
          <w:rPr>
            <w:rStyle w:val="Hyperlink"/>
            <w:noProof/>
          </w:rPr>
          <w:t>8.</w:t>
        </w:r>
        <w:r>
          <w:rPr>
            <w:rFonts w:asciiTheme="minorHAnsi" w:eastAsiaTheme="minorEastAsia" w:hAnsiTheme="minorHAnsi" w:cstheme="minorBidi"/>
            <w:b w:val="0"/>
            <w:noProof/>
            <w:sz w:val="22"/>
            <w:lang w:eastAsia="en-AU"/>
          </w:rPr>
          <w:tab/>
        </w:r>
        <w:r w:rsidRPr="000329B7">
          <w:rPr>
            <w:rStyle w:val="Hyperlink"/>
            <w:noProof/>
          </w:rPr>
          <w:t>Clinical safety</w:t>
        </w:r>
        <w:r>
          <w:rPr>
            <w:noProof/>
            <w:webHidden/>
          </w:rPr>
          <w:tab/>
        </w:r>
        <w:r>
          <w:rPr>
            <w:noProof/>
            <w:webHidden/>
          </w:rPr>
          <w:fldChar w:fldCharType="begin"/>
        </w:r>
        <w:r>
          <w:rPr>
            <w:noProof/>
            <w:webHidden/>
          </w:rPr>
          <w:instrText xml:space="preserve"> PAGEREF _Toc438116087 \h </w:instrText>
        </w:r>
        <w:r>
          <w:rPr>
            <w:noProof/>
            <w:webHidden/>
          </w:rPr>
        </w:r>
        <w:r>
          <w:rPr>
            <w:noProof/>
            <w:webHidden/>
          </w:rPr>
          <w:fldChar w:fldCharType="separate"/>
        </w:r>
        <w:r>
          <w:rPr>
            <w:noProof/>
            <w:webHidden/>
          </w:rPr>
          <w:t>45</w:t>
        </w:r>
        <w:r>
          <w:rPr>
            <w:noProof/>
            <w:webHidden/>
          </w:rPr>
          <w:fldChar w:fldCharType="end"/>
        </w:r>
      </w:hyperlink>
    </w:p>
    <w:p w:rsidR="00492677" w:rsidRDefault="00492677">
      <w:pPr>
        <w:pStyle w:val="TOC3"/>
        <w:tabs>
          <w:tab w:val="left" w:pos="1575"/>
        </w:tabs>
        <w:rPr>
          <w:rFonts w:asciiTheme="minorHAnsi" w:eastAsiaTheme="minorEastAsia" w:hAnsiTheme="minorHAnsi" w:cstheme="minorBidi"/>
          <w:noProof/>
          <w:lang w:eastAsia="en-AU"/>
        </w:rPr>
      </w:pPr>
      <w:hyperlink w:anchor="_Toc438116088" w:history="1">
        <w:r w:rsidRPr="000329B7">
          <w:rPr>
            <w:rStyle w:val="Hyperlink"/>
            <w:noProof/>
          </w:rPr>
          <w:t>8.1.</w:t>
        </w:r>
        <w:r>
          <w:rPr>
            <w:rFonts w:asciiTheme="minorHAnsi" w:eastAsiaTheme="minorEastAsia" w:hAnsiTheme="minorHAnsi" w:cstheme="minorBidi"/>
            <w:noProof/>
            <w:lang w:eastAsia="en-AU"/>
          </w:rPr>
          <w:tab/>
        </w:r>
        <w:r w:rsidRPr="000329B7">
          <w:rPr>
            <w:rStyle w:val="Hyperlink"/>
            <w:noProof/>
          </w:rPr>
          <w:t>Studies providing evaluable safety data</w:t>
        </w:r>
        <w:r>
          <w:rPr>
            <w:noProof/>
            <w:webHidden/>
          </w:rPr>
          <w:tab/>
        </w:r>
        <w:r>
          <w:rPr>
            <w:noProof/>
            <w:webHidden/>
          </w:rPr>
          <w:fldChar w:fldCharType="begin"/>
        </w:r>
        <w:r>
          <w:rPr>
            <w:noProof/>
            <w:webHidden/>
          </w:rPr>
          <w:instrText xml:space="preserve"> PAGEREF _Toc438116088 \h </w:instrText>
        </w:r>
        <w:r>
          <w:rPr>
            <w:noProof/>
            <w:webHidden/>
          </w:rPr>
        </w:r>
        <w:r>
          <w:rPr>
            <w:noProof/>
            <w:webHidden/>
          </w:rPr>
          <w:fldChar w:fldCharType="separate"/>
        </w:r>
        <w:r>
          <w:rPr>
            <w:noProof/>
            <w:webHidden/>
          </w:rPr>
          <w:t>45</w:t>
        </w:r>
        <w:r>
          <w:rPr>
            <w:noProof/>
            <w:webHidden/>
          </w:rPr>
          <w:fldChar w:fldCharType="end"/>
        </w:r>
      </w:hyperlink>
    </w:p>
    <w:p w:rsidR="00492677" w:rsidRDefault="00492677">
      <w:pPr>
        <w:pStyle w:val="TOC3"/>
        <w:tabs>
          <w:tab w:val="left" w:pos="1575"/>
        </w:tabs>
        <w:rPr>
          <w:rFonts w:asciiTheme="minorHAnsi" w:eastAsiaTheme="minorEastAsia" w:hAnsiTheme="minorHAnsi" w:cstheme="minorBidi"/>
          <w:noProof/>
          <w:lang w:eastAsia="en-AU"/>
        </w:rPr>
      </w:pPr>
      <w:hyperlink w:anchor="_Toc438116089" w:history="1">
        <w:r w:rsidRPr="000329B7">
          <w:rPr>
            <w:rStyle w:val="Hyperlink"/>
            <w:noProof/>
          </w:rPr>
          <w:t>8.2.</w:t>
        </w:r>
        <w:r>
          <w:rPr>
            <w:rFonts w:asciiTheme="minorHAnsi" w:eastAsiaTheme="minorEastAsia" w:hAnsiTheme="minorHAnsi" w:cstheme="minorBidi"/>
            <w:noProof/>
            <w:lang w:eastAsia="en-AU"/>
          </w:rPr>
          <w:tab/>
        </w:r>
        <w:r w:rsidRPr="000329B7">
          <w:rPr>
            <w:rStyle w:val="Hyperlink"/>
            <w:noProof/>
          </w:rPr>
          <w:t>Pivotal study that assessed safety as a primary outcome</w:t>
        </w:r>
        <w:r>
          <w:rPr>
            <w:noProof/>
            <w:webHidden/>
          </w:rPr>
          <w:tab/>
        </w:r>
        <w:r>
          <w:rPr>
            <w:noProof/>
            <w:webHidden/>
          </w:rPr>
          <w:fldChar w:fldCharType="begin"/>
        </w:r>
        <w:r>
          <w:rPr>
            <w:noProof/>
            <w:webHidden/>
          </w:rPr>
          <w:instrText xml:space="preserve"> PAGEREF _Toc438116089 \h </w:instrText>
        </w:r>
        <w:r>
          <w:rPr>
            <w:noProof/>
            <w:webHidden/>
          </w:rPr>
        </w:r>
        <w:r>
          <w:rPr>
            <w:noProof/>
            <w:webHidden/>
          </w:rPr>
          <w:fldChar w:fldCharType="separate"/>
        </w:r>
        <w:r>
          <w:rPr>
            <w:noProof/>
            <w:webHidden/>
          </w:rPr>
          <w:t>46</w:t>
        </w:r>
        <w:r>
          <w:rPr>
            <w:noProof/>
            <w:webHidden/>
          </w:rPr>
          <w:fldChar w:fldCharType="end"/>
        </w:r>
      </w:hyperlink>
    </w:p>
    <w:p w:rsidR="00492677" w:rsidRDefault="00492677">
      <w:pPr>
        <w:pStyle w:val="TOC3"/>
        <w:tabs>
          <w:tab w:val="left" w:pos="1575"/>
        </w:tabs>
        <w:rPr>
          <w:rFonts w:asciiTheme="minorHAnsi" w:eastAsiaTheme="minorEastAsia" w:hAnsiTheme="minorHAnsi" w:cstheme="minorBidi"/>
          <w:noProof/>
          <w:lang w:eastAsia="en-AU"/>
        </w:rPr>
      </w:pPr>
      <w:hyperlink w:anchor="_Toc438116090" w:history="1">
        <w:r w:rsidRPr="000329B7">
          <w:rPr>
            <w:rStyle w:val="Hyperlink"/>
            <w:noProof/>
          </w:rPr>
          <w:t>8.3.</w:t>
        </w:r>
        <w:r>
          <w:rPr>
            <w:rFonts w:asciiTheme="minorHAnsi" w:eastAsiaTheme="minorEastAsia" w:hAnsiTheme="minorHAnsi" w:cstheme="minorBidi"/>
            <w:noProof/>
            <w:lang w:eastAsia="en-AU"/>
          </w:rPr>
          <w:tab/>
        </w:r>
        <w:r w:rsidRPr="000329B7">
          <w:rPr>
            <w:rStyle w:val="Hyperlink"/>
            <w:noProof/>
          </w:rPr>
          <w:t>Patient exposure</w:t>
        </w:r>
        <w:r>
          <w:rPr>
            <w:noProof/>
            <w:webHidden/>
          </w:rPr>
          <w:tab/>
        </w:r>
        <w:r>
          <w:rPr>
            <w:noProof/>
            <w:webHidden/>
          </w:rPr>
          <w:fldChar w:fldCharType="begin"/>
        </w:r>
        <w:r>
          <w:rPr>
            <w:noProof/>
            <w:webHidden/>
          </w:rPr>
          <w:instrText xml:space="preserve"> PAGEREF _Toc438116090 \h </w:instrText>
        </w:r>
        <w:r>
          <w:rPr>
            <w:noProof/>
            <w:webHidden/>
          </w:rPr>
        </w:r>
        <w:r>
          <w:rPr>
            <w:noProof/>
            <w:webHidden/>
          </w:rPr>
          <w:fldChar w:fldCharType="separate"/>
        </w:r>
        <w:r>
          <w:rPr>
            <w:noProof/>
            <w:webHidden/>
          </w:rPr>
          <w:t>46</w:t>
        </w:r>
        <w:r>
          <w:rPr>
            <w:noProof/>
            <w:webHidden/>
          </w:rPr>
          <w:fldChar w:fldCharType="end"/>
        </w:r>
      </w:hyperlink>
    </w:p>
    <w:p w:rsidR="00492677" w:rsidRDefault="00492677">
      <w:pPr>
        <w:pStyle w:val="TOC3"/>
        <w:tabs>
          <w:tab w:val="left" w:pos="1575"/>
        </w:tabs>
        <w:rPr>
          <w:rFonts w:asciiTheme="minorHAnsi" w:eastAsiaTheme="minorEastAsia" w:hAnsiTheme="minorHAnsi" w:cstheme="minorBidi"/>
          <w:noProof/>
          <w:lang w:eastAsia="en-AU"/>
        </w:rPr>
      </w:pPr>
      <w:hyperlink w:anchor="_Toc438116091" w:history="1">
        <w:r w:rsidRPr="000329B7">
          <w:rPr>
            <w:rStyle w:val="Hyperlink"/>
            <w:noProof/>
          </w:rPr>
          <w:t>8.4.</w:t>
        </w:r>
        <w:r>
          <w:rPr>
            <w:rFonts w:asciiTheme="minorHAnsi" w:eastAsiaTheme="minorEastAsia" w:hAnsiTheme="minorHAnsi" w:cstheme="minorBidi"/>
            <w:noProof/>
            <w:lang w:eastAsia="en-AU"/>
          </w:rPr>
          <w:tab/>
        </w:r>
        <w:r w:rsidRPr="000329B7">
          <w:rPr>
            <w:rStyle w:val="Hyperlink"/>
            <w:noProof/>
          </w:rPr>
          <w:t>Summary of safety by dosing regimen</w:t>
        </w:r>
        <w:r>
          <w:rPr>
            <w:noProof/>
            <w:webHidden/>
          </w:rPr>
          <w:tab/>
        </w:r>
        <w:r>
          <w:rPr>
            <w:noProof/>
            <w:webHidden/>
          </w:rPr>
          <w:fldChar w:fldCharType="begin"/>
        </w:r>
        <w:r>
          <w:rPr>
            <w:noProof/>
            <w:webHidden/>
          </w:rPr>
          <w:instrText xml:space="preserve"> PAGEREF _Toc438116091 \h </w:instrText>
        </w:r>
        <w:r>
          <w:rPr>
            <w:noProof/>
            <w:webHidden/>
          </w:rPr>
        </w:r>
        <w:r>
          <w:rPr>
            <w:noProof/>
            <w:webHidden/>
          </w:rPr>
          <w:fldChar w:fldCharType="separate"/>
        </w:r>
        <w:r>
          <w:rPr>
            <w:noProof/>
            <w:webHidden/>
          </w:rPr>
          <w:t>48</w:t>
        </w:r>
        <w:r>
          <w:rPr>
            <w:noProof/>
            <w:webHidden/>
          </w:rPr>
          <w:fldChar w:fldCharType="end"/>
        </w:r>
      </w:hyperlink>
    </w:p>
    <w:p w:rsidR="00492677" w:rsidRDefault="00492677">
      <w:pPr>
        <w:pStyle w:val="TOC3"/>
        <w:tabs>
          <w:tab w:val="left" w:pos="1575"/>
        </w:tabs>
        <w:rPr>
          <w:rFonts w:asciiTheme="minorHAnsi" w:eastAsiaTheme="minorEastAsia" w:hAnsiTheme="minorHAnsi" w:cstheme="minorBidi"/>
          <w:noProof/>
          <w:lang w:eastAsia="en-AU"/>
        </w:rPr>
      </w:pPr>
      <w:hyperlink w:anchor="_Toc438116092" w:history="1">
        <w:r w:rsidRPr="000329B7">
          <w:rPr>
            <w:rStyle w:val="Hyperlink"/>
            <w:noProof/>
          </w:rPr>
          <w:t>8.5.</w:t>
        </w:r>
        <w:r>
          <w:rPr>
            <w:rFonts w:asciiTheme="minorHAnsi" w:eastAsiaTheme="minorEastAsia" w:hAnsiTheme="minorHAnsi" w:cstheme="minorBidi"/>
            <w:noProof/>
            <w:lang w:eastAsia="en-AU"/>
          </w:rPr>
          <w:tab/>
        </w:r>
        <w:r w:rsidRPr="000329B7">
          <w:rPr>
            <w:rStyle w:val="Hyperlink"/>
            <w:noProof/>
          </w:rPr>
          <w:t>Post-marketing experience</w:t>
        </w:r>
        <w:r>
          <w:rPr>
            <w:noProof/>
            <w:webHidden/>
          </w:rPr>
          <w:tab/>
        </w:r>
        <w:r>
          <w:rPr>
            <w:noProof/>
            <w:webHidden/>
          </w:rPr>
          <w:fldChar w:fldCharType="begin"/>
        </w:r>
        <w:r>
          <w:rPr>
            <w:noProof/>
            <w:webHidden/>
          </w:rPr>
          <w:instrText xml:space="preserve"> PAGEREF _Toc438116092 \h </w:instrText>
        </w:r>
        <w:r>
          <w:rPr>
            <w:noProof/>
            <w:webHidden/>
          </w:rPr>
        </w:r>
        <w:r>
          <w:rPr>
            <w:noProof/>
            <w:webHidden/>
          </w:rPr>
          <w:fldChar w:fldCharType="separate"/>
        </w:r>
        <w:r>
          <w:rPr>
            <w:noProof/>
            <w:webHidden/>
          </w:rPr>
          <w:t>49</w:t>
        </w:r>
        <w:r>
          <w:rPr>
            <w:noProof/>
            <w:webHidden/>
          </w:rPr>
          <w:fldChar w:fldCharType="end"/>
        </w:r>
      </w:hyperlink>
    </w:p>
    <w:p w:rsidR="00492677" w:rsidRDefault="00492677">
      <w:pPr>
        <w:pStyle w:val="TOC3"/>
        <w:tabs>
          <w:tab w:val="left" w:pos="1575"/>
        </w:tabs>
        <w:rPr>
          <w:rFonts w:asciiTheme="minorHAnsi" w:eastAsiaTheme="minorEastAsia" w:hAnsiTheme="minorHAnsi" w:cstheme="minorBidi"/>
          <w:noProof/>
          <w:lang w:eastAsia="en-AU"/>
        </w:rPr>
      </w:pPr>
      <w:hyperlink w:anchor="_Toc438116093" w:history="1">
        <w:r w:rsidRPr="000329B7">
          <w:rPr>
            <w:rStyle w:val="Hyperlink"/>
            <w:noProof/>
          </w:rPr>
          <w:t>8.6.</w:t>
        </w:r>
        <w:r>
          <w:rPr>
            <w:rFonts w:asciiTheme="minorHAnsi" w:eastAsiaTheme="minorEastAsia" w:hAnsiTheme="minorHAnsi" w:cstheme="minorBidi"/>
            <w:noProof/>
            <w:lang w:eastAsia="en-AU"/>
          </w:rPr>
          <w:tab/>
        </w:r>
        <w:r w:rsidRPr="000329B7">
          <w:rPr>
            <w:rStyle w:val="Hyperlink"/>
            <w:noProof/>
          </w:rPr>
          <w:t>Safety issues with the potential for major regulatory impact</w:t>
        </w:r>
        <w:r>
          <w:rPr>
            <w:noProof/>
            <w:webHidden/>
          </w:rPr>
          <w:tab/>
        </w:r>
        <w:r>
          <w:rPr>
            <w:noProof/>
            <w:webHidden/>
          </w:rPr>
          <w:fldChar w:fldCharType="begin"/>
        </w:r>
        <w:r>
          <w:rPr>
            <w:noProof/>
            <w:webHidden/>
          </w:rPr>
          <w:instrText xml:space="preserve"> PAGEREF _Toc438116093 \h </w:instrText>
        </w:r>
        <w:r>
          <w:rPr>
            <w:noProof/>
            <w:webHidden/>
          </w:rPr>
        </w:r>
        <w:r>
          <w:rPr>
            <w:noProof/>
            <w:webHidden/>
          </w:rPr>
          <w:fldChar w:fldCharType="separate"/>
        </w:r>
        <w:r>
          <w:rPr>
            <w:noProof/>
            <w:webHidden/>
          </w:rPr>
          <w:t>49</w:t>
        </w:r>
        <w:r>
          <w:rPr>
            <w:noProof/>
            <w:webHidden/>
          </w:rPr>
          <w:fldChar w:fldCharType="end"/>
        </w:r>
      </w:hyperlink>
    </w:p>
    <w:p w:rsidR="00492677" w:rsidRDefault="00492677">
      <w:pPr>
        <w:pStyle w:val="TOC3"/>
        <w:tabs>
          <w:tab w:val="left" w:pos="1575"/>
        </w:tabs>
        <w:rPr>
          <w:rFonts w:asciiTheme="minorHAnsi" w:eastAsiaTheme="minorEastAsia" w:hAnsiTheme="minorHAnsi" w:cstheme="minorBidi"/>
          <w:noProof/>
          <w:lang w:eastAsia="en-AU"/>
        </w:rPr>
      </w:pPr>
      <w:hyperlink w:anchor="_Toc438116094" w:history="1">
        <w:r w:rsidRPr="000329B7">
          <w:rPr>
            <w:rStyle w:val="Hyperlink"/>
            <w:noProof/>
          </w:rPr>
          <w:t>8.7.</w:t>
        </w:r>
        <w:r>
          <w:rPr>
            <w:rFonts w:asciiTheme="minorHAnsi" w:eastAsiaTheme="minorEastAsia" w:hAnsiTheme="minorHAnsi" w:cstheme="minorBidi"/>
            <w:noProof/>
            <w:lang w:eastAsia="en-AU"/>
          </w:rPr>
          <w:tab/>
        </w:r>
        <w:r w:rsidRPr="000329B7">
          <w:rPr>
            <w:rStyle w:val="Hyperlink"/>
            <w:noProof/>
          </w:rPr>
          <w:t>Other safety issues</w:t>
        </w:r>
        <w:r>
          <w:rPr>
            <w:noProof/>
            <w:webHidden/>
          </w:rPr>
          <w:tab/>
        </w:r>
        <w:r>
          <w:rPr>
            <w:noProof/>
            <w:webHidden/>
          </w:rPr>
          <w:fldChar w:fldCharType="begin"/>
        </w:r>
        <w:r>
          <w:rPr>
            <w:noProof/>
            <w:webHidden/>
          </w:rPr>
          <w:instrText xml:space="preserve"> PAGEREF _Toc438116094 \h </w:instrText>
        </w:r>
        <w:r>
          <w:rPr>
            <w:noProof/>
            <w:webHidden/>
          </w:rPr>
        </w:r>
        <w:r>
          <w:rPr>
            <w:noProof/>
            <w:webHidden/>
          </w:rPr>
          <w:fldChar w:fldCharType="separate"/>
        </w:r>
        <w:r>
          <w:rPr>
            <w:noProof/>
            <w:webHidden/>
          </w:rPr>
          <w:t>50</w:t>
        </w:r>
        <w:r>
          <w:rPr>
            <w:noProof/>
            <w:webHidden/>
          </w:rPr>
          <w:fldChar w:fldCharType="end"/>
        </w:r>
      </w:hyperlink>
    </w:p>
    <w:p w:rsidR="00492677" w:rsidRDefault="00492677">
      <w:pPr>
        <w:pStyle w:val="TOC3"/>
        <w:tabs>
          <w:tab w:val="left" w:pos="1575"/>
        </w:tabs>
        <w:rPr>
          <w:rFonts w:asciiTheme="minorHAnsi" w:eastAsiaTheme="minorEastAsia" w:hAnsiTheme="minorHAnsi" w:cstheme="minorBidi"/>
          <w:noProof/>
          <w:lang w:eastAsia="en-AU"/>
        </w:rPr>
      </w:pPr>
      <w:hyperlink w:anchor="_Toc438116095" w:history="1">
        <w:r w:rsidRPr="000329B7">
          <w:rPr>
            <w:rStyle w:val="Hyperlink"/>
            <w:noProof/>
          </w:rPr>
          <w:t>8.8.</w:t>
        </w:r>
        <w:r>
          <w:rPr>
            <w:rFonts w:asciiTheme="minorHAnsi" w:eastAsiaTheme="minorEastAsia" w:hAnsiTheme="minorHAnsi" w:cstheme="minorBidi"/>
            <w:noProof/>
            <w:lang w:eastAsia="en-AU"/>
          </w:rPr>
          <w:tab/>
        </w:r>
        <w:r w:rsidRPr="000329B7">
          <w:rPr>
            <w:rStyle w:val="Hyperlink"/>
            <w:noProof/>
          </w:rPr>
          <w:t>Evaluator’s overall conclusions on clinical safety</w:t>
        </w:r>
        <w:r>
          <w:rPr>
            <w:noProof/>
            <w:webHidden/>
          </w:rPr>
          <w:tab/>
        </w:r>
        <w:r>
          <w:rPr>
            <w:noProof/>
            <w:webHidden/>
          </w:rPr>
          <w:fldChar w:fldCharType="begin"/>
        </w:r>
        <w:r>
          <w:rPr>
            <w:noProof/>
            <w:webHidden/>
          </w:rPr>
          <w:instrText xml:space="preserve"> PAGEREF _Toc438116095 \h </w:instrText>
        </w:r>
        <w:r>
          <w:rPr>
            <w:noProof/>
            <w:webHidden/>
          </w:rPr>
        </w:r>
        <w:r>
          <w:rPr>
            <w:noProof/>
            <w:webHidden/>
          </w:rPr>
          <w:fldChar w:fldCharType="separate"/>
        </w:r>
        <w:r>
          <w:rPr>
            <w:noProof/>
            <w:webHidden/>
          </w:rPr>
          <w:t>50</w:t>
        </w:r>
        <w:r>
          <w:rPr>
            <w:noProof/>
            <w:webHidden/>
          </w:rPr>
          <w:fldChar w:fldCharType="end"/>
        </w:r>
      </w:hyperlink>
    </w:p>
    <w:p w:rsidR="00492677" w:rsidRDefault="00492677">
      <w:pPr>
        <w:pStyle w:val="TOC2"/>
        <w:tabs>
          <w:tab w:val="left" w:pos="1247"/>
        </w:tabs>
        <w:rPr>
          <w:rFonts w:asciiTheme="minorHAnsi" w:eastAsiaTheme="minorEastAsia" w:hAnsiTheme="minorHAnsi" w:cstheme="minorBidi"/>
          <w:b w:val="0"/>
          <w:noProof/>
          <w:sz w:val="22"/>
          <w:lang w:eastAsia="en-AU"/>
        </w:rPr>
      </w:pPr>
      <w:hyperlink w:anchor="_Toc438116096" w:history="1">
        <w:r w:rsidRPr="000329B7">
          <w:rPr>
            <w:rStyle w:val="Hyperlink"/>
            <w:noProof/>
          </w:rPr>
          <w:t>9.</w:t>
        </w:r>
        <w:r>
          <w:rPr>
            <w:rFonts w:asciiTheme="minorHAnsi" w:eastAsiaTheme="minorEastAsia" w:hAnsiTheme="minorHAnsi" w:cstheme="minorBidi"/>
            <w:b w:val="0"/>
            <w:noProof/>
            <w:sz w:val="22"/>
            <w:lang w:eastAsia="en-AU"/>
          </w:rPr>
          <w:tab/>
        </w:r>
        <w:r w:rsidRPr="000329B7">
          <w:rPr>
            <w:rStyle w:val="Hyperlink"/>
            <w:noProof/>
          </w:rPr>
          <w:t>First round benefit-risk assessment</w:t>
        </w:r>
        <w:r>
          <w:rPr>
            <w:noProof/>
            <w:webHidden/>
          </w:rPr>
          <w:tab/>
        </w:r>
        <w:r>
          <w:rPr>
            <w:noProof/>
            <w:webHidden/>
          </w:rPr>
          <w:fldChar w:fldCharType="begin"/>
        </w:r>
        <w:r>
          <w:rPr>
            <w:noProof/>
            <w:webHidden/>
          </w:rPr>
          <w:instrText xml:space="preserve"> PAGEREF _Toc438116096 \h </w:instrText>
        </w:r>
        <w:r>
          <w:rPr>
            <w:noProof/>
            <w:webHidden/>
          </w:rPr>
        </w:r>
        <w:r>
          <w:rPr>
            <w:noProof/>
            <w:webHidden/>
          </w:rPr>
          <w:fldChar w:fldCharType="separate"/>
        </w:r>
        <w:r>
          <w:rPr>
            <w:noProof/>
            <w:webHidden/>
          </w:rPr>
          <w:t>50</w:t>
        </w:r>
        <w:r>
          <w:rPr>
            <w:noProof/>
            <w:webHidden/>
          </w:rPr>
          <w:fldChar w:fldCharType="end"/>
        </w:r>
      </w:hyperlink>
    </w:p>
    <w:p w:rsidR="00492677" w:rsidRDefault="00492677">
      <w:pPr>
        <w:pStyle w:val="TOC3"/>
        <w:tabs>
          <w:tab w:val="left" w:pos="1575"/>
        </w:tabs>
        <w:rPr>
          <w:rFonts w:asciiTheme="minorHAnsi" w:eastAsiaTheme="minorEastAsia" w:hAnsiTheme="minorHAnsi" w:cstheme="minorBidi"/>
          <w:noProof/>
          <w:lang w:eastAsia="en-AU"/>
        </w:rPr>
      </w:pPr>
      <w:hyperlink w:anchor="_Toc438116097" w:history="1">
        <w:r w:rsidRPr="000329B7">
          <w:rPr>
            <w:rStyle w:val="Hyperlink"/>
            <w:noProof/>
          </w:rPr>
          <w:t>9.1.</w:t>
        </w:r>
        <w:r>
          <w:rPr>
            <w:rFonts w:asciiTheme="minorHAnsi" w:eastAsiaTheme="minorEastAsia" w:hAnsiTheme="minorHAnsi" w:cstheme="minorBidi"/>
            <w:noProof/>
            <w:lang w:eastAsia="en-AU"/>
          </w:rPr>
          <w:tab/>
        </w:r>
        <w:r w:rsidRPr="000329B7">
          <w:rPr>
            <w:rStyle w:val="Hyperlink"/>
            <w:noProof/>
          </w:rPr>
          <w:t>First round assessment of benefits</w:t>
        </w:r>
        <w:r>
          <w:rPr>
            <w:noProof/>
            <w:webHidden/>
          </w:rPr>
          <w:tab/>
        </w:r>
        <w:r>
          <w:rPr>
            <w:noProof/>
            <w:webHidden/>
          </w:rPr>
          <w:fldChar w:fldCharType="begin"/>
        </w:r>
        <w:r>
          <w:rPr>
            <w:noProof/>
            <w:webHidden/>
          </w:rPr>
          <w:instrText xml:space="preserve"> PAGEREF _Toc438116097 \h </w:instrText>
        </w:r>
        <w:r>
          <w:rPr>
            <w:noProof/>
            <w:webHidden/>
          </w:rPr>
        </w:r>
        <w:r>
          <w:rPr>
            <w:noProof/>
            <w:webHidden/>
          </w:rPr>
          <w:fldChar w:fldCharType="separate"/>
        </w:r>
        <w:r>
          <w:rPr>
            <w:noProof/>
            <w:webHidden/>
          </w:rPr>
          <w:t>50</w:t>
        </w:r>
        <w:r>
          <w:rPr>
            <w:noProof/>
            <w:webHidden/>
          </w:rPr>
          <w:fldChar w:fldCharType="end"/>
        </w:r>
      </w:hyperlink>
    </w:p>
    <w:p w:rsidR="00492677" w:rsidRDefault="00492677">
      <w:pPr>
        <w:pStyle w:val="TOC3"/>
        <w:tabs>
          <w:tab w:val="left" w:pos="1575"/>
        </w:tabs>
        <w:rPr>
          <w:rFonts w:asciiTheme="minorHAnsi" w:eastAsiaTheme="minorEastAsia" w:hAnsiTheme="minorHAnsi" w:cstheme="minorBidi"/>
          <w:noProof/>
          <w:lang w:eastAsia="en-AU"/>
        </w:rPr>
      </w:pPr>
      <w:hyperlink w:anchor="_Toc438116098" w:history="1">
        <w:r w:rsidRPr="000329B7">
          <w:rPr>
            <w:rStyle w:val="Hyperlink"/>
            <w:noProof/>
          </w:rPr>
          <w:t>9.2.</w:t>
        </w:r>
        <w:r>
          <w:rPr>
            <w:rFonts w:asciiTheme="minorHAnsi" w:eastAsiaTheme="minorEastAsia" w:hAnsiTheme="minorHAnsi" w:cstheme="minorBidi"/>
            <w:noProof/>
            <w:lang w:eastAsia="en-AU"/>
          </w:rPr>
          <w:tab/>
        </w:r>
        <w:r w:rsidRPr="000329B7">
          <w:rPr>
            <w:rStyle w:val="Hyperlink"/>
            <w:noProof/>
          </w:rPr>
          <w:t>First round assessment of risks</w:t>
        </w:r>
        <w:r>
          <w:rPr>
            <w:noProof/>
            <w:webHidden/>
          </w:rPr>
          <w:tab/>
        </w:r>
        <w:r>
          <w:rPr>
            <w:noProof/>
            <w:webHidden/>
          </w:rPr>
          <w:fldChar w:fldCharType="begin"/>
        </w:r>
        <w:r>
          <w:rPr>
            <w:noProof/>
            <w:webHidden/>
          </w:rPr>
          <w:instrText xml:space="preserve"> PAGEREF _Toc438116098 \h </w:instrText>
        </w:r>
        <w:r>
          <w:rPr>
            <w:noProof/>
            <w:webHidden/>
          </w:rPr>
        </w:r>
        <w:r>
          <w:rPr>
            <w:noProof/>
            <w:webHidden/>
          </w:rPr>
          <w:fldChar w:fldCharType="separate"/>
        </w:r>
        <w:r>
          <w:rPr>
            <w:noProof/>
            <w:webHidden/>
          </w:rPr>
          <w:t>51</w:t>
        </w:r>
        <w:r>
          <w:rPr>
            <w:noProof/>
            <w:webHidden/>
          </w:rPr>
          <w:fldChar w:fldCharType="end"/>
        </w:r>
      </w:hyperlink>
    </w:p>
    <w:p w:rsidR="00492677" w:rsidRDefault="00492677">
      <w:pPr>
        <w:pStyle w:val="TOC3"/>
        <w:tabs>
          <w:tab w:val="left" w:pos="1575"/>
        </w:tabs>
        <w:rPr>
          <w:rFonts w:asciiTheme="minorHAnsi" w:eastAsiaTheme="minorEastAsia" w:hAnsiTheme="minorHAnsi" w:cstheme="minorBidi"/>
          <w:noProof/>
          <w:lang w:eastAsia="en-AU"/>
        </w:rPr>
      </w:pPr>
      <w:hyperlink w:anchor="_Toc438116099" w:history="1">
        <w:r w:rsidRPr="000329B7">
          <w:rPr>
            <w:rStyle w:val="Hyperlink"/>
            <w:noProof/>
          </w:rPr>
          <w:t>9.3.</w:t>
        </w:r>
        <w:r>
          <w:rPr>
            <w:rFonts w:asciiTheme="minorHAnsi" w:eastAsiaTheme="minorEastAsia" w:hAnsiTheme="minorHAnsi" w:cstheme="minorBidi"/>
            <w:noProof/>
            <w:lang w:eastAsia="en-AU"/>
          </w:rPr>
          <w:tab/>
        </w:r>
        <w:r w:rsidRPr="000329B7">
          <w:rPr>
            <w:rStyle w:val="Hyperlink"/>
            <w:noProof/>
          </w:rPr>
          <w:t>First round assessment of benefit-risk balance</w:t>
        </w:r>
        <w:r>
          <w:rPr>
            <w:noProof/>
            <w:webHidden/>
          </w:rPr>
          <w:tab/>
        </w:r>
        <w:r>
          <w:rPr>
            <w:noProof/>
            <w:webHidden/>
          </w:rPr>
          <w:fldChar w:fldCharType="begin"/>
        </w:r>
        <w:r>
          <w:rPr>
            <w:noProof/>
            <w:webHidden/>
          </w:rPr>
          <w:instrText xml:space="preserve"> PAGEREF _Toc438116099 \h </w:instrText>
        </w:r>
        <w:r>
          <w:rPr>
            <w:noProof/>
            <w:webHidden/>
          </w:rPr>
        </w:r>
        <w:r>
          <w:rPr>
            <w:noProof/>
            <w:webHidden/>
          </w:rPr>
          <w:fldChar w:fldCharType="separate"/>
        </w:r>
        <w:r>
          <w:rPr>
            <w:noProof/>
            <w:webHidden/>
          </w:rPr>
          <w:t>51</w:t>
        </w:r>
        <w:r>
          <w:rPr>
            <w:noProof/>
            <w:webHidden/>
          </w:rPr>
          <w:fldChar w:fldCharType="end"/>
        </w:r>
      </w:hyperlink>
    </w:p>
    <w:p w:rsidR="00492677" w:rsidRDefault="00492677">
      <w:pPr>
        <w:pStyle w:val="TOC2"/>
        <w:tabs>
          <w:tab w:val="left" w:pos="1247"/>
        </w:tabs>
        <w:rPr>
          <w:rFonts w:asciiTheme="minorHAnsi" w:eastAsiaTheme="minorEastAsia" w:hAnsiTheme="minorHAnsi" w:cstheme="minorBidi"/>
          <w:b w:val="0"/>
          <w:noProof/>
          <w:sz w:val="22"/>
          <w:lang w:eastAsia="en-AU"/>
        </w:rPr>
      </w:pPr>
      <w:hyperlink w:anchor="_Toc438116100" w:history="1">
        <w:r w:rsidRPr="000329B7">
          <w:rPr>
            <w:rStyle w:val="Hyperlink"/>
            <w:noProof/>
          </w:rPr>
          <w:t>10.</w:t>
        </w:r>
        <w:r>
          <w:rPr>
            <w:rFonts w:asciiTheme="minorHAnsi" w:eastAsiaTheme="minorEastAsia" w:hAnsiTheme="minorHAnsi" w:cstheme="minorBidi"/>
            <w:b w:val="0"/>
            <w:noProof/>
            <w:sz w:val="22"/>
            <w:lang w:eastAsia="en-AU"/>
          </w:rPr>
          <w:tab/>
        </w:r>
        <w:r w:rsidRPr="000329B7">
          <w:rPr>
            <w:rStyle w:val="Hyperlink"/>
            <w:noProof/>
          </w:rPr>
          <w:t>First round recommendation regarding authorisation</w:t>
        </w:r>
        <w:r>
          <w:rPr>
            <w:noProof/>
            <w:webHidden/>
          </w:rPr>
          <w:tab/>
        </w:r>
        <w:r>
          <w:rPr>
            <w:noProof/>
            <w:webHidden/>
          </w:rPr>
          <w:fldChar w:fldCharType="begin"/>
        </w:r>
        <w:r>
          <w:rPr>
            <w:noProof/>
            <w:webHidden/>
          </w:rPr>
          <w:instrText xml:space="preserve"> PAGEREF _Toc438116100 \h </w:instrText>
        </w:r>
        <w:r>
          <w:rPr>
            <w:noProof/>
            <w:webHidden/>
          </w:rPr>
        </w:r>
        <w:r>
          <w:rPr>
            <w:noProof/>
            <w:webHidden/>
          </w:rPr>
          <w:fldChar w:fldCharType="separate"/>
        </w:r>
        <w:r>
          <w:rPr>
            <w:noProof/>
            <w:webHidden/>
          </w:rPr>
          <w:t>51</w:t>
        </w:r>
        <w:r>
          <w:rPr>
            <w:noProof/>
            <w:webHidden/>
          </w:rPr>
          <w:fldChar w:fldCharType="end"/>
        </w:r>
      </w:hyperlink>
    </w:p>
    <w:p w:rsidR="00492677" w:rsidRDefault="00492677">
      <w:pPr>
        <w:pStyle w:val="TOC2"/>
        <w:tabs>
          <w:tab w:val="left" w:pos="1247"/>
        </w:tabs>
        <w:rPr>
          <w:rFonts w:asciiTheme="minorHAnsi" w:eastAsiaTheme="minorEastAsia" w:hAnsiTheme="minorHAnsi" w:cstheme="minorBidi"/>
          <w:b w:val="0"/>
          <w:noProof/>
          <w:sz w:val="22"/>
          <w:lang w:eastAsia="en-AU"/>
        </w:rPr>
      </w:pPr>
      <w:hyperlink w:anchor="_Toc438116101" w:history="1">
        <w:r w:rsidRPr="000329B7">
          <w:rPr>
            <w:rStyle w:val="Hyperlink"/>
            <w:noProof/>
          </w:rPr>
          <w:t>11.</w:t>
        </w:r>
        <w:r>
          <w:rPr>
            <w:rFonts w:asciiTheme="minorHAnsi" w:eastAsiaTheme="minorEastAsia" w:hAnsiTheme="minorHAnsi" w:cstheme="minorBidi"/>
            <w:b w:val="0"/>
            <w:noProof/>
            <w:sz w:val="22"/>
            <w:lang w:eastAsia="en-AU"/>
          </w:rPr>
          <w:tab/>
        </w:r>
        <w:r w:rsidRPr="000329B7">
          <w:rPr>
            <w:rStyle w:val="Hyperlink"/>
            <w:noProof/>
          </w:rPr>
          <w:t>Clinical questions</w:t>
        </w:r>
        <w:r>
          <w:rPr>
            <w:noProof/>
            <w:webHidden/>
          </w:rPr>
          <w:tab/>
        </w:r>
        <w:r>
          <w:rPr>
            <w:noProof/>
            <w:webHidden/>
          </w:rPr>
          <w:fldChar w:fldCharType="begin"/>
        </w:r>
        <w:r>
          <w:rPr>
            <w:noProof/>
            <w:webHidden/>
          </w:rPr>
          <w:instrText xml:space="preserve"> PAGEREF _Toc438116101 \h </w:instrText>
        </w:r>
        <w:r>
          <w:rPr>
            <w:noProof/>
            <w:webHidden/>
          </w:rPr>
        </w:r>
        <w:r>
          <w:rPr>
            <w:noProof/>
            <w:webHidden/>
          </w:rPr>
          <w:fldChar w:fldCharType="separate"/>
        </w:r>
        <w:r>
          <w:rPr>
            <w:noProof/>
            <w:webHidden/>
          </w:rPr>
          <w:t>51</w:t>
        </w:r>
        <w:r>
          <w:rPr>
            <w:noProof/>
            <w:webHidden/>
          </w:rPr>
          <w:fldChar w:fldCharType="end"/>
        </w:r>
      </w:hyperlink>
    </w:p>
    <w:p w:rsidR="00492677" w:rsidRDefault="00492677">
      <w:pPr>
        <w:pStyle w:val="TOC2"/>
        <w:tabs>
          <w:tab w:val="left" w:pos="1247"/>
        </w:tabs>
        <w:rPr>
          <w:rFonts w:asciiTheme="minorHAnsi" w:eastAsiaTheme="minorEastAsia" w:hAnsiTheme="minorHAnsi" w:cstheme="minorBidi"/>
          <w:b w:val="0"/>
          <w:noProof/>
          <w:sz w:val="22"/>
          <w:lang w:eastAsia="en-AU"/>
        </w:rPr>
      </w:pPr>
      <w:hyperlink w:anchor="_Toc438116102" w:history="1">
        <w:r w:rsidRPr="000329B7">
          <w:rPr>
            <w:rStyle w:val="Hyperlink"/>
            <w:noProof/>
          </w:rPr>
          <w:t>12.</w:t>
        </w:r>
        <w:r>
          <w:rPr>
            <w:rFonts w:asciiTheme="minorHAnsi" w:eastAsiaTheme="minorEastAsia" w:hAnsiTheme="minorHAnsi" w:cstheme="minorBidi"/>
            <w:b w:val="0"/>
            <w:noProof/>
            <w:sz w:val="22"/>
            <w:lang w:eastAsia="en-AU"/>
          </w:rPr>
          <w:tab/>
        </w:r>
        <w:r w:rsidRPr="000329B7">
          <w:rPr>
            <w:rStyle w:val="Hyperlink"/>
            <w:noProof/>
          </w:rPr>
          <w:t>Second round evaluation of clinical data submitted in response to questions</w:t>
        </w:r>
        <w:r>
          <w:rPr>
            <w:noProof/>
            <w:webHidden/>
          </w:rPr>
          <w:tab/>
        </w:r>
        <w:r>
          <w:rPr>
            <w:noProof/>
            <w:webHidden/>
          </w:rPr>
          <w:fldChar w:fldCharType="begin"/>
        </w:r>
        <w:r>
          <w:rPr>
            <w:noProof/>
            <w:webHidden/>
          </w:rPr>
          <w:instrText xml:space="preserve"> PAGEREF _Toc438116102 \h </w:instrText>
        </w:r>
        <w:r>
          <w:rPr>
            <w:noProof/>
            <w:webHidden/>
          </w:rPr>
        </w:r>
        <w:r>
          <w:rPr>
            <w:noProof/>
            <w:webHidden/>
          </w:rPr>
          <w:fldChar w:fldCharType="separate"/>
        </w:r>
        <w:r>
          <w:rPr>
            <w:noProof/>
            <w:webHidden/>
          </w:rPr>
          <w:t>51</w:t>
        </w:r>
        <w:r>
          <w:rPr>
            <w:noProof/>
            <w:webHidden/>
          </w:rPr>
          <w:fldChar w:fldCharType="end"/>
        </w:r>
      </w:hyperlink>
    </w:p>
    <w:p w:rsidR="00492677" w:rsidRDefault="00492677">
      <w:pPr>
        <w:pStyle w:val="TOC3"/>
        <w:tabs>
          <w:tab w:val="left" w:pos="1697"/>
        </w:tabs>
        <w:rPr>
          <w:rFonts w:asciiTheme="minorHAnsi" w:eastAsiaTheme="minorEastAsia" w:hAnsiTheme="minorHAnsi" w:cstheme="minorBidi"/>
          <w:noProof/>
          <w:lang w:eastAsia="en-AU"/>
        </w:rPr>
      </w:pPr>
      <w:hyperlink w:anchor="_Toc438116103" w:history="1">
        <w:r w:rsidRPr="000329B7">
          <w:rPr>
            <w:rStyle w:val="Hyperlink"/>
            <w:noProof/>
          </w:rPr>
          <w:t>12.1.</w:t>
        </w:r>
        <w:r>
          <w:rPr>
            <w:rFonts w:asciiTheme="minorHAnsi" w:eastAsiaTheme="minorEastAsia" w:hAnsiTheme="minorHAnsi" w:cstheme="minorBidi"/>
            <w:noProof/>
            <w:lang w:eastAsia="en-AU"/>
          </w:rPr>
          <w:tab/>
        </w:r>
        <w:r w:rsidRPr="000329B7">
          <w:rPr>
            <w:rStyle w:val="Hyperlink"/>
            <w:noProof/>
          </w:rPr>
          <w:t>Overseas regulatory status</w:t>
        </w:r>
        <w:r>
          <w:rPr>
            <w:noProof/>
            <w:webHidden/>
          </w:rPr>
          <w:tab/>
        </w:r>
        <w:r>
          <w:rPr>
            <w:noProof/>
            <w:webHidden/>
          </w:rPr>
          <w:fldChar w:fldCharType="begin"/>
        </w:r>
        <w:r>
          <w:rPr>
            <w:noProof/>
            <w:webHidden/>
          </w:rPr>
          <w:instrText xml:space="preserve"> PAGEREF _Toc438116103 \h </w:instrText>
        </w:r>
        <w:r>
          <w:rPr>
            <w:noProof/>
            <w:webHidden/>
          </w:rPr>
        </w:r>
        <w:r>
          <w:rPr>
            <w:noProof/>
            <w:webHidden/>
          </w:rPr>
          <w:fldChar w:fldCharType="separate"/>
        </w:r>
        <w:r>
          <w:rPr>
            <w:noProof/>
            <w:webHidden/>
          </w:rPr>
          <w:t>51</w:t>
        </w:r>
        <w:r>
          <w:rPr>
            <w:noProof/>
            <w:webHidden/>
          </w:rPr>
          <w:fldChar w:fldCharType="end"/>
        </w:r>
      </w:hyperlink>
    </w:p>
    <w:p w:rsidR="00492677" w:rsidRDefault="00492677">
      <w:pPr>
        <w:pStyle w:val="TOC3"/>
        <w:tabs>
          <w:tab w:val="left" w:pos="1697"/>
        </w:tabs>
        <w:rPr>
          <w:rFonts w:asciiTheme="minorHAnsi" w:eastAsiaTheme="minorEastAsia" w:hAnsiTheme="minorHAnsi" w:cstheme="minorBidi"/>
          <w:noProof/>
          <w:lang w:eastAsia="en-AU"/>
        </w:rPr>
      </w:pPr>
      <w:hyperlink w:anchor="_Toc438116104" w:history="1">
        <w:r w:rsidRPr="000329B7">
          <w:rPr>
            <w:rStyle w:val="Hyperlink"/>
            <w:noProof/>
          </w:rPr>
          <w:t>12.2.</w:t>
        </w:r>
        <w:r>
          <w:rPr>
            <w:rFonts w:asciiTheme="minorHAnsi" w:eastAsiaTheme="minorEastAsia" w:hAnsiTheme="minorHAnsi" w:cstheme="minorBidi"/>
            <w:noProof/>
            <w:lang w:eastAsia="en-AU"/>
          </w:rPr>
          <w:tab/>
        </w:r>
        <w:r w:rsidRPr="000329B7">
          <w:rPr>
            <w:rStyle w:val="Hyperlink"/>
            <w:noProof/>
          </w:rPr>
          <w:t>Safety</w:t>
        </w:r>
        <w:r>
          <w:rPr>
            <w:noProof/>
            <w:webHidden/>
          </w:rPr>
          <w:tab/>
        </w:r>
        <w:r>
          <w:rPr>
            <w:noProof/>
            <w:webHidden/>
          </w:rPr>
          <w:fldChar w:fldCharType="begin"/>
        </w:r>
        <w:r>
          <w:rPr>
            <w:noProof/>
            <w:webHidden/>
          </w:rPr>
          <w:instrText xml:space="preserve"> PAGEREF _Toc438116104 \h </w:instrText>
        </w:r>
        <w:r>
          <w:rPr>
            <w:noProof/>
            <w:webHidden/>
          </w:rPr>
        </w:r>
        <w:r>
          <w:rPr>
            <w:noProof/>
            <w:webHidden/>
          </w:rPr>
          <w:fldChar w:fldCharType="separate"/>
        </w:r>
        <w:r>
          <w:rPr>
            <w:noProof/>
            <w:webHidden/>
          </w:rPr>
          <w:t>52</w:t>
        </w:r>
        <w:r>
          <w:rPr>
            <w:noProof/>
            <w:webHidden/>
          </w:rPr>
          <w:fldChar w:fldCharType="end"/>
        </w:r>
      </w:hyperlink>
    </w:p>
    <w:p w:rsidR="00492677" w:rsidRDefault="00492677">
      <w:pPr>
        <w:pStyle w:val="TOC2"/>
        <w:tabs>
          <w:tab w:val="left" w:pos="1247"/>
        </w:tabs>
        <w:rPr>
          <w:rFonts w:asciiTheme="minorHAnsi" w:eastAsiaTheme="minorEastAsia" w:hAnsiTheme="minorHAnsi" w:cstheme="minorBidi"/>
          <w:b w:val="0"/>
          <w:noProof/>
          <w:sz w:val="22"/>
          <w:lang w:eastAsia="en-AU"/>
        </w:rPr>
      </w:pPr>
      <w:hyperlink w:anchor="_Toc438116105" w:history="1">
        <w:r w:rsidRPr="000329B7">
          <w:rPr>
            <w:rStyle w:val="Hyperlink"/>
            <w:noProof/>
          </w:rPr>
          <w:t>13.</w:t>
        </w:r>
        <w:r>
          <w:rPr>
            <w:rFonts w:asciiTheme="minorHAnsi" w:eastAsiaTheme="minorEastAsia" w:hAnsiTheme="minorHAnsi" w:cstheme="minorBidi"/>
            <w:b w:val="0"/>
            <w:noProof/>
            <w:sz w:val="22"/>
            <w:lang w:eastAsia="en-AU"/>
          </w:rPr>
          <w:tab/>
        </w:r>
        <w:r w:rsidRPr="000329B7">
          <w:rPr>
            <w:rStyle w:val="Hyperlink"/>
            <w:noProof/>
          </w:rPr>
          <w:t>Second round benefit-risk assessment</w:t>
        </w:r>
        <w:r>
          <w:rPr>
            <w:noProof/>
            <w:webHidden/>
          </w:rPr>
          <w:tab/>
        </w:r>
        <w:r>
          <w:rPr>
            <w:noProof/>
            <w:webHidden/>
          </w:rPr>
          <w:fldChar w:fldCharType="begin"/>
        </w:r>
        <w:r>
          <w:rPr>
            <w:noProof/>
            <w:webHidden/>
          </w:rPr>
          <w:instrText xml:space="preserve"> PAGEREF _Toc438116105 \h </w:instrText>
        </w:r>
        <w:r>
          <w:rPr>
            <w:noProof/>
            <w:webHidden/>
          </w:rPr>
        </w:r>
        <w:r>
          <w:rPr>
            <w:noProof/>
            <w:webHidden/>
          </w:rPr>
          <w:fldChar w:fldCharType="separate"/>
        </w:r>
        <w:r>
          <w:rPr>
            <w:noProof/>
            <w:webHidden/>
          </w:rPr>
          <w:t>54</w:t>
        </w:r>
        <w:r>
          <w:rPr>
            <w:noProof/>
            <w:webHidden/>
          </w:rPr>
          <w:fldChar w:fldCharType="end"/>
        </w:r>
      </w:hyperlink>
    </w:p>
    <w:p w:rsidR="00492677" w:rsidRDefault="00492677">
      <w:pPr>
        <w:pStyle w:val="TOC3"/>
        <w:tabs>
          <w:tab w:val="left" w:pos="1697"/>
        </w:tabs>
        <w:rPr>
          <w:rFonts w:asciiTheme="minorHAnsi" w:eastAsiaTheme="minorEastAsia" w:hAnsiTheme="minorHAnsi" w:cstheme="minorBidi"/>
          <w:noProof/>
          <w:lang w:eastAsia="en-AU"/>
        </w:rPr>
      </w:pPr>
      <w:hyperlink w:anchor="_Toc438116106" w:history="1">
        <w:r w:rsidRPr="000329B7">
          <w:rPr>
            <w:rStyle w:val="Hyperlink"/>
            <w:noProof/>
          </w:rPr>
          <w:t>13.1.</w:t>
        </w:r>
        <w:r>
          <w:rPr>
            <w:rFonts w:asciiTheme="minorHAnsi" w:eastAsiaTheme="minorEastAsia" w:hAnsiTheme="minorHAnsi" w:cstheme="minorBidi"/>
            <w:noProof/>
            <w:lang w:eastAsia="en-AU"/>
          </w:rPr>
          <w:tab/>
        </w:r>
        <w:r w:rsidRPr="000329B7">
          <w:rPr>
            <w:rStyle w:val="Hyperlink"/>
            <w:noProof/>
          </w:rPr>
          <w:t>Second round assessment of benefits</w:t>
        </w:r>
        <w:r>
          <w:rPr>
            <w:noProof/>
            <w:webHidden/>
          </w:rPr>
          <w:tab/>
        </w:r>
        <w:r>
          <w:rPr>
            <w:noProof/>
            <w:webHidden/>
          </w:rPr>
          <w:fldChar w:fldCharType="begin"/>
        </w:r>
        <w:r>
          <w:rPr>
            <w:noProof/>
            <w:webHidden/>
          </w:rPr>
          <w:instrText xml:space="preserve"> PAGEREF _Toc438116106 \h </w:instrText>
        </w:r>
        <w:r>
          <w:rPr>
            <w:noProof/>
            <w:webHidden/>
          </w:rPr>
        </w:r>
        <w:r>
          <w:rPr>
            <w:noProof/>
            <w:webHidden/>
          </w:rPr>
          <w:fldChar w:fldCharType="separate"/>
        </w:r>
        <w:r>
          <w:rPr>
            <w:noProof/>
            <w:webHidden/>
          </w:rPr>
          <w:t>54</w:t>
        </w:r>
        <w:r>
          <w:rPr>
            <w:noProof/>
            <w:webHidden/>
          </w:rPr>
          <w:fldChar w:fldCharType="end"/>
        </w:r>
      </w:hyperlink>
    </w:p>
    <w:p w:rsidR="00492677" w:rsidRDefault="00492677">
      <w:pPr>
        <w:pStyle w:val="TOC3"/>
        <w:tabs>
          <w:tab w:val="left" w:pos="1697"/>
        </w:tabs>
        <w:rPr>
          <w:rFonts w:asciiTheme="minorHAnsi" w:eastAsiaTheme="minorEastAsia" w:hAnsiTheme="minorHAnsi" w:cstheme="minorBidi"/>
          <w:noProof/>
          <w:lang w:eastAsia="en-AU"/>
        </w:rPr>
      </w:pPr>
      <w:hyperlink w:anchor="_Toc438116107" w:history="1">
        <w:r w:rsidRPr="000329B7">
          <w:rPr>
            <w:rStyle w:val="Hyperlink"/>
            <w:noProof/>
          </w:rPr>
          <w:t>13.2.</w:t>
        </w:r>
        <w:r>
          <w:rPr>
            <w:rFonts w:asciiTheme="minorHAnsi" w:eastAsiaTheme="minorEastAsia" w:hAnsiTheme="minorHAnsi" w:cstheme="minorBidi"/>
            <w:noProof/>
            <w:lang w:eastAsia="en-AU"/>
          </w:rPr>
          <w:tab/>
        </w:r>
        <w:r w:rsidRPr="000329B7">
          <w:rPr>
            <w:rStyle w:val="Hyperlink"/>
            <w:noProof/>
          </w:rPr>
          <w:t>Second round assessment of benefit-risk balance</w:t>
        </w:r>
        <w:r>
          <w:rPr>
            <w:noProof/>
            <w:webHidden/>
          </w:rPr>
          <w:tab/>
        </w:r>
        <w:r>
          <w:rPr>
            <w:noProof/>
            <w:webHidden/>
          </w:rPr>
          <w:fldChar w:fldCharType="begin"/>
        </w:r>
        <w:r>
          <w:rPr>
            <w:noProof/>
            <w:webHidden/>
          </w:rPr>
          <w:instrText xml:space="preserve"> PAGEREF _Toc438116107 \h </w:instrText>
        </w:r>
        <w:r>
          <w:rPr>
            <w:noProof/>
            <w:webHidden/>
          </w:rPr>
        </w:r>
        <w:r>
          <w:rPr>
            <w:noProof/>
            <w:webHidden/>
          </w:rPr>
          <w:fldChar w:fldCharType="separate"/>
        </w:r>
        <w:r>
          <w:rPr>
            <w:noProof/>
            <w:webHidden/>
          </w:rPr>
          <w:t>54</w:t>
        </w:r>
        <w:r>
          <w:rPr>
            <w:noProof/>
            <w:webHidden/>
          </w:rPr>
          <w:fldChar w:fldCharType="end"/>
        </w:r>
      </w:hyperlink>
    </w:p>
    <w:p w:rsidR="00492677" w:rsidRDefault="00492677">
      <w:pPr>
        <w:pStyle w:val="TOC2"/>
        <w:tabs>
          <w:tab w:val="left" w:pos="1247"/>
        </w:tabs>
        <w:rPr>
          <w:rFonts w:asciiTheme="minorHAnsi" w:eastAsiaTheme="minorEastAsia" w:hAnsiTheme="minorHAnsi" w:cstheme="minorBidi"/>
          <w:b w:val="0"/>
          <w:noProof/>
          <w:sz w:val="22"/>
          <w:lang w:eastAsia="en-AU"/>
        </w:rPr>
      </w:pPr>
      <w:hyperlink w:anchor="_Toc438116108" w:history="1">
        <w:r w:rsidRPr="000329B7">
          <w:rPr>
            <w:rStyle w:val="Hyperlink"/>
            <w:noProof/>
          </w:rPr>
          <w:t>14.</w:t>
        </w:r>
        <w:r>
          <w:rPr>
            <w:rFonts w:asciiTheme="minorHAnsi" w:eastAsiaTheme="minorEastAsia" w:hAnsiTheme="minorHAnsi" w:cstheme="minorBidi"/>
            <w:b w:val="0"/>
            <w:noProof/>
            <w:sz w:val="22"/>
            <w:lang w:eastAsia="en-AU"/>
          </w:rPr>
          <w:tab/>
        </w:r>
        <w:r w:rsidRPr="000329B7">
          <w:rPr>
            <w:rStyle w:val="Hyperlink"/>
            <w:noProof/>
          </w:rPr>
          <w:t>Second round recommendation regarding authorisation</w:t>
        </w:r>
        <w:r>
          <w:rPr>
            <w:noProof/>
            <w:webHidden/>
          </w:rPr>
          <w:tab/>
        </w:r>
        <w:r>
          <w:rPr>
            <w:noProof/>
            <w:webHidden/>
          </w:rPr>
          <w:fldChar w:fldCharType="begin"/>
        </w:r>
        <w:r>
          <w:rPr>
            <w:noProof/>
            <w:webHidden/>
          </w:rPr>
          <w:instrText xml:space="preserve"> PAGEREF _Toc438116108 \h </w:instrText>
        </w:r>
        <w:r>
          <w:rPr>
            <w:noProof/>
            <w:webHidden/>
          </w:rPr>
        </w:r>
        <w:r>
          <w:rPr>
            <w:noProof/>
            <w:webHidden/>
          </w:rPr>
          <w:fldChar w:fldCharType="separate"/>
        </w:r>
        <w:r>
          <w:rPr>
            <w:noProof/>
            <w:webHidden/>
          </w:rPr>
          <w:t>54</w:t>
        </w:r>
        <w:r>
          <w:rPr>
            <w:noProof/>
            <w:webHidden/>
          </w:rPr>
          <w:fldChar w:fldCharType="end"/>
        </w:r>
      </w:hyperlink>
    </w:p>
    <w:p w:rsidR="00492677" w:rsidRDefault="00492677">
      <w:pPr>
        <w:pStyle w:val="TOC2"/>
        <w:tabs>
          <w:tab w:val="left" w:pos="1247"/>
        </w:tabs>
        <w:rPr>
          <w:rFonts w:asciiTheme="minorHAnsi" w:eastAsiaTheme="minorEastAsia" w:hAnsiTheme="minorHAnsi" w:cstheme="minorBidi"/>
          <w:b w:val="0"/>
          <w:noProof/>
          <w:sz w:val="22"/>
          <w:lang w:eastAsia="en-AU"/>
        </w:rPr>
      </w:pPr>
      <w:hyperlink w:anchor="_Toc438116109" w:history="1">
        <w:r w:rsidRPr="000329B7">
          <w:rPr>
            <w:rStyle w:val="Hyperlink"/>
            <w:noProof/>
          </w:rPr>
          <w:t>15.</w:t>
        </w:r>
        <w:r>
          <w:rPr>
            <w:rFonts w:asciiTheme="minorHAnsi" w:eastAsiaTheme="minorEastAsia" w:hAnsiTheme="minorHAnsi" w:cstheme="minorBidi"/>
            <w:b w:val="0"/>
            <w:noProof/>
            <w:sz w:val="22"/>
            <w:lang w:eastAsia="en-AU"/>
          </w:rPr>
          <w:tab/>
        </w:r>
        <w:r w:rsidRPr="000329B7">
          <w:rPr>
            <w:rStyle w:val="Hyperlink"/>
            <w:noProof/>
          </w:rPr>
          <w:t>References</w:t>
        </w:r>
        <w:r>
          <w:rPr>
            <w:noProof/>
            <w:webHidden/>
          </w:rPr>
          <w:tab/>
        </w:r>
        <w:r>
          <w:rPr>
            <w:noProof/>
            <w:webHidden/>
          </w:rPr>
          <w:fldChar w:fldCharType="begin"/>
        </w:r>
        <w:r>
          <w:rPr>
            <w:noProof/>
            <w:webHidden/>
          </w:rPr>
          <w:instrText xml:space="preserve"> PAGEREF _Toc438116109 \h </w:instrText>
        </w:r>
        <w:r>
          <w:rPr>
            <w:noProof/>
            <w:webHidden/>
          </w:rPr>
        </w:r>
        <w:r>
          <w:rPr>
            <w:noProof/>
            <w:webHidden/>
          </w:rPr>
          <w:fldChar w:fldCharType="separate"/>
        </w:r>
        <w:r>
          <w:rPr>
            <w:noProof/>
            <w:webHidden/>
          </w:rPr>
          <w:t>54</w:t>
        </w:r>
        <w:r>
          <w:rPr>
            <w:noProof/>
            <w:webHidden/>
          </w:rPr>
          <w:fldChar w:fldCharType="end"/>
        </w:r>
      </w:hyperlink>
    </w:p>
    <w:p w:rsidR="003A7F6C" w:rsidRPr="00B811C6" w:rsidRDefault="00902B4A" w:rsidP="00B811C6">
      <w:pPr>
        <w:pStyle w:val="TOC2"/>
      </w:pPr>
      <w:r>
        <w:fldChar w:fldCharType="end"/>
      </w:r>
      <w:bookmarkStart w:id="3" w:name="_Toc314842482"/>
    </w:p>
    <w:p w:rsidR="00C52DE9" w:rsidRDefault="00C52DE9">
      <w:pPr>
        <w:spacing w:before="0" w:after="200" w:line="0" w:lineRule="auto"/>
        <w:rPr>
          <w:rFonts w:ascii="Arial" w:eastAsia="Times New Roman" w:hAnsi="Arial"/>
          <w:b/>
          <w:bCs/>
          <w:sz w:val="32"/>
          <w:szCs w:val="26"/>
          <w:lang w:eastAsia="ja-JP"/>
        </w:rPr>
      </w:pPr>
      <w:bookmarkStart w:id="4" w:name="_Toc430865773"/>
      <w:bookmarkStart w:id="5" w:name="_Toc431369657"/>
      <w:bookmarkStart w:id="6" w:name="_Toc351718900"/>
      <w:bookmarkStart w:id="7" w:name="_Toc355338635"/>
      <w:bookmarkEnd w:id="0"/>
      <w:bookmarkEnd w:id="1"/>
      <w:bookmarkEnd w:id="3"/>
      <w:r>
        <w:br w:type="page"/>
      </w:r>
    </w:p>
    <w:p w:rsidR="00C8707C" w:rsidRDefault="00C8707C" w:rsidP="00C8707C">
      <w:pPr>
        <w:pStyle w:val="Heading2"/>
        <w:numPr>
          <w:ilvl w:val="0"/>
          <w:numId w:val="0"/>
        </w:numPr>
        <w:ind w:left="567" w:hanging="567"/>
      </w:pPr>
      <w:bookmarkStart w:id="8" w:name="_Toc438116057"/>
      <w:r>
        <w:lastRenderedPageBreak/>
        <w:t>M</w:t>
      </w:r>
      <w:r w:rsidRPr="00FD119B">
        <w:t xml:space="preserve">ost common abbreviations </w:t>
      </w:r>
      <w:bookmarkEnd w:id="4"/>
      <w:r>
        <w:t>used</w:t>
      </w:r>
      <w:bookmarkEnd w:id="5"/>
      <w:bookmarkEnd w:id="8"/>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518"/>
        <w:gridCol w:w="6202"/>
      </w:tblGrid>
      <w:tr w:rsidR="00C8707C" w:rsidTr="000B6417">
        <w:trPr>
          <w:tblHeader/>
        </w:trPr>
        <w:tc>
          <w:tcPr>
            <w:tcW w:w="2518" w:type="dxa"/>
            <w:tcBorders>
              <w:top w:val="single" w:sz="8" w:space="0" w:color="000000"/>
              <w:left w:val="single" w:sz="8" w:space="0" w:color="000000"/>
              <w:bottom w:val="single" w:sz="8" w:space="0" w:color="000000"/>
              <w:right w:val="nil"/>
              <w:tl2br w:val="nil"/>
              <w:tr2bl w:val="nil"/>
            </w:tcBorders>
            <w:shd w:val="clear" w:color="auto" w:fill="006DA7"/>
          </w:tcPr>
          <w:p w:rsidR="00C8707C" w:rsidRPr="000B6417" w:rsidRDefault="00C8707C" w:rsidP="00C52DE9">
            <w:pPr>
              <w:rPr>
                <w:b/>
                <w:color w:val="FFFFFF"/>
              </w:rPr>
            </w:pPr>
            <w:r w:rsidRPr="000B6417">
              <w:rPr>
                <w:b/>
                <w:color w:val="FFFFFF"/>
              </w:rPr>
              <w:t>Abbreviation</w:t>
            </w:r>
          </w:p>
        </w:tc>
        <w:tc>
          <w:tcPr>
            <w:tcW w:w="6202" w:type="dxa"/>
            <w:tcBorders>
              <w:top w:val="single" w:sz="8" w:space="0" w:color="000000"/>
              <w:left w:val="nil"/>
              <w:bottom w:val="single" w:sz="8" w:space="0" w:color="000000"/>
              <w:right w:val="single" w:sz="8" w:space="0" w:color="000000"/>
              <w:tl2br w:val="nil"/>
              <w:tr2bl w:val="nil"/>
            </w:tcBorders>
            <w:shd w:val="clear" w:color="auto" w:fill="006DA7"/>
          </w:tcPr>
          <w:p w:rsidR="00C8707C" w:rsidRPr="000B6417" w:rsidRDefault="00C8707C" w:rsidP="00C52DE9">
            <w:pPr>
              <w:rPr>
                <w:b/>
                <w:color w:val="FFFFFF"/>
              </w:rPr>
            </w:pPr>
            <w:r w:rsidRPr="000B6417">
              <w:rPr>
                <w:b/>
                <w:color w:val="FFFFFF"/>
              </w:rPr>
              <w:t>Meaning</w:t>
            </w:r>
          </w:p>
        </w:tc>
      </w:tr>
      <w:tr w:rsidR="00C8707C" w:rsidTr="000B6417">
        <w:tc>
          <w:tcPr>
            <w:tcW w:w="2518"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AE</w:t>
            </w:r>
          </w:p>
        </w:tc>
        <w:tc>
          <w:tcPr>
            <w:tcW w:w="6202"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adverse event</w:t>
            </w:r>
          </w:p>
        </w:tc>
      </w:tr>
      <w:tr w:rsidR="00C8707C" w:rsidTr="000B6417">
        <w:tc>
          <w:tcPr>
            <w:tcW w:w="2518"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ALT</w:t>
            </w:r>
          </w:p>
        </w:tc>
        <w:tc>
          <w:tcPr>
            <w:tcW w:w="6202"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alanine aminotransferase</w:t>
            </w:r>
          </w:p>
        </w:tc>
      </w:tr>
      <w:tr w:rsidR="00C8707C" w:rsidTr="000B6417">
        <w:tc>
          <w:tcPr>
            <w:tcW w:w="2518"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AST</w:t>
            </w:r>
          </w:p>
        </w:tc>
        <w:tc>
          <w:tcPr>
            <w:tcW w:w="6202"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aspartate aminotransferase</w:t>
            </w:r>
          </w:p>
        </w:tc>
      </w:tr>
      <w:tr w:rsidR="00C8707C" w:rsidTr="000B6417">
        <w:tc>
          <w:tcPr>
            <w:tcW w:w="2518"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ASV</w:t>
            </w:r>
          </w:p>
        </w:tc>
        <w:tc>
          <w:tcPr>
            <w:tcW w:w="6202"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proofErr w:type="spellStart"/>
            <w:r w:rsidRPr="000B6417">
              <w:rPr>
                <w:rFonts w:eastAsia="TimesNewRoman" w:cs="TimesNewRoman"/>
                <w:color w:val="000000"/>
                <w:sz w:val="20"/>
                <w:szCs w:val="20"/>
                <w:lang w:eastAsia="en-AU"/>
              </w:rPr>
              <w:t>asunaprevir</w:t>
            </w:r>
            <w:proofErr w:type="spellEnd"/>
            <w:r w:rsidRPr="000B6417">
              <w:rPr>
                <w:rFonts w:eastAsia="TimesNewRoman" w:cs="TimesNewRoman"/>
                <w:color w:val="000000"/>
                <w:sz w:val="20"/>
                <w:szCs w:val="20"/>
                <w:lang w:eastAsia="en-AU"/>
              </w:rPr>
              <w:t xml:space="preserve"> (BMS-650032)</w:t>
            </w:r>
          </w:p>
        </w:tc>
      </w:tr>
      <w:tr w:rsidR="00C8707C" w:rsidTr="000B6417">
        <w:tc>
          <w:tcPr>
            <w:tcW w:w="2518"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AUC</w:t>
            </w:r>
          </w:p>
        </w:tc>
        <w:tc>
          <w:tcPr>
            <w:tcW w:w="6202"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area under the plasma concentration-time curve</w:t>
            </w:r>
          </w:p>
        </w:tc>
      </w:tr>
      <w:tr w:rsidR="00C8707C" w:rsidTr="000B6417">
        <w:tc>
          <w:tcPr>
            <w:tcW w:w="2518"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BD</w:t>
            </w:r>
          </w:p>
        </w:tc>
        <w:tc>
          <w:tcPr>
            <w:tcW w:w="6202"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twice daily</w:t>
            </w:r>
          </w:p>
        </w:tc>
      </w:tr>
      <w:tr w:rsidR="00C8707C" w:rsidTr="000B6417">
        <w:tc>
          <w:tcPr>
            <w:tcW w:w="2518"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BMI</w:t>
            </w:r>
          </w:p>
        </w:tc>
        <w:tc>
          <w:tcPr>
            <w:tcW w:w="6202"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body mass index</w:t>
            </w:r>
          </w:p>
        </w:tc>
      </w:tr>
      <w:tr w:rsidR="00C8707C" w:rsidTr="000B6417">
        <w:tc>
          <w:tcPr>
            <w:tcW w:w="2518"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BOC</w:t>
            </w:r>
          </w:p>
        </w:tc>
        <w:tc>
          <w:tcPr>
            <w:tcW w:w="6202"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proofErr w:type="spellStart"/>
            <w:r w:rsidRPr="000B6417">
              <w:rPr>
                <w:rFonts w:eastAsia="TimesNewRoman" w:cs="TimesNewRoman"/>
                <w:color w:val="000000"/>
                <w:sz w:val="20"/>
                <w:szCs w:val="20"/>
                <w:lang w:eastAsia="en-AU"/>
              </w:rPr>
              <w:t>boceprevir</w:t>
            </w:r>
            <w:proofErr w:type="spellEnd"/>
          </w:p>
        </w:tc>
      </w:tr>
      <w:tr w:rsidR="00C8707C" w:rsidTr="000B6417">
        <w:tc>
          <w:tcPr>
            <w:tcW w:w="2518"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proofErr w:type="spellStart"/>
            <w:r w:rsidRPr="000B6417">
              <w:rPr>
                <w:rFonts w:eastAsia="TimesNewRoman" w:cs="TimesNewRoman"/>
                <w:color w:val="000000"/>
                <w:sz w:val="20"/>
                <w:szCs w:val="20"/>
                <w:lang w:eastAsia="en-AU"/>
              </w:rPr>
              <w:t>Cavgss</w:t>
            </w:r>
            <w:proofErr w:type="spellEnd"/>
            <w:r w:rsidRPr="000B6417">
              <w:rPr>
                <w:rFonts w:eastAsia="TimesNewRoman" w:cs="TimesNewRoman"/>
                <w:color w:val="000000"/>
                <w:sz w:val="20"/>
                <w:szCs w:val="20"/>
                <w:lang w:eastAsia="en-AU"/>
              </w:rPr>
              <w:t xml:space="preserve"> </w:t>
            </w:r>
          </w:p>
        </w:tc>
        <w:tc>
          <w:tcPr>
            <w:tcW w:w="6202"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steady state average concentration</w:t>
            </w:r>
          </w:p>
        </w:tc>
      </w:tr>
      <w:tr w:rsidR="00C8707C" w:rsidTr="000B6417">
        <w:tc>
          <w:tcPr>
            <w:tcW w:w="2518"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CRF</w:t>
            </w:r>
          </w:p>
        </w:tc>
        <w:tc>
          <w:tcPr>
            <w:tcW w:w="6202"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case record form</w:t>
            </w:r>
          </w:p>
        </w:tc>
      </w:tr>
      <w:tr w:rsidR="00C8707C" w:rsidTr="000B6417">
        <w:tc>
          <w:tcPr>
            <w:tcW w:w="2518"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proofErr w:type="spellStart"/>
            <w:r w:rsidRPr="000B6417">
              <w:rPr>
                <w:rFonts w:eastAsia="TimesNewRoman" w:cs="TimesNewRoman"/>
                <w:color w:val="000000"/>
                <w:sz w:val="20"/>
                <w:szCs w:val="20"/>
                <w:lang w:eastAsia="en-AU"/>
              </w:rPr>
              <w:t>cEVR</w:t>
            </w:r>
            <w:proofErr w:type="spellEnd"/>
          </w:p>
        </w:tc>
        <w:tc>
          <w:tcPr>
            <w:tcW w:w="6202"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 xml:space="preserve">complete early </w:t>
            </w:r>
            <w:proofErr w:type="spellStart"/>
            <w:r w:rsidRPr="000B6417">
              <w:rPr>
                <w:rFonts w:eastAsia="TimesNewRoman" w:cs="TimesNewRoman"/>
                <w:color w:val="000000"/>
                <w:sz w:val="20"/>
                <w:szCs w:val="20"/>
                <w:lang w:eastAsia="en-AU"/>
              </w:rPr>
              <w:t>virologic</w:t>
            </w:r>
            <w:proofErr w:type="spellEnd"/>
            <w:r w:rsidRPr="000B6417">
              <w:rPr>
                <w:rFonts w:eastAsia="TimesNewRoman" w:cs="TimesNewRoman"/>
                <w:color w:val="000000"/>
                <w:sz w:val="20"/>
                <w:szCs w:val="20"/>
                <w:lang w:eastAsia="en-AU"/>
              </w:rPr>
              <w:t xml:space="preserve"> response</w:t>
            </w:r>
          </w:p>
        </w:tc>
      </w:tr>
      <w:tr w:rsidR="00C8707C" w:rsidTr="000B6417">
        <w:tc>
          <w:tcPr>
            <w:tcW w:w="2518"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CHC</w:t>
            </w:r>
          </w:p>
        </w:tc>
        <w:tc>
          <w:tcPr>
            <w:tcW w:w="6202"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chronic hepatitis C</w:t>
            </w:r>
          </w:p>
        </w:tc>
      </w:tr>
      <w:tr w:rsidR="00C8707C" w:rsidTr="000B6417">
        <w:tc>
          <w:tcPr>
            <w:tcW w:w="2518"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CI(s)</w:t>
            </w:r>
          </w:p>
        </w:tc>
        <w:tc>
          <w:tcPr>
            <w:tcW w:w="6202"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confidence interval(s)</w:t>
            </w:r>
          </w:p>
        </w:tc>
      </w:tr>
      <w:tr w:rsidR="00C8707C" w:rsidTr="000B6417">
        <w:tc>
          <w:tcPr>
            <w:tcW w:w="2518"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CSR</w:t>
            </w:r>
          </w:p>
        </w:tc>
        <w:tc>
          <w:tcPr>
            <w:tcW w:w="6202"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clinical study report</w:t>
            </w:r>
          </w:p>
        </w:tc>
      </w:tr>
      <w:tr w:rsidR="00C8707C" w:rsidTr="000B6417">
        <w:tc>
          <w:tcPr>
            <w:tcW w:w="2518"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DAAs</w:t>
            </w:r>
          </w:p>
        </w:tc>
        <w:tc>
          <w:tcPr>
            <w:tcW w:w="6202"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direct acting antivirals</w:t>
            </w:r>
          </w:p>
        </w:tc>
      </w:tr>
      <w:tr w:rsidR="00C8707C" w:rsidTr="000B6417">
        <w:tc>
          <w:tcPr>
            <w:tcW w:w="2518"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DCV</w:t>
            </w:r>
          </w:p>
        </w:tc>
        <w:tc>
          <w:tcPr>
            <w:tcW w:w="6202"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proofErr w:type="spellStart"/>
            <w:r w:rsidRPr="000B6417">
              <w:rPr>
                <w:rFonts w:eastAsia="TimesNewRoman" w:cs="TimesNewRoman"/>
                <w:color w:val="000000"/>
                <w:sz w:val="20"/>
                <w:szCs w:val="20"/>
                <w:lang w:eastAsia="en-AU"/>
              </w:rPr>
              <w:t>daclatasvir</w:t>
            </w:r>
            <w:proofErr w:type="spellEnd"/>
            <w:r w:rsidRPr="000B6417">
              <w:rPr>
                <w:rFonts w:eastAsia="TimesNewRoman" w:cs="TimesNewRoman"/>
                <w:color w:val="000000"/>
                <w:sz w:val="20"/>
                <w:szCs w:val="20"/>
                <w:lang w:eastAsia="en-AU"/>
              </w:rPr>
              <w:t xml:space="preserve"> (BMS-790052)</w:t>
            </w:r>
          </w:p>
        </w:tc>
      </w:tr>
      <w:tr w:rsidR="00C8707C" w:rsidTr="000B6417">
        <w:tc>
          <w:tcPr>
            <w:tcW w:w="2518"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EOT</w:t>
            </w:r>
          </w:p>
        </w:tc>
        <w:tc>
          <w:tcPr>
            <w:tcW w:w="6202"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end of treatment</w:t>
            </w:r>
          </w:p>
        </w:tc>
      </w:tr>
      <w:tr w:rsidR="00C8707C" w:rsidTr="000B6417">
        <w:tc>
          <w:tcPr>
            <w:tcW w:w="2518"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EOTR</w:t>
            </w:r>
          </w:p>
        </w:tc>
        <w:tc>
          <w:tcPr>
            <w:tcW w:w="6202"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end of treatment response</w:t>
            </w:r>
          </w:p>
        </w:tc>
      </w:tr>
      <w:tr w:rsidR="00C8707C" w:rsidTr="000B6417">
        <w:tc>
          <w:tcPr>
            <w:tcW w:w="2518"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E-R</w:t>
            </w:r>
          </w:p>
        </w:tc>
        <w:tc>
          <w:tcPr>
            <w:tcW w:w="6202"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exposure-response</w:t>
            </w:r>
          </w:p>
        </w:tc>
      </w:tr>
      <w:tr w:rsidR="00C8707C" w:rsidTr="000B6417">
        <w:tc>
          <w:tcPr>
            <w:tcW w:w="2518"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proofErr w:type="spellStart"/>
            <w:r w:rsidRPr="000B6417">
              <w:rPr>
                <w:rFonts w:eastAsia="TimesNewRoman" w:cs="TimesNewRoman"/>
                <w:color w:val="000000"/>
                <w:sz w:val="20"/>
                <w:szCs w:val="20"/>
                <w:lang w:eastAsia="en-AU"/>
              </w:rPr>
              <w:t>eRVR</w:t>
            </w:r>
            <w:proofErr w:type="spellEnd"/>
          </w:p>
        </w:tc>
        <w:tc>
          <w:tcPr>
            <w:tcW w:w="6202"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 xml:space="preserve">extended rapid </w:t>
            </w:r>
            <w:proofErr w:type="spellStart"/>
            <w:r w:rsidRPr="000B6417">
              <w:rPr>
                <w:rFonts w:eastAsia="TimesNewRoman" w:cs="TimesNewRoman"/>
                <w:color w:val="000000"/>
                <w:sz w:val="20"/>
                <w:szCs w:val="20"/>
                <w:lang w:eastAsia="en-AU"/>
              </w:rPr>
              <w:t>virologic</w:t>
            </w:r>
            <w:proofErr w:type="spellEnd"/>
            <w:r w:rsidRPr="000B6417">
              <w:rPr>
                <w:rFonts w:eastAsia="TimesNewRoman" w:cs="TimesNewRoman"/>
                <w:color w:val="000000"/>
                <w:sz w:val="20"/>
                <w:szCs w:val="20"/>
                <w:lang w:eastAsia="en-AU"/>
              </w:rPr>
              <w:t xml:space="preserve"> response</w:t>
            </w:r>
          </w:p>
        </w:tc>
      </w:tr>
      <w:tr w:rsidR="00C8707C" w:rsidTr="000B6417">
        <w:tc>
          <w:tcPr>
            <w:tcW w:w="2518"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EU</w:t>
            </w:r>
          </w:p>
        </w:tc>
        <w:tc>
          <w:tcPr>
            <w:tcW w:w="6202"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European Union</w:t>
            </w:r>
          </w:p>
        </w:tc>
      </w:tr>
      <w:tr w:rsidR="00C8707C" w:rsidTr="000B6417">
        <w:tc>
          <w:tcPr>
            <w:tcW w:w="2518"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EVR</w:t>
            </w:r>
          </w:p>
        </w:tc>
        <w:tc>
          <w:tcPr>
            <w:tcW w:w="6202"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 xml:space="preserve">early </w:t>
            </w:r>
            <w:proofErr w:type="spellStart"/>
            <w:r w:rsidRPr="000B6417">
              <w:rPr>
                <w:rFonts w:eastAsia="TimesNewRoman" w:cs="TimesNewRoman"/>
                <w:color w:val="000000"/>
                <w:sz w:val="20"/>
                <w:szCs w:val="20"/>
                <w:lang w:eastAsia="en-AU"/>
              </w:rPr>
              <w:t>virologic</w:t>
            </w:r>
            <w:proofErr w:type="spellEnd"/>
            <w:r w:rsidRPr="000B6417">
              <w:rPr>
                <w:rFonts w:eastAsia="TimesNewRoman" w:cs="TimesNewRoman"/>
                <w:color w:val="000000"/>
                <w:sz w:val="20"/>
                <w:szCs w:val="20"/>
                <w:lang w:eastAsia="en-AU"/>
              </w:rPr>
              <w:t xml:space="preserve"> response</w:t>
            </w:r>
          </w:p>
        </w:tc>
      </w:tr>
      <w:tr w:rsidR="00C8707C" w:rsidTr="000B6417">
        <w:tc>
          <w:tcPr>
            <w:tcW w:w="2518"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GT</w:t>
            </w:r>
          </w:p>
        </w:tc>
        <w:tc>
          <w:tcPr>
            <w:tcW w:w="6202"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genotype</w:t>
            </w:r>
          </w:p>
        </w:tc>
      </w:tr>
      <w:tr w:rsidR="00C8707C" w:rsidTr="000B6417">
        <w:tc>
          <w:tcPr>
            <w:tcW w:w="2518"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HCC</w:t>
            </w:r>
          </w:p>
        </w:tc>
        <w:tc>
          <w:tcPr>
            <w:tcW w:w="6202"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hepatocellular carcinoma</w:t>
            </w:r>
          </w:p>
        </w:tc>
      </w:tr>
      <w:tr w:rsidR="00C8707C" w:rsidTr="000B6417">
        <w:tc>
          <w:tcPr>
            <w:tcW w:w="2518"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HCV</w:t>
            </w:r>
          </w:p>
        </w:tc>
        <w:tc>
          <w:tcPr>
            <w:tcW w:w="6202"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hepatitis C virus</w:t>
            </w:r>
          </w:p>
        </w:tc>
      </w:tr>
      <w:tr w:rsidR="00C8707C" w:rsidTr="000B6417">
        <w:tc>
          <w:tcPr>
            <w:tcW w:w="2518"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IFN</w:t>
            </w:r>
          </w:p>
        </w:tc>
        <w:tc>
          <w:tcPr>
            <w:tcW w:w="6202"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interferon</w:t>
            </w:r>
          </w:p>
        </w:tc>
      </w:tr>
      <w:tr w:rsidR="00C8707C" w:rsidTr="000B6417">
        <w:tc>
          <w:tcPr>
            <w:tcW w:w="2518"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Symbol"/>
                <w:color w:val="000000"/>
                <w:sz w:val="20"/>
                <w:szCs w:val="20"/>
                <w:lang w:eastAsia="en-AU"/>
              </w:rPr>
            </w:pPr>
            <w:r w:rsidRPr="000B6417">
              <w:rPr>
                <w:rFonts w:eastAsia="TimesNewRoman" w:cs="TimesNewRoman"/>
                <w:color w:val="000000"/>
                <w:sz w:val="20"/>
                <w:szCs w:val="20"/>
                <w:lang w:eastAsia="en-AU"/>
              </w:rPr>
              <w:lastRenderedPageBreak/>
              <w:t>IFN</w:t>
            </w:r>
            <w:r w:rsidRPr="000B6417">
              <w:rPr>
                <w:rFonts w:eastAsia="TimesNewRoman" w:cs="Symbol"/>
                <w:color w:val="000000"/>
                <w:sz w:val="20"/>
                <w:szCs w:val="20"/>
                <w:lang w:eastAsia="en-AU"/>
              </w:rPr>
              <w:t>α</w:t>
            </w:r>
          </w:p>
        </w:tc>
        <w:tc>
          <w:tcPr>
            <w:tcW w:w="6202"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 xml:space="preserve">interferon </w:t>
            </w:r>
            <w:proofErr w:type="spellStart"/>
            <w:r w:rsidRPr="000B6417">
              <w:rPr>
                <w:rFonts w:eastAsia="TimesNewRoman" w:cs="TimesNewRoman"/>
                <w:color w:val="000000"/>
                <w:sz w:val="20"/>
                <w:szCs w:val="20"/>
                <w:lang w:eastAsia="en-AU"/>
              </w:rPr>
              <w:t>alfa</w:t>
            </w:r>
            <w:proofErr w:type="spellEnd"/>
          </w:p>
        </w:tc>
      </w:tr>
      <w:tr w:rsidR="00C8707C" w:rsidTr="000B6417">
        <w:tc>
          <w:tcPr>
            <w:tcW w:w="2518"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Symbol"/>
                <w:color w:val="000000"/>
                <w:sz w:val="20"/>
                <w:szCs w:val="20"/>
                <w:lang w:eastAsia="en-AU"/>
              </w:rPr>
            </w:pPr>
            <w:r w:rsidRPr="000B6417">
              <w:rPr>
                <w:rFonts w:eastAsia="TimesNewRoman" w:cs="TimesNewRoman"/>
                <w:color w:val="000000"/>
                <w:sz w:val="20"/>
                <w:szCs w:val="20"/>
                <w:lang w:eastAsia="en-AU"/>
              </w:rPr>
              <w:t>IFN</w:t>
            </w:r>
            <w:r w:rsidRPr="000B6417">
              <w:rPr>
                <w:rFonts w:eastAsia="TimesNewRoman" w:cs="Symbol"/>
                <w:color w:val="000000"/>
                <w:sz w:val="20"/>
                <w:szCs w:val="20"/>
                <w:lang w:eastAsia="en-AU"/>
              </w:rPr>
              <w:t>β</w:t>
            </w:r>
          </w:p>
        </w:tc>
        <w:tc>
          <w:tcPr>
            <w:tcW w:w="6202"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interferon beta</w:t>
            </w:r>
          </w:p>
        </w:tc>
      </w:tr>
      <w:tr w:rsidR="00C8707C" w:rsidTr="000B6417">
        <w:tc>
          <w:tcPr>
            <w:tcW w:w="2518"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ITT</w:t>
            </w:r>
          </w:p>
        </w:tc>
        <w:tc>
          <w:tcPr>
            <w:tcW w:w="6202"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intent-to-treat</w:t>
            </w:r>
          </w:p>
        </w:tc>
      </w:tr>
      <w:tr w:rsidR="00C8707C" w:rsidTr="000B6417">
        <w:tc>
          <w:tcPr>
            <w:tcW w:w="2518"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LLOQ (LOQ)</w:t>
            </w:r>
          </w:p>
        </w:tc>
        <w:tc>
          <w:tcPr>
            <w:tcW w:w="6202"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lower limit of quantitation</w:t>
            </w:r>
          </w:p>
        </w:tc>
      </w:tr>
      <w:tr w:rsidR="00C8707C" w:rsidTr="000B6417">
        <w:tc>
          <w:tcPr>
            <w:tcW w:w="2518"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NA</w:t>
            </w:r>
          </w:p>
        </w:tc>
        <w:tc>
          <w:tcPr>
            <w:tcW w:w="6202"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Not applicable</w:t>
            </w:r>
          </w:p>
        </w:tc>
      </w:tr>
      <w:tr w:rsidR="00C8707C" w:rsidTr="000B6417">
        <w:tc>
          <w:tcPr>
            <w:tcW w:w="2518"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NS3</w:t>
            </w:r>
          </w:p>
        </w:tc>
        <w:tc>
          <w:tcPr>
            <w:tcW w:w="6202"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non-structural protein 3</w:t>
            </w:r>
          </w:p>
        </w:tc>
      </w:tr>
      <w:tr w:rsidR="00C8707C" w:rsidTr="000B6417">
        <w:tc>
          <w:tcPr>
            <w:tcW w:w="2518"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NS5A</w:t>
            </w:r>
          </w:p>
        </w:tc>
        <w:tc>
          <w:tcPr>
            <w:tcW w:w="6202"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non-structural protein 5A</w:t>
            </w:r>
          </w:p>
        </w:tc>
      </w:tr>
      <w:tr w:rsidR="00C8707C" w:rsidTr="000B6417">
        <w:tc>
          <w:tcPr>
            <w:tcW w:w="2518"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PBO</w:t>
            </w:r>
          </w:p>
        </w:tc>
        <w:tc>
          <w:tcPr>
            <w:tcW w:w="6202"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placebo</w:t>
            </w:r>
          </w:p>
        </w:tc>
      </w:tr>
      <w:tr w:rsidR="00C8707C" w:rsidTr="000B6417">
        <w:tc>
          <w:tcPr>
            <w:tcW w:w="2518"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PD</w:t>
            </w:r>
          </w:p>
        </w:tc>
        <w:tc>
          <w:tcPr>
            <w:tcW w:w="6202"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proofErr w:type="spellStart"/>
            <w:r w:rsidRPr="000B6417">
              <w:rPr>
                <w:rFonts w:eastAsia="TimesNewRoman" w:cs="TimesNewRoman"/>
                <w:color w:val="000000"/>
                <w:sz w:val="20"/>
                <w:szCs w:val="20"/>
                <w:lang w:eastAsia="en-AU"/>
              </w:rPr>
              <w:t>pharmacodynamic</w:t>
            </w:r>
            <w:proofErr w:type="spellEnd"/>
          </w:p>
        </w:tc>
      </w:tr>
      <w:tr w:rsidR="00C8707C" w:rsidTr="000B6417">
        <w:tc>
          <w:tcPr>
            <w:tcW w:w="2518"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PDR</w:t>
            </w:r>
          </w:p>
        </w:tc>
        <w:tc>
          <w:tcPr>
            <w:tcW w:w="6202"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protocol-defined response</w:t>
            </w:r>
          </w:p>
        </w:tc>
      </w:tr>
      <w:tr w:rsidR="00C8707C" w:rsidTr="000B6417">
        <w:tc>
          <w:tcPr>
            <w:tcW w:w="2518"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proofErr w:type="spellStart"/>
            <w:r w:rsidRPr="000B6417">
              <w:rPr>
                <w:rFonts w:eastAsia="TimesNewRoman" w:cs="TimesNewRoman"/>
                <w:color w:val="000000"/>
                <w:sz w:val="20"/>
                <w:szCs w:val="20"/>
                <w:lang w:eastAsia="en-AU"/>
              </w:rPr>
              <w:t>pegIFN</w:t>
            </w:r>
            <w:proofErr w:type="spellEnd"/>
            <w:r w:rsidRPr="000B6417">
              <w:rPr>
                <w:rFonts w:eastAsia="TimesNewRoman" w:cs="Symbol"/>
                <w:color w:val="000000"/>
                <w:sz w:val="20"/>
                <w:szCs w:val="20"/>
                <w:lang w:eastAsia="en-AU"/>
              </w:rPr>
              <w:t>α</w:t>
            </w:r>
            <w:r w:rsidRPr="000B6417">
              <w:rPr>
                <w:rFonts w:eastAsia="TimesNewRoman" w:cs="TimesNewRoman"/>
                <w:color w:val="000000"/>
                <w:sz w:val="20"/>
                <w:szCs w:val="20"/>
                <w:lang w:eastAsia="en-AU"/>
              </w:rPr>
              <w:t>/RBV</w:t>
            </w:r>
          </w:p>
        </w:tc>
        <w:tc>
          <w:tcPr>
            <w:tcW w:w="6202"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proofErr w:type="spellStart"/>
            <w:r w:rsidRPr="000B6417">
              <w:rPr>
                <w:rFonts w:eastAsia="TimesNewRoman" w:cs="TimesNewRoman"/>
                <w:color w:val="000000"/>
                <w:sz w:val="20"/>
                <w:szCs w:val="20"/>
                <w:lang w:eastAsia="en-AU"/>
              </w:rPr>
              <w:t>peginterferon</w:t>
            </w:r>
            <w:proofErr w:type="spellEnd"/>
            <w:r w:rsidRPr="000B6417">
              <w:rPr>
                <w:rFonts w:eastAsia="TimesNewRoman" w:cs="TimesNewRoman"/>
                <w:color w:val="000000"/>
                <w:sz w:val="20"/>
                <w:szCs w:val="20"/>
                <w:lang w:eastAsia="en-AU"/>
              </w:rPr>
              <w:t xml:space="preserve"> </w:t>
            </w:r>
            <w:proofErr w:type="spellStart"/>
            <w:r w:rsidRPr="000B6417">
              <w:rPr>
                <w:rFonts w:eastAsia="TimesNewRoman" w:cs="TimesNewRoman"/>
                <w:color w:val="000000"/>
                <w:sz w:val="20"/>
                <w:szCs w:val="20"/>
                <w:lang w:eastAsia="en-AU"/>
              </w:rPr>
              <w:t>alfa</w:t>
            </w:r>
            <w:proofErr w:type="spellEnd"/>
            <w:r w:rsidRPr="000B6417">
              <w:rPr>
                <w:rFonts w:eastAsia="TimesNewRoman" w:cs="TimesNewRoman"/>
                <w:color w:val="000000"/>
                <w:sz w:val="20"/>
                <w:szCs w:val="20"/>
                <w:lang w:eastAsia="en-AU"/>
              </w:rPr>
              <w:t xml:space="preserve"> plus ribavirin</w:t>
            </w:r>
          </w:p>
        </w:tc>
      </w:tr>
      <w:tr w:rsidR="00C8707C" w:rsidTr="000B6417">
        <w:tc>
          <w:tcPr>
            <w:tcW w:w="2518"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PK</w:t>
            </w:r>
          </w:p>
        </w:tc>
        <w:tc>
          <w:tcPr>
            <w:tcW w:w="6202"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pharmacokinetics</w:t>
            </w:r>
          </w:p>
        </w:tc>
      </w:tr>
      <w:tr w:rsidR="00C8707C" w:rsidTr="000B6417">
        <w:tc>
          <w:tcPr>
            <w:tcW w:w="2518"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PKVC</w:t>
            </w:r>
          </w:p>
        </w:tc>
        <w:tc>
          <w:tcPr>
            <w:tcW w:w="6202"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pharmacokinetic viral kinetic analysis</w:t>
            </w:r>
          </w:p>
        </w:tc>
      </w:tr>
      <w:tr w:rsidR="00C8707C" w:rsidTr="000B6417">
        <w:tc>
          <w:tcPr>
            <w:tcW w:w="2518"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PPK</w:t>
            </w:r>
          </w:p>
        </w:tc>
        <w:tc>
          <w:tcPr>
            <w:tcW w:w="6202"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population pharmacokinetics analysis</w:t>
            </w:r>
          </w:p>
        </w:tc>
      </w:tr>
      <w:tr w:rsidR="00C8707C" w:rsidTr="000B6417">
        <w:tc>
          <w:tcPr>
            <w:tcW w:w="2518"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QD</w:t>
            </w:r>
          </w:p>
        </w:tc>
        <w:tc>
          <w:tcPr>
            <w:tcW w:w="6202"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once daily</w:t>
            </w:r>
          </w:p>
        </w:tc>
      </w:tr>
      <w:tr w:rsidR="00C8707C" w:rsidTr="000B6417">
        <w:tc>
          <w:tcPr>
            <w:tcW w:w="2518"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QW</w:t>
            </w:r>
          </w:p>
        </w:tc>
        <w:tc>
          <w:tcPr>
            <w:tcW w:w="6202"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weekly</w:t>
            </w:r>
          </w:p>
        </w:tc>
      </w:tr>
      <w:tr w:rsidR="00C8707C" w:rsidTr="000B6417">
        <w:tc>
          <w:tcPr>
            <w:tcW w:w="2518"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RAV</w:t>
            </w:r>
          </w:p>
        </w:tc>
        <w:tc>
          <w:tcPr>
            <w:tcW w:w="6202"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resistance-associated variant</w:t>
            </w:r>
          </w:p>
        </w:tc>
      </w:tr>
      <w:tr w:rsidR="00C8707C" w:rsidTr="000B6417">
        <w:tc>
          <w:tcPr>
            <w:tcW w:w="2518"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RBV</w:t>
            </w:r>
          </w:p>
        </w:tc>
        <w:tc>
          <w:tcPr>
            <w:tcW w:w="6202"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ribavirin</w:t>
            </w:r>
          </w:p>
        </w:tc>
      </w:tr>
      <w:tr w:rsidR="00C8707C" w:rsidTr="000B6417">
        <w:tc>
          <w:tcPr>
            <w:tcW w:w="2518"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RCI</w:t>
            </w:r>
          </w:p>
        </w:tc>
        <w:tc>
          <w:tcPr>
            <w:tcW w:w="6202"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replication complex inhibitor</w:t>
            </w:r>
          </w:p>
        </w:tc>
      </w:tr>
      <w:tr w:rsidR="00C8707C" w:rsidTr="000B6417">
        <w:tc>
          <w:tcPr>
            <w:tcW w:w="2518"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RNA</w:t>
            </w:r>
          </w:p>
        </w:tc>
        <w:tc>
          <w:tcPr>
            <w:tcW w:w="6202"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ribonucleic acid</w:t>
            </w:r>
          </w:p>
        </w:tc>
      </w:tr>
      <w:tr w:rsidR="00C8707C" w:rsidTr="000B6417">
        <w:tc>
          <w:tcPr>
            <w:tcW w:w="2518"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RVR</w:t>
            </w:r>
          </w:p>
        </w:tc>
        <w:tc>
          <w:tcPr>
            <w:tcW w:w="6202"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 xml:space="preserve">rapid </w:t>
            </w:r>
            <w:proofErr w:type="spellStart"/>
            <w:r w:rsidRPr="000B6417">
              <w:rPr>
                <w:rFonts w:eastAsia="TimesNewRoman" w:cs="TimesNewRoman"/>
                <w:color w:val="000000"/>
                <w:sz w:val="20"/>
                <w:szCs w:val="20"/>
                <w:lang w:eastAsia="en-AU"/>
              </w:rPr>
              <w:t>virologic</w:t>
            </w:r>
            <w:proofErr w:type="spellEnd"/>
            <w:r w:rsidRPr="000B6417">
              <w:rPr>
                <w:rFonts w:eastAsia="TimesNewRoman" w:cs="TimesNewRoman"/>
                <w:color w:val="000000"/>
                <w:sz w:val="20"/>
                <w:szCs w:val="20"/>
                <w:lang w:eastAsia="en-AU"/>
              </w:rPr>
              <w:t xml:space="preserve"> response</w:t>
            </w:r>
          </w:p>
        </w:tc>
      </w:tr>
      <w:tr w:rsidR="00C8707C" w:rsidTr="000B6417">
        <w:tc>
          <w:tcPr>
            <w:tcW w:w="2518"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SC</w:t>
            </w:r>
          </w:p>
        </w:tc>
        <w:tc>
          <w:tcPr>
            <w:tcW w:w="6202"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subcutaneous</w:t>
            </w:r>
          </w:p>
        </w:tc>
      </w:tr>
      <w:tr w:rsidR="00C8707C" w:rsidTr="000B6417">
        <w:tc>
          <w:tcPr>
            <w:tcW w:w="2518"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SMV</w:t>
            </w:r>
          </w:p>
        </w:tc>
        <w:tc>
          <w:tcPr>
            <w:tcW w:w="6202"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proofErr w:type="spellStart"/>
            <w:r w:rsidRPr="000B6417">
              <w:rPr>
                <w:rFonts w:eastAsia="TimesNewRoman" w:cs="TimesNewRoman"/>
                <w:color w:val="000000"/>
                <w:sz w:val="20"/>
                <w:szCs w:val="20"/>
                <w:lang w:eastAsia="en-AU"/>
              </w:rPr>
              <w:t>simeprevir</w:t>
            </w:r>
            <w:proofErr w:type="spellEnd"/>
          </w:p>
        </w:tc>
      </w:tr>
      <w:tr w:rsidR="00C8707C" w:rsidTr="000B6417">
        <w:tc>
          <w:tcPr>
            <w:tcW w:w="2518"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SNP</w:t>
            </w:r>
          </w:p>
        </w:tc>
        <w:tc>
          <w:tcPr>
            <w:tcW w:w="6202"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single nucleotide polymorphisms</w:t>
            </w:r>
          </w:p>
        </w:tc>
      </w:tr>
      <w:tr w:rsidR="00C8707C" w:rsidTr="000B6417">
        <w:tc>
          <w:tcPr>
            <w:tcW w:w="2518"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SOF</w:t>
            </w:r>
          </w:p>
        </w:tc>
        <w:tc>
          <w:tcPr>
            <w:tcW w:w="6202"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proofErr w:type="spellStart"/>
            <w:r w:rsidRPr="000B6417">
              <w:rPr>
                <w:rFonts w:eastAsia="TimesNewRoman" w:cs="TimesNewRoman"/>
                <w:color w:val="000000"/>
                <w:sz w:val="20"/>
                <w:szCs w:val="20"/>
                <w:lang w:eastAsia="en-AU"/>
              </w:rPr>
              <w:t>sofosbuvir</w:t>
            </w:r>
            <w:proofErr w:type="spellEnd"/>
          </w:p>
        </w:tc>
      </w:tr>
      <w:tr w:rsidR="00C8707C" w:rsidTr="000B6417">
        <w:tc>
          <w:tcPr>
            <w:tcW w:w="2518"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SVR</w:t>
            </w:r>
          </w:p>
        </w:tc>
        <w:tc>
          <w:tcPr>
            <w:tcW w:w="6202"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 xml:space="preserve">sustained </w:t>
            </w:r>
            <w:proofErr w:type="spellStart"/>
            <w:r w:rsidRPr="000B6417">
              <w:rPr>
                <w:rFonts w:eastAsia="TimesNewRoman" w:cs="TimesNewRoman"/>
                <w:color w:val="000000"/>
                <w:sz w:val="20"/>
                <w:szCs w:val="20"/>
                <w:lang w:eastAsia="en-AU"/>
              </w:rPr>
              <w:t>virologic</w:t>
            </w:r>
            <w:proofErr w:type="spellEnd"/>
            <w:r w:rsidRPr="000B6417">
              <w:rPr>
                <w:rFonts w:eastAsia="TimesNewRoman" w:cs="TimesNewRoman"/>
                <w:color w:val="000000"/>
                <w:sz w:val="20"/>
                <w:szCs w:val="20"/>
                <w:lang w:eastAsia="en-AU"/>
              </w:rPr>
              <w:t xml:space="preserve"> response</w:t>
            </w:r>
          </w:p>
        </w:tc>
      </w:tr>
      <w:tr w:rsidR="00C8707C" w:rsidTr="000B6417">
        <w:tc>
          <w:tcPr>
            <w:tcW w:w="2518"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SVR4, 12, 24, 36, 48</w:t>
            </w:r>
          </w:p>
        </w:tc>
        <w:tc>
          <w:tcPr>
            <w:tcW w:w="6202"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 xml:space="preserve">sustained </w:t>
            </w:r>
            <w:proofErr w:type="spellStart"/>
            <w:r w:rsidRPr="000B6417">
              <w:rPr>
                <w:rFonts w:eastAsia="TimesNewRoman" w:cs="TimesNewRoman"/>
                <w:color w:val="000000"/>
                <w:sz w:val="20"/>
                <w:szCs w:val="20"/>
                <w:lang w:eastAsia="en-AU"/>
              </w:rPr>
              <w:t>virologic</w:t>
            </w:r>
            <w:proofErr w:type="spellEnd"/>
            <w:r w:rsidRPr="000B6417">
              <w:rPr>
                <w:rFonts w:eastAsia="TimesNewRoman" w:cs="TimesNewRoman"/>
                <w:color w:val="000000"/>
                <w:sz w:val="20"/>
                <w:szCs w:val="20"/>
                <w:lang w:eastAsia="en-AU"/>
              </w:rPr>
              <w:t xml:space="preserve"> response at follow-up Week 4, 12, 24, 36, 48</w:t>
            </w:r>
          </w:p>
        </w:tc>
      </w:tr>
      <w:tr w:rsidR="00C8707C" w:rsidTr="000B6417">
        <w:tc>
          <w:tcPr>
            <w:tcW w:w="2518"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lastRenderedPageBreak/>
              <w:t>TD</w:t>
            </w:r>
          </w:p>
        </w:tc>
        <w:tc>
          <w:tcPr>
            <w:tcW w:w="6202"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target detected</w:t>
            </w:r>
          </w:p>
        </w:tc>
      </w:tr>
      <w:tr w:rsidR="00C8707C" w:rsidTr="000B6417">
        <w:tc>
          <w:tcPr>
            <w:tcW w:w="2518"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TND</w:t>
            </w:r>
          </w:p>
        </w:tc>
        <w:tc>
          <w:tcPr>
            <w:tcW w:w="6202"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target not detected</w:t>
            </w:r>
          </w:p>
        </w:tc>
      </w:tr>
      <w:tr w:rsidR="00C8707C" w:rsidTr="000B6417">
        <w:tc>
          <w:tcPr>
            <w:tcW w:w="2518"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TVR</w:t>
            </w:r>
          </w:p>
        </w:tc>
        <w:tc>
          <w:tcPr>
            <w:tcW w:w="6202"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proofErr w:type="spellStart"/>
            <w:r w:rsidRPr="000B6417">
              <w:rPr>
                <w:rFonts w:eastAsia="TimesNewRoman" w:cs="TimesNewRoman"/>
                <w:color w:val="000000"/>
                <w:sz w:val="20"/>
                <w:szCs w:val="20"/>
                <w:lang w:eastAsia="en-AU"/>
              </w:rPr>
              <w:t>telaprevir</w:t>
            </w:r>
            <w:proofErr w:type="spellEnd"/>
          </w:p>
        </w:tc>
      </w:tr>
      <w:tr w:rsidR="00C8707C" w:rsidTr="000B6417">
        <w:tc>
          <w:tcPr>
            <w:tcW w:w="2518"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0B6417">
              <w:rPr>
                <w:rFonts w:eastAsia="TimesNewRoman" w:cs="TimesNewRoman"/>
                <w:color w:val="000000"/>
                <w:sz w:val="20"/>
                <w:szCs w:val="20"/>
                <w:lang w:eastAsia="en-AU"/>
              </w:rPr>
              <w:t>VBT</w:t>
            </w:r>
          </w:p>
        </w:tc>
        <w:tc>
          <w:tcPr>
            <w:tcW w:w="6202" w:type="dxa"/>
            <w:shd w:val="clear" w:color="auto" w:fill="auto"/>
            <w:hideMark/>
          </w:tcPr>
          <w:p w:rsidR="00C8707C" w:rsidRPr="000B6417" w:rsidRDefault="00C8707C" w:rsidP="000B6417">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proofErr w:type="spellStart"/>
            <w:r w:rsidRPr="000B6417">
              <w:rPr>
                <w:rFonts w:eastAsia="TimesNewRoman" w:cs="TimesNewRoman"/>
                <w:color w:val="000000"/>
                <w:sz w:val="20"/>
                <w:szCs w:val="20"/>
                <w:lang w:eastAsia="en-AU"/>
              </w:rPr>
              <w:t>virologic</w:t>
            </w:r>
            <w:proofErr w:type="spellEnd"/>
            <w:r w:rsidRPr="000B6417">
              <w:rPr>
                <w:rFonts w:eastAsia="TimesNewRoman" w:cs="TimesNewRoman"/>
                <w:color w:val="000000"/>
                <w:sz w:val="20"/>
                <w:szCs w:val="20"/>
                <w:lang w:eastAsia="en-AU"/>
              </w:rPr>
              <w:t xml:space="preserve"> breakthrough</w:t>
            </w:r>
          </w:p>
        </w:tc>
      </w:tr>
    </w:tbl>
    <w:p w:rsidR="00C8707C" w:rsidRDefault="00C8707C" w:rsidP="00C8707C">
      <w:pPr>
        <w:pStyle w:val="Heading2"/>
        <w:pageBreakBefore/>
        <w:numPr>
          <w:ilvl w:val="0"/>
          <w:numId w:val="5"/>
        </w:numPr>
        <w:rPr>
          <w:lang w:eastAsia="en-AU"/>
        </w:rPr>
      </w:pPr>
      <w:bookmarkStart w:id="9" w:name="_Toc431369658"/>
      <w:bookmarkStart w:id="10" w:name="_Toc438116058"/>
      <w:r>
        <w:rPr>
          <w:lang w:eastAsia="en-AU"/>
        </w:rPr>
        <w:lastRenderedPageBreak/>
        <w:t>Introduction</w:t>
      </w:r>
      <w:bookmarkEnd w:id="9"/>
      <w:bookmarkEnd w:id="10"/>
    </w:p>
    <w:p w:rsidR="00C8707C" w:rsidRDefault="00C8707C" w:rsidP="00C8707C">
      <w:r>
        <w:t xml:space="preserve">This is a full submission to register the new chemical entity </w:t>
      </w:r>
      <w:proofErr w:type="spellStart"/>
      <w:r>
        <w:t>asunaprevir</w:t>
      </w:r>
      <w:proofErr w:type="spellEnd"/>
      <w:r>
        <w:t>.</w:t>
      </w:r>
    </w:p>
    <w:p w:rsidR="00C8707C" w:rsidRDefault="00C8707C" w:rsidP="00C8707C">
      <w:proofErr w:type="spellStart"/>
      <w:r>
        <w:t>Asunaprevir</w:t>
      </w:r>
      <w:proofErr w:type="spellEnd"/>
      <w:r>
        <w:t xml:space="preserve"> (ASV) is a direct-acting antiviral agent (DAA) that is a selective inhibitor of the hepatitis C virus (HCV) non-structural protein </w:t>
      </w:r>
      <w:proofErr w:type="gramStart"/>
      <w:r>
        <w:t>3 (NS3) protease</w:t>
      </w:r>
      <w:proofErr w:type="gramEnd"/>
      <w:r>
        <w:t xml:space="preserve"> and subsequently viral ribonucleic acid (RNA) replication with genotype (GT) 1 and 4 coverage.</w:t>
      </w:r>
    </w:p>
    <w:p w:rsidR="00C8707C" w:rsidRDefault="00C8707C" w:rsidP="00C8707C">
      <w:r>
        <w:t>The proposed indication is:</w:t>
      </w:r>
    </w:p>
    <w:p w:rsidR="00C8707C" w:rsidRDefault="00C8707C" w:rsidP="00C8707C">
      <w:pPr>
        <w:ind w:left="284"/>
      </w:pPr>
      <w:proofErr w:type="spellStart"/>
      <w:r>
        <w:t>Sunvepra</w:t>
      </w:r>
      <w:proofErr w:type="spellEnd"/>
      <w:r>
        <w:t xml:space="preserve"> (</w:t>
      </w:r>
      <w:proofErr w:type="spellStart"/>
      <w:r>
        <w:t>asunaprevir</w:t>
      </w:r>
      <w:proofErr w:type="spellEnd"/>
      <w:r>
        <w:t>) is indicated for the treatment of chronic hepatitis C virus (HCV) infection in adults with compensated liver disease (including cirrhosis) in combination with:</w:t>
      </w:r>
    </w:p>
    <w:p w:rsidR="00C8707C" w:rsidRDefault="00C8707C" w:rsidP="00C8707C">
      <w:pPr>
        <w:pStyle w:val="ListParagraph"/>
        <w:numPr>
          <w:ilvl w:val="0"/>
          <w:numId w:val="7"/>
        </w:numPr>
        <w:tabs>
          <w:tab w:val="clear" w:pos="567"/>
          <w:tab w:val="clear" w:pos="851"/>
          <w:tab w:val="clear" w:pos="1134"/>
          <w:tab w:val="left" w:pos="709"/>
        </w:tabs>
        <w:ind w:left="709" w:hanging="425"/>
      </w:pPr>
      <w:proofErr w:type="spellStart"/>
      <w:r>
        <w:t>Daklinza</w:t>
      </w:r>
      <w:proofErr w:type="spellEnd"/>
      <w:r>
        <w:t>, an NS5A replication complex inhibitor, for patients with HCV genotype 1b infection (See Clinical Trials and Dosage and Administration)</w:t>
      </w:r>
    </w:p>
    <w:p w:rsidR="00C8707C" w:rsidRDefault="00C8707C" w:rsidP="00C8707C">
      <w:pPr>
        <w:pStyle w:val="ListParagraph"/>
        <w:numPr>
          <w:ilvl w:val="0"/>
          <w:numId w:val="7"/>
        </w:numPr>
        <w:tabs>
          <w:tab w:val="clear" w:pos="567"/>
          <w:tab w:val="clear" w:pos="851"/>
          <w:tab w:val="clear" w:pos="1134"/>
          <w:tab w:val="left" w:pos="709"/>
        </w:tabs>
        <w:ind w:left="709" w:hanging="425"/>
      </w:pPr>
      <w:proofErr w:type="spellStart"/>
      <w:r>
        <w:t>Daklinza</w:t>
      </w:r>
      <w:proofErr w:type="spellEnd"/>
      <w:r>
        <w:t xml:space="preserve">, </w:t>
      </w:r>
      <w:proofErr w:type="spellStart"/>
      <w:r>
        <w:t>peginterferon</w:t>
      </w:r>
      <w:proofErr w:type="spellEnd"/>
      <w:r>
        <w:t xml:space="preserve"> </w:t>
      </w:r>
      <w:proofErr w:type="spellStart"/>
      <w:r>
        <w:t>alfa</w:t>
      </w:r>
      <w:proofErr w:type="spellEnd"/>
      <w:r>
        <w:t>, and ribavirin for patients with HCV genotype 1 or 4 infection (see Clinical Trials and Dosage and Administration)</w:t>
      </w:r>
    </w:p>
    <w:p w:rsidR="002C4CAD" w:rsidRDefault="00C8707C" w:rsidP="00C8707C">
      <w:r>
        <w:t>The submission proposes registration of the following dosage form and strength:</w:t>
      </w:r>
    </w:p>
    <w:p w:rsidR="00C8707C" w:rsidRDefault="00C8707C" w:rsidP="00C8707C">
      <w:pPr>
        <w:pStyle w:val="ListBullet"/>
        <w:numPr>
          <w:ilvl w:val="0"/>
          <w:numId w:val="1"/>
        </w:numPr>
      </w:pPr>
      <w:r>
        <w:t xml:space="preserve">Oval, opaque white to pale yellow, soft </w:t>
      </w:r>
      <w:proofErr w:type="spellStart"/>
      <w:r>
        <w:t>gelatin</w:t>
      </w:r>
      <w:proofErr w:type="spellEnd"/>
      <w:r>
        <w:t xml:space="preserve"> capsules imprinted with BMS in black on one line and 711 in black on second line, filled with clear solution containing 100 mg of </w:t>
      </w:r>
      <w:proofErr w:type="spellStart"/>
      <w:r>
        <w:t>asunaprevir</w:t>
      </w:r>
      <w:proofErr w:type="spellEnd"/>
      <w:r>
        <w:t>.</w:t>
      </w:r>
    </w:p>
    <w:p w:rsidR="00C8707C" w:rsidRDefault="00C8707C" w:rsidP="00C8707C">
      <w:pPr>
        <w:pStyle w:val="Heading3"/>
        <w:numPr>
          <w:ilvl w:val="1"/>
          <w:numId w:val="5"/>
        </w:numPr>
      </w:pPr>
      <w:bookmarkStart w:id="11" w:name="_Toc401659931"/>
      <w:bookmarkStart w:id="12" w:name="_Toc290846231"/>
      <w:bookmarkStart w:id="13" w:name="_Toc272414609"/>
      <w:bookmarkStart w:id="14" w:name="_Toc431369659"/>
      <w:bookmarkStart w:id="15" w:name="_Toc438116059"/>
      <w:r>
        <w:t>Guidance</w:t>
      </w:r>
      <w:bookmarkEnd w:id="11"/>
      <w:bookmarkEnd w:id="12"/>
      <w:bookmarkEnd w:id="13"/>
      <w:bookmarkEnd w:id="14"/>
      <w:bookmarkEnd w:id="15"/>
    </w:p>
    <w:p w:rsidR="00C8707C" w:rsidRDefault="00C8707C" w:rsidP="00C8707C">
      <w:r>
        <w:t>The TGA has adopted the following European Medicines Agency guidelines which are relevant to the submission:</w:t>
      </w:r>
    </w:p>
    <w:p w:rsidR="00C8707C" w:rsidRDefault="00C8707C" w:rsidP="00C8707C">
      <w:pPr>
        <w:pStyle w:val="ListBullet"/>
        <w:numPr>
          <w:ilvl w:val="0"/>
          <w:numId w:val="1"/>
        </w:numPr>
      </w:pPr>
      <w:r>
        <w:t>Guideline on pharmacokinetic studies in man</w:t>
      </w:r>
      <w:r>
        <w:rPr>
          <w:vertAlign w:val="superscript"/>
        </w:rPr>
        <w:t>5</w:t>
      </w:r>
      <w:r>
        <w:t>.</w:t>
      </w:r>
    </w:p>
    <w:p w:rsidR="00C8707C" w:rsidRDefault="00C8707C" w:rsidP="00C8707C">
      <w:pPr>
        <w:pStyle w:val="ListBullet"/>
        <w:numPr>
          <w:ilvl w:val="0"/>
          <w:numId w:val="1"/>
        </w:numPr>
      </w:pPr>
      <w:r>
        <w:t>Note for guidance on the evaluation of the pharmacokinetics of medicinal products in patients with impaired renal function</w:t>
      </w:r>
      <w:r>
        <w:rPr>
          <w:vertAlign w:val="superscript"/>
        </w:rPr>
        <w:t>6</w:t>
      </w:r>
      <w:r>
        <w:t>.</w:t>
      </w:r>
    </w:p>
    <w:p w:rsidR="00C8707C" w:rsidRDefault="00C8707C" w:rsidP="00C8707C">
      <w:pPr>
        <w:pStyle w:val="ListBullet"/>
        <w:numPr>
          <w:ilvl w:val="0"/>
          <w:numId w:val="1"/>
        </w:numPr>
      </w:pPr>
      <w:r>
        <w:t>Concept paper on the need for revision of the note for guidance on the evaluation of the pharmacokinetics of medicinal products in patients with impaired renal function</w:t>
      </w:r>
      <w:r>
        <w:rPr>
          <w:vertAlign w:val="superscript"/>
        </w:rPr>
        <w:t>7</w:t>
      </w:r>
      <w:r>
        <w:t>.</w:t>
      </w:r>
    </w:p>
    <w:p w:rsidR="00C8707C" w:rsidRDefault="00C8707C" w:rsidP="00C8707C">
      <w:pPr>
        <w:pStyle w:val="ListBullet"/>
        <w:numPr>
          <w:ilvl w:val="0"/>
          <w:numId w:val="1"/>
        </w:numPr>
      </w:pPr>
      <w:r>
        <w:t>Guideline on the evaluation of the pharmacokinetics of medicinal products in patients with impaired hepatic function</w:t>
      </w:r>
      <w:r>
        <w:rPr>
          <w:vertAlign w:val="superscript"/>
        </w:rPr>
        <w:t>8</w:t>
      </w:r>
      <w:r>
        <w:t>.</w:t>
      </w:r>
    </w:p>
    <w:p w:rsidR="00C8707C" w:rsidRDefault="00C8707C" w:rsidP="00C8707C">
      <w:pPr>
        <w:pStyle w:val="ListBullet"/>
        <w:numPr>
          <w:ilvl w:val="0"/>
          <w:numId w:val="1"/>
        </w:numPr>
      </w:pPr>
      <w:r>
        <w:t xml:space="preserve">Guideline on the investigation of drug interactions </w:t>
      </w:r>
      <w:r>
        <w:rPr>
          <w:vertAlign w:val="superscript"/>
        </w:rPr>
        <w:t>9</w:t>
      </w:r>
      <w:r>
        <w:t>.</w:t>
      </w:r>
    </w:p>
    <w:p w:rsidR="00C8707C" w:rsidRDefault="00C8707C" w:rsidP="00C8707C">
      <w:pPr>
        <w:pStyle w:val="ListBullet"/>
        <w:numPr>
          <w:ilvl w:val="0"/>
          <w:numId w:val="1"/>
        </w:numPr>
      </w:pPr>
      <w:r>
        <w:t>Guideline on the clinical evaluation of QT/</w:t>
      </w:r>
      <w:proofErr w:type="spellStart"/>
      <w:r>
        <w:t>QTc</w:t>
      </w:r>
      <w:proofErr w:type="spellEnd"/>
      <w:r>
        <w:t xml:space="preserve"> interval prolongation and </w:t>
      </w:r>
      <w:proofErr w:type="spellStart"/>
      <w:r>
        <w:t>proarrhythmic</w:t>
      </w:r>
      <w:proofErr w:type="spellEnd"/>
      <w:r>
        <w:t xml:space="preserve"> potential for non-antiarrhythmic drugs </w:t>
      </w:r>
      <w:r>
        <w:rPr>
          <w:vertAlign w:val="superscript"/>
        </w:rPr>
        <w:t>10</w:t>
      </w:r>
      <w:r>
        <w:t>.</w:t>
      </w:r>
    </w:p>
    <w:p w:rsidR="00C8707C" w:rsidRDefault="00C8707C" w:rsidP="00C8707C">
      <w:pPr>
        <w:pStyle w:val="ListBullet"/>
        <w:numPr>
          <w:ilvl w:val="0"/>
          <w:numId w:val="1"/>
        </w:numPr>
      </w:pPr>
      <w:r>
        <w:t>Guideline on the clinical evaluation of direct acting antiviral agents intended for treatment of chronic hepatitis C</w:t>
      </w:r>
      <w:r>
        <w:rPr>
          <w:vertAlign w:val="superscript"/>
        </w:rPr>
        <w:t>11</w:t>
      </w:r>
      <w:r>
        <w:t>.</w:t>
      </w:r>
    </w:p>
    <w:p w:rsidR="00C8707C" w:rsidRDefault="00C8707C" w:rsidP="00C8707C">
      <w:r>
        <w:t>In addition, US Food and Drug Administration guidance is noted:</w:t>
      </w:r>
    </w:p>
    <w:p w:rsidR="00C8707C" w:rsidRDefault="00C8707C" w:rsidP="00C8707C">
      <w:pPr>
        <w:pStyle w:val="ListBullet"/>
        <w:numPr>
          <w:ilvl w:val="0"/>
          <w:numId w:val="1"/>
        </w:numPr>
      </w:pPr>
      <w:r>
        <w:t>Guidance for Industry Chronic Hepatitis C Virus Infection: Developing Direct-Acting Antiviral Drugs for Treatment</w:t>
      </w:r>
      <w:r>
        <w:rPr>
          <w:vertAlign w:val="superscript"/>
        </w:rPr>
        <w:t>12</w:t>
      </w:r>
      <w:r>
        <w:t>.</w:t>
      </w:r>
    </w:p>
    <w:p w:rsidR="00C8707C" w:rsidRDefault="00C8707C" w:rsidP="00C8707C">
      <w:pPr>
        <w:pStyle w:val="Heading3"/>
        <w:numPr>
          <w:ilvl w:val="1"/>
          <w:numId w:val="5"/>
        </w:numPr>
      </w:pPr>
      <w:bookmarkStart w:id="16" w:name="_Toc401659932"/>
      <w:bookmarkStart w:id="17" w:name="_Toc290846230"/>
      <w:bookmarkStart w:id="18" w:name="_Toc272414608"/>
      <w:bookmarkStart w:id="19" w:name="_Toc431369660"/>
      <w:bookmarkStart w:id="20" w:name="_Toc438116060"/>
      <w:r>
        <w:t>Related submissions</w:t>
      </w:r>
      <w:bookmarkEnd w:id="16"/>
      <w:bookmarkEnd w:id="17"/>
      <w:bookmarkEnd w:id="18"/>
      <w:bookmarkEnd w:id="19"/>
      <w:bookmarkEnd w:id="20"/>
    </w:p>
    <w:p w:rsidR="00C8707C" w:rsidRDefault="00C8707C" w:rsidP="00C8707C">
      <w:r>
        <w:t xml:space="preserve">As </w:t>
      </w:r>
      <w:r>
        <w:rPr>
          <w:bCs/>
        </w:rPr>
        <w:t xml:space="preserve">ASV </w:t>
      </w:r>
      <w:r>
        <w:t>is indicated in combination with other medications the following submissions are related:</w:t>
      </w:r>
    </w:p>
    <w:p w:rsidR="00C8707C" w:rsidRDefault="00C8707C" w:rsidP="00C8707C">
      <w:pPr>
        <w:pStyle w:val="ListBullet"/>
        <w:numPr>
          <w:ilvl w:val="0"/>
          <w:numId w:val="1"/>
        </w:numPr>
      </w:pPr>
      <w:r>
        <w:t>DCV: currently under evaluation</w:t>
      </w:r>
      <w:r w:rsidR="00DA707A">
        <w:t>.</w:t>
      </w:r>
    </w:p>
    <w:p w:rsidR="00C8707C" w:rsidRDefault="00C8707C" w:rsidP="00C8707C">
      <w:pPr>
        <w:pStyle w:val="ListBullet"/>
        <w:numPr>
          <w:ilvl w:val="0"/>
          <w:numId w:val="1"/>
        </w:numPr>
      </w:pPr>
      <w:r>
        <w:t>Interferon (IFN) α and RBV have been approved as both single agents and as combination therapy for the treatment of CHC C in patients previously untreated and in those who have relapsed following IFNα monotherapy</w:t>
      </w:r>
      <w:r w:rsidR="00DA707A">
        <w:t>.</w:t>
      </w:r>
    </w:p>
    <w:p w:rsidR="002C4CAD" w:rsidRDefault="00C8707C" w:rsidP="00C8707C">
      <w:pPr>
        <w:pStyle w:val="ListBullet"/>
        <w:numPr>
          <w:ilvl w:val="0"/>
          <w:numId w:val="1"/>
        </w:numPr>
      </w:pPr>
      <w:r>
        <w:lastRenderedPageBreak/>
        <w:t>Other DAAs approved for marketing in Australia: TVP, BOC, SOF and SMV.</w:t>
      </w:r>
    </w:p>
    <w:p w:rsidR="00C8707C" w:rsidRDefault="00C8707C" w:rsidP="00C52DE9">
      <w:pPr>
        <w:pStyle w:val="Heading3"/>
      </w:pPr>
      <w:bookmarkStart w:id="21" w:name="_Toc431369661"/>
      <w:bookmarkStart w:id="22" w:name="_Toc438116061"/>
      <w:r>
        <w:t>Clinical rationale</w:t>
      </w:r>
      <w:bookmarkEnd w:id="21"/>
      <w:bookmarkEnd w:id="22"/>
    </w:p>
    <w:p w:rsidR="00C8707C" w:rsidRPr="00255438" w:rsidRDefault="00C8707C" w:rsidP="00C52DE9">
      <w:pPr>
        <w:rPr>
          <w:i/>
        </w:rPr>
      </w:pPr>
      <w:r w:rsidRPr="00255438">
        <w:rPr>
          <w:i/>
        </w:rPr>
        <w:t>Approximately 150 to 160 million people worldwide are chronically infected with HCV. The majority of infected individuals progress to chronic hepatitis, which can lead to cirrhosis, liver failure, and hepatocellular carcinoma (HCC).</w:t>
      </w:r>
    </w:p>
    <w:p w:rsidR="00C8707C" w:rsidRPr="00255438" w:rsidRDefault="00C8707C" w:rsidP="00C8707C">
      <w:pPr>
        <w:rPr>
          <w:i/>
        </w:rPr>
      </w:pPr>
      <w:r w:rsidRPr="00255438">
        <w:rPr>
          <w:i/>
        </w:rPr>
        <w:t xml:space="preserve">Chronic hepatitis C (CHC) infection is associated with variable degrees of hepatic inflammation and progression of fibrosis. Liver disease progression takes place over several decades, and is accelerated in the presence of co-factors such as alcohol consumption, diabetes mellitus, old age, HIV co-infection, or </w:t>
      </w:r>
      <w:proofErr w:type="spellStart"/>
      <w:r w:rsidRPr="00255438">
        <w:rPr>
          <w:i/>
        </w:rPr>
        <w:t>hepatotropic</w:t>
      </w:r>
      <w:proofErr w:type="spellEnd"/>
      <w:r w:rsidRPr="00255438">
        <w:rPr>
          <w:i/>
        </w:rPr>
        <w:t xml:space="preserve"> virus co-infection. Between 10-40% of patients with CHC will develop cirrhosis depending on the presence of these co-factors. Deaths, related to the complications of cirrhosis, occur at an incidence of approximately 4% per year, and HCC occurs in this population at an estimated incidence of 1-5% per year. Given that HCC often goes undiagnosed until late into the disease, once diagnosed with HCC, patients have an approximate 33% probability of death during the first year.</w:t>
      </w:r>
    </w:p>
    <w:p w:rsidR="00C8707C" w:rsidRPr="00255438" w:rsidRDefault="00C8707C" w:rsidP="00C8707C">
      <w:pPr>
        <w:rPr>
          <w:i/>
        </w:rPr>
      </w:pPr>
      <w:r w:rsidRPr="00255438">
        <w:rPr>
          <w:i/>
        </w:rPr>
        <w:t xml:space="preserve">Various HCV genotypes (GT) have been described that respond differently to current treatment regimens. HCV GT-1 (subtypes 1a and 1b) is the most prevalent worldwide with a higher prevalence of GT-1a in the United States and GT-1b in Europe. GT-3 is the second most prevalent GT in some European countries and India, and is associated with an increased likelihood of developing hepatic complications, from </w:t>
      </w:r>
      <w:proofErr w:type="spellStart"/>
      <w:r w:rsidRPr="00255438">
        <w:rPr>
          <w:i/>
        </w:rPr>
        <w:t>steatosis</w:t>
      </w:r>
      <w:proofErr w:type="spellEnd"/>
      <w:r w:rsidRPr="00255438">
        <w:rPr>
          <w:i/>
        </w:rPr>
        <w:t xml:space="preserve"> to HCC. Due to the migration from North-East and Sub-Saharan Africa, HCV GT-4 accounts for up to 19% of cases in Mediterranean countries and in 5-8% in Central and Western European countries. GT-2 is found in clusters in the Mediterranean region, while GT-5 and GT-6 are more rarely found in Europe.</w:t>
      </w:r>
    </w:p>
    <w:p w:rsidR="00C8707C" w:rsidRDefault="00C8707C" w:rsidP="00C8707C">
      <w:pPr>
        <w:pStyle w:val="Comment"/>
      </w:pPr>
      <w:r>
        <w:rPr>
          <w:b/>
        </w:rPr>
        <w:t>Comment:</w:t>
      </w:r>
      <w:r>
        <w:t xml:space="preserve"> There is no discussion of the prevalence of genotypes in Australia in the application but in a reference quoted in the Risk Management Plan (RMP) and supported by a publication not provided in the submission it is estimated that in Australia, approximately 32 to 35% of people with hepatitis C have subtype GT-3 (mostly being GT-3a), 15 to 35% have GT-1a, 15 to 23% have GT-1b and 7 to 9.3%, have GT-2, 5.5% have GT-4 and 1.7% </w:t>
      </w:r>
      <w:r w:rsidRPr="00D72688">
        <w:t>have GT-6.</w:t>
      </w:r>
      <w:r w:rsidRPr="00D72688">
        <w:rPr>
          <w:rStyle w:val="FootnoteReference"/>
        </w:rPr>
        <w:footnoteReference w:id="1"/>
      </w:r>
      <w:r w:rsidRPr="00D72688">
        <w:rPr>
          <w:vertAlign w:val="superscript"/>
        </w:rPr>
        <w:t>,</w:t>
      </w:r>
      <w:r w:rsidRPr="00D72688">
        <w:rPr>
          <w:rStyle w:val="FootnoteReference"/>
        </w:rPr>
        <w:footnoteReference w:id="2"/>
      </w:r>
    </w:p>
    <w:p w:rsidR="00C8707C" w:rsidRPr="003B73BB" w:rsidRDefault="00C8707C" w:rsidP="00C8707C">
      <w:pPr>
        <w:rPr>
          <w:i/>
        </w:rPr>
      </w:pPr>
      <w:proofErr w:type="spellStart"/>
      <w:r w:rsidRPr="003B73BB">
        <w:rPr>
          <w:i/>
        </w:rPr>
        <w:t>Peginterferon</w:t>
      </w:r>
      <w:proofErr w:type="spellEnd"/>
      <w:r w:rsidRPr="003B73BB">
        <w:rPr>
          <w:i/>
        </w:rPr>
        <w:t xml:space="preserve"> </w:t>
      </w:r>
      <w:proofErr w:type="spellStart"/>
      <w:r w:rsidRPr="003B73BB">
        <w:rPr>
          <w:i/>
        </w:rPr>
        <w:t>alfa</w:t>
      </w:r>
      <w:proofErr w:type="spellEnd"/>
      <w:r w:rsidRPr="003B73BB">
        <w:rPr>
          <w:i/>
        </w:rPr>
        <w:t xml:space="preserve"> in combination with ribavirin (</w:t>
      </w:r>
      <w:proofErr w:type="spellStart"/>
      <w:r w:rsidRPr="003B73BB">
        <w:rPr>
          <w:i/>
        </w:rPr>
        <w:t>pegIFN</w:t>
      </w:r>
      <w:proofErr w:type="spellEnd"/>
      <w:r w:rsidRPr="003B73BB">
        <w:rPr>
          <w:i/>
        </w:rPr>
        <w:t xml:space="preserve">α/RBV) was the traditional well accepted standard of care for the treatment of CHC until 2011. This treatment regimen is administered for either 48 weeks (GT-1, -4, -5, -6) or for 24 weeks (GT-2 and </w:t>
      </w:r>
      <w:r w:rsidR="000B6417">
        <w:rPr>
          <w:i/>
        </w:rPr>
        <w:t>-</w:t>
      </w:r>
      <w:r w:rsidRPr="003B73BB">
        <w:rPr>
          <w:i/>
        </w:rPr>
        <w:t xml:space="preserve">3), inducing sustained </w:t>
      </w:r>
      <w:proofErr w:type="spellStart"/>
      <w:r w:rsidRPr="003B73BB">
        <w:rPr>
          <w:i/>
        </w:rPr>
        <w:t>virologic</w:t>
      </w:r>
      <w:proofErr w:type="spellEnd"/>
      <w:r w:rsidRPr="003B73BB">
        <w:rPr>
          <w:i/>
        </w:rPr>
        <w:t xml:space="preserve"> response at 24 weeks (SVR24) rates of 42% to 46% in patients with HCV GT-1 and GT-4, and 76% and 82% in patients with GT-2 and GT-3 infections.</w:t>
      </w:r>
    </w:p>
    <w:p w:rsidR="002C4CAD" w:rsidRDefault="00C8707C" w:rsidP="00C8707C">
      <w:pPr>
        <w:rPr>
          <w:i/>
        </w:rPr>
      </w:pPr>
      <w:r w:rsidRPr="003B73BB">
        <w:rPr>
          <w:i/>
        </w:rPr>
        <w:t xml:space="preserve">In </w:t>
      </w:r>
      <w:r w:rsidRPr="00D72688">
        <w:rPr>
          <w:i/>
        </w:rPr>
        <w:t>recent years the introduction of DAAs, which target specific viral enzymes, have improved patient outcomes.</w:t>
      </w:r>
      <w:r w:rsidRPr="00D72688">
        <w:rPr>
          <w:rStyle w:val="FootnoteReference"/>
          <w:i/>
        </w:rPr>
        <w:footnoteReference w:id="3"/>
      </w:r>
      <w:r w:rsidRPr="00D72688">
        <w:rPr>
          <w:i/>
          <w:vertAlign w:val="superscript"/>
        </w:rPr>
        <w:t>,</w:t>
      </w:r>
      <w:r w:rsidRPr="00D72688">
        <w:rPr>
          <w:rStyle w:val="FootnoteReference"/>
          <w:i/>
        </w:rPr>
        <w:footnoteReference w:id="4"/>
      </w:r>
      <w:r w:rsidRPr="00D72688">
        <w:rPr>
          <w:i/>
        </w:rPr>
        <w:t xml:space="preserve"> In 2011</w:t>
      </w:r>
      <w:r w:rsidRPr="003B73BB">
        <w:rPr>
          <w:i/>
        </w:rPr>
        <w:t xml:space="preserve">, 2 DAA agents, the HCV NS3/4A protease inhibitors </w:t>
      </w:r>
      <w:proofErr w:type="spellStart"/>
      <w:r w:rsidRPr="003B73BB">
        <w:rPr>
          <w:i/>
        </w:rPr>
        <w:t>telaprevir</w:t>
      </w:r>
      <w:proofErr w:type="spellEnd"/>
      <w:r w:rsidRPr="003B73BB">
        <w:rPr>
          <w:i/>
        </w:rPr>
        <w:t xml:space="preserve"> (TVR) and </w:t>
      </w:r>
      <w:proofErr w:type="spellStart"/>
      <w:r w:rsidRPr="003B73BB">
        <w:rPr>
          <w:i/>
        </w:rPr>
        <w:t>boceprevir</w:t>
      </w:r>
      <w:proofErr w:type="spellEnd"/>
      <w:r w:rsidRPr="003B73BB">
        <w:rPr>
          <w:i/>
        </w:rPr>
        <w:t xml:space="preserve"> (BOC), added on to </w:t>
      </w:r>
      <w:proofErr w:type="spellStart"/>
      <w:r w:rsidRPr="003B73BB">
        <w:rPr>
          <w:i/>
        </w:rPr>
        <w:t>pegIFN</w:t>
      </w:r>
      <w:proofErr w:type="spellEnd"/>
      <w:r w:rsidRPr="003B73BB">
        <w:rPr>
          <w:i/>
        </w:rPr>
        <w:t xml:space="preserve">α/RBV were approved in the United States (US) and European Union (EU). These DAA/ </w:t>
      </w:r>
      <w:proofErr w:type="spellStart"/>
      <w:r w:rsidRPr="003B73BB">
        <w:rPr>
          <w:i/>
        </w:rPr>
        <w:t>pegIFN</w:t>
      </w:r>
      <w:proofErr w:type="spellEnd"/>
      <w:r w:rsidRPr="003B73BB">
        <w:rPr>
          <w:i/>
        </w:rPr>
        <w:t>α/RBV regimens were then considered the standard of care for treating CHC patients in the EU, US, Japan and other regions.</w:t>
      </w:r>
    </w:p>
    <w:p w:rsidR="00C8707C" w:rsidRDefault="00C8707C" w:rsidP="00C8707C">
      <w:pPr>
        <w:pStyle w:val="Comment"/>
      </w:pPr>
      <w:r>
        <w:rPr>
          <w:b/>
        </w:rPr>
        <w:t>Comment:</w:t>
      </w:r>
      <w:r>
        <w:t xml:space="preserve"> </w:t>
      </w:r>
      <w:proofErr w:type="spellStart"/>
      <w:r>
        <w:t>B</w:t>
      </w:r>
      <w:r>
        <w:rPr>
          <w:rFonts w:eastAsia="TimesNewRoman" w:cs="TimesNewRoman"/>
        </w:rPr>
        <w:t>oceprevir</w:t>
      </w:r>
      <w:proofErr w:type="spellEnd"/>
      <w:r>
        <w:t xml:space="preserve"> (BOC) and </w:t>
      </w:r>
      <w:proofErr w:type="spellStart"/>
      <w:r>
        <w:rPr>
          <w:rFonts w:eastAsia="TimesNewRoman" w:cs="TimesNewRoman"/>
        </w:rPr>
        <w:t>telaprevir</w:t>
      </w:r>
      <w:proofErr w:type="spellEnd"/>
      <w:r>
        <w:t xml:space="preserve"> (TVR) have been approved for marketing in Australia and were entered into the Australia Register of Therapeutic Goods (ARTG) in January 2012 and March 2013 respectively.</w:t>
      </w:r>
    </w:p>
    <w:p w:rsidR="00C8707C" w:rsidRPr="003B73BB" w:rsidRDefault="00C8707C" w:rsidP="00C8707C">
      <w:pPr>
        <w:rPr>
          <w:i/>
        </w:rPr>
      </w:pPr>
      <w:r w:rsidRPr="003B73BB">
        <w:rPr>
          <w:i/>
        </w:rPr>
        <w:t xml:space="preserve">Recently, other agents including </w:t>
      </w:r>
      <w:proofErr w:type="spellStart"/>
      <w:r w:rsidRPr="003B73BB">
        <w:rPr>
          <w:i/>
        </w:rPr>
        <w:t>sofosbuvir</w:t>
      </w:r>
      <w:proofErr w:type="spellEnd"/>
      <w:r w:rsidRPr="003B73BB">
        <w:rPr>
          <w:i/>
        </w:rPr>
        <w:t xml:space="preserve"> (</w:t>
      </w:r>
      <w:proofErr w:type="spellStart"/>
      <w:r w:rsidRPr="003B73BB">
        <w:rPr>
          <w:i/>
        </w:rPr>
        <w:t>Sovaldi</w:t>
      </w:r>
      <w:proofErr w:type="spellEnd"/>
      <w:r w:rsidRPr="003B73BB">
        <w:rPr>
          <w:i/>
        </w:rPr>
        <w:t xml:space="preserve">) (SOF), a nucleoside NS5B polymerase inhibitor, and </w:t>
      </w:r>
      <w:proofErr w:type="spellStart"/>
      <w:r w:rsidRPr="003B73BB">
        <w:rPr>
          <w:i/>
        </w:rPr>
        <w:t>simeprevir</w:t>
      </w:r>
      <w:proofErr w:type="spellEnd"/>
      <w:r w:rsidRPr="003B73BB">
        <w:rPr>
          <w:i/>
        </w:rPr>
        <w:t xml:space="preserve"> (</w:t>
      </w:r>
      <w:proofErr w:type="spellStart"/>
      <w:r w:rsidRPr="003B73BB">
        <w:rPr>
          <w:i/>
        </w:rPr>
        <w:t>Olysio</w:t>
      </w:r>
      <w:proofErr w:type="spellEnd"/>
      <w:r w:rsidRPr="003B73BB">
        <w:rPr>
          <w:i/>
        </w:rPr>
        <w:t>) (SMV), an NS3/4A protease inhibitor, have been approved in the US offering new treatment options to patients with CHC.</w:t>
      </w:r>
    </w:p>
    <w:p w:rsidR="00C8707C" w:rsidRDefault="00C8707C" w:rsidP="00C8707C">
      <w:pPr>
        <w:pStyle w:val="Comment"/>
      </w:pPr>
      <w:r>
        <w:rPr>
          <w:b/>
        </w:rPr>
        <w:t>Comment:</w:t>
      </w:r>
      <w:r>
        <w:t xml:space="preserve"> SOF and SMV were approved in Australia in June and July 2014 respectively.</w:t>
      </w:r>
    </w:p>
    <w:p w:rsidR="00C8707C" w:rsidRPr="003B73BB" w:rsidRDefault="00C8707C" w:rsidP="00C8707C">
      <w:pPr>
        <w:rPr>
          <w:i/>
        </w:rPr>
      </w:pPr>
      <w:r w:rsidRPr="003B73BB">
        <w:rPr>
          <w:i/>
        </w:rPr>
        <w:lastRenderedPageBreak/>
        <w:t xml:space="preserve">The introduction of these newer options has provided an improvement over the use of IFN-based therapies alone for patients with GT-1. However, there is still a need for improved efficacy in HCV GT-1 patients, particularly in patients with limited response to </w:t>
      </w:r>
      <w:proofErr w:type="spellStart"/>
      <w:r w:rsidRPr="003B73BB">
        <w:rPr>
          <w:i/>
        </w:rPr>
        <w:t>pegIFN</w:t>
      </w:r>
      <w:proofErr w:type="spellEnd"/>
      <w:r w:rsidRPr="003B73BB">
        <w:rPr>
          <w:i/>
        </w:rPr>
        <w:t>α/RBV or in patients who are intolerant or ineligible for IFN based therapy, and for patients who have failed current protease inhibitor therapies.</w:t>
      </w:r>
    </w:p>
    <w:p w:rsidR="00C8707C" w:rsidRPr="003B73BB" w:rsidRDefault="00C8707C" w:rsidP="00C8707C">
      <w:pPr>
        <w:rPr>
          <w:i/>
        </w:rPr>
      </w:pPr>
      <w:r w:rsidRPr="003B73BB">
        <w:rPr>
          <w:i/>
        </w:rPr>
        <w:t xml:space="preserve">Treatment duration with </w:t>
      </w:r>
      <w:proofErr w:type="spellStart"/>
      <w:r w:rsidRPr="003B73BB">
        <w:rPr>
          <w:i/>
        </w:rPr>
        <w:t>pegIFN</w:t>
      </w:r>
      <w:proofErr w:type="spellEnd"/>
      <w:r w:rsidRPr="003B73BB">
        <w:rPr>
          <w:i/>
        </w:rPr>
        <w:t xml:space="preserve">α/RBV can be long (24 to 48 weeks) depending on the GT, and because </w:t>
      </w:r>
      <w:proofErr w:type="spellStart"/>
      <w:r w:rsidRPr="003B73BB">
        <w:rPr>
          <w:i/>
        </w:rPr>
        <w:t>pegIFN</w:t>
      </w:r>
      <w:proofErr w:type="spellEnd"/>
      <w:r w:rsidRPr="003B73BB">
        <w:rPr>
          <w:i/>
        </w:rPr>
        <w:t>α requires parenteral administration, treatment adherence, compliance, and complications arising from injections can be a challenge.</w:t>
      </w:r>
    </w:p>
    <w:p w:rsidR="00C8707C" w:rsidRPr="003B73BB" w:rsidRDefault="00C8707C" w:rsidP="00C8707C">
      <w:pPr>
        <w:rPr>
          <w:i/>
        </w:rPr>
      </w:pPr>
      <w:r w:rsidRPr="003B73BB">
        <w:rPr>
          <w:i/>
        </w:rPr>
        <w:t xml:space="preserve">Side effects associated with </w:t>
      </w:r>
      <w:proofErr w:type="spellStart"/>
      <w:r w:rsidRPr="003B73BB">
        <w:rPr>
          <w:i/>
        </w:rPr>
        <w:t>pegIFN</w:t>
      </w:r>
      <w:proofErr w:type="spellEnd"/>
      <w:r w:rsidRPr="003B73BB">
        <w:rPr>
          <w:i/>
        </w:rPr>
        <w:t xml:space="preserve">α/RBV include flu-like symptoms (chills, pyrexia, myalgia, fatigue), psychiatric disorders (depression, irritability, anxiety), and </w:t>
      </w:r>
      <w:proofErr w:type="spellStart"/>
      <w:r w:rsidRPr="003B73BB">
        <w:rPr>
          <w:i/>
        </w:rPr>
        <w:t>haematologic</w:t>
      </w:r>
      <w:proofErr w:type="spellEnd"/>
      <w:r w:rsidRPr="003B73BB">
        <w:rPr>
          <w:i/>
        </w:rPr>
        <w:t xml:space="preserve"> abnormalities (anaemia and neutropenia). TVR and BOC are associated with serious dermatologic side effects (rash and/or pruritus) and additional decreases in haemoglobin and absolute neutrophils when combined with </w:t>
      </w:r>
      <w:proofErr w:type="spellStart"/>
      <w:r w:rsidRPr="003B73BB">
        <w:rPr>
          <w:i/>
        </w:rPr>
        <w:t>pegIFN</w:t>
      </w:r>
      <w:proofErr w:type="spellEnd"/>
      <w:r w:rsidRPr="003B73BB">
        <w:rPr>
          <w:i/>
        </w:rPr>
        <w:t xml:space="preserve">α/RBV, compared to IFN-based therapy alone. SMV treatment is associated with increased rates of </w:t>
      </w:r>
      <w:proofErr w:type="spellStart"/>
      <w:r w:rsidRPr="003B73BB">
        <w:rPr>
          <w:i/>
        </w:rPr>
        <w:t>hyperbilirubinaemia</w:t>
      </w:r>
      <w:proofErr w:type="spellEnd"/>
      <w:r w:rsidRPr="003B73BB">
        <w:rPr>
          <w:i/>
        </w:rPr>
        <w:t xml:space="preserve"> and photosensitivity.</w:t>
      </w:r>
    </w:p>
    <w:p w:rsidR="00C8707C" w:rsidRPr="003B73BB" w:rsidRDefault="00C8707C" w:rsidP="00C8707C">
      <w:pPr>
        <w:rPr>
          <w:i/>
        </w:rPr>
      </w:pPr>
      <w:r w:rsidRPr="003B73BB">
        <w:rPr>
          <w:i/>
        </w:rPr>
        <w:t xml:space="preserve">Despite the treatment advancement with the first generation DAAs and recently approved DAAs, there is still an unmet medical need for new therapeutic agents that are more effective, </w:t>
      </w:r>
      <w:proofErr w:type="spellStart"/>
      <w:r w:rsidRPr="003B73BB">
        <w:rPr>
          <w:i/>
        </w:rPr>
        <w:t>pangenotypic</w:t>
      </w:r>
      <w:proofErr w:type="spellEnd"/>
      <w:r w:rsidRPr="003B73BB">
        <w:rPr>
          <w:i/>
        </w:rPr>
        <w:t xml:space="preserve">, less toxic than INF- and RBV-based therapies and less complex with simpler administration, monitoring and management of adverse events to ensure the most optimal combination of DAAs are available to patients. Currently, there is a need for improved therapies in subjects who have failed TVR- and BOC-regimens as well as INF ineligible/intolerant patients and non-responders to </w:t>
      </w:r>
      <w:proofErr w:type="spellStart"/>
      <w:r w:rsidRPr="003B73BB">
        <w:rPr>
          <w:i/>
        </w:rPr>
        <w:t>pegIFN</w:t>
      </w:r>
      <w:proofErr w:type="spellEnd"/>
      <w:r w:rsidRPr="003B73BB">
        <w:rPr>
          <w:i/>
        </w:rPr>
        <w:t>α/RBV.</w:t>
      </w:r>
    </w:p>
    <w:p w:rsidR="00C8707C" w:rsidRPr="003B73BB" w:rsidRDefault="00C8707C" w:rsidP="00C8707C">
      <w:pPr>
        <w:rPr>
          <w:i/>
        </w:rPr>
      </w:pPr>
      <w:proofErr w:type="spellStart"/>
      <w:r w:rsidRPr="003B73BB">
        <w:rPr>
          <w:i/>
        </w:rPr>
        <w:t>Asunaprevir</w:t>
      </w:r>
      <w:proofErr w:type="spellEnd"/>
      <w:r w:rsidRPr="003B73BB">
        <w:rPr>
          <w:i/>
        </w:rPr>
        <w:t xml:space="preserve"> (ASV) has shown additive to synergistic interactions in combination with DCV with no cross resistance between the two agents. This data supports the combination therapy of DCV and ASV in HCV infected patients.</w:t>
      </w:r>
    </w:p>
    <w:p w:rsidR="00C8707C" w:rsidRDefault="00C8707C" w:rsidP="00C8707C">
      <w:pPr>
        <w:pStyle w:val="Heading2"/>
        <w:numPr>
          <w:ilvl w:val="0"/>
          <w:numId w:val="5"/>
        </w:numPr>
        <w:rPr>
          <w:lang w:eastAsia="en-AU"/>
        </w:rPr>
      </w:pPr>
      <w:bookmarkStart w:id="23" w:name="_Toc431369662"/>
      <w:bookmarkStart w:id="24" w:name="_Toc438116062"/>
      <w:r>
        <w:rPr>
          <w:lang w:eastAsia="en-AU"/>
        </w:rPr>
        <w:t>Contents of the clinical dossier</w:t>
      </w:r>
      <w:bookmarkEnd w:id="6"/>
      <w:bookmarkEnd w:id="7"/>
      <w:bookmarkEnd w:id="23"/>
      <w:bookmarkEnd w:id="24"/>
    </w:p>
    <w:p w:rsidR="00C8707C" w:rsidRDefault="00C8707C" w:rsidP="00C8707C">
      <w:pPr>
        <w:pStyle w:val="Heading3"/>
        <w:numPr>
          <w:ilvl w:val="1"/>
          <w:numId w:val="5"/>
        </w:numPr>
      </w:pPr>
      <w:bookmarkStart w:id="25" w:name="_Toc431369663"/>
      <w:bookmarkStart w:id="26" w:name="_Toc438116063"/>
      <w:r>
        <w:t>Scope of the clinical dossier</w:t>
      </w:r>
      <w:bookmarkEnd w:id="25"/>
      <w:bookmarkEnd w:id="26"/>
    </w:p>
    <w:p w:rsidR="00C8707C" w:rsidRDefault="00C8707C" w:rsidP="00C8707C">
      <w:pPr>
        <w:pStyle w:val="Bullet2"/>
        <w:numPr>
          <w:ilvl w:val="0"/>
          <w:numId w:val="0"/>
        </w:numPr>
        <w:tabs>
          <w:tab w:val="left" w:pos="720"/>
        </w:tabs>
      </w:pPr>
      <w:r>
        <w:t>Of particular note, the efficacy studies for the requested regimens of combination therapy were all common to the DCV submission and have been assessed in the DCV clinical evaluation report. They are cross referenced to that report and only brief summaries are provided in this report.</w:t>
      </w:r>
    </w:p>
    <w:p w:rsidR="002C4CAD" w:rsidRDefault="00C8707C" w:rsidP="00C8707C">
      <w:r>
        <w:t>The clinical studies contained in Module 5 of the submission are as follows:</w:t>
      </w:r>
    </w:p>
    <w:p w:rsidR="00C8707C" w:rsidRDefault="00C8707C" w:rsidP="00C8707C">
      <w:pPr>
        <w:pStyle w:val="ListBullet"/>
        <w:numPr>
          <w:ilvl w:val="0"/>
          <w:numId w:val="1"/>
        </w:numPr>
      </w:pPr>
      <w:r>
        <w:t>3 bioavailability studies that examined bioequivalence between various formulations and the effect of food;</w:t>
      </w:r>
    </w:p>
    <w:p w:rsidR="00C8707C" w:rsidRDefault="00C8707C" w:rsidP="00C8707C">
      <w:pPr>
        <w:pStyle w:val="ListBullet"/>
        <w:numPr>
          <w:ilvl w:val="0"/>
          <w:numId w:val="1"/>
        </w:numPr>
      </w:pPr>
      <w:r>
        <w:t>1 absolute bioavailability study;</w:t>
      </w:r>
    </w:p>
    <w:p w:rsidR="00C8707C" w:rsidRDefault="00C8707C" w:rsidP="00C8707C">
      <w:pPr>
        <w:pStyle w:val="ListBullet"/>
        <w:numPr>
          <w:ilvl w:val="0"/>
          <w:numId w:val="1"/>
        </w:numPr>
      </w:pPr>
      <w:r>
        <w:t>6 ascending dose studies examining pharmacokinetics (PK) and initial tolerability. Four were conducted in healthy subjects and two in subjects with chronic HCV infection.</w:t>
      </w:r>
    </w:p>
    <w:p w:rsidR="00C8707C" w:rsidRDefault="00C8707C" w:rsidP="00C8707C">
      <w:pPr>
        <w:pStyle w:val="ListBullet"/>
        <w:numPr>
          <w:ilvl w:val="0"/>
          <w:numId w:val="1"/>
        </w:numPr>
      </w:pPr>
      <w:r>
        <w:t>1 mass balance study;</w:t>
      </w:r>
    </w:p>
    <w:p w:rsidR="00C8707C" w:rsidRDefault="00C8707C" w:rsidP="00C8707C">
      <w:pPr>
        <w:pStyle w:val="ListBullet"/>
        <w:numPr>
          <w:ilvl w:val="0"/>
          <w:numId w:val="1"/>
        </w:numPr>
      </w:pPr>
      <w:r>
        <w:t>2 studies in special populations (1 in hepatic impairment and 1 in renal impairment);</w:t>
      </w:r>
    </w:p>
    <w:p w:rsidR="00C8707C" w:rsidRDefault="00C8707C" w:rsidP="00C8707C">
      <w:pPr>
        <w:pStyle w:val="ListBullet"/>
        <w:numPr>
          <w:ilvl w:val="0"/>
          <w:numId w:val="1"/>
        </w:numPr>
      </w:pPr>
      <w:r>
        <w:t>12 interaction studies;</w:t>
      </w:r>
    </w:p>
    <w:p w:rsidR="00C8707C" w:rsidRDefault="00C8707C" w:rsidP="00C8707C">
      <w:pPr>
        <w:pStyle w:val="ListBullet"/>
        <w:numPr>
          <w:ilvl w:val="0"/>
          <w:numId w:val="1"/>
        </w:numPr>
      </w:pPr>
      <w:r>
        <w:t>4 studies examining population PK and population PK/exposure-response;</w:t>
      </w:r>
    </w:p>
    <w:p w:rsidR="00C8707C" w:rsidRDefault="00C8707C" w:rsidP="00C8707C">
      <w:pPr>
        <w:pStyle w:val="ListBullet"/>
        <w:numPr>
          <w:ilvl w:val="0"/>
          <w:numId w:val="1"/>
        </w:numPr>
      </w:pPr>
      <w:r>
        <w:t xml:space="preserve">1 </w:t>
      </w:r>
      <w:proofErr w:type="spellStart"/>
      <w:r>
        <w:t>pharmacodynamic</w:t>
      </w:r>
      <w:proofErr w:type="spellEnd"/>
      <w:r>
        <w:t xml:space="preserve"> (PD) study examining effects on QT interval.</w:t>
      </w:r>
    </w:p>
    <w:p w:rsidR="00C8707C" w:rsidRDefault="00C8707C" w:rsidP="00C8707C">
      <w:pPr>
        <w:pStyle w:val="ListBullet"/>
        <w:numPr>
          <w:ilvl w:val="0"/>
          <w:numId w:val="1"/>
        </w:numPr>
      </w:pPr>
      <w:r>
        <w:t>1 efficacy/safety study not provided in the DCV dossier</w:t>
      </w:r>
    </w:p>
    <w:p w:rsidR="00C8707C" w:rsidRDefault="00C8707C" w:rsidP="00C8707C">
      <w:pPr>
        <w:pStyle w:val="Bullet2"/>
        <w:numPr>
          <w:ilvl w:val="0"/>
          <w:numId w:val="0"/>
        </w:numPr>
        <w:tabs>
          <w:tab w:val="left" w:pos="720"/>
        </w:tabs>
      </w:pPr>
      <w:r>
        <w:t>Also, Integrated Summaries of Efficacy and Safety have been submitted in Module 5 in place of Summary of Clinical Efficacy, and Summary of Clinical Safety in Module 2 but the documents are titled Summary of Clinical Efficacy and Summary of Clinical Safety.</w:t>
      </w:r>
    </w:p>
    <w:p w:rsidR="00C8707C" w:rsidRDefault="00C8707C" w:rsidP="00C8707C">
      <w:pPr>
        <w:pStyle w:val="Heading3"/>
        <w:numPr>
          <w:ilvl w:val="1"/>
          <w:numId w:val="5"/>
        </w:numPr>
      </w:pPr>
      <w:bookmarkStart w:id="27" w:name="_Toc431369664"/>
      <w:bookmarkStart w:id="28" w:name="_Toc438116064"/>
      <w:r>
        <w:lastRenderedPageBreak/>
        <w:t>Paediatric data</w:t>
      </w:r>
      <w:bookmarkEnd w:id="27"/>
      <w:bookmarkEnd w:id="28"/>
    </w:p>
    <w:p w:rsidR="002C4CAD" w:rsidRDefault="00C8707C" w:rsidP="00C8707C">
      <w:r>
        <w:t>The submission did not include paediatric data.</w:t>
      </w:r>
    </w:p>
    <w:p w:rsidR="00C8707C" w:rsidRDefault="00C8707C" w:rsidP="00C8707C">
      <w:r>
        <w:t>The sponsor states that there is an agreed Paediatric Plan in the USA. No date for submission of a Paediatric Assessment is provided. There is a waiver for submission of a Paediatric Assessment for children under the age of 3 as they will not benefit significantly from the therapy due to the higher spontaneous resolution of HCV infection in children than in adults and that HCV infection is milder within this age group (milder liver inflammation, less frequent cirrhosis, lower viral load and shorter duration of infection).</w:t>
      </w:r>
    </w:p>
    <w:p w:rsidR="00C8707C" w:rsidRDefault="00C8707C" w:rsidP="00C8707C">
      <w:pPr>
        <w:pStyle w:val="Heading3"/>
        <w:numPr>
          <w:ilvl w:val="1"/>
          <w:numId w:val="5"/>
        </w:numPr>
      </w:pPr>
      <w:bookmarkStart w:id="29" w:name="_Toc431369665"/>
      <w:bookmarkStart w:id="30" w:name="_Toc438116065"/>
      <w:r>
        <w:t>Good clinical practice</w:t>
      </w:r>
      <w:bookmarkEnd w:id="29"/>
      <w:bookmarkEnd w:id="30"/>
    </w:p>
    <w:p w:rsidR="002C4CAD" w:rsidRDefault="00C8707C" w:rsidP="00C8707C">
      <w:pPr>
        <w:tabs>
          <w:tab w:val="left" w:pos="720"/>
        </w:tabs>
        <w:autoSpaceDE w:val="0"/>
        <w:autoSpaceDN w:val="0"/>
        <w:adjustRightInd w:val="0"/>
        <w:rPr>
          <w:rFonts w:eastAsia="TimesNewRoman" w:cs="TimesNewRoman"/>
        </w:rPr>
      </w:pPr>
      <w:r>
        <w:rPr>
          <w:rFonts w:eastAsia="TimesNewRoman" w:cs="TimesNewRoman"/>
        </w:rPr>
        <w:t>The study reports all state that the studies were conducted in accordance with Good Clinical Practice as defined by the International Conference on Harmonization and in accordance with the ethical principles underlying European Union Directive 2001/20/EC and the United States Code of Federal Regulations, Title 21, Part 50 (21CFR50).</w:t>
      </w:r>
    </w:p>
    <w:p w:rsidR="00C8707C" w:rsidRDefault="00C8707C" w:rsidP="00C8707C">
      <w:pPr>
        <w:tabs>
          <w:tab w:val="left" w:pos="720"/>
        </w:tabs>
        <w:autoSpaceDE w:val="0"/>
        <w:autoSpaceDN w:val="0"/>
        <w:adjustRightInd w:val="0"/>
        <w:rPr>
          <w:rFonts w:eastAsia="TimesNewRoman" w:cs="TimesNewRoman"/>
        </w:rPr>
      </w:pPr>
      <w:r>
        <w:rPr>
          <w:rFonts w:eastAsia="TimesNewRoman" w:cs="TimesNewRoman"/>
        </w:rPr>
        <w:t>All protocols were reviewed by appropriate ethics committees and patients signed appropriate informed consent prior to any study procedures.</w:t>
      </w:r>
    </w:p>
    <w:p w:rsidR="002C4CAD" w:rsidRDefault="00C8707C" w:rsidP="00C8707C">
      <w:pPr>
        <w:pStyle w:val="Heading2"/>
        <w:numPr>
          <w:ilvl w:val="0"/>
          <w:numId w:val="5"/>
        </w:numPr>
      </w:pPr>
      <w:bookmarkStart w:id="31" w:name="_Toc355338639"/>
      <w:bookmarkStart w:id="32" w:name="_Toc431369666"/>
      <w:bookmarkStart w:id="33" w:name="_Toc438116066"/>
      <w:r>
        <w:t>Pharmacokinetics</w:t>
      </w:r>
      <w:bookmarkEnd w:id="31"/>
      <w:bookmarkEnd w:id="32"/>
      <w:bookmarkEnd w:id="33"/>
    </w:p>
    <w:p w:rsidR="00C8707C" w:rsidRDefault="00C8707C" w:rsidP="00C8707C">
      <w:pPr>
        <w:pStyle w:val="Heading3"/>
        <w:numPr>
          <w:ilvl w:val="1"/>
          <w:numId w:val="5"/>
        </w:numPr>
      </w:pPr>
      <w:bookmarkStart w:id="34" w:name="_Ref271018934"/>
      <w:bookmarkStart w:id="35" w:name="_Ref271018924"/>
      <w:bookmarkStart w:id="36" w:name="_Ref271017296"/>
      <w:bookmarkStart w:id="37" w:name="_Toc401659939"/>
      <w:bookmarkStart w:id="38" w:name="_Toc272500089"/>
      <w:bookmarkStart w:id="39" w:name="_Toc290846238"/>
      <w:bookmarkStart w:id="40" w:name="_Toc272414614"/>
      <w:bookmarkStart w:id="41" w:name="_Toc431369667"/>
      <w:bookmarkStart w:id="42" w:name="_Toc438116067"/>
      <w:r>
        <w:t>Studies</w:t>
      </w:r>
      <w:bookmarkEnd w:id="34"/>
      <w:bookmarkEnd w:id="35"/>
      <w:bookmarkEnd w:id="36"/>
      <w:r>
        <w:t xml:space="preserve"> providing pharmacokinetic data</w:t>
      </w:r>
      <w:bookmarkEnd w:id="37"/>
      <w:bookmarkEnd w:id="38"/>
      <w:bookmarkEnd w:id="39"/>
      <w:bookmarkEnd w:id="40"/>
      <w:bookmarkEnd w:id="41"/>
      <w:bookmarkEnd w:id="42"/>
    </w:p>
    <w:p w:rsidR="00C8707C" w:rsidRDefault="00C8707C" w:rsidP="00C8707C">
      <w:r>
        <w:t>Table 1 shows the studies relating to each PK topic.</w:t>
      </w:r>
    </w:p>
    <w:p w:rsidR="00C8707C" w:rsidRDefault="00C8707C" w:rsidP="00C8707C">
      <w:pPr>
        <w:pStyle w:val="Tabletitle"/>
      </w:pPr>
      <w:bookmarkStart w:id="43" w:name="_Toc401831779"/>
      <w:bookmarkStart w:id="44" w:name="_Toc272500134"/>
      <w:r>
        <w:t xml:space="preserve">Table </w:t>
      </w:r>
      <w:fldSimple w:instr=" SEQ Table \* ARABIC ">
        <w:r w:rsidR="00CF355B">
          <w:rPr>
            <w:noProof/>
          </w:rPr>
          <w:t>1</w:t>
        </w:r>
      </w:fldSimple>
      <w:r>
        <w:t>: Submitted pharmacokinetic studies.</w:t>
      </w:r>
      <w:bookmarkEnd w:id="43"/>
      <w:bookmarkEnd w:id="44"/>
    </w:p>
    <w:tbl>
      <w:tblPr>
        <w:tblStyle w:val="TableTGAblue"/>
        <w:tblW w:w="9606" w:type="dxa"/>
        <w:tblLayout w:type="fixed"/>
        <w:tblLook w:val="04A0" w:firstRow="1" w:lastRow="0" w:firstColumn="1" w:lastColumn="0" w:noHBand="0" w:noVBand="1"/>
      </w:tblPr>
      <w:tblGrid>
        <w:gridCol w:w="2235"/>
        <w:gridCol w:w="4961"/>
        <w:gridCol w:w="1559"/>
        <w:gridCol w:w="851"/>
      </w:tblGrid>
      <w:tr w:rsidR="00C8707C" w:rsidTr="002C4CA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35" w:type="dxa"/>
            <w:hideMark/>
          </w:tcPr>
          <w:p w:rsidR="00C8707C" w:rsidRPr="000B6417" w:rsidRDefault="00C8707C" w:rsidP="002C4CAD">
            <w:pPr>
              <w:rPr>
                <w:b w:val="0"/>
                <w:lang w:eastAsia="en-AU"/>
              </w:rPr>
            </w:pPr>
            <w:r w:rsidRPr="000B6417">
              <w:rPr>
                <w:lang w:eastAsia="en-AU"/>
              </w:rPr>
              <w:t>PK topic</w:t>
            </w:r>
          </w:p>
        </w:tc>
        <w:tc>
          <w:tcPr>
            <w:tcW w:w="4961" w:type="dxa"/>
            <w:hideMark/>
          </w:tcPr>
          <w:p w:rsidR="00C8707C" w:rsidRPr="000B6417" w:rsidRDefault="00C8707C" w:rsidP="002C4CAD">
            <w:pPr>
              <w:cnfStyle w:val="100000000000" w:firstRow="1" w:lastRow="0" w:firstColumn="0" w:lastColumn="0" w:oddVBand="0" w:evenVBand="0" w:oddHBand="0" w:evenHBand="0" w:firstRowFirstColumn="0" w:firstRowLastColumn="0" w:lastRowFirstColumn="0" w:lastRowLastColumn="0"/>
              <w:rPr>
                <w:b w:val="0"/>
                <w:lang w:eastAsia="en-AU"/>
              </w:rPr>
            </w:pPr>
            <w:r w:rsidRPr="000B6417">
              <w:rPr>
                <w:lang w:eastAsia="en-AU"/>
              </w:rPr>
              <w:t>Subtopic</w:t>
            </w:r>
          </w:p>
        </w:tc>
        <w:tc>
          <w:tcPr>
            <w:tcW w:w="1559" w:type="dxa"/>
            <w:hideMark/>
          </w:tcPr>
          <w:p w:rsidR="00C8707C" w:rsidRPr="000B6417" w:rsidRDefault="00C8707C" w:rsidP="002C4CAD">
            <w:pPr>
              <w:cnfStyle w:val="100000000000" w:firstRow="1" w:lastRow="0" w:firstColumn="0" w:lastColumn="0" w:oddVBand="0" w:evenVBand="0" w:oddHBand="0" w:evenHBand="0" w:firstRowFirstColumn="0" w:firstRowLastColumn="0" w:lastRowFirstColumn="0" w:lastRowLastColumn="0"/>
              <w:rPr>
                <w:b w:val="0"/>
                <w:lang w:eastAsia="en-AU"/>
              </w:rPr>
            </w:pPr>
            <w:r w:rsidRPr="000B6417">
              <w:rPr>
                <w:lang w:eastAsia="en-AU"/>
              </w:rPr>
              <w:t>Study ID</w:t>
            </w:r>
          </w:p>
        </w:tc>
        <w:tc>
          <w:tcPr>
            <w:tcW w:w="851" w:type="dxa"/>
            <w:hideMark/>
          </w:tcPr>
          <w:p w:rsidR="00C8707C" w:rsidRPr="000B6417" w:rsidRDefault="00C8707C" w:rsidP="002C4CAD">
            <w:pPr>
              <w:cnfStyle w:val="100000000000" w:firstRow="1" w:lastRow="0" w:firstColumn="0" w:lastColumn="0" w:oddVBand="0" w:evenVBand="0" w:oddHBand="0" w:evenHBand="0" w:firstRowFirstColumn="0" w:firstRowLastColumn="0" w:lastRowFirstColumn="0" w:lastRowLastColumn="0"/>
              <w:rPr>
                <w:b w:val="0"/>
                <w:lang w:eastAsia="en-AU"/>
              </w:rPr>
            </w:pPr>
            <w:r w:rsidRPr="000B6417">
              <w:rPr>
                <w:lang w:eastAsia="en-AU"/>
              </w:rPr>
              <w:t>*</w:t>
            </w:r>
          </w:p>
        </w:tc>
      </w:tr>
      <w:tr w:rsidR="00C8707C" w:rsidTr="002C4CAD">
        <w:tc>
          <w:tcPr>
            <w:cnfStyle w:val="001000000000" w:firstRow="0" w:lastRow="0" w:firstColumn="1" w:lastColumn="0" w:oddVBand="0" w:evenVBand="0" w:oddHBand="0" w:evenHBand="0" w:firstRowFirstColumn="0" w:firstRowLastColumn="0" w:lastRowFirstColumn="0" w:lastRowLastColumn="0"/>
            <w:tcW w:w="2235" w:type="dxa"/>
            <w:vMerge w:val="restart"/>
          </w:tcPr>
          <w:p w:rsidR="00C8707C" w:rsidRPr="000B6417" w:rsidRDefault="00C8707C" w:rsidP="002C4CAD">
            <w:pPr>
              <w:rPr>
                <w:lang w:eastAsia="en-AU"/>
              </w:rPr>
            </w:pPr>
            <w:r w:rsidRPr="000B6417">
              <w:rPr>
                <w:lang w:eastAsia="en-AU"/>
              </w:rPr>
              <w:t>PK in healthy adults</w:t>
            </w:r>
          </w:p>
        </w:tc>
        <w:tc>
          <w:tcPr>
            <w:tcW w:w="4961"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General PK</w:t>
            </w:r>
            <w:r w:rsidRPr="000B6417">
              <w:rPr>
                <w:lang w:eastAsia="en-AU"/>
              </w:rPr>
              <w:tab/>
              <w:t>- Single dose</w:t>
            </w:r>
          </w:p>
        </w:tc>
        <w:tc>
          <w:tcPr>
            <w:tcW w:w="1559"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AI447-001</w:t>
            </w:r>
          </w:p>
        </w:tc>
        <w:tc>
          <w:tcPr>
            <w:tcW w:w="851"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w:t>
            </w:r>
          </w:p>
        </w:tc>
      </w:tr>
      <w:tr w:rsidR="00C8707C" w:rsidTr="002C4CAD">
        <w:tc>
          <w:tcPr>
            <w:cnfStyle w:val="001000000000" w:firstRow="0" w:lastRow="0" w:firstColumn="1" w:lastColumn="0" w:oddVBand="0" w:evenVBand="0" w:oddHBand="0" w:evenHBand="0" w:firstRowFirstColumn="0" w:firstRowLastColumn="0" w:lastRowFirstColumn="0" w:lastRowLastColumn="0"/>
            <w:tcW w:w="2235" w:type="dxa"/>
            <w:vMerge/>
            <w:hideMark/>
          </w:tcPr>
          <w:p w:rsidR="00C8707C" w:rsidRPr="000B6417" w:rsidRDefault="00C8707C" w:rsidP="002C4CAD">
            <w:pPr>
              <w:rPr>
                <w:kern w:val="16"/>
                <w:lang w:eastAsia="en-AU"/>
              </w:rPr>
            </w:pPr>
          </w:p>
        </w:tc>
        <w:tc>
          <w:tcPr>
            <w:tcW w:w="4961" w:type="dxa"/>
            <w:vMerge w:val="restart"/>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ab/>
            </w:r>
            <w:r w:rsidRPr="000B6417">
              <w:rPr>
                <w:lang w:eastAsia="en-AU"/>
              </w:rPr>
              <w:tab/>
              <w:t>- Multi-dose</w:t>
            </w:r>
          </w:p>
        </w:tc>
        <w:tc>
          <w:tcPr>
            <w:tcW w:w="1559"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AI447-003</w:t>
            </w:r>
          </w:p>
        </w:tc>
        <w:tc>
          <w:tcPr>
            <w:tcW w:w="851"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w:t>
            </w:r>
          </w:p>
        </w:tc>
      </w:tr>
      <w:tr w:rsidR="00C8707C" w:rsidTr="002C4CAD">
        <w:tc>
          <w:tcPr>
            <w:cnfStyle w:val="001000000000" w:firstRow="0" w:lastRow="0" w:firstColumn="1" w:lastColumn="0" w:oddVBand="0" w:evenVBand="0" w:oddHBand="0" w:evenHBand="0" w:firstRowFirstColumn="0" w:firstRowLastColumn="0" w:lastRowFirstColumn="0" w:lastRowLastColumn="0"/>
            <w:tcW w:w="2235" w:type="dxa"/>
            <w:vMerge/>
            <w:hideMark/>
          </w:tcPr>
          <w:p w:rsidR="00C8707C" w:rsidRPr="000B6417" w:rsidRDefault="00C8707C" w:rsidP="002C4CAD">
            <w:pPr>
              <w:rPr>
                <w:kern w:val="16"/>
                <w:lang w:eastAsia="en-AU"/>
              </w:rPr>
            </w:pPr>
          </w:p>
        </w:tc>
        <w:tc>
          <w:tcPr>
            <w:tcW w:w="4961" w:type="dxa"/>
            <w:vMerge/>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p>
        </w:tc>
        <w:tc>
          <w:tcPr>
            <w:tcW w:w="1559"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AI447-005</w:t>
            </w:r>
          </w:p>
        </w:tc>
        <w:tc>
          <w:tcPr>
            <w:tcW w:w="851"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w:t>
            </w:r>
          </w:p>
        </w:tc>
      </w:tr>
      <w:tr w:rsidR="00C8707C" w:rsidTr="002C4CAD">
        <w:tc>
          <w:tcPr>
            <w:cnfStyle w:val="001000000000" w:firstRow="0" w:lastRow="0" w:firstColumn="1" w:lastColumn="0" w:oddVBand="0" w:evenVBand="0" w:oddHBand="0" w:evenHBand="0" w:firstRowFirstColumn="0" w:firstRowLastColumn="0" w:lastRowFirstColumn="0" w:lastRowLastColumn="0"/>
            <w:tcW w:w="2235" w:type="dxa"/>
            <w:vMerge/>
            <w:hideMark/>
          </w:tcPr>
          <w:p w:rsidR="00C8707C" w:rsidRPr="000B6417" w:rsidRDefault="00C8707C" w:rsidP="002C4CAD">
            <w:pPr>
              <w:rPr>
                <w:kern w:val="16"/>
                <w:lang w:eastAsia="en-AU"/>
              </w:rPr>
            </w:pPr>
          </w:p>
        </w:tc>
        <w:tc>
          <w:tcPr>
            <w:tcW w:w="4961" w:type="dxa"/>
            <w:vMerge w:val="restart"/>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Bioequivalence† - Single dose</w:t>
            </w:r>
          </w:p>
        </w:tc>
        <w:tc>
          <w:tcPr>
            <w:tcW w:w="1559"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AI447-008</w:t>
            </w:r>
          </w:p>
        </w:tc>
        <w:tc>
          <w:tcPr>
            <w:tcW w:w="851"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w:t>
            </w:r>
          </w:p>
        </w:tc>
      </w:tr>
      <w:tr w:rsidR="00C8707C" w:rsidTr="002C4CAD">
        <w:tc>
          <w:tcPr>
            <w:cnfStyle w:val="001000000000" w:firstRow="0" w:lastRow="0" w:firstColumn="1" w:lastColumn="0" w:oddVBand="0" w:evenVBand="0" w:oddHBand="0" w:evenHBand="0" w:firstRowFirstColumn="0" w:firstRowLastColumn="0" w:lastRowFirstColumn="0" w:lastRowLastColumn="0"/>
            <w:tcW w:w="2235" w:type="dxa"/>
            <w:vMerge/>
            <w:hideMark/>
          </w:tcPr>
          <w:p w:rsidR="00C8707C" w:rsidRPr="000B6417" w:rsidRDefault="00C8707C" w:rsidP="002C4CAD">
            <w:pPr>
              <w:rPr>
                <w:kern w:val="16"/>
                <w:lang w:eastAsia="en-AU"/>
              </w:rPr>
            </w:pPr>
          </w:p>
        </w:tc>
        <w:tc>
          <w:tcPr>
            <w:tcW w:w="4961" w:type="dxa"/>
            <w:vMerge/>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p>
        </w:tc>
        <w:tc>
          <w:tcPr>
            <w:tcW w:w="1559"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AI447-024</w:t>
            </w:r>
          </w:p>
        </w:tc>
        <w:tc>
          <w:tcPr>
            <w:tcW w:w="851"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w:t>
            </w:r>
          </w:p>
        </w:tc>
      </w:tr>
      <w:tr w:rsidR="00C8707C" w:rsidTr="002C4CAD">
        <w:tc>
          <w:tcPr>
            <w:cnfStyle w:val="001000000000" w:firstRow="0" w:lastRow="0" w:firstColumn="1" w:lastColumn="0" w:oddVBand="0" w:evenVBand="0" w:oddHBand="0" w:evenHBand="0" w:firstRowFirstColumn="0" w:firstRowLastColumn="0" w:lastRowFirstColumn="0" w:lastRowLastColumn="0"/>
            <w:tcW w:w="2235" w:type="dxa"/>
            <w:vMerge/>
            <w:hideMark/>
          </w:tcPr>
          <w:p w:rsidR="00C8707C" w:rsidRPr="000B6417" w:rsidRDefault="00C8707C" w:rsidP="002C4CAD">
            <w:pPr>
              <w:rPr>
                <w:kern w:val="16"/>
                <w:lang w:eastAsia="en-AU"/>
              </w:rPr>
            </w:pPr>
          </w:p>
        </w:tc>
        <w:tc>
          <w:tcPr>
            <w:tcW w:w="4961"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Absolute bioavailability</w:t>
            </w:r>
          </w:p>
        </w:tc>
        <w:tc>
          <w:tcPr>
            <w:tcW w:w="1559"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AI447-027</w:t>
            </w:r>
          </w:p>
        </w:tc>
        <w:tc>
          <w:tcPr>
            <w:tcW w:w="851"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w:t>
            </w:r>
          </w:p>
        </w:tc>
      </w:tr>
      <w:tr w:rsidR="00C8707C" w:rsidTr="002C4CAD">
        <w:tc>
          <w:tcPr>
            <w:cnfStyle w:val="001000000000" w:firstRow="0" w:lastRow="0" w:firstColumn="1" w:lastColumn="0" w:oddVBand="0" w:evenVBand="0" w:oddHBand="0" w:evenHBand="0" w:firstRowFirstColumn="0" w:firstRowLastColumn="0" w:lastRowFirstColumn="0" w:lastRowLastColumn="0"/>
            <w:tcW w:w="2235" w:type="dxa"/>
            <w:vMerge/>
            <w:hideMark/>
          </w:tcPr>
          <w:p w:rsidR="00C8707C" w:rsidRPr="000B6417" w:rsidRDefault="00C8707C" w:rsidP="002C4CAD">
            <w:pPr>
              <w:rPr>
                <w:kern w:val="16"/>
                <w:lang w:eastAsia="en-AU"/>
              </w:rPr>
            </w:pPr>
          </w:p>
        </w:tc>
        <w:tc>
          <w:tcPr>
            <w:tcW w:w="4961" w:type="dxa"/>
            <w:vMerge w:val="restart"/>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Food effect</w:t>
            </w:r>
          </w:p>
        </w:tc>
        <w:tc>
          <w:tcPr>
            <w:tcW w:w="1559"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AI447-024</w:t>
            </w:r>
          </w:p>
        </w:tc>
        <w:tc>
          <w:tcPr>
            <w:tcW w:w="851" w:type="dxa"/>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p>
        </w:tc>
      </w:tr>
      <w:tr w:rsidR="00C8707C" w:rsidTr="002C4CAD">
        <w:tc>
          <w:tcPr>
            <w:cnfStyle w:val="001000000000" w:firstRow="0" w:lastRow="0" w:firstColumn="1" w:lastColumn="0" w:oddVBand="0" w:evenVBand="0" w:oddHBand="0" w:evenHBand="0" w:firstRowFirstColumn="0" w:firstRowLastColumn="0" w:lastRowFirstColumn="0" w:lastRowLastColumn="0"/>
            <w:tcW w:w="2235" w:type="dxa"/>
            <w:vMerge/>
            <w:hideMark/>
          </w:tcPr>
          <w:p w:rsidR="00C8707C" w:rsidRPr="000B6417" w:rsidRDefault="00C8707C" w:rsidP="002C4CAD">
            <w:pPr>
              <w:rPr>
                <w:kern w:val="16"/>
                <w:lang w:eastAsia="en-AU"/>
              </w:rPr>
            </w:pPr>
          </w:p>
        </w:tc>
        <w:tc>
          <w:tcPr>
            <w:tcW w:w="4961" w:type="dxa"/>
            <w:vMerge/>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p>
        </w:tc>
        <w:tc>
          <w:tcPr>
            <w:tcW w:w="1559"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AI447-043</w:t>
            </w:r>
          </w:p>
        </w:tc>
        <w:tc>
          <w:tcPr>
            <w:tcW w:w="851"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w:t>
            </w:r>
          </w:p>
        </w:tc>
      </w:tr>
      <w:tr w:rsidR="00C8707C" w:rsidTr="002C4CAD">
        <w:tc>
          <w:tcPr>
            <w:cnfStyle w:val="001000000000" w:firstRow="0" w:lastRow="0" w:firstColumn="1" w:lastColumn="0" w:oddVBand="0" w:evenVBand="0" w:oddHBand="0" w:evenHBand="0" w:firstRowFirstColumn="0" w:firstRowLastColumn="0" w:lastRowFirstColumn="0" w:lastRowLastColumn="0"/>
            <w:tcW w:w="2235" w:type="dxa"/>
            <w:vMerge/>
            <w:hideMark/>
          </w:tcPr>
          <w:p w:rsidR="00C8707C" w:rsidRPr="000B6417" w:rsidRDefault="00C8707C" w:rsidP="002C4CAD">
            <w:pPr>
              <w:rPr>
                <w:kern w:val="16"/>
                <w:lang w:eastAsia="en-AU"/>
              </w:rPr>
            </w:pPr>
          </w:p>
        </w:tc>
        <w:tc>
          <w:tcPr>
            <w:tcW w:w="4961"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Mass balance</w:t>
            </w:r>
          </w:p>
        </w:tc>
        <w:tc>
          <w:tcPr>
            <w:tcW w:w="1559"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AI447-010</w:t>
            </w:r>
          </w:p>
        </w:tc>
        <w:tc>
          <w:tcPr>
            <w:tcW w:w="851"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w:t>
            </w:r>
          </w:p>
        </w:tc>
      </w:tr>
      <w:tr w:rsidR="00C8707C" w:rsidTr="002C4CAD">
        <w:tc>
          <w:tcPr>
            <w:cnfStyle w:val="001000000000" w:firstRow="0" w:lastRow="0" w:firstColumn="1" w:lastColumn="0" w:oddVBand="0" w:evenVBand="0" w:oddHBand="0" w:evenHBand="0" w:firstRowFirstColumn="0" w:firstRowLastColumn="0" w:lastRowFirstColumn="0" w:lastRowLastColumn="0"/>
            <w:tcW w:w="2235" w:type="dxa"/>
            <w:vMerge w:val="restart"/>
          </w:tcPr>
          <w:p w:rsidR="00C8707C" w:rsidRPr="000B6417" w:rsidRDefault="00C8707C" w:rsidP="002C4CAD">
            <w:pPr>
              <w:rPr>
                <w:lang w:eastAsia="en-AU"/>
              </w:rPr>
            </w:pPr>
            <w:r w:rsidRPr="000B6417">
              <w:rPr>
                <w:lang w:eastAsia="en-AU"/>
              </w:rPr>
              <w:t>PK in special populations</w:t>
            </w:r>
          </w:p>
        </w:tc>
        <w:tc>
          <w:tcPr>
            <w:tcW w:w="4961"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Target population §</w:t>
            </w:r>
            <w:r w:rsidRPr="000B6417">
              <w:rPr>
                <w:lang w:eastAsia="en-AU"/>
              </w:rPr>
              <w:tab/>
              <w:t>- Single dose</w:t>
            </w:r>
          </w:p>
        </w:tc>
        <w:tc>
          <w:tcPr>
            <w:tcW w:w="1559"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AI447-002</w:t>
            </w:r>
          </w:p>
        </w:tc>
        <w:tc>
          <w:tcPr>
            <w:tcW w:w="851"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w:t>
            </w:r>
          </w:p>
        </w:tc>
      </w:tr>
      <w:tr w:rsidR="00C8707C" w:rsidTr="002C4CAD">
        <w:tc>
          <w:tcPr>
            <w:cnfStyle w:val="001000000000" w:firstRow="0" w:lastRow="0" w:firstColumn="1" w:lastColumn="0" w:oddVBand="0" w:evenVBand="0" w:oddHBand="0" w:evenHBand="0" w:firstRowFirstColumn="0" w:firstRowLastColumn="0" w:lastRowFirstColumn="0" w:lastRowLastColumn="0"/>
            <w:tcW w:w="2235" w:type="dxa"/>
            <w:vMerge/>
            <w:hideMark/>
          </w:tcPr>
          <w:p w:rsidR="00C8707C" w:rsidRPr="000B6417" w:rsidRDefault="00C8707C" w:rsidP="002C4CAD">
            <w:pPr>
              <w:rPr>
                <w:kern w:val="16"/>
                <w:lang w:eastAsia="en-AU"/>
              </w:rPr>
            </w:pPr>
          </w:p>
        </w:tc>
        <w:tc>
          <w:tcPr>
            <w:tcW w:w="4961"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ab/>
            </w:r>
            <w:r w:rsidRPr="000B6417">
              <w:rPr>
                <w:lang w:eastAsia="en-AU"/>
              </w:rPr>
              <w:tab/>
            </w:r>
            <w:r w:rsidRPr="000B6417">
              <w:rPr>
                <w:lang w:eastAsia="en-AU"/>
              </w:rPr>
              <w:tab/>
              <w:t>- Multi-dose</w:t>
            </w:r>
          </w:p>
        </w:tc>
        <w:tc>
          <w:tcPr>
            <w:tcW w:w="1559"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AI447-004</w:t>
            </w:r>
          </w:p>
        </w:tc>
        <w:tc>
          <w:tcPr>
            <w:tcW w:w="851"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w:t>
            </w:r>
          </w:p>
        </w:tc>
      </w:tr>
      <w:tr w:rsidR="00C8707C" w:rsidTr="002C4CAD">
        <w:tc>
          <w:tcPr>
            <w:cnfStyle w:val="001000000000" w:firstRow="0" w:lastRow="0" w:firstColumn="1" w:lastColumn="0" w:oddVBand="0" w:evenVBand="0" w:oddHBand="0" w:evenHBand="0" w:firstRowFirstColumn="0" w:firstRowLastColumn="0" w:lastRowFirstColumn="0" w:lastRowLastColumn="0"/>
            <w:tcW w:w="2235" w:type="dxa"/>
            <w:vMerge/>
            <w:hideMark/>
          </w:tcPr>
          <w:p w:rsidR="00C8707C" w:rsidRPr="000B6417" w:rsidRDefault="00C8707C" w:rsidP="002C4CAD">
            <w:pPr>
              <w:rPr>
                <w:kern w:val="16"/>
                <w:lang w:eastAsia="en-AU"/>
              </w:rPr>
            </w:pPr>
          </w:p>
        </w:tc>
        <w:tc>
          <w:tcPr>
            <w:tcW w:w="4961"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Hepatic impairment</w:t>
            </w:r>
          </w:p>
        </w:tc>
        <w:tc>
          <w:tcPr>
            <w:tcW w:w="1559"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AI447-012</w:t>
            </w:r>
          </w:p>
        </w:tc>
        <w:tc>
          <w:tcPr>
            <w:tcW w:w="851"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w:t>
            </w:r>
          </w:p>
        </w:tc>
      </w:tr>
      <w:tr w:rsidR="00C8707C" w:rsidTr="002C4CAD">
        <w:tc>
          <w:tcPr>
            <w:cnfStyle w:val="001000000000" w:firstRow="0" w:lastRow="0" w:firstColumn="1" w:lastColumn="0" w:oddVBand="0" w:evenVBand="0" w:oddHBand="0" w:evenHBand="0" w:firstRowFirstColumn="0" w:firstRowLastColumn="0" w:lastRowFirstColumn="0" w:lastRowLastColumn="0"/>
            <w:tcW w:w="2235" w:type="dxa"/>
            <w:vMerge/>
            <w:hideMark/>
          </w:tcPr>
          <w:p w:rsidR="00C8707C" w:rsidRPr="000B6417" w:rsidRDefault="00C8707C" w:rsidP="002C4CAD">
            <w:pPr>
              <w:rPr>
                <w:kern w:val="16"/>
                <w:lang w:eastAsia="en-AU"/>
              </w:rPr>
            </w:pPr>
          </w:p>
        </w:tc>
        <w:tc>
          <w:tcPr>
            <w:tcW w:w="4961"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Renal impairment</w:t>
            </w:r>
          </w:p>
        </w:tc>
        <w:tc>
          <w:tcPr>
            <w:tcW w:w="1559"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AI447-033</w:t>
            </w:r>
          </w:p>
        </w:tc>
        <w:tc>
          <w:tcPr>
            <w:tcW w:w="851"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w:t>
            </w:r>
          </w:p>
        </w:tc>
      </w:tr>
      <w:tr w:rsidR="00C8707C" w:rsidTr="002C4CAD">
        <w:tc>
          <w:tcPr>
            <w:cnfStyle w:val="001000000000" w:firstRow="0" w:lastRow="0" w:firstColumn="1" w:lastColumn="0" w:oddVBand="0" w:evenVBand="0" w:oddHBand="0" w:evenHBand="0" w:firstRowFirstColumn="0" w:firstRowLastColumn="0" w:lastRowFirstColumn="0" w:lastRowLastColumn="0"/>
            <w:tcW w:w="2235" w:type="dxa"/>
            <w:hideMark/>
          </w:tcPr>
          <w:p w:rsidR="00C8707C" w:rsidRPr="000B6417" w:rsidRDefault="00C8707C" w:rsidP="002C4CAD">
            <w:pPr>
              <w:rPr>
                <w:lang w:eastAsia="en-AU"/>
              </w:rPr>
            </w:pPr>
            <w:r w:rsidRPr="000B6417">
              <w:rPr>
                <w:lang w:eastAsia="en-AU"/>
              </w:rPr>
              <w:t>Genetic/gender-related PK</w:t>
            </w:r>
          </w:p>
        </w:tc>
        <w:tc>
          <w:tcPr>
            <w:tcW w:w="4961"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Caucasian versus Chinese subjects</w:t>
            </w:r>
          </w:p>
        </w:tc>
        <w:tc>
          <w:tcPr>
            <w:tcW w:w="1559"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AI447-030</w:t>
            </w:r>
          </w:p>
        </w:tc>
        <w:tc>
          <w:tcPr>
            <w:tcW w:w="851"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w:t>
            </w:r>
          </w:p>
        </w:tc>
      </w:tr>
      <w:tr w:rsidR="00C8707C" w:rsidTr="002C4CAD">
        <w:tc>
          <w:tcPr>
            <w:cnfStyle w:val="001000000000" w:firstRow="0" w:lastRow="0" w:firstColumn="1" w:lastColumn="0" w:oddVBand="0" w:evenVBand="0" w:oddHBand="0" w:evenHBand="0" w:firstRowFirstColumn="0" w:firstRowLastColumn="0" w:lastRowFirstColumn="0" w:lastRowLastColumn="0"/>
            <w:tcW w:w="2235" w:type="dxa"/>
            <w:vMerge w:val="restart"/>
            <w:hideMark/>
          </w:tcPr>
          <w:p w:rsidR="00C8707C" w:rsidRPr="000B6417" w:rsidRDefault="00C8707C" w:rsidP="002C4CAD">
            <w:pPr>
              <w:rPr>
                <w:lang w:eastAsia="en-AU"/>
              </w:rPr>
            </w:pPr>
            <w:r w:rsidRPr="000B6417">
              <w:rPr>
                <w:lang w:eastAsia="en-AU"/>
              </w:rPr>
              <w:t>PK interactions (with ASV)</w:t>
            </w:r>
          </w:p>
        </w:tc>
        <w:tc>
          <w:tcPr>
            <w:tcW w:w="4961"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Midazolam</w:t>
            </w:r>
          </w:p>
        </w:tc>
        <w:tc>
          <w:tcPr>
            <w:tcW w:w="1559"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AI447-007</w:t>
            </w:r>
          </w:p>
        </w:tc>
        <w:tc>
          <w:tcPr>
            <w:tcW w:w="851"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w:t>
            </w:r>
          </w:p>
        </w:tc>
      </w:tr>
      <w:tr w:rsidR="00C8707C" w:rsidTr="002C4CAD">
        <w:tc>
          <w:tcPr>
            <w:cnfStyle w:val="001000000000" w:firstRow="0" w:lastRow="0" w:firstColumn="1" w:lastColumn="0" w:oddVBand="0" w:evenVBand="0" w:oddHBand="0" w:evenHBand="0" w:firstRowFirstColumn="0" w:firstRowLastColumn="0" w:lastRowFirstColumn="0" w:lastRowLastColumn="0"/>
            <w:tcW w:w="2235" w:type="dxa"/>
            <w:vMerge/>
            <w:hideMark/>
          </w:tcPr>
          <w:p w:rsidR="00C8707C" w:rsidRPr="000B6417" w:rsidRDefault="00C8707C" w:rsidP="002C4CAD">
            <w:pPr>
              <w:rPr>
                <w:kern w:val="16"/>
                <w:lang w:eastAsia="en-AU"/>
              </w:rPr>
            </w:pPr>
          </w:p>
        </w:tc>
        <w:tc>
          <w:tcPr>
            <w:tcW w:w="4961"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Ketoconazole</w:t>
            </w:r>
          </w:p>
        </w:tc>
        <w:tc>
          <w:tcPr>
            <w:tcW w:w="1559"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AI447-014</w:t>
            </w:r>
          </w:p>
        </w:tc>
        <w:tc>
          <w:tcPr>
            <w:tcW w:w="851"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w:t>
            </w:r>
          </w:p>
        </w:tc>
      </w:tr>
      <w:tr w:rsidR="00C8707C" w:rsidTr="002C4CAD">
        <w:tc>
          <w:tcPr>
            <w:cnfStyle w:val="001000000000" w:firstRow="0" w:lastRow="0" w:firstColumn="1" w:lastColumn="0" w:oddVBand="0" w:evenVBand="0" w:oddHBand="0" w:evenHBand="0" w:firstRowFirstColumn="0" w:firstRowLastColumn="0" w:lastRowFirstColumn="0" w:lastRowLastColumn="0"/>
            <w:tcW w:w="2235" w:type="dxa"/>
            <w:vMerge/>
            <w:hideMark/>
          </w:tcPr>
          <w:p w:rsidR="00C8707C" w:rsidRPr="000B6417" w:rsidRDefault="00C8707C" w:rsidP="002C4CAD">
            <w:pPr>
              <w:rPr>
                <w:kern w:val="16"/>
                <w:lang w:eastAsia="en-AU"/>
              </w:rPr>
            </w:pPr>
          </w:p>
        </w:tc>
        <w:tc>
          <w:tcPr>
            <w:tcW w:w="4961"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proofErr w:type="spellStart"/>
            <w:r w:rsidRPr="000B6417">
              <w:rPr>
                <w:lang w:eastAsia="en-AU"/>
              </w:rPr>
              <w:t>Rosuvastatin</w:t>
            </w:r>
            <w:proofErr w:type="spellEnd"/>
          </w:p>
        </w:tc>
        <w:tc>
          <w:tcPr>
            <w:tcW w:w="1559"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AI447-015</w:t>
            </w:r>
          </w:p>
        </w:tc>
        <w:tc>
          <w:tcPr>
            <w:tcW w:w="851"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w:t>
            </w:r>
          </w:p>
        </w:tc>
      </w:tr>
      <w:tr w:rsidR="00C8707C" w:rsidTr="002C4CAD">
        <w:tc>
          <w:tcPr>
            <w:cnfStyle w:val="001000000000" w:firstRow="0" w:lastRow="0" w:firstColumn="1" w:lastColumn="0" w:oddVBand="0" w:evenVBand="0" w:oddHBand="0" w:evenHBand="0" w:firstRowFirstColumn="0" w:firstRowLastColumn="0" w:lastRowFirstColumn="0" w:lastRowLastColumn="0"/>
            <w:tcW w:w="2235" w:type="dxa"/>
            <w:vMerge/>
            <w:hideMark/>
          </w:tcPr>
          <w:p w:rsidR="00C8707C" w:rsidRPr="000B6417" w:rsidRDefault="00C8707C" w:rsidP="002C4CAD">
            <w:pPr>
              <w:rPr>
                <w:kern w:val="16"/>
                <w:lang w:eastAsia="en-AU"/>
              </w:rPr>
            </w:pPr>
          </w:p>
        </w:tc>
        <w:tc>
          <w:tcPr>
            <w:tcW w:w="4961"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Rifampicin</w:t>
            </w:r>
          </w:p>
        </w:tc>
        <w:tc>
          <w:tcPr>
            <w:tcW w:w="1559"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AI447-018</w:t>
            </w:r>
          </w:p>
        </w:tc>
        <w:tc>
          <w:tcPr>
            <w:tcW w:w="851"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w:t>
            </w:r>
          </w:p>
        </w:tc>
      </w:tr>
      <w:tr w:rsidR="00C8707C" w:rsidTr="002C4CAD">
        <w:tc>
          <w:tcPr>
            <w:cnfStyle w:val="001000000000" w:firstRow="0" w:lastRow="0" w:firstColumn="1" w:lastColumn="0" w:oddVBand="0" w:evenVBand="0" w:oddHBand="0" w:evenHBand="0" w:firstRowFirstColumn="0" w:firstRowLastColumn="0" w:lastRowFirstColumn="0" w:lastRowLastColumn="0"/>
            <w:tcW w:w="2235" w:type="dxa"/>
            <w:vMerge/>
            <w:hideMark/>
          </w:tcPr>
          <w:p w:rsidR="00C8707C" w:rsidRPr="000B6417" w:rsidRDefault="00C8707C" w:rsidP="002C4CAD">
            <w:pPr>
              <w:rPr>
                <w:kern w:val="16"/>
                <w:lang w:eastAsia="en-AU"/>
              </w:rPr>
            </w:pPr>
          </w:p>
        </w:tc>
        <w:tc>
          <w:tcPr>
            <w:tcW w:w="4961"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proofErr w:type="spellStart"/>
            <w:r w:rsidRPr="000B6417">
              <w:rPr>
                <w:lang w:eastAsia="en-AU"/>
              </w:rPr>
              <w:t>Norgestimate</w:t>
            </w:r>
            <w:proofErr w:type="spellEnd"/>
            <w:r w:rsidRPr="000B6417">
              <w:rPr>
                <w:lang w:eastAsia="en-AU"/>
              </w:rPr>
              <w:t xml:space="preserve"> and </w:t>
            </w:r>
            <w:proofErr w:type="spellStart"/>
            <w:r w:rsidRPr="000B6417">
              <w:rPr>
                <w:lang w:eastAsia="en-AU"/>
              </w:rPr>
              <w:t>Ethinyl</w:t>
            </w:r>
            <w:proofErr w:type="spellEnd"/>
            <w:r w:rsidRPr="000B6417">
              <w:rPr>
                <w:lang w:eastAsia="en-AU"/>
              </w:rPr>
              <w:t xml:space="preserve"> oestradiol</w:t>
            </w:r>
          </w:p>
        </w:tc>
        <w:tc>
          <w:tcPr>
            <w:tcW w:w="1559"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AI447-019</w:t>
            </w:r>
          </w:p>
        </w:tc>
        <w:tc>
          <w:tcPr>
            <w:tcW w:w="851"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w:t>
            </w:r>
          </w:p>
        </w:tc>
      </w:tr>
      <w:tr w:rsidR="00C8707C" w:rsidTr="002C4CAD">
        <w:tc>
          <w:tcPr>
            <w:cnfStyle w:val="001000000000" w:firstRow="0" w:lastRow="0" w:firstColumn="1" w:lastColumn="0" w:oddVBand="0" w:evenVBand="0" w:oddHBand="0" w:evenHBand="0" w:firstRowFirstColumn="0" w:firstRowLastColumn="0" w:lastRowFirstColumn="0" w:lastRowLastColumn="0"/>
            <w:tcW w:w="2235" w:type="dxa"/>
            <w:vMerge/>
            <w:hideMark/>
          </w:tcPr>
          <w:p w:rsidR="00C8707C" w:rsidRPr="000B6417" w:rsidRDefault="00C8707C" w:rsidP="002C4CAD">
            <w:pPr>
              <w:rPr>
                <w:kern w:val="16"/>
                <w:lang w:eastAsia="en-AU"/>
              </w:rPr>
            </w:pPr>
          </w:p>
        </w:tc>
        <w:tc>
          <w:tcPr>
            <w:tcW w:w="4961"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Metabolic probe cocktail</w:t>
            </w:r>
          </w:p>
        </w:tc>
        <w:tc>
          <w:tcPr>
            <w:tcW w:w="1559"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AI447-020</w:t>
            </w:r>
          </w:p>
        </w:tc>
        <w:tc>
          <w:tcPr>
            <w:tcW w:w="851"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w:t>
            </w:r>
          </w:p>
        </w:tc>
      </w:tr>
      <w:tr w:rsidR="00C8707C" w:rsidTr="002C4CAD">
        <w:tc>
          <w:tcPr>
            <w:cnfStyle w:val="001000000000" w:firstRow="0" w:lastRow="0" w:firstColumn="1" w:lastColumn="0" w:oddVBand="0" w:evenVBand="0" w:oddHBand="0" w:evenHBand="0" w:firstRowFirstColumn="0" w:firstRowLastColumn="0" w:lastRowFirstColumn="0" w:lastRowLastColumn="0"/>
            <w:tcW w:w="2235" w:type="dxa"/>
            <w:vMerge/>
            <w:hideMark/>
          </w:tcPr>
          <w:p w:rsidR="00C8707C" w:rsidRPr="000B6417" w:rsidRDefault="00C8707C" w:rsidP="002C4CAD">
            <w:pPr>
              <w:rPr>
                <w:kern w:val="16"/>
                <w:lang w:eastAsia="en-AU"/>
              </w:rPr>
            </w:pPr>
          </w:p>
        </w:tc>
        <w:tc>
          <w:tcPr>
            <w:tcW w:w="4961"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Digoxin</w:t>
            </w:r>
          </w:p>
        </w:tc>
        <w:tc>
          <w:tcPr>
            <w:tcW w:w="1559"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AI447-021</w:t>
            </w:r>
          </w:p>
        </w:tc>
        <w:tc>
          <w:tcPr>
            <w:tcW w:w="851"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w:t>
            </w:r>
          </w:p>
        </w:tc>
      </w:tr>
      <w:tr w:rsidR="00C8707C" w:rsidTr="002C4CAD">
        <w:tc>
          <w:tcPr>
            <w:cnfStyle w:val="001000000000" w:firstRow="0" w:lastRow="0" w:firstColumn="1" w:lastColumn="0" w:oddVBand="0" w:evenVBand="0" w:oddHBand="0" w:evenHBand="0" w:firstRowFirstColumn="0" w:firstRowLastColumn="0" w:lastRowFirstColumn="0" w:lastRowLastColumn="0"/>
            <w:tcW w:w="2235" w:type="dxa"/>
            <w:vMerge/>
            <w:hideMark/>
          </w:tcPr>
          <w:p w:rsidR="00C8707C" w:rsidRPr="000B6417" w:rsidRDefault="00C8707C" w:rsidP="002C4CAD">
            <w:pPr>
              <w:rPr>
                <w:kern w:val="16"/>
                <w:lang w:eastAsia="en-AU"/>
              </w:rPr>
            </w:pPr>
          </w:p>
        </w:tc>
        <w:tc>
          <w:tcPr>
            <w:tcW w:w="4961"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proofErr w:type="spellStart"/>
            <w:r w:rsidRPr="000B6417">
              <w:rPr>
                <w:lang w:eastAsia="en-AU"/>
              </w:rPr>
              <w:t>Escitalopram</w:t>
            </w:r>
            <w:proofErr w:type="spellEnd"/>
            <w:r w:rsidRPr="000B6417">
              <w:rPr>
                <w:lang w:eastAsia="en-AU"/>
              </w:rPr>
              <w:t xml:space="preserve"> and Sertraline</w:t>
            </w:r>
          </w:p>
        </w:tc>
        <w:tc>
          <w:tcPr>
            <w:tcW w:w="1559"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AI447-032</w:t>
            </w:r>
          </w:p>
        </w:tc>
        <w:tc>
          <w:tcPr>
            <w:tcW w:w="851"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w:t>
            </w:r>
          </w:p>
        </w:tc>
      </w:tr>
      <w:tr w:rsidR="00C8707C" w:rsidTr="002C4CAD">
        <w:tc>
          <w:tcPr>
            <w:cnfStyle w:val="001000000000" w:firstRow="0" w:lastRow="0" w:firstColumn="1" w:lastColumn="0" w:oddVBand="0" w:evenVBand="0" w:oddHBand="0" w:evenHBand="0" w:firstRowFirstColumn="0" w:firstRowLastColumn="0" w:lastRowFirstColumn="0" w:lastRowLastColumn="0"/>
            <w:tcW w:w="2235" w:type="dxa"/>
            <w:vMerge/>
            <w:hideMark/>
          </w:tcPr>
          <w:p w:rsidR="00C8707C" w:rsidRPr="000B6417" w:rsidRDefault="00C8707C" w:rsidP="002C4CAD">
            <w:pPr>
              <w:rPr>
                <w:kern w:val="16"/>
                <w:lang w:eastAsia="en-AU"/>
              </w:rPr>
            </w:pPr>
          </w:p>
        </w:tc>
        <w:tc>
          <w:tcPr>
            <w:tcW w:w="4961"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Methadone</w:t>
            </w:r>
          </w:p>
        </w:tc>
        <w:tc>
          <w:tcPr>
            <w:tcW w:w="1559"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AI447-038</w:t>
            </w:r>
          </w:p>
        </w:tc>
        <w:tc>
          <w:tcPr>
            <w:tcW w:w="851"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w:t>
            </w:r>
          </w:p>
        </w:tc>
      </w:tr>
      <w:tr w:rsidR="00C8707C" w:rsidTr="002C4CAD">
        <w:tc>
          <w:tcPr>
            <w:cnfStyle w:val="001000000000" w:firstRow="0" w:lastRow="0" w:firstColumn="1" w:lastColumn="0" w:oddVBand="0" w:evenVBand="0" w:oddHBand="0" w:evenHBand="0" w:firstRowFirstColumn="0" w:firstRowLastColumn="0" w:lastRowFirstColumn="0" w:lastRowLastColumn="0"/>
            <w:tcW w:w="2235" w:type="dxa"/>
            <w:vMerge w:val="restart"/>
            <w:hideMark/>
          </w:tcPr>
          <w:p w:rsidR="00C8707C" w:rsidRPr="000B6417" w:rsidRDefault="00C8707C" w:rsidP="002C4CAD">
            <w:pPr>
              <w:rPr>
                <w:lang w:eastAsia="en-AU"/>
              </w:rPr>
            </w:pPr>
            <w:r w:rsidRPr="000B6417">
              <w:rPr>
                <w:lang w:eastAsia="en-AU"/>
              </w:rPr>
              <w:t>Population PK analyses</w:t>
            </w:r>
          </w:p>
        </w:tc>
        <w:tc>
          <w:tcPr>
            <w:tcW w:w="4961"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Population PK (ASV)</w:t>
            </w:r>
          </w:p>
        </w:tc>
        <w:tc>
          <w:tcPr>
            <w:tcW w:w="1559"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 -</w:t>
            </w:r>
          </w:p>
        </w:tc>
        <w:tc>
          <w:tcPr>
            <w:tcW w:w="851"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w:t>
            </w:r>
          </w:p>
        </w:tc>
      </w:tr>
      <w:tr w:rsidR="00C8707C" w:rsidTr="002C4CAD">
        <w:tc>
          <w:tcPr>
            <w:cnfStyle w:val="001000000000" w:firstRow="0" w:lastRow="0" w:firstColumn="1" w:lastColumn="0" w:oddVBand="0" w:evenVBand="0" w:oddHBand="0" w:evenHBand="0" w:firstRowFirstColumn="0" w:firstRowLastColumn="0" w:lastRowFirstColumn="0" w:lastRowLastColumn="0"/>
            <w:tcW w:w="2235" w:type="dxa"/>
            <w:vMerge/>
            <w:hideMark/>
          </w:tcPr>
          <w:p w:rsidR="00C8707C" w:rsidRPr="000B6417" w:rsidRDefault="00C8707C" w:rsidP="002C4CAD">
            <w:pPr>
              <w:rPr>
                <w:kern w:val="16"/>
                <w:lang w:eastAsia="en-AU"/>
              </w:rPr>
            </w:pPr>
          </w:p>
        </w:tc>
        <w:tc>
          <w:tcPr>
            <w:tcW w:w="4961"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Exposure-response for efficacy and safety (DCV+ASV)</w:t>
            </w:r>
          </w:p>
        </w:tc>
        <w:tc>
          <w:tcPr>
            <w:tcW w:w="1559"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 -</w:t>
            </w:r>
          </w:p>
        </w:tc>
        <w:tc>
          <w:tcPr>
            <w:tcW w:w="851"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w:t>
            </w:r>
          </w:p>
        </w:tc>
      </w:tr>
    </w:tbl>
    <w:p w:rsidR="00C8707C" w:rsidRDefault="00C8707C" w:rsidP="002C4CAD">
      <w:pPr>
        <w:pStyle w:val="TableDescription"/>
      </w:pPr>
      <w:r>
        <w:t>* Indicates the primary aim of the study. † Bioequivalence of different formulations. § Subjects who would be eligible to receive the drug if approved for the proposed indication.</w:t>
      </w:r>
    </w:p>
    <w:p w:rsidR="002C4CAD" w:rsidRDefault="00C8707C" w:rsidP="00C8707C">
      <w:r>
        <w:lastRenderedPageBreak/>
        <w:t>None of these PK studies had deficiencies that excluded their results from consideration. The submission included some other early phase studies, which have not been reviewed in this report. These studies have been reviewed and summarised as part of the clinical evaluation of early phase studies for DCV. These studies are listed in Table 2.</w:t>
      </w:r>
    </w:p>
    <w:p w:rsidR="00C8707C" w:rsidRDefault="00C8707C" w:rsidP="00C8707C">
      <w:pPr>
        <w:pStyle w:val="Tabletitle"/>
      </w:pPr>
      <w:bookmarkStart w:id="45" w:name="_Toc401831780"/>
      <w:bookmarkStart w:id="46" w:name="_Toc272500135"/>
      <w:r>
        <w:t xml:space="preserve">Table </w:t>
      </w:r>
      <w:fldSimple w:instr=" SEQ Table \* ARABIC ">
        <w:r w:rsidR="00CF355B">
          <w:rPr>
            <w:noProof/>
          </w:rPr>
          <w:t>2</w:t>
        </w:r>
      </w:fldSimple>
      <w:r>
        <w:t>: Pharmacokinetic studies submitted but not reviewed in this report.</w:t>
      </w:r>
      <w:bookmarkEnd w:id="45"/>
      <w:bookmarkEnd w:id="46"/>
    </w:p>
    <w:tbl>
      <w:tblPr>
        <w:tblStyle w:val="TableTGAblue"/>
        <w:tblW w:w="8755" w:type="dxa"/>
        <w:tblLayout w:type="fixed"/>
        <w:tblLook w:val="04A0" w:firstRow="1" w:lastRow="0" w:firstColumn="1" w:lastColumn="0" w:noHBand="0" w:noVBand="1"/>
      </w:tblPr>
      <w:tblGrid>
        <w:gridCol w:w="2376"/>
        <w:gridCol w:w="6379"/>
      </w:tblGrid>
      <w:tr w:rsidR="00C8707C" w:rsidTr="002C4CA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76" w:type="dxa"/>
            <w:hideMark/>
          </w:tcPr>
          <w:p w:rsidR="00C8707C" w:rsidRPr="000B6417" w:rsidRDefault="00C8707C" w:rsidP="002C4CAD">
            <w:pPr>
              <w:rPr>
                <w:b w:val="0"/>
                <w:kern w:val="16"/>
                <w:lang w:eastAsia="en-AU"/>
              </w:rPr>
            </w:pPr>
            <w:r w:rsidRPr="000B6417">
              <w:rPr>
                <w:lang w:eastAsia="en-AU"/>
              </w:rPr>
              <w:t>Study ID</w:t>
            </w:r>
          </w:p>
        </w:tc>
        <w:tc>
          <w:tcPr>
            <w:tcW w:w="6379" w:type="dxa"/>
            <w:hideMark/>
          </w:tcPr>
          <w:p w:rsidR="00C8707C" w:rsidRPr="000B6417" w:rsidRDefault="00C8707C" w:rsidP="002C4CAD">
            <w:pPr>
              <w:cnfStyle w:val="100000000000" w:firstRow="1" w:lastRow="0" w:firstColumn="0" w:lastColumn="0" w:oddVBand="0" w:evenVBand="0" w:oddHBand="0" w:evenHBand="0" w:firstRowFirstColumn="0" w:firstRowLastColumn="0" w:lastRowFirstColumn="0" w:lastRowLastColumn="0"/>
              <w:rPr>
                <w:b w:val="0"/>
                <w:kern w:val="16"/>
                <w:lang w:eastAsia="en-AU"/>
              </w:rPr>
            </w:pPr>
            <w:r w:rsidRPr="000B6417">
              <w:rPr>
                <w:lang w:eastAsia="en-AU"/>
              </w:rPr>
              <w:t>Subtopic(s)</w:t>
            </w:r>
          </w:p>
        </w:tc>
      </w:tr>
      <w:tr w:rsidR="00C8707C" w:rsidTr="002C4CAD">
        <w:tc>
          <w:tcPr>
            <w:cnfStyle w:val="001000000000" w:firstRow="0" w:lastRow="0" w:firstColumn="1" w:lastColumn="0" w:oddVBand="0" w:evenVBand="0" w:oddHBand="0" w:evenHBand="0" w:firstRowFirstColumn="0" w:firstRowLastColumn="0" w:lastRowFirstColumn="0" w:lastRowLastColumn="0"/>
            <w:tcW w:w="2376" w:type="dxa"/>
            <w:hideMark/>
          </w:tcPr>
          <w:p w:rsidR="00C8707C" w:rsidRPr="000B6417" w:rsidRDefault="00C8707C" w:rsidP="002C4CAD">
            <w:pPr>
              <w:rPr>
                <w:kern w:val="16"/>
                <w:lang w:eastAsia="en-AU"/>
              </w:rPr>
            </w:pPr>
            <w:r w:rsidRPr="000B6417">
              <w:rPr>
                <w:lang w:eastAsia="en-AU"/>
              </w:rPr>
              <w:t>AI444-003</w:t>
            </w:r>
          </w:p>
        </w:tc>
        <w:tc>
          <w:tcPr>
            <w:tcW w:w="6379"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kern w:val="16"/>
                <w:lang w:eastAsia="en-AU"/>
              </w:rPr>
            </w:pPr>
            <w:r w:rsidRPr="000B6417">
              <w:rPr>
                <w:lang w:eastAsia="en-AU"/>
              </w:rPr>
              <w:t>Multiple dosing of DCV in healthy subjects</w:t>
            </w:r>
          </w:p>
        </w:tc>
      </w:tr>
      <w:tr w:rsidR="00C8707C" w:rsidTr="002C4CAD">
        <w:tc>
          <w:tcPr>
            <w:cnfStyle w:val="001000000000" w:firstRow="0" w:lastRow="0" w:firstColumn="1" w:lastColumn="0" w:oddVBand="0" w:evenVBand="0" w:oddHBand="0" w:evenHBand="0" w:firstRowFirstColumn="0" w:firstRowLastColumn="0" w:lastRowFirstColumn="0" w:lastRowLastColumn="0"/>
            <w:tcW w:w="2376" w:type="dxa"/>
            <w:hideMark/>
          </w:tcPr>
          <w:p w:rsidR="00C8707C" w:rsidRPr="000B6417" w:rsidRDefault="00C8707C" w:rsidP="002C4CAD">
            <w:pPr>
              <w:rPr>
                <w:kern w:val="16"/>
                <w:lang w:eastAsia="en-AU"/>
              </w:rPr>
            </w:pPr>
            <w:r w:rsidRPr="000B6417">
              <w:rPr>
                <w:lang w:eastAsia="en-AU"/>
              </w:rPr>
              <w:t>AI444-012</w:t>
            </w:r>
          </w:p>
        </w:tc>
        <w:tc>
          <w:tcPr>
            <w:tcW w:w="6379"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kern w:val="16"/>
                <w:lang w:eastAsia="en-AU"/>
              </w:rPr>
            </w:pPr>
            <w:r w:rsidRPr="000B6417">
              <w:rPr>
                <w:lang w:eastAsia="en-AU"/>
              </w:rPr>
              <w:t>Interaction study between DCV and rifampicin</w:t>
            </w:r>
          </w:p>
        </w:tc>
      </w:tr>
      <w:tr w:rsidR="00C8707C" w:rsidTr="002C4CAD">
        <w:tc>
          <w:tcPr>
            <w:cnfStyle w:val="001000000000" w:firstRow="0" w:lastRow="0" w:firstColumn="1" w:lastColumn="0" w:oddVBand="0" w:evenVBand="0" w:oddHBand="0" w:evenHBand="0" w:firstRowFirstColumn="0" w:firstRowLastColumn="0" w:lastRowFirstColumn="0" w:lastRowLastColumn="0"/>
            <w:tcW w:w="2376" w:type="dxa"/>
            <w:hideMark/>
          </w:tcPr>
          <w:p w:rsidR="00C8707C" w:rsidRPr="000B6417" w:rsidRDefault="00C8707C" w:rsidP="002C4CAD">
            <w:pPr>
              <w:rPr>
                <w:kern w:val="16"/>
                <w:lang w:eastAsia="en-AU"/>
              </w:rPr>
            </w:pPr>
            <w:r w:rsidRPr="000B6417">
              <w:rPr>
                <w:lang w:eastAsia="en-AU"/>
              </w:rPr>
              <w:t>AI447-009</w:t>
            </w:r>
          </w:p>
        </w:tc>
        <w:tc>
          <w:tcPr>
            <w:tcW w:w="6379"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kern w:val="16"/>
                <w:lang w:eastAsia="en-AU"/>
              </w:rPr>
            </w:pPr>
            <w:r w:rsidRPr="000B6417">
              <w:rPr>
                <w:lang w:eastAsia="en-AU"/>
              </w:rPr>
              <w:t>Interaction study between ASV and DCV</w:t>
            </w:r>
          </w:p>
        </w:tc>
      </w:tr>
      <w:tr w:rsidR="00C8707C" w:rsidTr="002C4CAD">
        <w:tc>
          <w:tcPr>
            <w:cnfStyle w:val="001000000000" w:firstRow="0" w:lastRow="0" w:firstColumn="1" w:lastColumn="0" w:oddVBand="0" w:evenVBand="0" w:oddHBand="0" w:evenHBand="0" w:firstRowFirstColumn="0" w:firstRowLastColumn="0" w:lastRowFirstColumn="0" w:lastRowLastColumn="0"/>
            <w:tcW w:w="2376" w:type="dxa"/>
            <w:hideMark/>
          </w:tcPr>
          <w:p w:rsidR="00C8707C" w:rsidRPr="000B6417" w:rsidRDefault="00C8707C" w:rsidP="002C4CAD">
            <w:pPr>
              <w:rPr>
                <w:kern w:val="16"/>
                <w:lang w:eastAsia="en-AU"/>
              </w:rPr>
            </w:pPr>
            <w:r w:rsidRPr="000B6417">
              <w:rPr>
                <w:lang w:eastAsia="en-AU"/>
              </w:rPr>
              <w:t>AI447-039</w:t>
            </w:r>
          </w:p>
        </w:tc>
        <w:tc>
          <w:tcPr>
            <w:tcW w:w="6379"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kern w:val="16"/>
                <w:lang w:eastAsia="en-AU"/>
              </w:rPr>
            </w:pPr>
            <w:r w:rsidRPr="000B6417">
              <w:rPr>
                <w:lang w:eastAsia="en-AU"/>
              </w:rPr>
              <w:t>Interaction study between AS+DCV combination and oral contraceptive</w:t>
            </w:r>
          </w:p>
        </w:tc>
      </w:tr>
      <w:tr w:rsidR="00C8707C" w:rsidTr="002C4CAD">
        <w:tc>
          <w:tcPr>
            <w:cnfStyle w:val="001000000000" w:firstRow="0" w:lastRow="0" w:firstColumn="1" w:lastColumn="0" w:oddVBand="0" w:evenVBand="0" w:oddHBand="0" w:evenHBand="0" w:firstRowFirstColumn="0" w:firstRowLastColumn="0" w:lastRowFirstColumn="0" w:lastRowLastColumn="0"/>
            <w:tcW w:w="2376" w:type="dxa"/>
            <w:hideMark/>
          </w:tcPr>
          <w:p w:rsidR="00C8707C" w:rsidRPr="000B6417" w:rsidRDefault="00C8707C" w:rsidP="002C4CAD">
            <w:pPr>
              <w:rPr>
                <w:kern w:val="16"/>
                <w:lang w:eastAsia="en-AU"/>
              </w:rPr>
            </w:pPr>
            <w:r w:rsidRPr="000B6417">
              <w:rPr>
                <w:lang w:eastAsia="en-AU"/>
              </w:rPr>
              <w:t>AI447-040</w:t>
            </w:r>
          </w:p>
        </w:tc>
        <w:tc>
          <w:tcPr>
            <w:tcW w:w="6379"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kern w:val="16"/>
                <w:lang w:eastAsia="en-AU"/>
              </w:rPr>
            </w:pPr>
            <w:r w:rsidRPr="000B6417">
              <w:rPr>
                <w:lang w:eastAsia="en-AU"/>
              </w:rPr>
              <w:t>Interaction study between AS+DCV combination and digoxin</w:t>
            </w:r>
          </w:p>
        </w:tc>
      </w:tr>
      <w:tr w:rsidR="00C8707C" w:rsidTr="002C4CAD">
        <w:tc>
          <w:tcPr>
            <w:cnfStyle w:val="001000000000" w:firstRow="0" w:lastRow="0" w:firstColumn="1" w:lastColumn="0" w:oddVBand="0" w:evenVBand="0" w:oddHBand="0" w:evenHBand="0" w:firstRowFirstColumn="0" w:firstRowLastColumn="0" w:lastRowFirstColumn="0" w:lastRowLastColumn="0"/>
            <w:tcW w:w="2376" w:type="dxa"/>
            <w:hideMark/>
          </w:tcPr>
          <w:p w:rsidR="00C8707C" w:rsidRPr="000B6417" w:rsidRDefault="00C8707C" w:rsidP="002C4CAD">
            <w:pPr>
              <w:rPr>
                <w:kern w:val="16"/>
                <w:lang w:eastAsia="en-AU"/>
              </w:rPr>
            </w:pPr>
            <w:r w:rsidRPr="000B6417">
              <w:rPr>
                <w:lang w:eastAsia="en-AU"/>
              </w:rPr>
              <w:t>930077408</w:t>
            </w:r>
          </w:p>
        </w:tc>
        <w:tc>
          <w:tcPr>
            <w:tcW w:w="6379"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kern w:val="16"/>
                <w:lang w:eastAsia="en-AU"/>
              </w:rPr>
            </w:pPr>
            <w:r w:rsidRPr="000B6417">
              <w:rPr>
                <w:lang w:eastAsia="en-AU"/>
              </w:rPr>
              <w:t>Exposure-response analysis for efficacy for AS+DCV combination</w:t>
            </w:r>
          </w:p>
        </w:tc>
      </w:tr>
      <w:tr w:rsidR="00C8707C" w:rsidTr="002C4CAD">
        <w:tc>
          <w:tcPr>
            <w:cnfStyle w:val="001000000000" w:firstRow="0" w:lastRow="0" w:firstColumn="1" w:lastColumn="0" w:oddVBand="0" w:evenVBand="0" w:oddHBand="0" w:evenHBand="0" w:firstRowFirstColumn="0" w:firstRowLastColumn="0" w:lastRowFirstColumn="0" w:lastRowLastColumn="0"/>
            <w:tcW w:w="2376" w:type="dxa"/>
            <w:hideMark/>
          </w:tcPr>
          <w:p w:rsidR="00C8707C" w:rsidRPr="000B6417" w:rsidRDefault="00C8707C" w:rsidP="002C4CAD">
            <w:pPr>
              <w:rPr>
                <w:kern w:val="16"/>
                <w:lang w:eastAsia="en-AU"/>
              </w:rPr>
            </w:pPr>
            <w:r w:rsidRPr="000B6417">
              <w:rPr>
                <w:lang w:eastAsia="en-AU"/>
              </w:rPr>
              <w:t>930077407</w:t>
            </w:r>
          </w:p>
        </w:tc>
        <w:tc>
          <w:tcPr>
            <w:tcW w:w="6379"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kern w:val="16"/>
                <w:lang w:eastAsia="en-AU"/>
              </w:rPr>
            </w:pPr>
            <w:r w:rsidRPr="000B6417">
              <w:rPr>
                <w:lang w:eastAsia="en-AU"/>
              </w:rPr>
              <w:t>Exposure-response analysis for safety for AS+DCV combination</w:t>
            </w:r>
          </w:p>
        </w:tc>
      </w:tr>
    </w:tbl>
    <w:p w:rsidR="00C8707C" w:rsidRDefault="00C8707C" w:rsidP="00C8707C">
      <w:pPr>
        <w:pStyle w:val="Heading2"/>
        <w:numPr>
          <w:ilvl w:val="0"/>
          <w:numId w:val="5"/>
        </w:numPr>
      </w:pPr>
      <w:bookmarkStart w:id="47" w:name="_Toc401659940"/>
      <w:bookmarkStart w:id="48" w:name="_Toc272500090"/>
      <w:bookmarkStart w:id="49" w:name="_Toc290846239"/>
      <w:bookmarkStart w:id="50" w:name="_Toc272414616"/>
      <w:bookmarkStart w:id="51" w:name="_Ref269118175"/>
      <w:bookmarkStart w:id="52" w:name="_Toc431369668"/>
      <w:bookmarkStart w:id="53" w:name="_Toc438116068"/>
      <w:r>
        <w:t>Summary of pharmacokinetics</w:t>
      </w:r>
      <w:bookmarkEnd w:id="47"/>
      <w:bookmarkEnd w:id="48"/>
      <w:bookmarkEnd w:id="49"/>
      <w:bookmarkEnd w:id="50"/>
      <w:bookmarkEnd w:id="51"/>
      <w:bookmarkEnd w:id="52"/>
      <w:bookmarkEnd w:id="53"/>
    </w:p>
    <w:p w:rsidR="00C8707C" w:rsidRDefault="00C8707C" w:rsidP="00C8707C">
      <w:r>
        <w:t>The information in the following summary is derived from conventional PK studies unless otherwise stated.</w:t>
      </w:r>
    </w:p>
    <w:p w:rsidR="00C8707C" w:rsidRDefault="00C8707C" w:rsidP="00C8707C">
      <w:pPr>
        <w:pStyle w:val="Heading3"/>
        <w:numPr>
          <w:ilvl w:val="1"/>
          <w:numId w:val="5"/>
        </w:numPr>
      </w:pPr>
      <w:bookmarkStart w:id="54" w:name="_Toc401659941"/>
      <w:bookmarkStart w:id="55" w:name="_Toc272500091"/>
      <w:bookmarkStart w:id="56" w:name="_Toc290846240"/>
      <w:bookmarkStart w:id="57" w:name="_Toc272414617"/>
      <w:bookmarkStart w:id="58" w:name="_Toc431369669"/>
      <w:bookmarkStart w:id="59" w:name="_Toc438116069"/>
      <w:r w:rsidRPr="00283E56">
        <w:t>Physicochemical</w:t>
      </w:r>
      <w:r>
        <w:t xml:space="preserve"> characteristics of the active substance</w:t>
      </w:r>
      <w:bookmarkEnd w:id="54"/>
      <w:bookmarkEnd w:id="55"/>
      <w:bookmarkEnd w:id="56"/>
      <w:bookmarkEnd w:id="57"/>
      <w:bookmarkEnd w:id="58"/>
      <w:bookmarkEnd w:id="59"/>
    </w:p>
    <w:p w:rsidR="00C8707C" w:rsidRDefault="00C8707C" w:rsidP="00C8707C">
      <w:r>
        <w:t xml:space="preserve">The following information is derived from the Sponsor’s summaries in Module 2. The drug has a molecular weight of 748.29. It is practically insoluble in water at pH values up to 6.8. Alterations in gastric pH would therefore not be expected to alter solubility or systemic exposure. It is highly soluble in lipid vehicles. It has a </w:t>
      </w:r>
      <w:proofErr w:type="spellStart"/>
      <w:r>
        <w:t>pKa</w:t>
      </w:r>
      <w:proofErr w:type="spellEnd"/>
      <w:r>
        <w:t xml:space="preserve"> value of 4.85. It is a chiral molecule with five chiral centres but the drug substance is manufactured as a single enantiomer.</w:t>
      </w:r>
    </w:p>
    <w:p w:rsidR="00C8707C" w:rsidRDefault="00C8707C" w:rsidP="00C8707C">
      <w:pPr>
        <w:pStyle w:val="Heading3"/>
        <w:numPr>
          <w:ilvl w:val="1"/>
          <w:numId w:val="5"/>
        </w:numPr>
      </w:pPr>
      <w:bookmarkStart w:id="60" w:name="_Toc401659942"/>
      <w:bookmarkStart w:id="61" w:name="_Toc272500092"/>
      <w:bookmarkStart w:id="62" w:name="_Toc290846241"/>
      <w:bookmarkStart w:id="63" w:name="_Toc272414618"/>
      <w:bookmarkStart w:id="64" w:name="_Ref271189143"/>
      <w:bookmarkStart w:id="65" w:name="_Ref271189106"/>
      <w:bookmarkStart w:id="66" w:name="_Toc431369670"/>
      <w:bookmarkStart w:id="67" w:name="_Toc438116070"/>
      <w:r>
        <w:t>Pharmacokinetics in healthy subjects</w:t>
      </w:r>
      <w:bookmarkEnd w:id="60"/>
      <w:bookmarkEnd w:id="61"/>
      <w:bookmarkEnd w:id="62"/>
      <w:bookmarkEnd w:id="63"/>
      <w:bookmarkEnd w:id="64"/>
      <w:bookmarkEnd w:id="65"/>
      <w:bookmarkEnd w:id="66"/>
      <w:bookmarkEnd w:id="67"/>
    </w:p>
    <w:p w:rsidR="00C8707C" w:rsidRDefault="00C8707C" w:rsidP="00C8707C">
      <w:pPr>
        <w:pStyle w:val="Heading4"/>
        <w:numPr>
          <w:ilvl w:val="2"/>
          <w:numId w:val="5"/>
        </w:numPr>
      </w:pPr>
      <w:bookmarkStart w:id="68" w:name="_Toc272500093"/>
      <w:bookmarkStart w:id="69" w:name="_Toc290846242"/>
      <w:bookmarkStart w:id="70" w:name="_Toc272414619"/>
      <w:bookmarkStart w:id="71" w:name="_Toc401659943"/>
      <w:r>
        <w:t>Absorption</w:t>
      </w:r>
      <w:bookmarkEnd w:id="68"/>
      <w:bookmarkEnd w:id="69"/>
      <w:bookmarkEnd w:id="70"/>
      <w:r>
        <w:t xml:space="preserve">: Sites and </w:t>
      </w:r>
      <w:r w:rsidRPr="00283E56">
        <w:t>mechanisms</w:t>
      </w:r>
      <w:r>
        <w:t xml:space="preserve"> of absorption</w:t>
      </w:r>
      <w:bookmarkEnd w:id="71"/>
    </w:p>
    <w:p w:rsidR="00C8707C" w:rsidRDefault="00C8707C" w:rsidP="00C8707C">
      <w:pPr>
        <w:autoSpaceDE w:val="0"/>
        <w:autoSpaceDN w:val="0"/>
        <w:adjustRightInd w:val="0"/>
      </w:pPr>
      <w:r>
        <w:t xml:space="preserve">Absorption of ASV was rapid with maximum concentrations being reached within 1.5 – 4.0 hours following administration of the proposed </w:t>
      </w:r>
      <w:proofErr w:type="spellStart"/>
      <w:r>
        <w:t>softgel</w:t>
      </w:r>
      <w:proofErr w:type="spellEnd"/>
      <w:r>
        <w:t xml:space="preserve"> capsule formulation. After multiple dosing with the proposed regimen of 100 mg BD (with the proposed </w:t>
      </w:r>
      <w:proofErr w:type="spellStart"/>
      <w:r>
        <w:t>softgel</w:t>
      </w:r>
      <w:proofErr w:type="spellEnd"/>
      <w:r>
        <w:t xml:space="preserve"> capsule formulation) in 16 healthy Caucasian subjects, </w:t>
      </w:r>
      <w:proofErr w:type="spellStart"/>
      <w:r>
        <w:t>C</w:t>
      </w:r>
      <w:r>
        <w:rPr>
          <w:vertAlign w:val="subscript"/>
        </w:rPr>
        <w:t>max</w:t>
      </w:r>
      <w:proofErr w:type="spellEnd"/>
      <w:r>
        <w:t xml:space="preserve"> was </w:t>
      </w:r>
      <w:proofErr w:type="gramStart"/>
      <w:r>
        <w:t>192 ng/mL,</w:t>
      </w:r>
      <w:proofErr w:type="gramEnd"/>
      <w:r>
        <w:t xml:space="preserve"> and AUC</w:t>
      </w:r>
      <w:r>
        <w:rPr>
          <w:vertAlign w:val="subscript"/>
        </w:rPr>
        <w:t xml:space="preserve"> (0-12)</w:t>
      </w:r>
      <w:r>
        <w:t xml:space="preserve"> was 625 </w:t>
      </w:r>
      <w:proofErr w:type="spellStart"/>
      <w:r>
        <w:t>ng.h</w:t>
      </w:r>
      <w:proofErr w:type="spellEnd"/>
      <w:r>
        <w:t>/</w:t>
      </w:r>
      <w:proofErr w:type="spellStart"/>
      <w:r>
        <w:t>mL.</w:t>
      </w:r>
      <w:proofErr w:type="spellEnd"/>
      <w:r>
        <w:t xml:space="preserve"> ASV is a substrate for the efflux transporter P-glycoprotein. There were no clinical data examining site or mechanism of absorption.</w:t>
      </w:r>
    </w:p>
    <w:p w:rsidR="00C8707C" w:rsidRDefault="00C8707C" w:rsidP="00C8707C">
      <w:pPr>
        <w:pStyle w:val="Heading4"/>
        <w:numPr>
          <w:ilvl w:val="2"/>
          <w:numId w:val="5"/>
        </w:numPr>
      </w:pPr>
      <w:bookmarkStart w:id="72" w:name="_Toc401659944"/>
      <w:bookmarkStart w:id="73" w:name="_Toc272500094"/>
      <w:bookmarkStart w:id="74" w:name="_Toc290846243"/>
      <w:bookmarkStart w:id="75" w:name="_Toc272414620"/>
      <w:bookmarkStart w:id="76" w:name="_Toc241374287"/>
      <w:r>
        <w:t>Bioavailability</w:t>
      </w:r>
      <w:bookmarkEnd w:id="72"/>
      <w:bookmarkEnd w:id="73"/>
      <w:bookmarkEnd w:id="74"/>
      <w:bookmarkEnd w:id="75"/>
      <w:bookmarkEnd w:id="76"/>
    </w:p>
    <w:p w:rsidR="00C8707C" w:rsidRDefault="00C8707C" w:rsidP="00C8707C">
      <w:pPr>
        <w:pStyle w:val="Heading5"/>
        <w:numPr>
          <w:ilvl w:val="3"/>
          <w:numId w:val="5"/>
        </w:numPr>
        <w:rPr>
          <w:color w:val="auto"/>
        </w:rPr>
      </w:pPr>
      <w:r>
        <w:t xml:space="preserve">Absolute </w:t>
      </w:r>
      <w:r w:rsidRPr="00283E56">
        <w:t>bioavailability</w:t>
      </w:r>
    </w:p>
    <w:p w:rsidR="00C8707C" w:rsidRDefault="00C8707C" w:rsidP="00C8707C">
      <w:pPr>
        <w:autoSpaceDE w:val="0"/>
        <w:autoSpaceDN w:val="0"/>
        <w:adjustRightInd w:val="0"/>
      </w:pPr>
      <w:r>
        <w:t xml:space="preserve">Absolute bioavailability was estimated to be </w:t>
      </w:r>
      <w:r>
        <w:rPr>
          <w:b/>
        </w:rPr>
        <w:t>9.3%</w:t>
      </w:r>
      <w:r>
        <w:t xml:space="preserve">, with the proposed </w:t>
      </w:r>
      <w:proofErr w:type="spellStart"/>
      <w:r>
        <w:t>softgel</w:t>
      </w:r>
      <w:proofErr w:type="spellEnd"/>
      <w:r>
        <w:t xml:space="preserve"> capsule formulation.</w:t>
      </w:r>
    </w:p>
    <w:p w:rsidR="00C8707C" w:rsidRDefault="00C8707C" w:rsidP="00C8707C">
      <w:pPr>
        <w:pStyle w:val="Heading5"/>
        <w:numPr>
          <w:ilvl w:val="3"/>
          <w:numId w:val="5"/>
        </w:numPr>
      </w:pPr>
      <w:r>
        <w:lastRenderedPageBreak/>
        <w:t>Bioequivalence of clinical trial and market formulations</w:t>
      </w:r>
    </w:p>
    <w:p w:rsidR="002C4CAD" w:rsidRDefault="00C8707C" w:rsidP="00C8707C">
      <w:pPr>
        <w:autoSpaceDE w:val="0"/>
        <w:autoSpaceDN w:val="0"/>
        <w:adjustRightInd w:val="0"/>
      </w:pPr>
      <w:r>
        <w:t xml:space="preserve">The </w:t>
      </w:r>
      <w:proofErr w:type="spellStart"/>
      <w:r>
        <w:t>softgel</w:t>
      </w:r>
      <w:proofErr w:type="spellEnd"/>
      <w:r>
        <w:t xml:space="preserve"> capsule formulation is apparently identical to the formulation used in the Phase III studies. Many of the early phase studies were conducted with earlier formulations such as a hard </w:t>
      </w:r>
      <w:proofErr w:type="spellStart"/>
      <w:r>
        <w:t>gelatin</w:t>
      </w:r>
      <w:proofErr w:type="spellEnd"/>
      <w:r>
        <w:t xml:space="preserve"> capsule and a tablet (dry granulated). These early formulations were not bioequivalent to each other. The tablet formulation had significantly lower bioavailability than the proposed </w:t>
      </w:r>
      <w:proofErr w:type="spellStart"/>
      <w:r>
        <w:t>softgel</w:t>
      </w:r>
      <w:proofErr w:type="spellEnd"/>
      <w:r>
        <w:t xml:space="preserve"> capsule formulation.</w:t>
      </w:r>
    </w:p>
    <w:p w:rsidR="00C8707C" w:rsidRDefault="00C8707C" w:rsidP="00C8707C">
      <w:pPr>
        <w:pStyle w:val="Heading5"/>
        <w:numPr>
          <w:ilvl w:val="3"/>
          <w:numId w:val="5"/>
        </w:numPr>
      </w:pPr>
      <w:r>
        <w:t>Influence of food</w:t>
      </w:r>
    </w:p>
    <w:p w:rsidR="002C4CAD" w:rsidRDefault="00C8707C" w:rsidP="00C8707C">
      <w:pPr>
        <w:autoSpaceDE w:val="0"/>
        <w:autoSpaceDN w:val="0"/>
        <w:adjustRightInd w:val="0"/>
      </w:pPr>
      <w:r>
        <w:t xml:space="preserve">With the </w:t>
      </w:r>
      <w:proofErr w:type="spellStart"/>
      <w:r>
        <w:t>softgel</w:t>
      </w:r>
      <w:proofErr w:type="spellEnd"/>
      <w:r>
        <w:t xml:space="preserve"> capsule formulation proposed for marketing, co-administration with a high fat meal resulted in increased bioavailability (AUC) by approximately 20%, with a 34% increase in </w:t>
      </w:r>
      <w:proofErr w:type="spellStart"/>
      <w:r>
        <w:t>C</w:t>
      </w:r>
      <w:r>
        <w:rPr>
          <w:vertAlign w:val="subscript"/>
        </w:rPr>
        <w:t>max</w:t>
      </w:r>
      <w:proofErr w:type="spellEnd"/>
      <w:r>
        <w:t xml:space="preserve">. </w:t>
      </w:r>
      <w:proofErr w:type="spellStart"/>
      <w:r>
        <w:t>T</w:t>
      </w:r>
      <w:r>
        <w:rPr>
          <w:vertAlign w:val="subscript"/>
        </w:rPr>
        <w:t>max</w:t>
      </w:r>
      <w:proofErr w:type="spellEnd"/>
      <w:r>
        <w:t xml:space="preserve"> was reduced by approximately 1.0 hour. In an earlier study, a standard meal increased the AUC for the </w:t>
      </w:r>
      <w:proofErr w:type="spellStart"/>
      <w:r>
        <w:t>softgel</w:t>
      </w:r>
      <w:proofErr w:type="spellEnd"/>
      <w:r>
        <w:t xml:space="preserve"> capsule formulation by 22% and the </w:t>
      </w:r>
      <w:proofErr w:type="spellStart"/>
      <w:r>
        <w:t>C</w:t>
      </w:r>
      <w:r>
        <w:rPr>
          <w:vertAlign w:val="subscript"/>
        </w:rPr>
        <w:t>max</w:t>
      </w:r>
      <w:proofErr w:type="spellEnd"/>
      <w:r>
        <w:t xml:space="preserve"> by 31%.</w:t>
      </w:r>
    </w:p>
    <w:p w:rsidR="002C4CAD" w:rsidRDefault="00C8707C" w:rsidP="00C8707C">
      <w:pPr>
        <w:autoSpaceDE w:val="0"/>
        <w:autoSpaceDN w:val="0"/>
        <w:adjustRightInd w:val="0"/>
      </w:pPr>
      <w:r>
        <w:t>The early tablet formulation was subject to a very large food effect.</w:t>
      </w:r>
    </w:p>
    <w:p w:rsidR="00C8707C" w:rsidRDefault="00C8707C" w:rsidP="00C8707C">
      <w:pPr>
        <w:pStyle w:val="Comment"/>
      </w:pPr>
      <w:r>
        <w:rPr>
          <w:b/>
        </w:rPr>
        <w:t>Comment:</w:t>
      </w:r>
      <w:r>
        <w:t xml:space="preserve"> The sponsor is proposing that ASV can be administered with or without food. The early Phase Clinical studies used dosage regimens of up to 600 mg BD, without any major safety issues being apparent. A 20% increase in AUC is therefore unlikely to result in significant increased toxicity. However, the dosage instructions in the PI with respect to co-administration with food should reflect the dosage instructions given to patients in the pivotal efficacy and safety studies.</w:t>
      </w:r>
    </w:p>
    <w:p w:rsidR="00C8707C" w:rsidRDefault="00C8707C" w:rsidP="00C8707C">
      <w:pPr>
        <w:pStyle w:val="Heading5"/>
        <w:numPr>
          <w:ilvl w:val="0"/>
          <w:numId w:val="0"/>
        </w:numPr>
        <w:tabs>
          <w:tab w:val="left" w:pos="720"/>
        </w:tabs>
        <w:spacing w:after="0"/>
        <w:ind w:left="1701" w:hanging="1701"/>
        <w:rPr>
          <w:rFonts w:ascii="Arial" w:hAnsi="Arial"/>
          <w:i w:val="0"/>
        </w:rPr>
      </w:pPr>
      <w:r>
        <w:rPr>
          <w:rFonts w:ascii="Arial" w:hAnsi="Arial"/>
          <w:i w:val="0"/>
        </w:rPr>
        <w:t>Dose proportionality</w:t>
      </w:r>
    </w:p>
    <w:p w:rsidR="00C8707C" w:rsidRDefault="00C8707C" w:rsidP="00C8707C">
      <w:r>
        <w:t xml:space="preserve">In ascending dose studies, increases in ASV AUC and </w:t>
      </w:r>
      <w:proofErr w:type="spellStart"/>
      <w:r>
        <w:t>C</w:t>
      </w:r>
      <w:r>
        <w:rPr>
          <w:vertAlign w:val="subscript"/>
        </w:rPr>
        <w:t>max</w:t>
      </w:r>
      <w:proofErr w:type="spellEnd"/>
      <w:r>
        <w:t xml:space="preserve"> were more than proportional to the increases in dose.</w:t>
      </w:r>
    </w:p>
    <w:p w:rsidR="002C4CAD" w:rsidRDefault="00C8707C" w:rsidP="00C8707C">
      <w:pPr>
        <w:pStyle w:val="Comment"/>
      </w:pPr>
      <w:r>
        <w:rPr>
          <w:b/>
        </w:rPr>
        <w:t>Comment:</w:t>
      </w:r>
      <w:r>
        <w:t xml:space="preserve"> The sponsor is proposing a fixed dose of 100 mg BD for all subjects, without subsequent titration. There are therefore unlikely to be any clinically significant consequences of the non-linear PK.</w:t>
      </w:r>
    </w:p>
    <w:p w:rsidR="00C8707C" w:rsidRDefault="00C8707C" w:rsidP="00C8707C">
      <w:pPr>
        <w:pStyle w:val="Heading5"/>
        <w:numPr>
          <w:ilvl w:val="3"/>
          <w:numId w:val="5"/>
        </w:numPr>
      </w:pPr>
      <w:r>
        <w:t>Bioavailability during multiple-dosing</w:t>
      </w:r>
    </w:p>
    <w:p w:rsidR="00C8707C" w:rsidRDefault="00C8707C" w:rsidP="00C8707C">
      <w:r>
        <w:t>Repeated twice daily dosing with ASV 100 mg in healthy subjects resulted in accumulation of ASV, with the accumulation index for AUC typically being in the range of 2 to 4. Accumulation index decreased with increasing dose, suggesting auto-induction of metabolism. Steady state (as assessed by trough concentrations) was reached after 7 days.</w:t>
      </w:r>
    </w:p>
    <w:p w:rsidR="00C8707C" w:rsidRDefault="00C8707C" w:rsidP="00C8707C">
      <w:pPr>
        <w:pStyle w:val="Heading5"/>
        <w:numPr>
          <w:ilvl w:val="3"/>
          <w:numId w:val="5"/>
        </w:numPr>
        <w:rPr>
          <w:szCs w:val="24"/>
        </w:rPr>
      </w:pPr>
      <w:r>
        <w:t>Effect of administration timing</w:t>
      </w:r>
    </w:p>
    <w:p w:rsidR="00C8707C" w:rsidRDefault="00C8707C" w:rsidP="00C8707C">
      <w:r>
        <w:t>ASV is to be administered twice daily. A comparison between the PK parameters obtained after AM versus PM dosing suggested there was no substantial diurnal variation.</w:t>
      </w:r>
    </w:p>
    <w:p w:rsidR="00C8707C" w:rsidRDefault="00C8707C" w:rsidP="00C8707C">
      <w:pPr>
        <w:pStyle w:val="Heading4"/>
        <w:numPr>
          <w:ilvl w:val="2"/>
          <w:numId w:val="5"/>
        </w:numPr>
      </w:pPr>
      <w:bookmarkStart w:id="77" w:name="_Toc401659945"/>
      <w:bookmarkStart w:id="78" w:name="_Toc272500095"/>
      <w:bookmarkStart w:id="79" w:name="_Toc290846244"/>
      <w:bookmarkStart w:id="80" w:name="_Toc272414621"/>
      <w:bookmarkStart w:id="81" w:name="_Toc241374288"/>
      <w:r>
        <w:t>Distribution</w:t>
      </w:r>
      <w:bookmarkEnd w:id="77"/>
      <w:bookmarkEnd w:id="78"/>
      <w:bookmarkEnd w:id="79"/>
      <w:bookmarkEnd w:id="80"/>
      <w:bookmarkEnd w:id="81"/>
    </w:p>
    <w:p w:rsidR="00C8707C" w:rsidRDefault="00C8707C" w:rsidP="00C8707C">
      <w:pPr>
        <w:pStyle w:val="Heading5"/>
        <w:numPr>
          <w:ilvl w:val="3"/>
          <w:numId w:val="5"/>
        </w:numPr>
        <w:rPr>
          <w:color w:val="auto"/>
        </w:rPr>
      </w:pPr>
      <w:r>
        <w:t>Volume of distribution</w:t>
      </w:r>
    </w:p>
    <w:p w:rsidR="00C8707C" w:rsidRDefault="00C8707C" w:rsidP="00C8707C">
      <w:r>
        <w:t>Following IV administration of [</w:t>
      </w:r>
      <w:r>
        <w:rPr>
          <w:vertAlign w:val="superscript"/>
        </w:rPr>
        <w:t>14</w:t>
      </w:r>
      <w:r>
        <w:t>C] ASV, volume of distribution at steady state was estimated to be 194 litres suggesting extensive tissue distribution.</w:t>
      </w:r>
    </w:p>
    <w:p w:rsidR="00C8707C" w:rsidRDefault="00C8707C" w:rsidP="00C8707C">
      <w:pPr>
        <w:pStyle w:val="Heading5"/>
        <w:numPr>
          <w:ilvl w:val="3"/>
          <w:numId w:val="5"/>
        </w:numPr>
      </w:pPr>
      <w:r>
        <w:t>Plasma protein binding</w:t>
      </w:r>
    </w:p>
    <w:p w:rsidR="00C8707C" w:rsidRDefault="00C8707C" w:rsidP="00C8707C">
      <w:r>
        <w:t xml:space="preserve">In blood samples collected at trough and at </w:t>
      </w:r>
      <w:proofErr w:type="spellStart"/>
      <w:r>
        <w:t>T</w:t>
      </w:r>
      <w:r>
        <w:rPr>
          <w:vertAlign w:val="subscript"/>
        </w:rPr>
        <w:t>max</w:t>
      </w:r>
      <w:proofErr w:type="spellEnd"/>
      <w:r>
        <w:t>, protein binding was &gt;99%. The degree of binding was not altered in subjects with hepatic or renal impairment.</w:t>
      </w:r>
    </w:p>
    <w:p w:rsidR="00C8707C" w:rsidRDefault="00C8707C" w:rsidP="00C8707C">
      <w:pPr>
        <w:pStyle w:val="Heading4"/>
        <w:numPr>
          <w:ilvl w:val="2"/>
          <w:numId w:val="5"/>
        </w:numPr>
      </w:pPr>
      <w:bookmarkStart w:id="82" w:name="_Toc401659946"/>
      <w:bookmarkStart w:id="83" w:name="_Toc272500096"/>
      <w:bookmarkStart w:id="84" w:name="_Toc290846245"/>
      <w:bookmarkStart w:id="85" w:name="_Toc272414622"/>
      <w:r>
        <w:t>Metabolism</w:t>
      </w:r>
      <w:bookmarkEnd w:id="82"/>
      <w:bookmarkEnd w:id="83"/>
      <w:bookmarkEnd w:id="84"/>
      <w:bookmarkEnd w:id="85"/>
    </w:p>
    <w:p w:rsidR="00C8707C" w:rsidRDefault="00C8707C" w:rsidP="00C8707C">
      <w:r>
        <w:t>The absolute bioavailability of ASV is 9.3%. Only trace amounts of an orally administered dose of ASV are recovered in the urine, with most being recovered in the faeces. According to the sponsor’s Summary of Clinical Pharmacology (SCP) in Module 2, most of the drug-related material in faeces is the form of metabolites, with only 7.5% of the dose being unchanged ASV. These data indicate that metabolism is the major route of clearance for ASV.</w:t>
      </w:r>
    </w:p>
    <w:p w:rsidR="00C8707C" w:rsidRDefault="00C8707C" w:rsidP="00C8707C">
      <w:pPr>
        <w:pStyle w:val="Heading5"/>
        <w:numPr>
          <w:ilvl w:val="3"/>
          <w:numId w:val="5"/>
        </w:numPr>
      </w:pPr>
      <w:r>
        <w:lastRenderedPageBreak/>
        <w:t>Sites of metabolism and mechanisms / enzyme systems involved</w:t>
      </w:r>
    </w:p>
    <w:p w:rsidR="002C4CAD" w:rsidRDefault="00C8707C" w:rsidP="00C8707C">
      <w:r>
        <w:t>According to the sponsor’s SCP in Module 2, in vitro data indicated that metabolism of ASV is primarily mediated by CYP3A4. In clinical interaction studies, co-administration of ASV with agents that inhibited CYP3A4 resulted in increased ASV systemic exposure - for example, ketoconazole and ritonavir. Co-administration of ASV with rifampicin, an agent that induces CYP3A4, resulted in some decrease in ASV systemic exposure.</w:t>
      </w:r>
    </w:p>
    <w:p w:rsidR="00C8707C" w:rsidRDefault="00C8707C" w:rsidP="00C8707C">
      <w:pPr>
        <w:pStyle w:val="Heading5"/>
        <w:numPr>
          <w:ilvl w:val="3"/>
          <w:numId w:val="5"/>
        </w:numPr>
      </w:pPr>
      <w:r>
        <w:t>Clearance</w:t>
      </w:r>
    </w:p>
    <w:p w:rsidR="00C8707C" w:rsidRDefault="00C8707C" w:rsidP="00C8707C">
      <w:r>
        <w:t>Following IV administration of [</w:t>
      </w:r>
      <w:r>
        <w:rPr>
          <w:vertAlign w:val="superscript"/>
        </w:rPr>
        <w:t>14</w:t>
      </w:r>
      <w:r>
        <w:t xml:space="preserve">C] ASV, total clearance was estimated to be 49.5 L/hr </w:t>
      </w:r>
      <w:proofErr w:type="gramStart"/>
      <w:r>
        <w:t xml:space="preserve">(825 </w:t>
      </w:r>
      <w:proofErr w:type="spellStart"/>
      <w:r>
        <w:t>mLs</w:t>
      </w:r>
      <w:proofErr w:type="spellEnd"/>
      <w:r>
        <w:t>/min)</w:t>
      </w:r>
      <w:proofErr w:type="gramEnd"/>
      <w:r>
        <w:t>.</w:t>
      </w:r>
    </w:p>
    <w:p w:rsidR="00C8707C" w:rsidRDefault="00C8707C" w:rsidP="00C8707C">
      <w:pPr>
        <w:pStyle w:val="Heading5"/>
        <w:numPr>
          <w:ilvl w:val="3"/>
          <w:numId w:val="5"/>
        </w:numPr>
      </w:pPr>
      <w:r>
        <w:t>Half-life</w:t>
      </w:r>
    </w:p>
    <w:p w:rsidR="00C8707C" w:rsidRDefault="00C8707C" w:rsidP="00C8707C">
      <w:r>
        <w:t>Following IV administration of [</w:t>
      </w:r>
      <w:r>
        <w:rPr>
          <w:vertAlign w:val="superscript"/>
        </w:rPr>
        <w:t>14</w:t>
      </w:r>
      <w:r>
        <w:t xml:space="preserve">C] ASV, half-life was estimated to be 13.7 hours. Following oral administration (of multiple doses of the </w:t>
      </w:r>
      <w:proofErr w:type="spellStart"/>
      <w:r>
        <w:t>softgel</w:t>
      </w:r>
      <w:proofErr w:type="spellEnd"/>
      <w:r>
        <w:t xml:space="preserve"> capsule formulation) at the 100 mg BD dose, mean half-life across studies was 17.7 hours.</w:t>
      </w:r>
    </w:p>
    <w:p w:rsidR="00C8707C" w:rsidRDefault="00C8707C" w:rsidP="00C8707C">
      <w:pPr>
        <w:pStyle w:val="Heading5"/>
        <w:numPr>
          <w:ilvl w:val="3"/>
          <w:numId w:val="5"/>
        </w:numPr>
      </w:pPr>
      <w:r>
        <w:t>Metabolites identified in humans</w:t>
      </w:r>
    </w:p>
    <w:p w:rsidR="00C8707C" w:rsidRDefault="00C8707C" w:rsidP="00C8707C">
      <w:r>
        <w:t>According to the SCP in Module 2, there were 15 metabolites identified in humans. Data regarding the identity of the metabolites was included in Module 4 [nonclinical] of the submission.</w:t>
      </w:r>
    </w:p>
    <w:p w:rsidR="00C8707C" w:rsidRDefault="00C8707C" w:rsidP="00C8707C">
      <w:pPr>
        <w:pStyle w:val="Heading4"/>
        <w:numPr>
          <w:ilvl w:val="2"/>
          <w:numId w:val="5"/>
        </w:numPr>
      </w:pPr>
      <w:bookmarkStart w:id="86" w:name="_Toc241374289"/>
      <w:bookmarkStart w:id="87" w:name="_Toc401659947"/>
      <w:bookmarkStart w:id="88" w:name="_Toc272500097"/>
      <w:bookmarkStart w:id="89" w:name="_Toc290846246"/>
      <w:bookmarkStart w:id="90" w:name="_Toc272414623"/>
      <w:r>
        <w:t>E</w:t>
      </w:r>
      <w:bookmarkEnd w:id="86"/>
      <w:r>
        <w:t>xcretion</w:t>
      </w:r>
      <w:bookmarkEnd w:id="87"/>
      <w:bookmarkEnd w:id="88"/>
      <w:bookmarkEnd w:id="89"/>
      <w:bookmarkEnd w:id="90"/>
    </w:p>
    <w:p w:rsidR="00C8707C" w:rsidRDefault="00C8707C" w:rsidP="00C8707C">
      <w:pPr>
        <w:pStyle w:val="Heading5"/>
        <w:numPr>
          <w:ilvl w:val="3"/>
          <w:numId w:val="5"/>
        </w:numPr>
        <w:rPr>
          <w:color w:val="auto"/>
        </w:rPr>
      </w:pPr>
      <w:r>
        <w:t>Routes and mechanisms of excretion</w:t>
      </w:r>
    </w:p>
    <w:p w:rsidR="00C8707C" w:rsidRDefault="00C8707C" w:rsidP="00C8707C">
      <w:r>
        <w:t>Following oral administration of radiolabelled ASV, drug-related material was mainly excreted in faeces (83.96%) with only small amounts (0.24%) in urine. There were no clinical data relating to mechanisms of excretion.</w:t>
      </w:r>
    </w:p>
    <w:p w:rsidR="00C8707C" w:rsidRDefault="00C8707C" w:rsidP="00C8707C">
      <w:pPr>
        <w:pStyle w:val="Heading5"/>
        <w:numPr>
          <w:ilvl w:val="3"/>
          <w:numId w:val="5"/>
        </w:numPr>
      </w:pPr>
      <w:r>
        <w:t>Renal clearance</w:t>
      </w:r>
    </w:p>
    <w:p w:rsidR="00C8707C" w:rsidRDefault="00C8707C" w:rsidP="00C8707C">
      <w:r>
        <w:t>Following oral administration only small amounts of drug-related material are excreted in the urine. Renal clearance of ASV is therefore negligible.</w:t>
      </w:r>
    </w:p>
    <w:p w:rsidR="00C8707C" w:rsidRDefault="00C8707C" w:rsidP="00C8707C">
      <w:pPr>
        <w:pStyle w:val="Heading4"/>
        <w:numPr>
          <w:ilvl w:val="2"/>
          <w:numId w:val="5"/>
        </w:numPr>
      </w:pPr>
      <w:bookmarkStart w:id="91" w:name="_Toc241374291"/>
      <w:bookmarkStart w:id="92" w:name="_Toc401659948"/>
      <w:bookmarkStart w:id="93" w:name="_Toc272500098"/>
      <w:bookmarkStart w:id="94" w:name="_Toc290846247"/>
      <w:bookmarkStart w:id="95" w:name="_Toc272414624"/>
      <w:r>
        <w:t>Intra- and inter-individual variability</w:t>
      </w:r>
      <w:bookmarkEnd w:id="91"/>
      <w:r>
        <w:t xml:space="preserve"> of pharmacokinetics</w:t>
      </w:r>
      <w:bookmarkEnd w:id="92"/>
      <w:bookmarkEnd w:id="93"/>
      <w:bookmarkEnd w:id="94"/>
      <w:bookmarkEnd w:id="95"/>
    </w:p>
    <w:p w:rsidR="00C8707C" w:rsidRDefault="00C8707C" w:rsidP="00C8707C">
      <w:pPr>
        <w:autoSpaceDE w:val="0"/>
        <w:autoSpaceDN w:val="0"/>
        <w:adjustRightInd w:val="0"/>
      </w:pPr>
      <w:r>
        <w:t xml:space="preserve">The sponsor considered intra-subject variability to be low for the </w:t>
      </w:r>
      <w:proofErr w:type="spellStart"/>
      <w:r>
        <w:t>softgel</w:t>
      </w:r>
      <w:proofErr w:type="spellEnd"/>
      <w:r>
        <w:t xml:space="preserve"> capsule formulation, based on </w:t>
      </w:r>
      <w:proofErr w:type="spellStart"/>
      <w:r>
        <w:t>C</w:t>
      </w:r>
      <w:r>
        <w:rPr>
          <w:vertAlign w:val="subscript"/>
        </w:rPr>
        <w:t>max</w:t>
      </w:r>
      <w:proofErr w:type="spellEnd"/>
      <w:r>
        <w:t xml:space="preserve"> and AUC values obtained in healthy subjects receiving repeated single doses in bioequivalence studies. Variability was higher for the earlier tablet formulation.</w:t>
      </w:r>
    </w:p>
    <w:p w:rsidR="00C8707C" w:rsidRDefault="00C8707C" w:rsidP="00C8707C">
      <w:pPr>
        <w:autoSpaceDE w:val="0"/>
        <w:autoSpaceDN w:val="0"/>
        <w:adjustRightInd w:val="0"/>
      </w:pPr>
      <w:r>
        <w:t xml:space="preserve">Inter-subject variability was assessed as moderate to high among healthy volunteers, with CV values for AUC and </w:t>
      </w:r>
      <w:proofErr w:type="spellStart"/>
      <w:r>
        <w:t>C</w:t>
      </w:r>
      <w:r>
        <w:rPr>
          <w:vertAlign w:val="subscript"/>
        </w:rPr>
        <w:t>max</w:t>
      </w:r>
      <w:proofErr w:type="spellEnd"/>
      <w:r>
        <w:t xml:space="preserve"> being &gt; 50% in most cases.</w:t>
      </w:r>
    </w:p>
    <w:p w:rsidR="00C8707C" w:rsidRDefault="00C8707C" w:rsidP="00C8707C">
      <w:pPr>
        <w:pStyle w:val="Heading3"/>
        <w:numPr>
          <w:ilvl w:val="1"/>
          <w:numId w:val="5"/>
        </w:numPr>
      </w:pPr>
      <w:bookmarkStart w:id="96" w:name="_Toc401659949"/>
      <w:bookmarkStart w:id="97" w:name="_Toc272500099"/>
      <w:bookmarkStart w:id="98" w:name="_Toc290846248"/>
      <w:bookmarkStart w:id="99" w:name="_Toc272414625"/>
      <w:bookmarkStart w:id="100" w:name="_Ref271189136"/>
      <w:bookmarkStart w:id="101" w:name="_Ref271189131"/>
      <w:bookmarkStart w:id="102" w:name="_Toc241374292"/>
      <w:bookmarkStart w:id="103" w:name="_Toc431369671"/>
      <w:bookmarkStart w:id="104" w:name="_Toc438116071"/>
      <w:r>
        <w:t xml:space="preserve">Pharmacokinetics in the target </w:t>
      </w:r>
      <w:r w:rsidRPr="00EF4C97">
        <w:t>population</w:t>
      </w:r>
      <w:bookmarkEnd w:id="96"/>
      <w:bookmarkEnd w:id="97"/>
      <w:bookmarkEnd w:id="98"/>
      <w:bookmarkEnd w:id="99"/>
      <w:bookmarkEnd w:id="100"/>
      <w:bookmarkEnd w:id="101"/>
      <w:bookmarkEnd w:id="102"/>
      <w:bookmarkEnd w:id="103"/>
      <w:bookmarkEnd w:id="104"/>
    </w:p>
    <w:p w:rsidR="00C8707C" w:rsidRDefault="00C8707C" w:rsidP="00C8707C">
      <w:bookmarkStart w:id="105" w:name="_Toc241374293"/>
      <w:r>
        <w:t xml:space="preserve">The 2 early phase studies conducted in subjects with chronic HCV infection (AI447-002 and -004) used early formulations (oral suspension and hard </w:t>
      </w:r>
      <w:proofErr w:type="spellStart"/>
      <w:r>
        <w:t>gelatin</w:t>
      </w:r>
      <w:proofErr w:type="spellEnd"/>
      <w:r>
        <w:t xml:space="preserve"> capsules respectively). It is therefore difficult to compare PK with healthy subjects. According to the Module 2 SCP, comparison of steady-state ASV PK data from subjects with HCV infection from 2 later phase studies (AI447011 [DCV CER [</w:t>
      </w:r>
      <w:proofErr w:type="spellStart"/>
      <w:r>
        <w:t>AusPAR</w:t>
      </w:r>
      <w:proofErr w:type="spellEnd"/>
      <w:r>
        <w:t xml:space="preserve"> for </w:t>
      </w:r>
      <w:proofErr w:type="spellStart"/>
      <w:r>
        <w:t>Daklinza</w:t>
      </w:r>
      <w:proofErr w:type="spellEnd"/>
      <w:r>
        <w:t xml:space="preserve"> Attachment 2]] and AI447016: section </w:t>
      </w:r>
      <w:r w:rsidRPr="00EF4C97">
        <w:rPr>
          <w:i/>
        </w:rPr>
        <w:t>Dosage selection for the pivotal studies</w:t>
      </w:r>
      <w:r>
        <w:t xml:space="preserve"> below) demonstrated a 2.3-fold higher </w:t>
      </w:r>
      <w:proofErr w:type="spellStart"/>
      <w:r>
        <w:t>C</w:t>
      </w:r>
      <w:r>
        <w:rPr>
          <w:vertAlign w:val="subscript"/>
        </w:rPr>
        <w:t>max</w:t>
      </w:r>
      <w:proofErr w:type="spellEnd"/>
      <w:r>
        <w:t xml:space="preserve">, a 2.5-fold higher AUC and a 3.1-fold higher </w:t>
      </w:r>
      <w:proofErr w:type="spellStart"/>
      <w:r>
        <w:t>C</w:t>
      </w:r>
      <w:r w:rsidRPr="00EF4C97">
        <w:rPr>
          <w:vertAlign w:val="subscript"/>
        </w:rPr>
        <w:t>min</w:t>
      </w:r>
      <w:proofErr w:type="spellEnd"/>
      <w:r>
        <w:t xml:space="preserve"> compared to healthy subjects in studies AI447015 and AI447020 after administration of the 200-mg Phase II tablet under fed conditions.</w:t>
      </w:r>
    </w:p>
    <w:p w:rsidR="00C8707C" w:rsidRDefault="00C8707C" w:rsidP="00C8707C">
      <w:r>
        <w:t>Greater systemic exposure in HCV subjects may be a result of impairment of hepatic function in these subjects.</w:t>
      </w:r>
    </w:p>
    <w:p w:rsidR="00C8707C" w:rsidRDefault="00C8707C" w:rsidP="00C8707C">
      <w:pPr>
        <w:pStyle w:val="Heading3"/>
        <w:numPr>
          <w:ilvl w:val="1"/>
          <w:numId w:val="5"/>
        </w:numPr>
      </w:pPr>
      <w:bookmarkStart w:id="106" w:name="_Toc401659950"/>
      <w:bookmarkStart w:id="107" w:name="_Toc272500100"/>
      <w:bookmarkStart w:id="108" w:name="_Toc290846249"/>
      <w:bookmarkStart w:id="109" w:name="_Toc272414626"/>
      <w:bookmarkStart w:id="110" w:name="_Toc431369672"/>
      <w:bookmarkStart w:id="111" w:name="_Toc438116072"/>
      <w:r>
        <w:lastRenderedPageBreak/>
        <w:t>Pharmacokinetics in other special populations</w:t>
      </w:r>
      <w:bookmarkEnd w:id="105"/>
      <w:bookmarkEnd w:id="106"/>
      <w:bookmarkEnd w:id="107"/>
      <w:bookmarkEnd w:id="108"/>
      <w:bookmarkEnd w:id="109"/>
      <w:bookmarkEnd w:id="110"/>
      <w:bookmarkEnd w:id="111"/>
    </w:p>
    <w:p w:rsidR="00C8707C" w:rsidRDefault="00C8707C" w:rsidP="00C8707C">
      <w:pPr>
        <w:pStyle w:val="Heading4"/>
        <w:numPr>
          <w:ilvl w:val="2"/>
          <w:numId w:val="5"/>
        </w:numPr>
      </w:pPr>
      <w:bookmarkStart w:id="112" w:name="_Toc401659951"/>
      <w:bookmarkStart w:id="113" w:name="_Toc272500101"/>
      <w:bookmarkStart w:id="114" w:name="_Toc290846250"/>
      <w:bookmarkStart w:id="115" w:name="_Toc272414627"/>
      <w:r>
        <w:t>Pharmacokinetics in subjects with impaired hepatic function</w:t>
      </w:r>
      <w:bookmarkEnd w:id="112"/>
      <w:bookmarkEnd w:id="113"/>
      <w:bookmarkEnd w:id="114"/>
      <w:bookmarkEnd w:id="115"/>
    </w:p>
    <w:p w:rsidR="002C4CAD" w:rsidRDefault="00C8707C" w:rsidP="00C8707C">
      <w:r>
        <w:t>Subjects with moderate (Child-Pugh Class B) or severe (Class C) hepatic impairment had markedly increased systemic exposure to ASV compared to healthy volunteers (32-fold increase in AUC for class C and 9.8-fold increase for class B). Subjects with mild (Class A) hepatic impairment did not have increased exposure.</w:t>
      </w:r>
    </w:p>
    <w:p w:rsidR="00C8707C" w:rsidRDefault="00C8707C" w:rsidP="00C8707C">
      <w:pPr>
        <w:pStyle w:val="Comment"/>
      </w:pPr>
      <w:r>
        <w:rPr>
          <w:b/>
        </w:rPr>
        <w:t>Comment:</w:t>
      </w:r>
      <w:r>
        <w:t xml:space="preserve"> In the draft PI, ASV is contraindicated in subjects with moderate to severe hepatic impairment. No dosage reduction is recommended for subjects with mild impairment. Based on the data, this approach is appropriate.</w:t>
      </w:r>
    </w:p>
    <w:p w:rsidR="00C8707C" w:rsidRDefault="00C8707C" w:rsidP="00C8707C">
      <w:pPr>
        <w:pStyle w:val="Heading5"/>
        <w:numPr>
          <w:ilvl w:val="3"/>
          <w:numId w:val="5"/>
        </w:numPr>
      </w:pPr>
      <w:bookmarkStart w:id="116" w:name="_Toc401659952"/>
      <w:bookmarkStart w:id="117" w:name="_Toc272500102"/>
      <w:bookmarkStart w:id="118" w:name="_Toc290846251"/>
      <w:bookmarkStart w:id="119" w:name="_Toc272414628"/>
      <w:r>
        <w:t>Pharmacokinetics in subjects with impaired renal function</w:t>
      </w:r>
      <w:bookmarkEnd w:id="116"/>
      <w:bookmarkEnd w:id="117"/>
      <w:bookmarkEnd w:id="118"/>
      <w:bookmarkEnd w:id="119"/>
    </w:p>
    <w:p w:rsidR="00C8707C" w:rsidRDefault="00C8707C" w:rsidP="00C8707C">
      <w:r>
        <w:t xml:space="preserve">Patients with end stage renal disease on haemodialysis did not have an increased exposure to ASV based on AUC and </w:t>
      </w:r>
      <w:proofErr w:type="spellStart"/>
      <w:r>
        <w:t>C</w:t>
      </w:r>
      <w:r w:rsidRPr="00EF4C97">
        <w:rPr>
          <w:vertAlign w:val="subscript"/>
        </w:rPr>
        <w:t>min</w:t>
      </w:r>
      <w:proofErr w:type="spellEnd"/>
      <w:r>
        <w:t xml:space="preserve"> values. Mean </w:t>
      </w:r>
      <w:proofErr w:type="spellStart"/>
      <w:r>
        <w:t>C</w:t>
      </w:r>
      <w:r>
        <w:rPr>
          <w:vertAlign w:val="subscript"/>
        </w:rPr>
        <w:t>max</w:t>
      </w:r>
      <w:proofErr w:type="spellEnd"/>
      <w:r>
        <w:t xml:space="preserve"> values were increased by approximately 25%. No dosage adjustment is recommended in the draft PI for subjects with impaired renal function.</w:t>
      </w:r>
    </w:p>
    <w:p w:rsidR="00C8707C" w:rsidRDefault="00C8707C" w:rsidP="00C8707C">
      <w:pPr>
        <w:pStyle w:val="Heading5"/>
        <w:numPr>
          <w:ilvl w:val="3"/>
          <w:numId w:val="5"/>
        </w:numPr>
      </w:pPr>
      <w:bookmarkStart w:id="120" w:name="_Toc401659953"/>
      <w:bookmarkStart w:id="121" w:name="_Toc272500103"/>
      <w:bookmarkStart w:id="122" w:name="_Toc290846252"/>
      <w:bookmarkStart w:id="123" w:name="_Toc272414629"/>
      <w:r>
        <w:t>Pharmacokinetics according to age</w:t>
      </w:r>
      <w:bookmarkEnd w:id="120"/>
      <w:bookmarkEnd w:id="121"/>
      <w:bookmarkEnd w:id="122"/>
      <w:bookmarkEnd w:id="123"/>
    </w:p>
    <w:p w:rsidR="00C8707C" w:rsidRDefault="00C8707C" w:rsidP="00C8707C">
      <w:r>
        <w:t>No dedicated studies were conducted examining the effect of age on ASV PK. In a population PK analysis, age was identified as a significant covariate. However, the magnitude of any effect on ASV exposure was small and unlikely to be clinically significant. The mean age of subjects include in the analysis was 55 years (range 18-79). No dosage adjustment is recommended in the draft PI for elderly subjects.</w:t>
      </w:r>
    </w:p>
    <w:p w:rsidR="00C8707C" w:rsidRDefault="00C8707C" w:rsidP="00C8707C">
      <w:pPr>
        <w:pStyle w:val="Heading5"/>
        <w:numPr>
          <w:ilvl w:val="3"/>
          <w:numId w:val="5"/>
        </w:numPr>
      </w:pPr>
      <w:bookmarkStart w:id="124" w:name="_Toc401659954"/>
      <w:bookmarkStart w:id="125" w:name="_Toc272500104"/>
      <w:r>
        <w:t>Pharmacokinetics according to gender</w:t>
      </w:r>
      <w:bookmarkEnd w:id="124"/>
      <w:bookmarkEnd w:id="125"/>
    </w:p>
    <w:p w:rsidR="00C8707C" w:rsidRDefault="00C8707C" w:rsidP="00C8707C">
      <w:r>
        <w:t>No dedicated studies were conducted examining the effect of gender on ASV PK. In a population PK analysis, gender was identified as a significant covariate, with females experiencing greater systemic exposure. However, the magnitude of any effect was small and unlikely to be clinically significant.</w:t>
      </w:r>
    </w:p>
    <w:p w:rsidR="00C8707C" w:rsidRDefault="00C8707C" w:rsidP="00C8707C">
      <w:pPr>
        <w:pStyle w:val="Heading5"/>
        <w:numPr>
          <w:ilvl w:val="3"/>
          <w:numId w:val="5"/>
        </w:numPr>
      </w:pPr>
      <w:bookmarkStart w:id="126" w:name="_Toc290846253"/>
      <w:bookmarkStart w:id="127" w:name="_Toc272414630"/>
      <w:bookmarkStart w:id="128" w:name="_Toc401659955"/>
      <w:bookmarkStart w:id="129" w:name="_Toc272500105"/>
      <w:r>
        <w:t xml:space="preserve">Pharmacokinetics according to </w:t>
      </w:r>
      <w:bookmarkEnd w:id="126"/>
      <w:bookmarkEnd w:id="127"/>
      <w:r>
        <w:t>race</w:t>
      </w:r>
      <w:bookmarkEnd w:id="128"/>
      <w:bookmarkEnd w:id="129"/>
    </w:p>
    <w:p w:rsidR="00C8707C" w:rsidRDefault="00C8707C" w:rsidP="00C8707C">
      <w:r>
        <w:rPr>
          <w:bCs/>
        </w:rPr>
        <w:t>In a study comparing PK between Caucasian and Chinese subjects</w:t>
      </w:r>
      <w:r>
        <w:t xml:space="preserve">, Chinese subjects experienced greater systemic exposure to ASV. With multiple dosing, AUC was increased by 53.9% and </w:t>
      </w:r>
      <w:proofErr w:type="spellStart"/>
      <w:r>
        <w:t>Cmax</w:t>
      </w:r>
      <w:proofErr w:type="spellEnd"/>
      <w:r>
        <w:t xml:space="preserve"> by 89.7%.</w:t>
      </w:r>
    </w:p>
    <w:p w:rsidR="00C8707C" w:rsidRDefault="00C8707C" w:rsidP="00C8707C">
      <w:r>
        <w:t>In the Module 2 SCP the sponsor presented the results of an integrated analysis of PK data according to race. Compared to White subjects, increased exposure was seen in Indian and Japanese subjects, but not in African-Americans.</w:t>
      </w:r>
    </w:p>
    <w:p w:rsidR="00C8707C" w:rsidRDefault="00C8707C" w:rsidP="00C8707C">
      <w:pPr>
        <w:pStyle w:val="Heading3"/>
        <w:numPr>
          <w:ilvl w:val="1"/>
          <w:numId w:val="5"/>
        </w:numPr>
      </w:pPr>
      <w:bookmarkStart w:id="130" w:name="_Toc401659956"/>
      <w:bookmarkStart w:id="131" w:name="_Toc272500106"/>
      <w:bookmarkStart w:id="132" w:name="_Toc290846255"/>
      <w:bookmarkStart w:id="133" w:name="_Toc272414632"/>
      <w:bookmarkStart w:id="134" w:name="_Toc241374294"/>
      <w:bookmarkStart w:id="135" w:name="_Toc431369673"/>
      <w:bookmarkStart w:id="136" w:name="_Toc438116073"/>
      <w:r>
        <w:t xml:space="preserve">Pharmacokinetic </w:t>
      </w:r>
      <w:r w:rsidRPr="00EF4C97">
        <w:t>interactions</w:t>
      </w:r>
      <w:bookmarkEnd w:id="130"/>
      <w:bookmarkEnd w:id="131"/>
      <w:bookmarkEnd w:id="132"/>
      <w:bookmarkEnd w:id="133"/>
      <w:bookmarkEnd w:id="134"/>
      <w:bookmarkEnd w:id="135"/>
      <w:bookmarkEnd w:id="136"/>
    </w:p>
    <w:p w:rsidR="00C8707C" w:rsidRDefault="00C8707C" w:rsidP="00C8707C">
      <w:pPr>
        <w:pStyle w:val="Heading4"/>
        <w:numPr>
          <w:ilvl w:val="2"/>
          <w:numId w:val="5"/>
        </w:numPr>
      </w:pPr>
      <w:r>
        <w:t>Effect of other drugs on PK of ASV</w:t>
      </w:r>
    </w:p>
    <w:p w:rsidR="00C8707C" w:rsidRDefault="00C8707C" w:rsidP="00C8707C">
      <w:pPr>
        <w:rPr>
          <w:b/>
        </w:rPr>
      </w:pPr>
      <w:r>
        <w:t>The early phase clinical studies that examined the effect of other drugs on ASV PK are summarised:</w:t>
      </w:r>
    </w:p>
    <w:p w:rsidR="00C8707C" w:rsidRDefault="00C8707C" w:rsidP="00C8707C">
      <w:pPr>
        <w:autoSpaceDE w:val="0"/>
        <w:autoSpaceDN w:val="0"/>
        <w:adjustRightInd w:val="0"/>
        <w:rPr>
          <w:bCs/>
        </w:rPr>
      </w:pPr>
      <w:r>
        <w:rPr>
          <w:b/>
          <w:bCs/>
        </w:rPr>
        <w:t>CYP3A4 inhibitors:</w:t>
      </w:r>
      <w:r>
        <w:rPr>
          <w:bCs/>
        </w:rPr>
        <w:t xml:space="preserve"> Preclinical data suggested that ASV is a substrate for CYP3A4. The early phase clinical studies supported these findings with co-administration of drugs that inhibit CYP3A4 (ketoconazole, ritonavir) causing significant increases in ASV AUC and </w:t>
      </w:r>
      <w:proofErr w:type="spellStart"/>
      <w:r>
        <w:rPr>
          <w:bCs/>
        </w:rPr>
        <w:t>C</w:t>
      </w:r>
      <w:r>
        <w:rPr>
          <w:bCs/>
          <w:vertAlign w:val="subscript"/>
        </w:rPr>
        <w:t>max</w:t>
      </w:r>
      <w:proofErr w:type="spellEnd"/>
      <w:r>
        <w:rPr>
          <w:bCs/>
        </w:rPr>
        <w:t>.</w:t>
      </w:r>
    </w:p>
    <w:p w:rsidR="00C8707C" w:rsidRDefault="00C8707C" w:rsidP="00C8707C">
      <w:pPr>
        <w:pStyle w:val="Comment"/>
      </w:pPr>
      <w:r>
        <w:rPr>
          <w:b/>
        </w:rPr>
        <w:t>Comment:</w:t>
      </w:r>
      <w:r>
        <w:t xml:space="preserve"> The draft PI states that ASV is contraindicated in patients receiving moderate or strong CYP3A4 inhibitors.</w:t>
      </w:r>
    </w:p>
    <w:p w:rsidR="00C8707C" w:rsidRDefault="00C8707C" w:rsidP="00C8707C">
      <w:pPr>
        <w:rPr>
          <w:u w:val="single"/>
        </w:rPr>
      </w:pPr>
      <w:r>
        <w:rPr>
          <w:b/>
        </w:rPr>
        <w:t xml:space="preserve">CYP3A4 inducers: </w:t>
      </w:r>
      <w:r>
        <w:t>Rifampicin, a CYP3A4 inducer, caused a modest reduction in ASV exposure. However the effect of CYP3A4 induction may have been obscured in this study as rifampicin also inhibits the transporter protein OATP -1B1, and this effect would increase ASV exposure (see below).</w:t>
      </w:r>
    </w:p>
    <w:p w:rsidR="00C8707C" w:rsidRDefault="00C8707C" w:rsidP="00C8707C">
      <w:pPr>
        <w:pStyle w:val="Comment"/>
      </w:pPr>
      <w:r>
        <w:rPr>
          <w:b/>
        </w:rPr>
        <w:t>Comment:</w:t>
      </w:r>
      <w:r>
        <w:t xml:space="preserve"> The draft PI states that ASV is contraindicated in patients receiving moderate or strong CYP3A4 inducers.</w:t>
      </w:r>
    </w:p>
    <w:p w:rsidR="00C8707C" w:rsidRDefault="00C8707C" w:rsidP="00C8707C">
      <w:pPr>
        <w:autoSpaceDE w:val="0"/>
        <w:autoSpaceDN w:val="0"/>
        <w:adjustRightInd w:val="0"/>
        <w:rPr>
          <w:u w:val="single"/>
        </w:rPr>
      </w:pPr>
      <w:r>
        <w:rPr>
          <w:b/>
        </w:rPr>
        <w:lastRenderedPageBreak/>
        <w:t xml:space="preserve">Inhibitors of OATP-1B1: </w:t>
      </w:r>
      <w:r>
        <w:t>Preclinical data indicated that ASV is a substrate for the transporter proteins OATP-1B1 and OATP-2B1. These agents facilitate the transport of drugs from the hepatic sinusoids in hepatocytes, thereby enabling hepatic clearance. Inhibition of OAT-1B1/2B1 by a single dose of rifampicin resulted in a marked increase in systemic exposure to ASV, supporting the preclinical findings.</w:t>
      </w:r>
    </w:p>
    <w:p w:rsidR="00C8707C" w:rsidRDefault="00C8707C" w:rsidP="00C8707C">
      <w:pPr>
        <w:pStyle w:val="Comment"/>
      </w:pPr>
      <w:r>
        <w:rPr>
          <w:b/>
        </w:rPr>
        <w:t>Comment:</w:t>
      </w:r>
      <w:r>
        <w:t xml:space="preserve"> The draft PI states that ASV is contraindicated in patients receiving strong inhibitors of OAT-1B1/2B1.</w:t>
      </w:r>
    </w:p>
    <w:p w:rsidR="00C8707C" w:rsidRDefault="00C8707C" w:rsidP="00C8707C">
      <w:pPr>
        <w:autoSpaceDE w:val="0"/>
        <w:autoSpaceDN w:val="0"/>
        <w:adjustRightInd w:val="0"/>
        <w:rPr>
          <w:u w:val="single"/>
        </w:rPr>
      </w:pPr>
      <w:r>
        <w:rPr>
          <w:b/>
        </w:rPr>
        <w:t>Other:</w:t>
      </w:r>
      <w:r>
        <w:rPr>
          <w:u w:val="single"/>
        </w:rPr>
        <w:t xml:space="preserve"> </w:t>
      </w:r>
      <w:r>
        <w:t xml:space="preserve">The draft PI states that no dose adjustment is recommended when ASV is given with </w:t>
      </w:r>
      <w:proofErr w:type="spellStart"/>
      <w:r>
        <w:t>peginterferon</w:t>
      </w:r>
      <w:proofErr w:type="spellEnd"/>
      <w:r>
        <w:t xml:space="preserve"> </w:t>
      </w:r>
      <w:proofErr w:type="spellStart"/>
      <w:r>
        <w:t>alfa</w:t>
      </w:r>
      <w:proofErr w:type="spellEnd"/>
      <w:r>
        <w:t xml:space="preserve"> and ribavirin. There were no early phase clinical studies examining these interactions, and these statements are presumably based on later phase studies.</w:t>
      </w:r>
    </w:p>
    <w:p w:rsidR="002C4CAD" w:rsidRDefault="00C8707C" w:rsidP="00C8707C">
      <w:pPr>
        <w:pStyle w:val="Heading4"/>
        <w:numPr>
          <w:ilvl w:val="2"/>
          <w:numId w:val="5"/>
        </w:numPr>
      </w:pPr>
      <w:r>
        <w:t>Effect of ASV on PK of other drugs</w:t>
      </w:r>
    </w:p>
    <w:p w:rsidR="002C4CAD" w:rsidRDefault="00C8707C" w:rsidP="00C8707C">
      <w:pPr>
        <w:autoSpaceDE w:val="0"/>
        <w:autoSpaceDN w:val="0"/>
        <w:adjustRightInd w:val="0"/>
        <w:rPr>
          <w:bCs/>
        </w:rPr>
      </w:pPr>
      <w:r>
        <w:rPr>
          <w:bCs/>
        </w:rPr>
        <w:t>The early phase clinical studies that examined the effect of ASV on the PK other drugs were summarised.</w:t>
      </w:r>
    </w:p>
    <w:p w:rsidR="00C8707C" w:rsidRDefault="00C8707C" w:rsidP="00C8707C">
      <w:pPr>
        <w:rPr>
          <w:u w:val="single"/>
        </w:rPr>
      </w:pPr>
      <w:r>
        <w:rPr>
          <w:b/>
        </w:rPr>
        <w:t>CYP3A4 substrates:</w:t>
      </w:r>
      <w:r>
        <w:rPr>
          <w:u w:val="single"/>
        </w:rPr>
        <w:t xml:space="preserve"> </w:t>
      </w:r>
      <w:r>
        <w:t xml:space="preserve">Preclinical data had suggested that ASV was an inhibitor and inducer of CYP3A4. However, clinical studies indicated that the drug was a weak </w:t>
      </w:r>
      <w:r>
        <w:rPr>
          <w:i/>
        </w:rPr>
        <w:t>inducer</w:t>
      </w:r>
      <w:r>
        <w:t xml:space="preserve"> of CYP3A4, causing modest reductions in systemic exposure to CYP3A4 substrates such as midazolam.</w:t>
      </w:r>
    </w:p>
    <w:p w:rsidR="00C8707C" w:rsidRDefault="00C8707C" w:rsidP="00C8707C">
      <w:r>
        <w:t>PK data also suggested that ASV causes weak auto-induction of its own metabolism via CYP3A4.</w:t>
      </w:r>
    </w:p>
    <w:p w:rsidR="00C8707C" w:rsidRDefault="00C8707C" w:rsidP="00C8707C">
      <w:pPr>
        <w:autoSpaceDE w:val="0"/>
        <w:autoSpaceDN w:val="0"/>
        <w:adjustRightInd w:val="0"/>
        <w:rPr>
          <w:u w:val="single"/>
        </w:rPr>
      </w:pPr>
      <w:r>
        <w:rPr>
          <w:b/>
        </w:rPr>
        <w:t xml:space="preserve">CYP2D6 substrates: </w:t>
      </w:r>
      <w:r>
        <w:t>Preclinical data had suggested that ASV was an inhibitor of CYP2D6. This was confirmed in a clinical study in which ASV treatment was associated with a significant increase in exposure to dextromethorphan, a CYP2D6 substrate.</w:t>
      </w:r>
    </w:p>
    <w:p w:rsidR="00C8707C" w:rsidRDefault="00C8707C" w:rsidP="00C8707C">
      <w:pPr>
        <w:pStyle w:val="Comment"/>
      </w:pPr>
      <w:r>
        <w:rPr>
          <w:b/>
        </w:rPr>
        <w:t>Comment:</w:t>
      </w:r>
      <w:r>
        <w:t xml:space="preserve"> The draft PI states that ASV is contraindicated in patients receiving CYP2D6 substrates with a narrow therapeutic range (for example, </w:t>
      </w:r>
      <w:proofErr w:type="spellStart"/>
      <w:r>
        <w:t>flecainide</w:t>
      </w:r>
      <w:proofErr w:type="spellEnd"/>
      <w:r>
        <w:t>). Otherwise, close clinical monitoring and possible reduction in dose for the 2D6 substrate is recommended.</w:t>
      </w:r>
    </w:p>
    <w:p w:rsidR="00C8707C" w:rsidRDefault="00C8707C" w:rsidP="00C8707C">
      <w:pPr>
        <w:autoSpaceDE w:val="0"/>
        <w:autoSpaceDN w:val="0"/>
        <w:adjustRightInd w:val="0"/>
        <w:rPr>
          <w:u w:val="single"/>
        </w:rPr>
      </w:pPr>
      <w:r>
        <w:rPr>
          <w:b/>
        </w:rPr>
        <w:t>Other CYP450 enzymes:</w:t>
      </w:r>
      <w:r>
        <w:rPr>
          <w:u w:val="single"/>
        </w:rPr>
        <w:t xml:space="preserve"> </w:t>
      </w:r>
      <w:r>
        <w:t>In a clinical study, ASV had no effect on the PK of substrates for 2C9 (losartan), 2C19 (omeprazole), and 1A2 (caffeine).</w:t>
      </w:r>
    </w:p>
    <w:p w:rsidR="002C4CAD" w:rsidRDefault="00C8707C" w:rsidP="00C8707C">
      <w:pPr>
        <w:autoSpaceDE w:val="0"/>
        <w:autoSpaceDN w:val="0"/>
        <w:adjustRightInd w:val="0"/>
        <w:rPr>
          <w:bCs/>
        </w:rPr>
      </w:pPr>
      <w:r>
        <w:rPr>
          <w:b/>
          <w:bCs/>
        </w:rPr>
        <w:t xml:space="preserve">P-glycoprotein substrates: </w:t>
      </w:r>
      <w:r>
        <w:rPr>
          <w:bCs/>
        </w:rPr>
        <w:t>Preclinical data suggested that ASV inhibited P-</w:t>
      </w:r>
      <w:proofErr w:type="spellStart"/>
      <w:r>
        <w:rPr>
          <w:bCs/>
        </w:rPr>
        <w:t>gp</w:t>
      </w:r>
      <w:proofErr w:type="spellEnd"/>
      <w:r>
        <w:rPr>
          <w:bCs/>
        </w:rPr>
        <w:t>. This was confirmed in a clinical study where ASV increased digoxin AUC by 30%. The draft PI recommends monitoring of serum digoxin concentrations when co-prescribed with ASV.</w:t>
      </w:r>
    </w:p>
    <w:p w:rsidR="00C8707C" w:rsidRDefault="00C8707C" w:rsidP="00C8707C">
      <w:pPr>
        <w:autoSpaceDE w:val="0"/>
        <w:autoSpaceDN w:val="0"/>
        <w:adjustRightInd w:val="0"/>
        <w:rPr>
          <w:bCs/>
          <w:u w:val="single"/>
        </w:rPr>
      </w:pPr>
      <w:r>
        <w:rPr>
          <w:b/>
          <w:bCs/>
        </w:rPr>
        <w:t xml:space="preserve">OATP and BCRP substrates: </w:t>
      </w:r>
      <w:r>
        <w:rPr>
          <w:bCs/>
        </w:rPr>
        <w:t xml:space="preserve">In vitro, ASV was an inhibitor of OATP-1B1, -1B3, -2B1 and BCRP. In a clinical study, ASV caused increased systemic exposure to </w:t>
      </w:r>
      <w:proofErr w:type="spellStart"/>
      <w:r>
        <w:rPr>
          <w:bCs/>
        </w:rPr>
        <w:t>rosuvastatin</w:t>
      </w:r>
      <w:proofErr w:type="spellEnd"/>
      <w:r>
        <w:rPr>
          <w:bCs/>
        </w:rPr>
        <w:t xml:space="preserve"> </w:t>
      </w:r>
      <w:r>
        <w:t>(an OATP1B1, OATP1B3 and BCRP substrate)</w:t>
      </w:r>
    </w:p>
    <w:p w:rsidR="00C8707C" w:rsidRDefault="00C8707C" w:rsidP="00C8707C">
      <w:pPr>
        <w:pStyle w:val="Heading3"/>
        <w:numPr>
          <w:ilvl w:val="1"/>
          <w:numId w:val="5"/>
        </w:numPr>
      </w:pPr>
      <w:bookmarkStart w:id="137" w:name="_Toc401659957"/>
      <w:bookmarkStart w:id="138" w:name="_Toc272500108"/>
      <w:bookmarkStart w:id="139" w:name="_Toc290846258"/>
      <w:bookmarkStart w:id="140" w:name="_Toc272414635"/>
      <w:bookmarkStart w:id="141" w:name="_Ref271018755"/>
      <w:bookmarkStart w:id="142" w:name="_Ref271018704"/>
      <w:bookmarkStart w:id="143" w:name="_Ref269982040"/>
      <w:bookmarkStart w:id="144" w:name="_Toc241374296"/>
      <w:bookmarkStart w:id="145" w:name="_Toc431369674"/>
      <w:bookmarkStart w:id="146" w:name="_Toc438116074"/>
      <w:r>
        <w:t>Evaluator’s overall conclusions on pharmacokinetics</w:t>
      </w:r>
      <w:bookmarkEnd w:id="137"/>
      <w:bookmarkEnd w:id="138"/>
      <w:bookmarkEnd w:id="139"/>
      <w:bookmarkEnd w:id="140"/>
      <w:bookmarkEnd w:id="141"/>
      <w:bookmarkEnd w:id="142"/>
      <w:bookmarkEnd w:id="143"/>
      <w:bookmarkEnd w:id="144"/>
      <w:bookmarkEnd w:id="145"/>
      <w:bookmarkEnd w:id="146"/>
    </w:p>
    <w:p w:rsidR="00C8707C" w:rsidRDefault="00C8707C" w:rsidP="00C8707C">
      <w:r>
        <w:t>The early phase clinical studies have provided sufficient data to adequately describe the PK of ASV. The requirements outlined in the relevant EMA guidelines adopted by the TGA have generally been met. In particular, an extensive program of interaction studies has been conducted, as required by the guideline on DAAs for HCV infection</w:t>
      </w:r>
      <w:proofErr w:type="gramStart"/>
      <w:r>
        <w:t>.</w:t>
      </w:r>
      <w:r>
        <w:rPr>
          <w:vertAlign w:val="superscript"/>
        </w:rPr>
        <w:t>(</w:t>
      </w:r>
      <w:proofErr w:type="gramEnd"/>
      <w:r>
        <w:rPr>
          <w:vertAlign w:val="superscript"/>
        </w:rPr>
        <w:t>9)</w:t>
      </w:r>
    </w:p>
    <w:p w:rsidR="00C8707C" w:rsidRDefault="00C8707C" w:rsidP="002C4CAD">
      <w:pPr>
        <w:pStyle w:val="Heading2"/>
        <w:pageBreakBefore/>
        <w:numPr>
          <w:ilvl w:val="0"/>
          <w:numId w:val="5"/>
        </w:numPr>
      </w:pPr>
      <w:bookmarkStart w:id="147" w:name="_Toc431369675"/>
      <w:bookmarkStart w:id="148" w:name="_Toc438116075"/>
      <w:r>
        <w:lastRenderedPageBreak/>
        <w:t>Pharmacodynamics</w:t>
      </w:r>
      <w:bookmarkEnd w:id="147"/>
      <w:bookmarkEnd w:id="148"/>
    </w:p>
    <w:p w:rsidR="00C8707C" w:rsidRDefault="00C8707C" w:rsidP="00C8707C">
      <w:r>
        <w:t>Table 3 shows the studies relating to each PD topic and the location of each study summary.</w:t>
      </w:r>
    </w:p>
    <w:p w:rsidR="00C8707C" w:rsidRDefault="00C8707C" w:rsidP="00C8707C">
      <w:pPr>
        <w:pStyle w:val="Tabletitle"/>
      </w:pPr>
      <w:bookmarkStart w:id="149" w:name="_Toc401831781"/>
      <w:bookmarkStart w:id="150" w:name="_Toc272500136"/>
      <w:proofErr w:type="gramStart"/>
      <w:r>
        <w:t xml:space="preserve">Table 3: Submitted </w:t>
      </w:r>
      <w:proofErr w:type="spellStart"/>
      <w:r>
        <w:t>pharmacodynamic</w:t>
      </w:r>
      <w:proofErr w:type="spellEnd"/>
      <w:r>
        <w:t xml:space="preserve"> studies.</w:t>
      </w:r>
      <w:bookmarkEnd w:id="149"/>
      <w:bookmarkEnd w:id="150"/>
      <w:proofErr w:type="gramEnd"/>
    </w:p>
    <w:tbl>
      <w:tblPr>
        <w:tblStyle w:val="TableTGAblue"/>
        <w:tblW w:w="8931" w:type="dxa"/>
        <w:tblLayout w:type="fixed"/>
        <w:tblLook w:val="04A0" w:firstRow="1" w:lastRow="0" w:firstColumn="1" w:lastColumn="0" w:noHBand="0" w:noVBand="1"/>
      </w:tblPr>
      <w:tblGrid>
        <w:gridCol w:w="3119"/>
        <w:gridCol w:w="3260"/>
        <w:gridCol w:w="1418"/>
        <w:gridCol w:w="1134"/>
      </w:tblGrid>
      <w:tr w:rsidR="00C8707C" w:rsidTr="002C4CA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9" w:type="dxa"/>
            <w:hideMark/>
          </w:tcPr>
          <w:p w:rsidR="00C8707C" w:rsidRPr="000B6417" w:rsidRDefault="00C8707C" w:rsidP="002C4CAD">
            <w:pPr>
              <w:rPr>
                <w:b w:val="0"/>
                <w:lang w:eastAsia="en-AU"/>
              </w:rPr>
            </w:pPr>
            <w:r w:rsidRPr="000B6417">
              <w:rPr>
                <w:lang w:eastAsia="en-AU"/>
              </w:rPr>
              <w:t>PD Topic</w:t>
            </w:r>
          </w:p>
        </w:tc>
        <w:tc>
          <w:tcPr>
            <w:tcW w:w="3260" w:type="dxa"/>
            <w:hideMark/>
          </w:tcPr>
          <w:p w:rsidR="00C8707C" w:rsidRPr="000B6417" w:rsidRDefault="00C8707C" w:rsidP="002C4CAD">
            <w:pPr>
              <w:cnfStyle w:val="100000000000" w:firstRow="1" w:lastRow="0" w:firstColumn="0" w:lastColumn="0" w:oddVBand="0" w:evenVBand="0" w:oddHBand="0" w:evenHBand="0" w:firstRowFirstColumn="0" w:firstRowLastColumn="0" w:lastRowFirstColumn="0" w:lastRowLastColumn="0"/>
              <w:rPr>
                <w:b w:val="0"/>
                <w:lang w:eastAsia="en-AU"/>
              </w:rPr>
            </w:pPr>
            <w:r w:rsidRPr="000B6417">
              <w:rPr>
                <w:lang w:eastAsia="en-AU"/>
              </w:rPr>
              <w:t>Subtopic</w:t>
            </w:r>
          </w:p>
        </w:tc>
        <w:tc>
          <w:tcPr>
            <w:tcW w:w="1418" w:type="dxa"/>
            <w:hideMark/>
          </w:tcPr>
          <w:p w:rsidR="00C8707C" w:rsidRPr="000B6417" w:rsidRDefault="00C8707C" w:rsidP="002C4CAD">
            <w:pPr>
              <w:cnfStyle w:val="100000000000" w:firstRow="1" w:lastRow="0" w:firstColumn="0" w:lastColumn="0" w:oddVBand="0" w:evenVBand="0" w:oddHBand="0" w:evenHBand="0" w:firstRowFirstColumn="0" w:firstRowLastColumn="0" w:lastRowFirstColumn="0" w:lastRowLastColumn="0"/>
              <w:rPr>
                <w:b w:val="0"/>
                <w:lang w:eastAsia="en-AU"/>
              </w:rPr>
            </w:pPr>
            <w:r w:rsidRPr="000B6417">
              <w:rPr>
                <w:lang w:eastAsia="en-AU"/>
              </w:rPr>
              <w:t>Study ID</w:t>
            </w:r>
          </w:p>
        </w:tc>
        <w:tc>
          <w:tcPr>
            <w:tcW w:w="1134" w:type="dxa"/>
            <w:hideMark/>
          </w:tcPr>
          <w:p w:rsidR="00C8707C" w:rsidRPr="000B6417" w:rsidRDefault="00C8707C" w:rsidP="002C4CAD">
            <w:pPr>
              <w:cnfStyle w:val="100000000000" w:firstRow="1" w:lastRow="0" w:firstColumn="0" w:lastColumn="0" w:oddVBand="0" w:evenVBand="0" w:oddHBand="0" w:evenHBand="0" w:firstRowFirstColumn="0" w:firstRowLastColumn="0" w:lastRowFirstColumn="0" w:lastRowLastColumn="0"/>
              <w:rPr>
                <w:b w:val="0"/>
                <w:lang w:eastAsia="en-AU"/>
              </w:rPr>
            </w:pPr>
            <w:r w:rsidRPr="000B6417">
              <w:rPr>
                <w:lang w:eastAsia="en-AU"/>
              </w:rPr>
              <w:t>*</w:t>
            </w:r>
          </w:p>
        </w:tc>
      </w:tr>
      <w:tr w:rsidR="00C8707C" w:rsidTr="002C4CAD">
        <w:tc>
          <w:tcPr>
            <w:cnfStyle w:val="001000000000" w:firstRow="0" w:lastRow="0" w:firstColumn="1" w:lastColumn="0" w:oddVBand="0" w:evenVBand="0" w:oddHBand="0" w:evenHBand="0" w:firstRowFirstColumn="0" w:firstRowLastColumn="0" w:lastRowFirstColumn="0" w:lastRowLastColumn="0"/>
            <w:tcW w:w="3119" w:type="dxa"/>
            <w:vMerge w:val="restart"/>
            <w:hideMark/>
          </w:tcPr>
          <w:p w:rsidR="00C8707C" w:rsidRPr="000B6417" w:rsidRDefault="00C8707C" w:rsidP="002C4CAD">
            <w:pPr>
              <w:rPr>
                <w:lang w:eastAsia="en-AU"/>
              </w:rPr>
            </w:pPr>
            <w:r w:rsidRPr="000B6417">
              <w:rPr>
                <w:lang w:eastAsia="en-AU"/>
              </w:rPr>
              <w:t>Primary Pharmacology</w:t>
            </w:r>
          </w:p>
        </w:tc>
        <w:tc>
          <w:tcPr>
            <w:tcW w:w="3260" w:type="dxa"/>
            <w:vMerge w:val="restart"/>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Effect on HCV viral load</w:t>
            </w:r>
          </w:p>
        </w:tc>
        <w:tc>
          <w:tcPr>
            <w:tcW w:w="1418"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AI447-002</w:t>
            </w:r>
          </w:p>
        </w:tc>
        <w:tc>
          <w:tcPr>
            <w:tcW w:w="1134"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w:t>
            </w:r>
          </w:p>
        </w:tc>
      </w:tr>
      <w:tr w:rsidR="00C8707C" w:rsidTr="002C4CAD">
        <w:tc>
          <w:tcPr>
            <w:cnfStyle w:val="001000000000" w:firstRow="0" w:lastRow="0" w:firstColumn="1" w:lastColumn="0" w:oddVBand="0" w:evenVBand="0" w:oddHBand="0" w:evenHBand="0" w:firstRowFirstColumn="0" w:firstRowLastColumn="0" w:lastRowFirstColumn="0" w:lastRowLastColumn="0"/>
            <w:tcW w:w="3119" w:type="dxa"/>
            <w:vMerge/>
            <w:hideMark/>
          </w:tcPr>
          <w:p w:rsidR="00C8707C" w:rsidRPr="000B6417" w:rsidRDefault="00C8707C" w:rsidP="002C4CAD">
            <w:pPr>
              <w:rPr>
                <w:kern w:val="16"/>
                <w:sz w:val="20"/>
                <w:szCs w:val="20"/>
                <w:lang w:eastAsia="en-AU"/>
              </w:rPr>
            </w:pPr>
          </w:p>
        </w:tc>
        <w:tc>
          <w:tcPr>
            <w:tcW w:w="3260" w:type="dxa"/>
            <w:vMerge/>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p>
        </w:tc>
        <w:tc>
          <w:tcPr>
            <w:tcW w:w="1418"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AI447-004</w:t>
            </w:r>
          </w:p>
        </w:tc>
        <w:tc>
          <w:tcPr>
            <w:tcW w:w="1134"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w:t>
            </w:r>
          </w:p>
        </w:tc>
      </w:tr>
      <w:tr w:rsidR="00C8707C" w:rsidTr="002C4CAD">
        <w:tc>
          <w:tcPr>
            <w:cnfStyle w:val="001000000000" w:firstRow="0" w:lastRow="0" w:firstColumn="1" w:lastColumn="0" w:oddVBand="0" w:evenVBand="0" w:oddHBand="0" w:evenHBand="0" w:firstRowFirstColumn="0" w:firstRowLastColumn="0" w:lastRowFirstColumn="0" w:lastRowLastColumn="0"/>
            <w:tcW w:w="3119" w:type="dxa"/>
            <w:hideMark/>
          </w:tcPr>
          <w:p w:rsidR="00C8707C" w:rsidRPr="000B6417" w:rsidRDefault="00C8707C" w:rsidP="002C4CAD">
            <w:pPr>
              <w:rPr>
                <w:lang w:eastAsia="en-AU"/>
              </w:rPr>
            </w:pPr>
            <w:r w:rsidRPr="000B6417">
              <w:rPr>
                <w:lang w:eastAsia="en-AU"/>
              </w:rPr>
              <w:t>Secondary Pharmacology</w:t>
            </w:r>
          </w:p>
        </w:tc>
        <w:tc>
          <w:tcPr>
            <w:tcW w:w="3260"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Effect on QT interval</w:t>
            </w:r>
          </w:p>
        </w:tc>
        <w:tc>
          <w:tcPr>
            <w:tcW w:w="1418"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AI447-025</w:t>
            </w:r>
          </w:p>
        </w:tc>
        <w:tc>
          <w:tcPr>
            <w:tcW w:w="1134" w:type="dxa"/>
            <w:hideMark/>
          </w:tcPr>
          <w:p w:rsidR="00C8707C" w:rsidRPr="000B6417" w:rsidRDefault="00C8707C" w:rsidP="002C4CAD">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w:t>
            </w:r>
          </w:p>
        </w:tc>
      </w:tr>
    </w:tbl>
    <w:p w:rsidR="00C8707C" w:rsidRDefault="00C8707C" w:rsidP="002C4CAD">
      <w:pPr>
        <w:pStyle w:val="TableDescription"/>
        <w:rPr>
          <w:kern w:val="16"/>
        </w:rPr>
      </w:pPr>
      <w:r>
        <w:t>* Indicates the primary aim of the study.</w:t>
      </w:r>
    </w:p>
    <w:p w:rsidR="00C8707C" w:rsidRDefault="00C8707C" w:rsidP="00C8707C">
      <w:r>
        <w:t>None of the studies had deficiencies that excluded their results from consideration.</w:t>
      </w:r>
    </w:p>
    <w:p w:rsidR="00C8707C" w:rsidRDefault="00C8707C" w:rsidP="00C8707C">
      <w:pPr>
        <w:pStyle w:val="Heading3"/>
        <w:numPr>
          <w:ilvl w:val="1"/>
          <w:numId w:val="5"/>
        </w:numPr>
      </w:pPr>
      <w:bookmarkStart w:id="151" w:name="_Toc401659959"/>
      <w:bookmarkStart w:id="152" w:name="_Toc272500111"/>
      <w:bookmarkStart w:id="153" w:name="_Toc290846261"/>
      <w:bookmarkStart w:id="154" w:name="_Toc272414639"/>
      <w:bookmarkStart w:id="155" w:name="_Ref269119989"/>
      <w:bookmarkStart w:id="156" w:name="_Toc431369676"/>
      <w:bookmarkStart w:id="157" w:name="_Toc438116076"/>
      <w:r>
        <w:t>Summary of pharmacodynamics</w:t>
      </w:r>
      <w:bookmarkEnd w:id="151"/>
      <w:bookmarkEnd w:id="152"/>
      <w:bookmarkEnd w:id="153"/>
      <w:bookmarkEnd w:id="154"/>
      <w:bookmarkEnd w:id="155"/>
      <w:bookmarkEnd w:id="156"/>
      <w:bookmarkEnd w:id="157"/>
    </w:p>
    <w:p w:rsidR="00C8707C" w:rsidRDefault="00C8707C" w:rsidP="00C8707C">
      <w:r>
        <w:t>The information in the following summary is derived from conventional PD studies in humans unless otherwise stated.</w:t>
      </w:r>
    </w:p>
    <w:p w:rsidR="00C8707C" w:rsidRDefault="00C8707C" w:rsidP="00C8707C">
      <w:pPr>
        <w:pStyle w:val="Heading4"/>
        <w:numPr>
          <w:ilvl w:val="2"/>
          <w:numId w:val="5"/>
        </w:numPr>
      </w:pPr>
      <w:bookmarkStart w:id="158" w:name="_Toc401659960"/>
      <w:bookmarkStart w:id="159" w:name="_Toc272500112"/>
      <w:bookmarkStart w:id="160" w:name="_Toc270862562"/>
      <w:bookmarkStart w:id="161" w:name="_Toc290846264"/>
      <w:bookmarkStart w:id="162" w:name="_Toc272414642"/>
      <w:r>
        <w:t xml:space="preserve">Primary </w:t>
      </w:r>
      <w:proofErr w:type="spellStart"/>
      <w:r>
        <w:t>pharmacodynamic</w:t>
      </w:r>
      <w:proofErr w:type="spellEnd"/>
      <w:r>
        <w:t xml:space="preserve"> effects</w:t>
      </w:r>
      <w:bookmarkEnd w:id="158"/>
      <w:bookmarkEnd w:id="159"/>
      <w:bookmarkEnd w:id="160"/>
      <w:bookmarkEnd w:id="161"/>
      <w:bookmarkEnd w:id="162"/>
    </w:p>
    <w:p w:rsidR="002C4CAD" w:rsidRDefault="00C8707C" w:rsidP="00C8707C">
      <w:r>
        <w:t>In 2 early phase clinical studies in subjects with CHC infection, treatment with ASV monotherapy resulted in significant reductions in HCV RNA loads.</w:t>
      </w:r>
    </w:p>
    <w:p w:rsidR="00C8707C" w:rsidRPr="009819E1" w:rsidRDefault="00C8707C" w:rsidP="00C8707C">
      <w:pPr>
        <w:pStyle w:val="Heading4"/>
        <w:numPr>
          <w:ilvl w:val="2"/>
          <w:numId w:val="5"/>
        </w:numPr>
      </w:pPr>
      <w:bookmarkStart w:id="163" w:name="_Toc272414643"/>
      <w:bookmarkStart w:id="164" w:name="_Toc290846265"/>
      <w:bookmarkStart w:id="165" w:name="_Toc270862563"/>
      <w:bookmarkStart w:id="166" w:name="_Toc272500113"/>
      <w:bookmarkStart w:id="167" w:name="_Toc401659961"/>
      <w:r w:rsidRPr="009819E1">
        <w:t xml:space="preserve">Secondary </w:t>
      </w:r>
      <w:proofErr w:type="spellStart"/>
      <w:r w:rsidRPr="009819E1">
        <w:t>pharmacodynamic</w:t>
      </w:r>
      <w:proofErr w:type="spellEnd"/>
      <w:r w:rsidRPr="009819E1">
        <w:t xml:space="preserve"> effects</w:t>
      </w:r>
      <w:bookmarkEnd w:id="163"/>
      <w:bookmarkEnd w:id="164"/>
      <w:bookmarkEnd w:id="165"/>
      <w:bookmarkEnd w:id="166"/>
      <w:bookmarkEnd w:id="167"/>
    </w:p>
    <w:p w:rsidR="00C8707C" w:rsidRDefault="00C8707C" w:rsidP="00C8707C">
      <w:r>
        <w:t>ASV had no significant effect on QT interval or other ECG parameters.</w:t>
      </w:r>
    </w:p>
    <w:p w:rsidR="00C8707C" w:rsidRDefault="00C8707C" w:rsidP="00C8707C">
      <w:pPr>
        <w:pStyle w:val="Heading3"/>
        <w:numPr>
          <w:ilvl w:val="1"/>
          <w:numId w:val="5"/>
        </w:numPr>
      </w:pPr>
      <w:bookmarkStart w:id="168" w:name="_Toc401659962"/>
      <w:bookmarkStart w:id="169" w:name="_Toc272500114"/>
      <w:bookmarkStart w:id="170" w:name="_Toc270862564"/>
      <w:bookmarkStart w:id="171" w:name="_Toc290846270"/>
      <w:bookmarkStart w:id="172" w:name="_Toc272414648"/>
      <w:bookmarkStart w:id="173" w:name="_Ref269983272"/>
      <w:bookmarkStart w:id="174" w:name="_Toc431369677"/>
      <w:bookmarkStart w:id="175" w:name="_Toc438116077"/>
      <w:r>
        <w:t>Evaluator’s overall conclusions on pharmacodynamics</w:t>
      </w:r>
      <w:bookmarkEnd w:id="168"/>
      <w:bookmarkEnd w:id="169"/>
      <w:bookmarkEnd w:id="170"/>
      <w:bookmarkEnd w:id="171"/>
      <w:bookmarkEnd w:id="172"/>
      <w:bookmarkEnd w:id="173"/>
      <w:bookmarkEnd w:id="174"/>
      <w:bookmarkEnd w:id="175"/>
    </w:p>
    <w:p w:rsidR="00C8707C" w:rsidRDefault="00C8707C" w:rsidP="00C8707C">
      <w:r>
        <w:t>The PD data provided were acceptable.</w:t>
      </w:r>
    </w:p>
    <w:p w:rsidR="00C8707C" w:rsidRDefault="00C8707C" w:rsidP="00C8707C">
      <w:pPr>
        <w:pStyle w:val="Heading2"/>
        <w:numPr>
          <w:ilvl w:val="0"/>
          <w:numId w:val="5"/>
        </w:numPr>
      </w:pPr>
      <w:bookmarkStart w:id="176" w:name="_Toc431369678"/>
      <w:bookmarkStart w:id="177" w:name="_Toc438116078"/>
      <w:r>
        <w:t xml:space="preserve">Dosage selection for the pivotal </w:t>
      </w:r>
      <w:r w:rsidRPr="009819E1">
        <w:t>studies</w:t>
      </w:r>
      <w:bookmarkEnd w:id="176"/>
      <w:bookmarkEnd w:id="177"/>
    </w:p>
    <w:p w:rsidR="00C8707C" w:rsidRDefault="00C8707C" w:rsidP="00C8707C">
      <w:pPr>
        <w:pStyle w:val="Heading3"/>
        <w:numPr>
          <w:ilvl w:val="1"/>
          <w:numId w:val="5"/>
        </w:numPr>
      </w:pPr>
      <w:bookmarkStart w:id="178" w:name="_Toc401659964"/>
      <w:bookmarkStart w:id="179" w:name="_Toc431369679"/>
      <w:bookmarkStart w:id="180" w:name="_Toc438116079"/>
      <w:r>
        <w:t>Introduction</w:t>
      </w:r>
      <w:bookmarkEnd w:id="178"/>
      <w:bookmarkEnd w:id="179"/>
      <w:bookmarkEnd w:id="180"/>
    </w:p>
    <w:p w:rsidR="00C8707C" w:rsidRDefault="00C8707C" w:rsidP="00C8707C">
      <w:r>
        <w:t>ASV was shown to be active as monotherapy. In the Phase I single-ascending dose study (</w:t>
      </w:r>
      <w:proofErr w:type="gramStart"/>
      <w:r>
        <w:t>A1447002:</w:t>
      </w:r>
      <w:proofErr w:type="gramEnd"/>
      <w:r>
        <w:t>). GT-1 subjects with HCV receiving a single dose of ASV 200 mg experienced a mean maximum decline in HCV RNA (log</w:t>
      </w:r>
      <w:r>
        <w:rPr>
          <w:vertAlign w:val="subscript"/>
        </w:rPr>
        <w:t>10</w:t>
      </w:r>
      <w:r>
        <w:t xml:space="preserve"> IU/mL) from baseline of 2.26 in 21.6 hours (mean). In the SCP it is indicated that a dose of 200 mg BD (with the tablet formulation) was chosen for Phase II studies. This was based on an exposure-response analysis of data from the Phase II Study AI447-016. This study also informed the dose to be used in the Phase III studies with DCV and DCV + </w:t>
      </w:r>
      <w:proofErr w:type="spellStart"/>
      <w:r>
        <w:t>pegIFN</w:t>
      </w:r>
      <w:proofErr w:type="spellEnd"/>
      <w:r>
        <w:t xml:space="preserve">α + RBV. It investigated the safety and efficacy of ASV + </w:t>
      </w:r>
      <w:proofErr w:type="spellStart"/>
      <w:r>
        <w:t>PegIFN</w:t>
      </w:r>
      <w:proofErr w:type="spellEnd"/>
      <w:r>
        <w:t>α + RBV and is summarised and evaluated below.</w:t>
      </w:r>
    </w:p>
    <w:p w:rsidR="00C8707C" w:rsidRDefault="00C8707C" w:rsidP="00C8707C">
      <w:pPr>
        <w:pStyle w:val="Heading3"/>
        <w:numPr>
          <w:ilvl w:val="1"/>
          <w:numId w:val="5"/>
        </w:numPr>
      </w:pPr>
      <w:bookmarkStart w:id="181" w:name="_Toc401659965"/>
      <w:bookmarkStart w:id="182" w:name="_Toc431369680"/>
      <w:bookmarkStart w:id="183" w:name="_Toc438116080"/>
      <w:r>
        <w:lastRenderedPageBreak/>
        <w:t>Study AI447016</w:t>
      </w:r>
      <w:bookmarkEnd w:id="181"/>
      <w:bookmarkEnd w:id="182"/>
      <w:bookmarkEnd w:id="183"/>
    </w:p>
    <w:p w:rsidR="00C8707C" w:rsidRDefault="00C8707C" w:rsidP="00C8707C">
      <w:pPr>
        <w:pStyle w:val="Heading4"/>
        <w:numPr>
          <w:ilvl w:val="2"/>
          <w:numId w:val="5"/>
        </w:numPr>
      </w:pPr>
      <w:bookmarkStart w:id="184" w:name="_Toc401659966"/>
      <w:r>
        <w:t>Study design, objectives, locations and dates</w:t>
      </w:r>
      <w:bookmarkEnd w:id="184"/>
    </w:p>
    <w:p w:rsidR="00C8707C" w:rsidRDefault="00C8707C" w:rsidP="00C8707C">
      <w:pPr>
        <w:tabs>
          <w:tab w:val="left" w:pos="720"/>
        </w:tabs>
        <w:autoSpaceDE w:val="0"/>
        <w:autoSpaceDN w:val="0"/>
        <w:adjustRightInd w:val="0"/>
        <w:rPr>
          <w:rFonts w:eastAsia="TimesNewRoman" w:cs="TimesNewRoman"/>
          <w:b/>
        </w:rPr>
      </w:pPr>
      <w:r>
        <w:rPr>
          <w:rFonts w:eastAsia="TimesNewRoman" w:cs="TimesNewRoman"/>
        </w:rPr>
        <w:t xml:space="preserve">This was a Phase IIA/2B Study of BMS-650032 in combination with </w:t>
      </w:r>
      <w:proofErr w:type="spellStart"/>
      <w:r>
        <w:t>pegIFN</w:t>
      </w:r>
      <w:proofErr w:type="spellEnd"/>
      <w:r>
        <w:t>α-2A/RBV</w:t>
      </w:r>
      <w:r>
        <w:rPr>
          <w:rFonts w:eastAsia="TimesNewRoman" w:cs="TimesNewRoman"/>
        </w:rPr>
        <w:t xml:space="preserve"> in treatment-naive subjects with GTs 1 and 4 CHC Infection. It</w:t>
      </w:r>
      <w:r>
        <w:t xml:space="preserve"> was a comparative, multicentre, 2 stage study conducted for Stage 1 in France (6 sites) and the US (9), and for Stage 2 in Argentina (4 sites), France (6), Germany (4), Ireland (1), Italy (1), Spain (5), United Kingdom (5) and the US (14) from February 2010 to October 2012. It was conducted in 2 stages:</w:t>
      </w:r>
    </w:p>
    <w:p w:rsidR="00C8707C" w:rsidRDefault="00C8707C" w:rsidP="00C8707C">
      <w:pPr>
        <w:pStyle w:val="ListBullet"/>
        <w:numPr>
          <w:ilvl w:val="0"/>
          <w:numId w:val="1"/>
        </w:numPr>
      </w:pPr>
      <w:r>
        <w:t>Stage 1: a double blind, randomised trial of 3 doses of ASV/</w:t>
      </w:r>
      <w:proofErr w:type="spellStart"/>
      <w:r>
        <w:t>pegIFN</w:t>
      </w:r>
      <w:proofErr w:type="spellEnd"/>
      <w:r>
        <w:t>α/RBV versus placebo; subjects were treated for 48 weeks with up to 24 weeks of follow up; this was undertaken to inform dosing in stage 2.</w:t>
      </w:r>
    </w:p>
    <w:p w:rsidR="00C8707C" w:rsidRDefault="00C8707C" w:rsidP="00C8707C">
      <w:pPr>
        <w:pStyle w:val="ListBullet"/>
        <w:numPr>
          <w:ilvl w:val="0"/>
          <w:numId w:val="1"/>
        </w:numPr>
      </w:pPr>
      <w:r>
        <w:t xml:space="preserve">Stage 2: a double blind, randomised design studying 1 dose of ASV/ </w:t>
      </w:r>
      <w:proofErr w:type="spellStart"/>
      <w:r>
        <w:t>pegIFN</w:t>
      </w:r>
      <w:proofErr w:type="spellEnd"/>
      <w:r>
        <w:t>α/RBV vs placebo for 12 weeks; a second randomisation occurred at Week 12; subjects initially randomised to 200 mg BD ASV who achieved protocol defined response (PDR) were randomised to either receive an additional 12 weeks of triple therapy (ASV/</w:t>
      </w:r>
      <w:proofErr w:type="spellStart"/>
      <w:r>
        <w:t>pegIFN</w:t>
      </w:r>
      <w:proofErr w:type="spellEnd"/>
      <w:r>
        <w:t>α/RBV; 24W ASV group) or an additional 12 weeks of placebo/</w:t>
      </w:r>
      <w:proofErr w:type="spellStart"/>
      <w:r>
        <w:t>pegIFN</w:t>
      </w:r>
      <w:proofErr w:type="spellEnd"/>
      <w:r>
        <w:t>α/RBV (12W ASV plus 12W placebo group).</w:t>
      </w:r>
    </w:p>
    <w:p w:rsidR="00C8707C" w:rsidRDefault="00C8707C" w:rsidP="00C52DE9">
      <w:pPr>
        <w:pStyle w:val="FigureTitle"/>
      </w:pPr>
      <w:bookmarkStart w:id="185" w:name="_Toc401664148"/>
      <w:r>
        <w:t>Figure 1: Study AI447016. Study design</w:t>
      </w:r>
      <w:bookmarkEnd w:id="185"/>
    </w:p>
    <w:p w:rsidR="00C8707C" w:rsidRDefault="00FC18E9" w:rsidP="002C4CAD">
      <w:pPr>
        <w:rPr>
          <w:szCs w:val="24"/>
        </w:rPr>
      </w:pPr>
      <w:r>
        <w:rPr>
          <w:noProof/>
          <w:lang w:eastAsia="en-AU"/>
        </w:rPr>
        <w:drawing>
          <wp:inline distT="0" distB="0" distL="0" distR="0" wp14:anchorId="556AA75C" wp14:editId="77A36ABB">
            <wp:extent cx="3505200" cy="2809875"/>
            <wp:effectExtent l="19050" t="19050" r="19050" b="28575"/>
            <wp:docPr id="4" name="Picture 4" descr="Figure 1: Study AI447016: Study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 1: Study AI447016: Study design"/>
                    <pic:cNvPicPr>
                      <a:picLocks noChangeAspect="1" noChangeArrowheads="1"/>
                    </pic:cNvPicPr>
                  </pic:nvPicPr>
                  <pic:blipFill>
                    <a:blip r:embed="rId15">
                      <a:lum bright="-20000" contrast="40000"/>
                      <a:extLst>
                        <a:ext uri="{28A0092B-C50C-407E-A947-70E740481C1C}">
                          <a14:useLocalDpi xmlns:a14="http://schemas.microsoft.com/office/drawing/2010/main" val="0"/>
                        </a:ext>
                      </a:extLst>
                    </a:blip>
                    <a:srcRect/>
                    <a:stretch>
                      <a:fillRect/>
                    </a:stretch>
                  </pic:blipFill>
                  <pic:spPr bwMode="auto">
                    <a:xfrm>
                      <a:off x="0" y="0"/>
                      <a:ext cx="3505200" cy="2809875"/>
                    </a:xfrm>
                    <a:prstGeom prst="rect">
                      <a:avLst/>
                    </a:prstGeom>
                    <a:noFill/>
                    <a:ln w="6350" cmpd="sng">
                      <a:solidFill>
                        <a:srgbClr val="000000"/>
                      </a:solidFill>
                      <a:miter lim="800000"/>
                      <a:headEnd/>
                      <a:tailEnd/>
                    </a:ln>
                    <a:effectLst/>
                  </pic:spPr>
                </pic:pic>
              </a:graphicData>
            </a:graphic>
          </wp:inline>
        </w:drawing>
      </w:r>
    </w:p>
    <w:p w:rsidR="002C4CAD" w:rsidRDefault="00C8707C" w:rsidP="002E5B56">
      <w:pPr>
        <w:pStyle w:val="FigureDescription"/>
      </w:pPr>
      <w:r>
        <w:t>*Post protocol amendment 06, ASV doses changed to 200 mg BD.</w:t>
      </w:r>
    </w:p>
    <w:p w:rsidR="002C4CAD" w:rsidRDefault="00C8707C" w:rsidP="00C8707C">
      <w:r>
        <w:t xml:space="preserve">The objectives are those detailed in the CSR addendum which presents the safety, efficacy, and results applicable to the follow-up Week 24 final results in both Phase </w:t>
      </w:r>
      <w:proofErr w:type="spellStart"/>
      <w:r>
        <w:t>IIa</w:t>
      </w:r>
      <w:proofErr w:type="spellEnd"/>
      <w:r>
        <w:t xml:space="preserve"> (Stage 1) and Phase </w:t>
      </w:r>
      <w:proofErr w:type="spellStart"/>
      <w:r>
        <w:t>IIb</w:t>
      </w:r>
      <w:proofErr w:type="spellEnd"/>
      <w:r>
        <w:t xml:space="preserve"> (Stage 2).</w:t>
      </w:r>
    </w:p>
    <w:p w:rsidR="00C8707C" w:rsidRDefault="00C8707C" w:rsidP="00C8707C">
      <w:pPr>
        <w:pStyle w:val="Heading6"/>
        <w:numPr>
          <w:ilvl w:val="4"/>
          <w:numId w:val="5"/>
        </w:numPr>
        <w:ind w:left="1702" w:hanging="1418"/>
      </w:pPr>
      <w:r>
        <w:t xml:space="preserve">Primary </w:t>
      </w:r>
      <w:r w:rsidR="002C4CAD">
        <w:t>o</w:t>
      </w:r>
      <w:r>
        <w:t>bjectives:</w:t>
      </w:r>
    </w:p>
    <w:p w:rsidR="00C8707C" w:rsidRDefault="00C8707C" w:rsidP="00C8707C">
      <w:pPr>
        <w:pStyle w:val="ListBullet"/>
        <w:numPr>
          <w:ilvl w:val="0"/>
          <w:numId w:val="1"/>
        </w:numPr>
      </w:pPr>
      <w:r>
        <w:t xml:space="preserve">Antiviral activity as determined by the proportion of subjects with GT-1 with extended rapid </w:t>
      </w:r>
      <w:proofErr w:type="spellStart"/>
      <w:r>
        <w:t>virologic</w:t>
      </w:r>
      <w:proofErr w:type="spellEnd"/>
      <w:r>
        <w:t xml:space="preserve"> response (</w:t>
      </w:r>
      <w:proofErr w:type="spellStart"/>
      <w:r>
        <w:t>eRVR</w:t>
      </w:r>
      <w:proofErr w:type="spellEnd"/>
      <w:r>
        <w:t>), defined as undetectable HCV RNA at Weeks 4 and 12 (Stages 1 and 2)</w:t>
      </w:r>
    </w:p>
    <w:p w:rsidR="00C8707C" w:rsidRDefault="00C8707C" w:rsidP="00C8707C">
      <w:pPr>
        <w:pStyle w:val="ListBullet"/>
        <w:numPr>
          <w:ilvl w:val="0"/>
          <w:numId w:val="1"/>
        </w:numPr>
      </w:pPr>
      <w:r>
        <w:t xml:space="preserve">Antiviral activity, as determined by the proportion of subjects with GT-1 with 24 week sustained </w:t>
      </w:r>
      <w:proofErr w:type="spellStart"/>
      <w:r>
        <w:t>virologic</w:t>
      </w:r>
      <w:proofErr w:type="spellEnd"/>
      <w:r>
        <w:t xml:space="preserve"> response (SVR24), defined as undetectable HCV RNA at follow up Week 24 (Stage 2 only)</w:t>
      </w:r>
    </w:p>
    <w:p w:rsidR="00C8707C" w:rsidRDefault="00C8707C" w:rsidP="00C8707C">
      <w:pPr>
        <w:pStyle w:val="ListBullet"/>
        <w:numPr>
          <w:ilvl w:val="0"/>
          <w:numId w:val="1"/>
        </w:numPr>
      </w:pPr>
      <w:r>
        <w:t>Safety, as measured by the frequency of serious adverse events (SAEs) and discontinuations due to AEs (Stage 1)</w:t>
      </w:r>
    </w:p>
    <w:p w:rsidR="00C8707C" w:rsidRDefault="00C8707C" w:rsidP="00C8707C">
      <w:pPr>
        <w:pStyle w:val="Heading6"/>
        <w:numPr>
          <w:ilvl w:val="4"/>
          <w:numId w:val="5"/>
        </w:numPr>
        <w:ind w:left="1702" w:hanging="1418"/>
      </w:pPr>
      <w:r>
        <w:t>Secondary objectives:</w:t>
      </w:r>
    </w:p>
    <w:p w:rsidR="00C8707C" w:rsidRDefault="00C8707C" w:rsidP="00C8707C">
      <w:pPr>
        <w:pStyle w:val="ListBullet"/>
        <w:numPr>
          <w:ilvl w:val="0"/>
          <w:numId w:val="1"/>
        </w:numPr>
      </w:pPr>
      <w:r>
        <w:t xml:space="preserve">To assess the proportion of </w:t>
      </w:r>
      <w:r w:rsidRPr="0013164D">
        <w:t>subjects</w:t>
      </w:r>
      <w:r>
        <w:t xml:space="preserve"> with GT-1 with</w:t>
      </w:r>
    </w:p>
    <w:p w:rsidR="00C8707C" w:rsidRDefault="00C8707C" w:rsidP="00C8707C">
      <w:pPr>
        <w:pStyle w:val="ListBullet2"/>
        <w:numPr>
          <w:ilvl w:val="1"/>
          <w:numId w:val="1"/>
        </w:numPr>
      </w:pPr>
      <w:r>
        <w:t xml:space="preserve">rapid </w:t>
      </w:r>
      <w:proofErr w:type="spellStart"/>
      <w:r>
        <w:t>virologic</w:t>
      </w:r>
      <w:proofErr w:type="spellEnd"/>
      <w:r>
        <w:t xml:space="preserve"> response (RVR) defined as undetectable HCV RNA at Week 4 (Stage 1)</w:t>
      </w:r>
    </w:p>
    <w:p w:rsidR="00C8707C" w:rsidRDefault="00C8707C" w:rsidP="00C8707C">
      <w:pPr>
        <w:pStyle w:val="ListBullet2"/>
        <w:numPr>
          <w:ilvl w:val="1"/>
          <w:numId w:val="1"/>
        </w:numPr>
      </w:pPr>
      <w:r>
        <w:lastRenderedPageBreak/>
        <w:t xml:space="preserve">complete early </w:t>
      </w:r>
      <w:proofErr w:type="spellStart"/>
      <w:r>
        <w:t>virologic</w:t>
      </w:r>
      <w:proofErr w:type="spellEnd"/>
      <w:r>
        <w:t xml:space="preserve"> response (</w:t>
      </w:r>
      <w:proofErr w:type="spellStart"/>
      <w:r>
        <w:t>cEVR</w:t>
      </w:r>
      <w:proofErr w:type="spellEnd"/>
      <w:r>
        <w:t>) defined as undetectable HCV RNA at Week 12 (Stage 2 only)</w:t>
      </w:r>
    </w:p>
    <w:p w:rsidR="00C8707C" w:rsidRDefault="00C8707C" w:rsidP="00C8707C">
      <w:pPr>
        <w:pStyle w:val="ListBullet2"/>
        <w:numPr>
          <w:ilvl w:val="1"/>
          <w:numId w:val="1"/>
        </w:numPr>
      </w:pPr>
      <w:r>
        <w:t xml:space="preserve">early </w:t>
      </w:r>
      <w:proofErr w:type="spellStart"/>
      <w:r>
        <w:t>virologic</w:t>
      </w:r>
      <w:proofErr w:type="spellEnd"/>
      <w:r>
        <w:t xml:space="preserve"> response (EVR) defined as ≥2 log</w:t>
      </w:r>
      <w:r>
        <w:rPr>
          <w:vertAlign w:val="subscript"/>
        </w:rPr>
        <w:t>10</w:t>
      </w:r>
      <w:r>
        <w:t xml:space="preserve"> decrease in HCV RNA from baseline or HCV RNA &lt; LOQ at Week 12 (Stage 1)</w:t>
      </w:r>
    </w:p>
    <w:p w:rsidR="00C8707C" w:rsidRDefault="00C8707C" w:rsidP="00C8707C">
      <w:pPr>
        <w:pStyle w:val="ListBullet2"/>
        <w:numPr>
          <w:ilvl w:val="1"/>
          <w:numId w:val="1"/>
        </w:numPr>
      </w:pPr>
      <w:r>
        <w:t xml:space="preserve">12 week sustained </w:t>
      </w:r>
      <w:proofErr w:type="spellStart"/>
      <w:r>
        <w:t>virologic</w:t>
      </w:r>
      <w:proofErr w:type="spellEnd"/>
      <w:r>
        <w:t xml:space="preserve"> response (SVR12) defined as undetectable HCV RNA at follow up Week 12 (Stage 1 and 2)</w:t>
      </w:r>
    </w:p>
    <w:p w:rsidR="00C8707C" w:rsidRDefault="00C8707C" w:rsidP="00C8707C">
      <w:pPr>
        <w:pStyle w:val="ListBullet2"/>
        <w:numPr>
          <w:ilvl w:val="1"/>
          <w:numId w:val="1"/>
        </w:numPr>
      </w:pPr>
      <w:r>
        <w:t>SVR24 (Stage 1 only)</w:t>
      </w:r>
    </w:p>
    <w:p w:rsidR="00C8707C" w:rsidRDefault="00C8707C" w:rsidP="00C8707C">
      <w:pPr>
        <w:pStyle w:val="ListBullet"/>
        <w:numPr>
          <w:ilvl w:val="0"/>
          <w:numId w:val="1"/>
        </w:numPr>
      </w:pPr>
      <w:r>
        <w:t xml:space="preserve">To describe resistant variants associated with </w:t>
      </w:r>
      <w:proofErr w:type="spellStart"/>
      <w:r>
        <w:t>virologic</w:t>
      </w:r>
      <w:proofErr w:type="spellEnd"/>
      <w:r>
        <w:t xml:space="preserve"> failure (Stage 1 and 2)</w:t>
      </w:r>
    </w:p>
    <w:p w:rsidR="00C8707C" w:rsidRDefault="00C8707C" w:rsidP="00C8707C">
      <w:pPr>
        <w:pStyle w:val="Heading6"/>
        <w:numPr>
          <w:ilvl w:val="4"/>
          <w:numId w:val="5"/>
        </w:numPr>
        <w:ind w:left="1702" w:hanging="1418"/>
      </w:pPr>
      <w:r>
        <w:t>Other outcomes:</w:t>
      </w:r>
    </w:p>
    <w:p w:rsidR="00C8707C" w:rsidRDefault="00C8707C" w:rsidP="00C8707C">
      <w:pPr>
        <w:pStyle w:val="ListBullet"/>
        <w:numPr>
          <w:ilvl w:val="0"/>
          <w:numId w:val="1"/>
        </w:numPr>
      </w:pPr>
      <w:r>
        <w:t xml:space="preserve">To explore the relationship between antiviral activity endpoints and </w:t>
      </w:r>
      <w:r>
        <w:rPr>
          <w:rFonts w:eastAsia="TimesNewRoman" w:cs="TimesNewRoman"/>
        </w:rPr>
        <w:t>single nucleotide polymorphisms</w:t>
      </w:r>
      <w:r>
        <w:t xml:space="preserve"> (SNPs) in genes encoding proteins of the </w:t>
      </w:r>
      <w:proofErr w:type="spellStart"/>
      <w:r>
        <w:t>IFNλ</w:t>
      </w:r>
      <w:proofErr w:type="spellEnd"/>
      <w:r>
        <w:t xml:space="preserve"> family (IL-28A, IL-28B, IL-29)</w:t>
      </w:r>
    </w:p>
    <w:p w:rsidR="00C8707C" w:rsidRPr="0013164D" w:rsidRDefault="00C8707C" w:rsidP="00C8707C">
      <w:pPr>
        <w:pStyle w:val="ListBullet"/>
        <w:numPr>
          <w:ilvl w:val="0"/>
          <w:numId w:val="1"/>
        </w:numPr>
      </w:pPr>
      <w:r>
        <w:t xml:space="preserve">To describe the relationship between antiviral activity endpoints and the duration of triple therapy (12W ASV plus 12W placebo versus 24W ASV) for subjects with HCV GT-1 on 24-week ASV regimens </w:t>
      </w:r>
      <w:r w:rsidRPr="0013164D">
        <w:t>(Stage 2 only)</w:t>
      </w:r>
    </w:p>
    <w:p w:rsidR="00C8707C" w:rsidRPr="0013164D" w:rsidRDefault="00C8707C" w:rsidP="00C8707C">
      <w:pPr>
        <w:pStyle w:val="ListBullet"/>
        <w:numPr>
          <w:ilvl w:val="0"/>
          <w:numId w:val="1"/>
        </w:numPr>
      </w:pPr>
      <w:r>
        <w:t xml:space="preserve">To evaluate antiviral activity endpoints for subjects with HCV GT-4 </w:t>
      </w:r>
      <w:r w:rsidRPr="0013164D">
        <w:t>(Stage 2 only)</w:t>
      </w:r>
    </w:p>
    <w:p w:rsidR="00C8707C" w:rsidRPr="0013164D" w:rsidRDefault="00C8707C" w:rsidP="00C8707C">
      <w:pPr>
        <w:pStyle w:val="ListBullet"/>
        <w:numPr>
          <w:ilvl w:val="0"/>
          <w:numId w:val="1"/>
        </w:numPr>
      </w:pPr>
      <w:r w:rsidRPr="0013164D">
        <w:t xml:space="preserve">To describe the PK of ASV, RBV, and </w:t>
      </w:r>
      <w:proofErr w:type="spellStart"/>
      <w:r w:rsidRPr="0013164D">
        <w:t>pegIFN</w:t>
      </w:r>
      <w:proofErr w:type="spellEnd"/>
      <w:r w:rsidRPr="0013164D">
        <w:t>α (Stage 1 and Stage 2)</w:t>
      </w:r>
    </w:p>
    <w:p w:rsidR="00C8707C" w:rsidRDefault="00C8707C" w:rsidP="00C8707C">
      <w:pPr>
        <w:pStyle w:val="Heading6"/>
        <w:numPr>
          <w:ilvl w:val="4"/>
          <w:numId w:val="5"/>
        </w:numPr>
        <w:ind w:left="1702" w:hanging="1418"/>
        <w:rPr>
          <w:kern w:val="16"/>
          <w:szCs w:val="20"/>
        </w:rPr>
      </w:pPr>
      <w:bookmarkStart w:id="186" w:name="_Toc401659967"/>
      <w:r>
        <w:t>Inclusion and exclusion criteria</w:t>
      </w:r>
      <w:bookmarkEnd w:id="186"/>
    </w:p>
    <w:p w:rsidR="00C8707C" w:rsidRPr="0013164D" w:rsidRDefault="00C8707C" w:rsidP="00C8707C">
      <w:r w:rsidRPr="0013164D">
        <w:t xml:space="preserve">Adult men and women aged 18 to 70 years with chronic HCV GT-1 and GT-4 (Stage 2 only) who had not received prior treatment with </w:t>
      </w:r>
      <w:proofErr w:type="spellStart"/>
      <w:r w:rsidRPr="0013164D">
        <w:t>pegINF</w:t>
      </w:r>
      <w:proofErr w:type="spellEnd"/>
      <w:r w:rsidRPr="0013164D">
        <w:t>α and RBV or other agents with anti-HCV activity, and who did not exhibit human immunodeficiency virus or hepatitis B virus co-infection or advanced liver disease.</w:t>
      </w:r>
    </w:p>
    <w:p w:rsidR="00C8707C" w:rsidRDefault="00C8707C" w:rsidP="00C8707C">
      <w:pPr>
        <w:pStyle w:val="Heading5"/>
        <w:numPr>
          <w:ilvl w:val="3"/>
          <w:numId w:val="5"/>
        </w:numPr>
      </w:pPr>
      <w:bookmarkStart w:id="187" w:name="_Toc401659968"/>
      <w:r>
        <w:t>Study treatments</w:t>
      </w:r>
      <w:bookmarkEnd w:id="187"/>
    </w:p>
    <w:p w:rsidR="00C8707C" w:rsidRPr="0013164D" w:rsidRDefault="00C8707C" w:rsidP="00C8707C">
      <w:r w:rsidRPr="0013164D">
        <w:t xml:space="preserve">The dose administered in this study was 200 mg </w:t>
      </w:r>
      <w:r>
        <w:t>BD</w:t>
      </w:r>
      <w:r w:rsidRPr="0013164D">
        <w:t xml:space="preserve"> using the tablet formulation. The tablet formulation was found to be approximately equal to 100 mg </w:t>
      </w:r>
      <w:r>
        <w:t>BD</w:t>
      </w:r>
      <w:r w:rsidRPr="0013164D">
        <w:t xml:space="preserve"> of the soft gel capsule in Study AI447-024</w:t>
      </w:r>
      <w:r>
        <w:t>.</w:t>
      </w:r>
    </w:p>
    <w:p w:rsidR="00C8707C" w:rsidRDefault="00C8707C" w:rsidP="00C8707C">
      <w:r w:rsidRPr="0013164D">
        <w:rPr>
          <w:i/>
        </w:rPr>
        <w:t>Stage 1:</w:t>
      </w:r>
      <w:r>
        <w:rPr>
          <w:b/>
        </w:rPr>
        <w:t xml:space="preserve"> </w:t>
      </w:r>
      <w:r>
        <w:t>Subjects were initially administered ASV tablets at the following doses: 200 BD, 600 mg BD or 600 mg QD. After a protocol amendment the remaining subjects on treatment who were receiving 600 mg BD or QD had their dose reduced to 200 mg BD. Treatment was for total of 48 weeks.</w:t>
      </w:r>
    </w:p>
    <w:p w:rsidR="00C8707C" w:rsidRDefault="00C8707C" w:rsidP="00C8707C">
      <w:pPr>
        <w:tabs>
          <w:tab w:val="left" w:pos="720"/>
        </w:tabs>
        <w:autoSpaceDE w:val="0"/>
        <w:autoSpaceDN w:val="0"/>
        <w:adjustRightInd w:val="0"/>
      </w:pPr>
      <w:r w:rsidRPr="0013164D">
        <w:rPr>
          <w:i/>
        </w:rPr>
        <w:t>Stage 2:</w:t>
      </w:r>
      <w:r>
        <w:t xml:space="preserve"> Subjects were administered ASV 200 mg tablets BD for 48 weeks in addition to:</w:t>
      </w:r>
    </w:p>
    <w:p w:rsidR="00C8707C" w:rsidRDefault="00C8707C" w:rsidP="00C8707C">
      <w:pPr>
        <w:pStyle w:val="ListBullet"/>
        <w:numPr>
          <w:ilvl w:val="0"/>
          <w:numId w:val="1"/>
        </w:numPr>
      </w:pPr>
      <w:proofErr w:type="spellStart"/>
      <w:r>
        <w:t>PegIFN</w:t>
      </w:r>
      <w:proofErr w:type="spellEnd"/>
      <w:r>
        <w:t xml:space="preserve">α: All subjects self-administered 180 mcg/0.5 ml </w:t>
      </w:r>
      <w:proofErr w:type="spellStart"/>
      <w:r>
        <w:t>pegIFN</w:t>
      </w:r>
      <w:proofErr w:type="spellEnd"/>
      <w:r>
        <w:t xml:space="preserve">α by subcutaneous injection once weekly throughout the entire dosing period. On Day 1, </w:t>
      </w:r>
      <w:proofErr w:type="spellStart"/>
      <w:r>
        <w:t>pegIFN</w:t>
      </w:r>
      <w:proofErr w:type="spellEnd"/>
      <w:r>
        <w:t>α was administered prior to ASV/placebo and RBV</w:t>
      </w:r>
    </w:p>
    <w:p w:rsidR="00C8707C" w:rsidRDefault="00C8707C" w:rsidP="00C8707C">
      <w:pPr>
        <w:pStyle w:val="ListBullet"/>
        <w:numPr>
          <w:ilvl w:val="0"/>
          <w:numId w:val="1"/>
        </w:numPr>
      </w:pPr>
      <w:r>
        <w:t xml:space="preserve">RBV: All subjects took RBV BD with food. For subjects weighing &lt; 75 kg the total dose was 1000 mg/day and for those weighing ≥ 75 kg the dose was 1200 mg/day. Therefore, subjects took either 400 mg (2 tablets for subjects &lt; 75 kg) or 600 mg (3 tablets for </w:t>
      </w:r>
      <w:proofErr w:type="gramStart"/>
      <w:r>
        <w:t>subjects</w:t>
      </w:r>
      <w:proofErr w:type="gramEnd"/>
      <w:r>
        <w:t xml:space="preserve"> ≥ 75 kg) in the morning with food and 600 mg (3 tablets) in the evening with food.</w:t>
      </w:r>
    </w:p>
    <w:p w:rsidR="00C8707C" w:rsidRDefault="00C8707C" w:rsidP="00C8707C">
      <w:pPr>
        <w:pStyle w:val="Heading6"/>
        <w:numPr>
          <w:ilvl w:val="4"/>
          <w:numId w:val="5"/>
        </w:numPr>
        <w:ind w:left="1702" w:hanging="1418"/>
      </w:pPr>
      <w:r>
        <w:t>Efficacy and safety variables and outcomes</w:t>
      </w:r>
    </w:p>
    <w:p w:rsidR="00C8707C" w:rsidRPr="0013164D" w:rsidRDefault="00C8707C" w:rsidP="00C8707C">
      <w:r w:rsidRPr="0013164D">
        <w:t xml:space="preserve">The primary efficacy outcomes were the proportion of subjects with </w:t>
      </w:r>
      <w:proofErr w:type="spellStart"/>
      <w:r w:rsidR="000B6417" w:rsidRPr="0013164D">
        <w:t>e</w:t>
      </w:r>
      <w:r w:rsidR="000B6417">
        <w:t>RVR</w:t>
      </w:r>
      <w:proofErr w:type="spellEnd"/>
      <w:r w:rsidRPr="0013164D">
        <w:t xml:space="preserve">, defined as undetectable at both Week 4 and 12 and the SVR24. Other efficacy outcomes included: RVR at Week 4; </w:t>
      </w:r>
      <w:proofErr w:type="spellStart"/>
      <w:r w:rsidRPr="0013164D">
        <w:t>cEVR</w:t>
      </w:r>
      <w:proofErr w:type="spellEnd"/>
      <w:r w:rsidRPr="0013164D">
        <w:t xml:space="preserve"> at Week 12 and SVR12. The primary safety outcomes were the frequency of AEs and discontinuations due to AEs (Stage 1 and 2). Other safety outcomes included deaths, SAEs, Grade 3 and 4 AEs, Grade 2 to 4 related AEs and Grade 3 to 4 laboratory abnormalities.</w:t>
      </w:r>
    </w:p>
    <w:p w:rsidR="00C8707C" w:rsidRDefault="00C8707C" w:rsidP="00C8707C">
      <w:pPr>
        <w:pStyle w:val="Heading6"/>
        <w:numPr>
          <w:ilvl w:val="4"/>
          <w:numId w:val="5"/>
        </w:numPr>
        <w:ind w:left="1702" w:hanging="1418"/>
      </w:pPr>
      <w:bookmarkStart w:id="188" w:name="_Toc401659969"/>
      <w:r>
        <w:lastRenderedPageBreak/>
        <w:t>Randomisation and blinding methods</w:t>
      </w:r>
      <w:bookmarkEnd w:id="188"/>
    </w:p>
    <w:p w:rsidR="00C8707C" w:rsidRPr="0013164D" w:rsidRDefault="00C8707C" w:rsidP="00C8707C">
      <w:r w:rsidRPr="0013164D">
        <w:t>In Stage 1 subjects were randomised 1:1:1:1 to receive the three doses of ASV or placebo. In Stage 2 subjects were randomised 3:1. Randomisation was via an Interactive Voice Response System. Randomised treatment assignment was double-blind and placebo-controlled for ASV.</w:t>
      </w:r>
    </w:p>
    <w:p w:rsidR="00C8707C" w:rsidRDefault="00C8707C" w:rsidP="00C8707C">
      <w:pPr>
        <w:pStyle w:val="Heading6"/>
        <w:numPr>
          <w:ilvl w:val="4"/>
          <w:numId w:val="5"/>
        </w:numPr>
        <w:ind w:left="1702" w:hanging="1418"/>
        <w:rPr>
          <w:szCs w:val="20"/>
        </w:rPr>
      </w:pPr>
      <w:bookmarkStart w:id="189" w:name="_Toc401659970"/>
      <w:r>
        <w:t>Analysis populations</w:t>
      </w:r>
      <w:bookmarkEnd w:id="189"/>
    </w:p>
    <w:p w:rsidR="00C8707C" w:rsidRDefault="00C8707C" w:rsidP="00C8707C">
      <w:pPr>
        <w:pStyle w:val="ListBullet"/>
        <w:numPr>
          <w:ilvl w:val="0"/>
          <w:numId w:val="1"/>
        </w:numPr>
      </w:pPr>
      <w:r>
        <w:t xml:space="preserve">Treated subjects were randomised subjects who received at least 1 dose of study therapy (ASV, </w:t>
      </w:r>
      <w:proofErr w:type="spellStart"/>
      <w:r>
        <w:t>pegIFN</w:t>
      </w:r>
      <w:proofErr w:type="spellEnd"/>
      <w:r>
        <w:rPr>
          <w:rFonts w:cs="Symbol"/>
        </w:rPr>
        <w:t>α</w:t>
      </w:r>
      <w:r>
        <w:t>, or RBV). This cohort was used to assess all data domains.</w:t>
      </w:r>
    </w:p>
    <w:p w:rsidR="00C8707C" w:rsidRDefault="00C8707C" w:rsidP="00C8707C">
      <w:pPr>
        <w:pStyle w:val="ListBullet"/>
        <w:numPr>
          <w:ilvl w:val="0"/>
          <w:numId w:val="1"/>
        </w:numPr>
      </w:pPr>
      <w:r>
        <w:t>Follow-up subjects were treated subjects who completed the follow-up period (48-week). This cohort was used to assess safety in follow-up.</w:t>
      </w:r>
    </w:p>
    <w:p w:rsidR="00C8707C" w:rsidRDefault="00C8707C" w:rsidP="00C8707C">
      <w:pPr>
        <w:pStyle w:val="Heading6"/>
        <w:numPr>
          <w:ilvl w:val="4"/>
          <w:numId w:val="5"/>
        </w:numPr>
        <w:ind w:left="1702" w:hanging="1418"/>
        <w:rPr>
          <w:szCs w:val="20"/>
        </w:rPr>
      </w:pPr>
      <w:bookmarkStart w:id="190" w:name="_Toc401659971"/>
      <w:r>
        <w:t>Sample size</w:t>
      </w:r>
      <w:bookmarkEnd w:id="190"/>
    </w:p>
    <w:p w:rsidR="00C8707C" w:rsidRDefault="00C8707C" w:rsidP="00C8707C">
      <w:r>
        <w:t xml:space="preserve">The sample size for Stage 1 was not selected on the basis of power, but rather to provide information on the safety and antiviral activity of ASV in combination with </w:t>
      </w:r>
      <w:proofErr w:type="spellStart"/>
      <w:r>
        <w:t>pegIFN</w:t>
      </w:r>
      <w:proofErr w:type="spellEnd"/>
      <w:r>
        <w:t xml:space="preserve">α/RBV. A target sample size of 12 treated subjects could detect, with 80% probability, a safety event that occurs at an incidence rate of 13%. This was considered acceptable given that in the published 24-week and 48-week </w:t>
      </w:r>
      <w:proofErr w:type="spellStart"/>
      <w:r>
        <w:t>pegIFN</w:t>
      </w:r>
      <w:proofErr w:type="spellEnd"/>
      <w:r>
        <w:t xml:space="preserve">α/RBV regimens investigated by </w:t>
      </w:r>
      <w:proofErr w:type="spellStart"/>
      <w:r>
        <w:t>Hadziyannis</w:t>
      </w:r>
      <w:proofErr w:type="spellEnd"/>
      <w:r>
        <w:t xml:space="preserve"> </w:t>
      </w:r>
      <w:proofErr w:type="gramStart"/>
      <w:r>
        <w:t>et</w:t>
      </w:r>
      <w:proofErr w:type="gramEnd"/>
      <w:r>
        <w:t xml:space="preserve"> al</w:t>
      </w:r>
      <w:r>
        <w:rPr>
          <w:vertAlign w:val="superscript"/>
        </w:rPr>
        <w:t xml:space="preserve">13 </w:t>
      </w:r>
      <w:r>
        <w:t>the study discontinuation rates due to AEs or laboratory abnormalities were 5% and 15%, respectively.</w:t>
      </w:r>
    </w:p>
    <w:p w:rsidR="00C8707C" w:rsidRDefault="00C8707C" w:rsidP="00C8707C">
      <w:r>
        <w:t>For the efficacy targets, sample sizes of 168 subjects with HCV GT-1 on the ASV treatment regimen and 56 subjects on the placebo regimen provided 87% power to infer that ASV/</w:t>
      </w:r>
      <w:proofErr w:type="spellStart"/>
      <w:r>
        <w:t>pegIFN</w:t>
      </w:r>
      <w:proofErr w:type="spellEnd"/>
      <w:r>
        <w:t>α/RBV is 35% greater than placebo/</w:t>
      </w:r>
      <w:proofErr w:type="spellStart"/>
      <w:r>
        <w:t>pegIFN</w:t>
      </w:r>
      <w:proofErr w:type="spellEnd"/>
      <w:r>
        <w:t xml:space="preserve">α/RBV, as assessed by the proportion of subjects with </w:t>
      </w:r>
      <w:proofErr w:type="spellStart"/>
      <w:r>
        <w:t>eRVR</w:t>
      </w:r>
      <w:proofErr w:type="spellEnd"/>
      <w:r>
        <w:t xml:space="preserve">. The </w:t>
      </w:r>
      <w:proofErr w:type="spellStart"/>
      <w:r>
        <w:t>eRVR</w:t>
      </w:r>
      <w:proofErr w:type="spellEnd"/>
      <w:r>
        <w:t xml:space="preserve"> rate for </w:t>
      </w:r>
      <w:proofErr w:type="spellStart"/>
      <w:r>
        <w:t>pegIFN</w:t>
      </w:r>
      <w:proofErr w:type="spellEnd"/>
      <w:r>
        <w:t>α/RBV was expected to be at most 15%.</w:t>
      </w:r>
    </w:p>
    <w:p w:rsidR="00C8707C" w:rsidRDefault="00C8707C" w:rsidP="00C8707C">
      <w:pPr>
        <w:pStyle w:val="Heading6"/>
        <w:numPr>
          <w:ilvl w:val="4"/>
          <w:numId w:val="5"/>
        </w:numPr>
        <w:ind w:left="1702" w:hanging="1418"/>
        <w:rPr>
          <w:kern w:val="16"/>
          <w:szCs w:val="20"/>
        </w:rPr>
      </w:pPr>
      <w:bookmarkStart w:id="191" w:name="_Toc401659972"/>
      <w:r>
        <w:t>Statistical methods</w:t>
      </w:r>
      <w:bookmarkEnd w:id="191"/>
    </w:p>
    <w:p w:rsidR="00C8707C" w:rsidRDefault="00C8707C" w:rsidP="00C8707C">
      <w:r>
        <w:t xml:space="preserve">Categorical variables were summarised with counts and </w:t>
      </w:r>
      <w:proofErr w:type="spellStart"/>
      <w:r>
        <w:t>percents</w:t>
      </w:r>
      <w:proofErr w:type="spellEnd"/>
      <w:r>
        <w:t>. Continuous variables were summarised with univariate statistics (for example, mean, median, standard error).</w:t>
      </w:r>
    </w:p>
    <w:p w:rsidR="00C8707C" w:rsidRDefault="00C8707C" w:rsidP="00C8707C">
      <w:pPr>
        <w:pStyle w:val="Heading6"/>
        <w:numPr>
          <w:ilvl w:val="4"/>
          <w:numId w:val="5"/>
        </w:numPr>
        <w:ind w:left="1702" w:hanging="1418"/>
        <w:rPr>
          <w:kern w:val="16"/>
          <w:szCs w:val="20"/>
        </w:rPr>
      </w:pPr>
      <w:bookmarkStart w:id="192" w:name="_Toc401659973"/>
      <w:r>
        <w:t>Participant flow</w:t>
      </w:r>
      <w:bookmarkEnd w:id="192"/>
    </w:p>
    <w:p w:rsidR="00C8707C" w:rsidRDefault="00C8707C" w:rsidP="00C8707C">
      <w:pPr>
        <w:pStyle w:val="Tabletitle"/>
        <w:rPr>
          <w:sz w:val="20"/>
          <w:szCs w:val="20"/>
        </w:rPr>
      </w:pPr>
      <w:bookmarkStart w:id="193" w:name="_Toc401831782"/>
      <w:r>
        <w:t>Table 4A: Study AI447016: Participant flow</w:t>
      </w:r>
      <w:bookmarkEnd w:id="193"/>
      <w:r>
        <w:t xml:space="preserve"> </w:t>
      </w:r>
      <w:r>
        <w:rPr>
          <w:rFonts w:eastAsia="TimesNewRoman"/>
          <w:sz w:val="20"/>
          <w:szCs w:val="20"/>
        </w:rPr>
        <w:t>End of Treatment Period – Stage 1 – treated subjects</w:t>
      </w:r>
    </w:p>
    <w:tbl>
      <w:tblPr>
        <w:tblStyle w:val="TableTGAblue"/>
        <w:tblW w:w="9297" w:type="dxa"/>
        <w:tblLayout w:type="fixed"/>
        <w:tblLook w:val="04A0" w:firstRow="1" w:lastRow="0" w:firstColumn="1" w:lastColumn="0" w:noHBand="0" w:noVBand="1"/>
      </w:tblPr>
      <w:tblGrid>
        <w:gridCol w:w="3632"/>
        <w:gridCol w:w="1133"/>
        <w:gridCol w:w="1133"/>
        <w:gridCol w:w="1133"/>
        <w:gridCol w:w="1133"/>
        <w:gridCol w:w="1133"/>
      </w:tblGrid>
      <w:tr w:rsidR="00C8707C" w:rsidTr="002E5B56">
        <w:trPr>
          <w:cnfStyle w:val="100000000000" w:firstRow="1" w:lastRow="0" w:firstColumn="0" w:lastColumn="0" w:oddVBand="0" w:evenVBand="0" w:oddHBand="0" w:evenHBand="0" w:firstRowFirstColumn="0" w:firstRowLastColumn="0" w:lastRowFirstColumn="0" w:lastRowLastColumn="0"/>
          <w:trHeight w:val="227"/>
          <w:tblHeader/>
        </w:trPr>
        <w:tc>
          <w:tcPr>
            <w:cnfStyle w:val="001000000000" w:firstRow="0" w:lastRow="0" w:firstColumn="1" w:lastColumn="0" w:oddVBand="0" w:evenVBand="0" w:oddHBand="0" w:evenHBand="0" w:firstRowFirstColumn="0" w:firstRowLastColumn="0" w:lastRowFirstColumn="0" w:lastRowLastColumn="0"/>
            <w:tcW w:w="3632" w:type="dxa"/>
          </w:tcPr>
          <w:p w:rsidR="00C8707C" w:rsidRPr="000B6417" w:rsidRDefault="00C8707C" w:rsidP="002E5B56">
            <w:pPr>
              <w:rPr>
                <w:lang w:eastAsia="en-AU"/>
              </w:rPr>
            </w:pPr>
          </w:p>
        </w:tc>
        <w:tc>
          <w:tcPr>
            <w:tcW w:w="1133" w:type="dxa"/>
            <w:hideMark/>
          </w:tcPr>
          <w:p w:rsidR="00C8707C" w:rsidRPr="000B6417" w:rsidRDefault="00C8707C" w:rsidP="002E5B56">
            <w:pPr>
              <w:cnfStyle w:val="100000000000" w:firstRow="1" w:lastRow="0" w:firstColumn="0" w:lastColumn="0" w:oddVBand="0" w:evenVBand="0" w:oddHBand="0" w:evenHBand="0" w:firstRowFirstColumn="0" w:firstRowLastColumn="0" w:lastRowFirstColumn="0" w:lastRowLastColumn="0"/>
              <w:rPr>
                <w:lang w:eastAsia="en-AU"/>
              </w:rPr>
            </w:pPr>
            <w:r w:rsidRPr="000B6417">
              <w:rPr>
                <w:lang w:eastAsia="en-AU"/>
              </w:rPr>
              <w:t>ASV 200 mg BD</w:t>
            </w:r>
          </w:p>
        </w:tc>
        <w:tc>
          <w:tcPr>
            <w:tcW w:w="1133" w:type="dxa"/>
            <w:hideMark/>
          </w:tcPr>
          <w:p w:rsidR="00C8707C" w:rsidRPr="000B6417" w:rsidRDefault="00C8707C" w:rsidP="002E5B56">
            <w:pPr>
              <w:cnfStyle w:val="100000000000" w:firstRow="1" w:lastRow="0" w:firstColumn="0" w:lastColumn="0" w:oddVBand="0" w:evenVBand="0" w:oddHBand="0" w:evenHBand="0" w:firstRowFirstColumn="0" w:firstRowLastColumn="0" w:lastRowFirstColumn="0" w:lastRowLastColumn="0"/>
              <w:rPr>
                <w:lang w:eastAsia="en-AU"/>
              </w:rPr>
            </w:pPr>
            <w:r w:rsidRPr="000B6417">
              <w:rPr>
                <w:lang w:eastAsia="en-AU"/>
              </w:rPr>
              <w:t>ASV 600 mg BD</w:t>
            </w:r>
          </w:p>
        </w:tc>
        <w:tc>
          <w:tcPr>
            <w:tcW w:w="1133" w:type="dxa"/>
            <w:hideMark/>
          </w:tcPr>
          <w:p w:rsidR="00C8707C" w:rsidRPr="000B6417" w:rsidRDefault="00C8707C" w:rsidP="002E5B56">
            <w:pPr>
              <w:cnfStyle w:val="100000000000" w:firstRow="1" w:lastRow="0" w:firstColumn="0" w:lastColumn="0" w:oddVBand="0" w:evenVBand="0" w:oddHBand="0" w:evenHBand="0" w:firstRowFirstColumn="0" w:firstRowLastColumn="0" w:lastRowFirstColumn="0" w:lastRowLastColumn="0"/>
              <w:rPr>
                <w:lang w:eastAsia="en-AU"/>
              </w:rPr>
            </w:pPr>
            <w:r w:rsidRPr="000B6417">
              <w:rPr>
                <w:lang w:eastAsia="en-AU"/>
              </w:rPr>
              <w:t>ASV 600 mg QD</w:t>
            </w:r>
          </w:p>
        </w:tc>
        <w:tc>
          <w:tcPr>
            <w:tcW w:w="1133" w:type="dxa"/>
            <w:hideMark/>
          </w:tcPr>
          <w:p w:rsidR="00C8707C" w:rsidRPr="000B6417" w:rsidRDefault="00C8707C" w:rsidP="002E5B56">
            <w:pPr>
              <w:cnfStyle w:val="100000000000" w:firstRow="1" w:lastRow="0" w:firstColumn="0" w:lastColumn="0" w:oddVBand="0" w:evenVBand="0" w:oddHBand="0" w:evenHBand="0" w:firstRowFirstColumn="0" w:firstRowLastColumn="0" w:lastRowFirstColumn="0" w:lastRowLastColumn="0"/>
              <w:rPr>
                <w:lang w:eastAsia="en-AU"/>
              </w:rPr>
            </w:pPr>
            <w:r w:rsidRPr="000B6417">
              <w:rPr>
                <w:lang w:eastAsia="en-AU"/>
              </w:rPr>
              <w:t>PBO</w:t>
            </w:r>
          </w:p>
        </w:tc>
        <w:tc>
          <w:tcPr>
            <w:tcW w:w="1133" w:type="dxa"/>
            <w:hideMark/>
          </w:tcPr>
          <w:p w:rsidR="00C8707C" w:rsidRPr="000B6417" w:rsidRDefault="00C8707C" w:rsidP="002E5B56">
            <w:pPr>
              <w:cnfStyle w:val="100000000000" w:firstRow="1" w:lastRow="0" w:firstColumn="0" w:lastColumn="0" w:oddVBand="0" w:evenVBand="0" w:oddHBand="0" w:evenHBand="0" w:firstRowFirstColumn="0" w:firstRowLastColumn="0" w:lastRowFirstColumn="0" w:lastRowLastColumn="0"/>
              <w:rPr>
                <w:lang w:eastAsia="en-AU"/>
              </w:rPr>
            </w:pPr>
            <w:r w:rsidRPr="000B6417">
              <w:rPr>
                <w:lang w:eastAsia="en-AU"/>
              </w:rPr>
              <w:t>Total</w:t>
            </w:r>
          </w:p>
        </w:tc>
      </w:tr>
      <w:tr w:rsidR="00C8707C" w:rsidTr="002E5B56">
        <w:trPr>
          <w:trHeight w:val="227"/>
        </w:trPr>
        <w:tc>
          <w:tcPr>
            <w:cnfStyle w:val="001000000000" w:firstRow="0" w:lastRow="0" w:firstColumn="1" w:lastColumn="0" w:oddVBand="0" w:evenVBand="0" w:oddHBand="0" w:evenHBand="0" w:firstRowFirstColumn="0" w:firstRowLastColumn="0" w:lastRowFirstColumn="0" w:lastRowLastColumn="0"/>
            <w:tcW w:w="3632" w:type="dxa"/>
            <w:hideMark/>
          </w:tcPr>
          <w:p w:rsidR="00C8707C" w:rsidRPr="000B6417" w:rsidRDefault="00C8707C" w:rsidP="002E5B56">
            <w:pPr>
              <w:rPr>
                <w:lang w:eastAsia="en-AU"/>
              </w:rPr>
            </w:pPr>
            <w:r w:rsidRPr="000B6417">
              <w:rPr>
                <w:lang w:eastAsia="en-AU"/>
              </w:rPr>
              <w:t>Subjects</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12</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12</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12</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11</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47</w:t>
            </w:r>
          </w:p>
        </w:tc>
      </w:tr>
      <w:tr w:rsidR="00C8707C" w:rsidTr="002E5B56">
        <w:trPr>
          <w:trHeight w:val="227"/>
        </w:trPr>
        <w:tc>
          <w:tcPr>
            <w:cnfStyle w:val="001000000000" w:firstRow="0" w:lastRow="0" w:firstColumn="1" w:lastColumn="0" w:oddVBand="0" w:evenVBand="0" w:oddHBand="0" w:evenHBand="0" w:firstRowFirstColumn="0" w:firstRowLastColumn="0" w:lastRowFirstColumn="0" w:lastRowLastColumn="0"/>
            <w:tcW w:w="3632" w:type="dxa"/>
            <w:hideMark/>
          </w:tcPr>
          <w:p w:rsidR="00C8707C" w:rsidRPr="000B6417" w:rsidRDefault="00C8707C" w:rsidP="002E5B56">
            <w:pPr>
              <w:rPr>
                <w:lang w:eastAsia="en-AU"/>
              </w:rPr>
            </w:pPr>
            <w:r w:rsidRPr="000B6417">
              <w:rPr>
                <w:lang w:eastAsia="en-AU"/>
              </w:rPr>
              <w:t xml:space="preserve">Subjects completing the period </w:t>
            </w:r>
            <w:r w:rsidRPr="000B6417">
              <w:rPr>
                <w:vertAlign w:val="superscript"/>
                <w:lang w:eastAsia="en-AU"/>
              </w:rPr>
              <w:t>1</w:t>
            </w:r>
            <w:r w:rsidRPr="000B6417">
              <w:rPr>
                <w:lang w:eastAsia="en-AU"/>
              </w:rPr>
              <w:t xml:space="preserve"> (%)</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10 (83.3)</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9 (75.0)</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10 (83.3)</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6 (54.5)</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35 (74.5)</w:t>
            </w:r>
          </w:p>
        </w:tc>
      </w:tr>
      <w:tr w:rsidR="00C8707C" w:rsidTr="002E5B56">
        <w:trPr>
          <w:trHeight w:val="227"/>
        </w:trPr>
        <w:tc>
          <w:tcPr>
            <w:cnfStyle w:val="001000000000" w:firstRow="0" w:lastRow="0" w:firstColumn="1" w:lastColumn="0" w:oddVBand="0" w:evenVBand="0" w:oddHBand="0" w:evenHBand="0" w:firstRowFirstColumn="0" w:firstRowLastColumn="0" w:lastRowFirstColumn="0" w:lastRowLastColumn="0"/>
            <w:tcW w:w="3632" w:type="dxa"/>
            <w:hideMark/>
          </w:tcPr>
          <w:p w:rsidR="00C8707C" w:rsidRPr="000B6417" w:rsidRDefault="00C8707C" w:rsidP="002E5B56">
            <w:pPr>
              <w:rPr>
                <w:lang w:eastAsia="en-AU"/>
              </w:rPr>
            </w:pPr>
            <w:r w:rsidRPr="000B6417">
              <w:rPr>
                <w:lang w:eastAsia="en-AU"/>
              </w:rPr>
              <w:t xml:space="preserve">Subjects not completing the period </w:t>
            </w:r>
            <w:r w:rsidRPr="000B6417">
              <w:rPr>
                <w:vertAlign w:val="superscript"/>
                <w:lang w:eastAsia="en-AU"/>
              </w:rPr>
              <w:t>1</w:t>
            </w:r>
            <w:r w:rsidRPr="000B6417">
              <w:rPr>
                <w:lang w:eastAsia="en-AU"/>
              </w:rPr>
              <w:t xml:space="preserve"> (%)</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2 (16.7)</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3 (25.0)</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2 (16.7)</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5 (45.5)</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12 (25.5)</w:t>
            </w:r>
          </w:p>
        </w:tc>
      </w:tr>
      <w:tr w:rsidR="00C8707C" w:rsidTr="002E5B56">
        <w:trPr>
          <w:trHeight w:val="227"/>
        </w:trPr>
        <w:tc>
          <w:tcPr>
            <w:cnfStyle w:val="001000000000" w:firstRow="0" w:lastRow="0" w:firstColumn="1" w:lastColumn="0" w:oddVBand="0" w:evenVBand="0" w:oddHBand="0" w:evenHBand="0" w:firstRowFirstColumn="0" w:firstRowLastColumn="0" w:lastRowFirstColumn="0" w:lastRowLastColumn="0"/>
            <w:tcW w:w="3632" w:type="dxa"/>
            <w:hideMark/>
          </w:tcPr>
          <w:p w:rsidR="00C8707C" w:rsidRPr="000B6417" w:rsidRDefault="00C8707C" w:rsidP="002E5B56">
            <w:pPr>
              <w:rPr>
                <w:lang w:eastAsia="en-AU"/>
              </w:rPr>
            </w:pPr>
            <w:r w:rsidRPr="000B6417">
              <w:rPr>
                <w:lang w:eastAsia="en-AU"/>
              </w:rPr>
              <w:t xml:space="preserve">Reason for not completing the period </w:t>
            </w:r>
            <w:r w:rsidRPr="000B6417">
              <w:rPr>
                <w:vertAlign w:val="superscript"/>
                <w:lang w:eastAsia="en-AU"/>
              </w:rPr>
              <w:t>1</w:t>
            </w:r>
            <w:r w:rsidRPr="000B6417">
              <w:rPr>
                <w:lang w:eastAsia="en-AU"/>
              </w:rPr>
              <w:t xml:space="preserve"> (%)</w:t>
            </w:r>
          </w:p>
        </w:tc>
        <w:tc>
          <w:tcPr>
            <w:tcW w:w="1133" w:type="dxa"/>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p>
        </w:tc>
        <w:tc>
          <w:tcPr>
            <w:tcW w:w="1133" w:type="dxa"/>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p>
        </w:tc>
        <w:tc>
          <w:tcPr>
            <w:tcW w:w="1133" w:type="dxa"/>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p>
        </w:tc>
        <w:tc>
          <w:tcPr>
            <w:tcW w:w="1133" w:type="dxa"/>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p>
        </w:tc>
        <w:tc>
          <w:tcPr>
            <w:tcW w:w="1133" w:type="dxa"/>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p>
        </w:tc>
      </w:tr>
      <w:tr w:rsidR="00C8707C" w:rsidTr="002E5B56">
        <w:trPr>
          <w:trHeight w:val="227"/>
        </w:trPr>
        <w:tc>
          <w:tcPr>
            <w:cnfStyle w:val="001000000000" w:firstRow="0" w:lastRow="0" w:firstColumn="1" w:lastColumn="0" w:oddVBand="0" w:evenVBand="0" w:oddHBand="0" w:evenHBand="0" w:firstRowFirstColumn="0" w:firstRowLastColumn="0" w:lastRowFirstColumn="0" w:lastRowLastColumn="0"/>
            <w:tcW w:w="3632" w:type="dxa"/>
            <w:hideMark/>
          </w:tcPr>
          <w:p w:rsidR="00C8707C" w:rsidRPr="000B6417" w:rsidRDefault="00C8707C" w:rsidP="002E5B56">
            <w:pPr>
              <w:rPr>
                <w:lang w:eastAsia="en-AU"/>
              </w:rPr>
            </w:pPr>
            <w:r w:rsidRPr="000B6417">
              <w:rPr>
                <w:lang w:eastAsia="en-AU"/>
              </w:rPr>
              <w:t>Lack of efficacy</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0</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0</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0</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2 (18.2)</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2 (4.3)</w:t>
            </w:r>
          </w:p>
        </w:tc>
      </w:tr>
      <w:tr w:rsidR="00C8707C" w:rsidTr="002E5B56">
        <w:trPr>
          <w:trHeight w:val="227"/>
        </w:trPr>
        <w:tc>
          <w:tcPr>
            <w:cnfStyle w:val="001000000000" w:firstRow="0" w:lastRow="0" w:firstColumn="1" w:lastColumn="0" w:oddVBand="0" w:evenVBand="0" w:oddHBand="0" w:evenHBand="0" w:firstRowFirstColumn="0" w:firstRowLastColumn="0" w:lastRowFirstColumn="0" w:lastRowLastColumn="0"/>
            <w:tcW w:w="3632" w:type="dxa"/>
            <w:hideMark/>
          </w:tcPr>
          <w:p w:rsidR="00C8707C" w:rsidRPr="000B6417" w:rsidRDefault="00C8707C" w:rsidP="002E5B56">
            <w:pPr>
              <w:rPr>
                <w:lang w:eastAsia="en-AU"/>
              </w:rPr>
            </w:pPr>
            <w:r w:rsidRPr="000B6417">
              <w:rPr>
                <w:lang w:eastAsia="en-AU"/>
              </w:rPr>
              <w:lastRenderedPageBreak/>
              <w:t>adverse event</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0</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 (8.3)</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2 (16.7)</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 (9.1)</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4 (8.5)</w:t>
            </w:r>
          </w:p>
        </w:tc>
      </w:tr>
      <w:tr w:rsidR="00C8707C" w:rsidTr="002E5B56">
        <w:trPr>
          <w:trHeight w:val="227"/>
        </w:trPr>
        <w:tc>
          <w:tcPr>
            <w:cnfStyle w:val="001000000000" w:firstRow="0" w:lastRow="0" w:firstColumn="1" w:lastColumn="0" w:oddVBand="0" w:evenVBand="0" w:oddHBand="0" w:evenHBand="0" w:firstRowFirstColumn="0" w:firstRowLastColumn="0" w:lastRowFirstColumn="0" w:lastRowLastColumn="0"/>
            <w:tcW w:w="3632" w:type="dxa"/>
            <w:hideMark/>
          </w:tcPr>
          <w:p w:rsidR="00C8707C" w:rsidRPr="000B6417" w:rsidRDefault="00C8707C" w:rsidP="002E5B56">
            <w:pPr>
              <w:rPr>
                <w:lang w:eastAsia="en-AU"/>
              </w:rPr>
            </w:pPr>
            <w:r w:rsidRPr="000B6417">
              <w:rPr>
                <w:lang w:eastAsia="en-AU"/>
              </w:rPr>
              <w:t>Lost to follow-up</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0</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 (8.3)</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0</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 (9.1)</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2 (4.3)</w:t>
            </w:r>
          </w:p>
        </w:tc>
      </w:tr>
      <w:tr w:rsidR="00C8707C" w:rsidTr="002E5B56">
        <w:trPr>
          <w:trHeight w:val="227"/>
        </w:trPr>
        <w:tc>
          <w:tcPr>
            <w:cnfStyle w:val="001000000000" w:firstRow="0" w:lastRow="0" w:firstColumn="1" w:lastColumn="0" w:oddVBand="0" w:evenVBand="0" w:oddHBand="0" w:evenHBand="0" w:firstRowFirstColumn="0" w:firstRowLastColumn="0" w:lastRowFirstColumn="0" w:lastRowLastColumn="0"/>
            <w:tcW w:w="3632" w:type="dxa"/>
            <w:hideMark/>
          </w:tcPr>
          <w:p w:rsidR="00C8707C" w:rsidRPr="000B6417" w:rsidRDefault="00C8707C" w:rsidP="002E5B56">
            <w:pPr>
              <w:rPr>
                <w:lang w:eastAsia="en-AU"/>
              </w:rPr>
            </w:pPr>
            <w:r w:rsidRPr="000B6417">
              <w:rPr>
                <w:lang w:eastAsia="en-AU"/>
              </w:rPr>
              <w:t>Poor/non-compliance</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0</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0</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0</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 (9.1)</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 (2.1)</w:t>
            </w:r>
          </w:p>
        </w:tc>
      </w:tr>
      <w:tr w:rsidR="00C8707C" w:rsidTr="002E5B56">
        <w:trPr>
          <w:trHeight w:val="227"/>
        </w:trPr>
        <w:tc>
          <w:tcPr>
            <w:cnfStyle w:val="001000000000" w:firstRow="0" w:lastRow="0" w:firstColumn="1" w:lastColumn="0" w:oddVBand="0" w:evenVBand="0" w:oddHBand="0" w:evenHBand="0" w:firstRowFirstColumn="0" w:firstRowLastColumn="0" w:lastRowFirstColumn="0" w:lastRowLastColumn="0"/>
            <w:tcW w:w="3632" w:type="dxa"/>
            <w:hideMark/>
          </w:tcPr>
          <w:p w:rsidR="00C8707C" w:rsidRPr="000B6417" w:rsidRDefault="00C8707C" w:rsidP="002E5B56">
            <w:pPr>
              <w:rPr>
                <w:lang w:eastAsia="en-AU"/>
              </w:rPr>
            </w:pPr>
            <w:r w:rsidRPr="000B6417">
              <w:rPr>
                <w:lang w:eastAsia="en-AU"/>
              </w:rPr>
              <w:t>Subject request to discontinue study treatment</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2 (16.7)</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 (8.3)</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0</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0</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3 (6.4)</w:t>
            </w:r>
          </w:p>
        </w:tc>
      </w:tr>
      <w:tr w:rsidR="00C8707C" w:rsidTr="002E5B56">
        <w:trPr>
          <w:trHeight w:val="227"/>
        </w:trPr>
        <w:tc>
          <w:tcPr>
            <w:cnfStyle w:val="001000000000" w:firstRow="0" w:lastRow="0" w:firstColumn="1" w:lastColumn="0" w:oddVBand="0" w:evenVBand="0" w:oddHBand="0" w:evenHBand="0" w:firstRowFirstColumn="0" w:firstRowLastColumn="0" w:lastRowFirstColumn="0" w:lastRowLastColumn="0"/>
            <w:tcW w:w="3632" w:type="dxa"/>
            <w:hideMark/>
          </w:tcPr>
          <w:p w:rsidR="00C8707C" w:rsidRPr="000B6417" w:rsidRDefault="00C8707C" w:rsidP="002E5B56">
            <w:pPr>
              <w:rPr>
                <w:lang w:eastAsia="en-AU"/>
              </w:rPr>
            </w:pPr>
            <w:r w:rsidRPr="000B6417">
              <w:rPr>
                <w:lang w:eastAsia="en-AU"/>
              </w:rPr>
              <w:t>Subjects continuing in the study (%)</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11 (91.7)</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10 (83.3)</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12 (100.0)</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9 (81.8)</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42 (89.4)</w:t>
            </w:r>
          </w:p>
        </w:tc>
      </w:tr>
      <w:tr w:rsidR="00C8707C" w:rsidTr="002E5B56">
        <w:trPr>
          <w:trHeight w:val="227"/>
        </w:trPr>
        <w:tc>
          <w:tcPr>
            <w:cnfStyle w:val="001000000000" w:firstRow="0" w:lastRow="0" w:firstColumn="1" w:lastColumn="0" w:oddVBand="0" w:evenVBand="0" w:oddHBand="0" w:evenHBand="0" w:firstRowFirstColumn="0" w:firstRowLastColumn="0" w:lastRowFirstColumn="0" w:lastRowLastColumn="0"/>
            <w:tcW w:w="3632" w:type="dxa"/>
            <w:hideMark/>
          </w:tcPr>
          <w:p w:rsidR="00C8707C" w:rsidRPr="000B6417" w:rsidRDefault="00C8707C" w:rsidP="002E5B56">
            <w:pPr>
              <w:rPr>
                <w:lang w:eastAsia="en-AU"/>
              </w:rPr>
            </w:pPr>
            <w:r w:rsidRPr="000B6417">
              <w:rPr>
                <w:lang w:eastAsia="en-AU"/>
              </w:rPr>
              <w:t>Subjects not continuing in the study (%)</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 (8.3)</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2 (16.7)</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0</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2 (18.2)</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5 (10.6)</w:t>
            </w:r>
          </w:p>
        </w:tc>
      </w:tr>
      <w:tr w:rsidR="00C8707C" w:rsidTr="002E5B56">
        <w:trPr>
          <w:trHeight w:val="227"/>
        </w:trPr>
        <w:tc>
          <w:tcPr>
            <w:cnfStyle w:val="001000000000" w:firstRow="0" w:lastRow="0" w:firstColumn="1" w:lastColumn="0" w:oddVBand="0" w:evenVBand="0" w:oddHBand="0" w:evenHBand="0" w:firstRowFirstColumn="0" w:firstRowLastColumn="0" w:lastRowFirstColumn="0" w:lastRowLastColumn="0"/>
            <w:tcW w:w="3632" w:type="dxa"/>
            <w:hideMark/>
          </w:tcPr>
          <w:p w:rsidR="00C8707C" w:rsidRPr="000B6417" w:rsidRDefault="00C8707C" w:rsidP="002E5B56">
            <w:pPr>
              <w:rPr>
                <w:lang w:eastAsia="en-AU"/>
              </w:rPr>
            </w:pPr>
            <w:r w:rsidRPr="000B6417">
              <w:rPr>
                <w:lang w:eastAsia="en-AU"/>
              </w:rPr>
              <w:t>Reason for not continuing in the study (%)</w:t>
            </w:r>
          </w:p>
        </w:tc>
        <w:tc>
          <w:tcPr>
            <w:tcW w:w="1133" w:type="dxa"/>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p>
        </w:tc>
        <w:tc>
          <w:tcPr>
            <w:tcW w:w="1133" w:type="dxa"/>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p>
        </w:tc>
        <w:tc>
          <w:tcPr>
            <w:tcW w:w="1133" w:type="dxa"/>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p>
        </w:tc>
        <w:tc>
          <w:tcPr>
            <w:tcW w:w="1133" w:type="dxa"/>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p>
        </w:tc>
        <w:tc>
          <w:tcPr>
            <w:tcW w:w="1133" w:type="dxa"/>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p>
        </w:tc>
      </w:tr>
      <w:tr w:rsidR="00C8707C" w:rsidTr="002E5B56">
        <w:trPr>
          <w:trHeight w:val="227"/>
        </w:trPr>
        <w:tc>
          <w:tcPr>
            <w:cnfStyle w:val="001000000000" w:firstRow="0" w:lastRow="0" w:firstColumn="1" w:lastColumn="0" w:oddVBand="0" w:evenVBand="0" w:oddHBand="0" w:evenHBand="0" w:firstRowFirstColumn="0" w:firstRowLastColumn="0" w:lastRowFirstColumn="0" w:lastRowLastColumn="0"/>
            <w:tcW w:w="3632" w:type="dxa"/>
            <w:hideMark/>
          </w:tcPr>
          <w:p w:rsidR="00C8707C" w:rsidRPr="000B6417" w:rsidRDefault="00C8707C" w:rsidP="002E5B56">
            <w:pPr>
              <w:rPr>
                <w:lang w:eastAsia="en-AU"/>
              </w:rPr>
            </w:pPr>
            <w:r w:rsidRPr="000B6417">
              <w:rPr>
                <w:lang w:eastAsia="en-AU"/>
              </w:rPr>
              <w:t>Adverse event</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0</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 (8.3)</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0</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0</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 (2.1)</w:t>
            </w:r>
          </w:p>
        </w:tc>
      </w:tr>
      <w:tr w:rsidR="00C8707C" w:rsidTr="002E5B56">
        <w:trPr>
          <w:trHeight w:val="227"/>
        </w:trPr>
        <w:tc>
          <w:tcPr>
            <w:cnfStyle w:val="001000000000" w:firstRow="0" w:lastRow="0" w:firstColumn="1" w:lastColumn="0" w:oddVBand="0" w:evenVBand="0" w:oddHBand="0" w:evenHBand="0" w:firstRowFirstColumn="0" w:firstRowLastColumn="0" w:lastRowFirstColumn="0" w:lastRowLastColumn="0"/>
            <w:tcW w:w="3632" w:type="dxa"/>
            <w:hideMark/>
          </w:tcPr>
          <w:p w:rsidR="00C8707C" w:rsidRPr="000B6417" w:rsidRDefault="00C8707C" w:rsidP="002E5B56">
            <w:pPr>
              <w:rPr>
                <w:lang w:eastAsia="en-AU"/>
              </w:rPr>
            </w:pPr>
            <w:r w:rsidRPr="000B6417">
              <w:rPr>
                <w:lang w:eastAsia="en-AU"/>
              </w:rPr>
              <w:t>Lost to follow-up</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0</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 (8.3)</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0</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 (9.1)</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2 (4.3)</w:t>
            </w:r>
          </w:p>
        </w:tc>
      </w:tr>
      <w:tr w:rsidR="00C8707C" w:rsidTr="002E5B56">
        <w:trPr>
          <w:trHeight w:val="227"/>
        </w:trPr>
        <w:tc>
          <w:tcPr>
            <w:cnfStyle w:val="001000000000" w:firstRow="0" w:lastRow="0" w:firstColumn="1" w:lastColumn="0" w:oddVBand="0" w:evenVBand="0" w:oddHBand="0" w:evenHBand="0" w:firstRowFirstColumn="0" w:firstRowLastColumn="0" w:lastRowFirstColumn="0" w:lastRowLastColumn="0"/>
            <w:tcW w:w="3632" w:type="dxa"/>
            <w:hideMark/>
          </w:tcPr>
          <w:p w:rsidR="00C8707C" w:rsidRPr="000B6417" w:rsidRDefault="00C8707C" w:rsidP="002E5B56">
            <w:pPr>
              <w:rPr>
                <w:lang w:eastAsia="en-AU"/>
              </w:rPr>
            </w:pPr>
            <w:r w:rsidRPr="000B6417">
              <w:rPr>
                <w:lang w:eastAsia="en-AU"/>
              </w:rPr>
              <w:t>Poor/non-compliance</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0</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0</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0</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 (9.1)</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 (2.1)</w:t>
            </w:r>
          </w:p>
        </w:tc>
      </w:tr>
      <w:tr w:rsidR="00C8707C" w:rsidTr="002E5B56">
        <w:trPr>
          <w:trHeight w:val="227"/>
        </w:trPr>
        <w:tc>
          <w:tcPr>
            <w:cnfStyle w:val="001000000000" w:firstRow="0" w:lastRow="0" w:firstColumn="1" w:lastColumn="0" w:oddVBand="0" w:evenVBand="0" w:oddHBand="0" w:evenHBand="0" w:firstRowFirstColumn="0" w:firstRowLastColumn="0" w:lastRowFirstColumn="0" w:lastRowLastColumn="0"/>
            <w:tcW w:w="3632" w:type="dxa"/>
            <w:hideMark/>
          </w:tcPr>
          <w:p w:rsidR="00C8707C" w:rsidRPr="000B6417" w:rsidRDefault="00C8707C" w:rsidP="002E5B56">
            <w:pPr>
              <w:rPr>
                <w:lang w:eastAsia="en-AU"/>
              </w:rPr>
            </w:pPr>
            <w:r w:rsidRPr="000B6417">
              <w:rPr>
                <w:lang w:eastAsia="en-AU"/>
              </w:rPr>
              <w:t>Subject request to discontinue study treatment</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 (8.3)</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0</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0</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0</w:t>
            </w:r>
          </w:p>
        </w:tc>
        <w:tc>
          <w:tcPr>
            <w:tcW w:w="11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 (2.1)</w:t>
            </w:r>
          </w:p>
        </w:tc>
      </w:tr>
    </w:tbl>
    <w:p w:rsidR="00C8707C" w:rsidRDefault="00C8707C" w:rsidP="002E5B56">
      <w:pPr>
        <w:pStyle w:val="TableDescription"/>
      </w:pPr>
      <w:r>
        <w:rPr>
          <w:vertAlign w:val="superscript"/>
        </w:rPr>
        <w:t xml:space="preserve">1 </w:t>
      </w:r>
      <w:r>
        <w:t>Subjects completing or not completing the on-treatment period; 2 Subjects who continued into or did not continue the follow-up period.</w:t>
      </w:r>
    </w:p>
    <w:p w:rsidR="00C8707C" w:rsidRDefault="00C8707C" w:rsidP="00C8707C">
      <w:pPr>
        <w:pStyle w:val="Tabletitle"/>
      </w:pPr>
      <w:r>
        <w:t>Table 4B: End of treatment period – Stage 2 – Treated subjects</w:t>
      </w:r>
    </w:p>
    <w:tbl>
      <w:tblPr>
        <w:tblStyle w:val="TableTGAblue"/>
        <w:tblW w:w="0" w:type="auto"/>
        <w:tblLayout w:type="fixed"/>
        <w:tblLook w:val="04A0" w:firstRow="1" w:lastRow="0" w:firstColumn="1" w:lastColumn="0" w:noHBand="0" w:noVBand="1"/>
      </w:tblPr>
      <w:tblGrid>
        <w:gridCol w:w="4253"/>
        <w:gridCol w:w="1881"/>
        <w:gridCol w:w="1284"/>
        <w:gridCol w:w="1413"/>
      </w:tblGrid>
      <w:tr w:rsidR="00C8707C" w:rsidTr="002E5B56">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4253" w:type="dxa"/>
          </w:tcPr>
          <w:p w:rsidR="00C8707C" w:rsidRPr="000B6417" w:rsidRDefault="00C8707C" w:rsidP="002E5B56">
            <w:pPr>
              <w:rPr>
                <w:lang w:eastAsia="en-AU"/>
              </w:rPr>
            </w:pPr>
          </w:p>
        </w:tc>
        <w:tc>
          <w:tcPr>
            <w:tcW w:w="1881" w:type="dxa"/>
            <w:hideMark/>
          </w:tcPr>
          <w:p w:rsidR="00C8707C" w:rsidRPr="000B6417" w:rsidRDefault="00C8707C" w:rsidP="002E5B56">
            <w:pPr>
              <w:cnfStyle w:val="100000000000" w:firstRow="1" w:lastRow="0" w:firstColumn="0" w:lastColumn="0" w:oddVBand="0" w:evenVBand="0" w:oddHBand="0" w:evenHBand="0" w:firstRowFirstColumn="0" w:firstRowLastColumn="0" w:lastRowFirstColumn="0" w:lastRowLastColumn="0"/>
              <w:rPr>
                <w:lang w:eastAsia="en-AU"/>
              </w:rPr>
            </w:pPr>
            <w:r w:rsidRPr="000B6417">
              <w:rPr>
                <w:lang w:eastAsia="en-AU"/>
              </w:rPr>
              <w:t>ASV 200 mg BD</w:t>
            </w:r>
          </w:p>
        </w:tc>
        <w:tc>
          <w:tcPr>
            <w:tcW w:w="1284" w:type="dxa"/>
            <w:hideMark/>
          </w:tcPr>
          <w:p w:rsidR="00C8707C" w:rsidRPr="000B6417" w:rsidRDefault="00C8707C" w:rsidP="002E5B56">
            <w:pPr>
              <w:cnfStyle w:val="100000000000" w:firstRow="1" w:lastRow="0" w:firstColumn="0" w:lastColumn="0" w:oddVBand="0" w:evenVBand="0" w:oddHBand="0" w:evenHBand="0" w:firstRowFirstColumn="0" w:firstRowLastColumn="0" w:lastRowFirstColumn="0" w:lastRowLastColumn="0"/>
              <w:rPr>
                <w:lang w:eastAsia="en-AU"/>
              </w:rPr>
            </w:pPr>
            <w:r w:rsidRPr="000B6417">
              <w:rPr>
                <w:lang w:eastAsia="en-AU"/>
              </w:rPr>
              <w:t>PBO</w:t>
            </w:r>
          </w:p>
        </w:tc>
        <w:tc>
          <w:tcPr>
            <w:tcW w:w="1413" w:type="dxa"/>
            <w:hideMark/>
          </w:tcPr>
          <w:p w:rsidR="00C8707C" w:rsidRPr="000B6417" w:rsidRDefault="00C8707C" w:rsidP="002E5B56">
            <w:pPr>
              <w:cnfStyle w:val="100000000000" w:firstRow="1" w:lastRow="0" w:firstColumn="0" w:lastColumn="0" w:oddVBand="0" w:evenVBand="0" w:oddHBand="0" w:evenHBand="0" w:firstRowFirstColumn="0" w:firstRowLastColumn="0" w:lastRowFirstColumn="0" w:lastRowLastColumn="0"/>
              <w:rPr>
                <w:lang w:eastAsia="en-AU"/>
              </w:rPr>
            </w:pPr>
            <w:r w:rsidRPr="000B6417">
              <w:rPr>
                <w:lang w:eastAsia="en-AU"/>
              </w:rPr>
              <w:t>Total</w:t>
            </w:r>
          </w:p>
        </w:tc>
      </w:tr>
      <w:tr w:rsidR="00C8707C" w:rsidTr="002C4CAD">
        <w:trPr>
          <w:trHeight w:val="20"/>
        </w:trPr>
        <w:tc>
          <w:tcPr>
            <w:cnfStyle w:val="001000000000" w:firstRow="0" w:lastRow="0" w:firstColumn="1" w:lastColumn="0" w:oddVBand="0" w:evenVBand="0" w:oddHBand="0" w:evenHBand="0" w:firstRowFirstColumn="0" w:firstRowLastColumn="0" w:lastRowFirstColumn="0" w:lastRowLastColumn="0"/>
            <w:tcW w:w="4253" w:type="dxa"/>
            <w:hideMark/>
          </w:tcPr>
          <w:p w:rsidR="00C8707C" w:rsidRPr="000B6417" w:rsidRDefault="00C8707C" w:rsidP="002E5B56">
            <w:pPr>
              <w:rPr>
                <w:lang w:eastAsia="en-AU"/>
              </w:rPr>
            </w:pPr>
            <w:r w:rsidRPr="000B6417">
              <w:rPr>
                <w:lang w:eastAsia="en-AU"/>
              </w:rPr>
              <w:t>Subjects</w:t>
            </w:r>
          </w:p>
        </w:tc>
        <w:tc>
          <w:tcPr>
            <w:tcW w:w="1881"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177</w:t>
            </w:r>
          </w:p>
        </w:tc>
        <w:tc>
          <w:tcPr>
            <w:tcW w:w="1284"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61</w:t>
            </w:r>
          </w:p>
        </w:tc>
        <w:tc>
          <w:tcPr>
            <w:tcW w:w="141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238</w:t>
            </w:r>
          </w:p>
        </w:tc>
      </w:tr>
      <w:tr w:rsidR="00C8707C" w:rsidTr="002C4CAD">
        <w:trPr>
          <w:trHeight w:val="20"/>
        </w:trPr>
        <w:tc>
          <w:tcPr>
            <w:cnfStyle w:val="001000000000" w:firstRow="0" w:lastRow="0" w:firstColumn="1" w:lastColumn="0" w:oddVBand="0" w:evenVBand="0" w:oddHBand="0" w:evenHBand="0" w:firstRowFirstColumn="0" w:firstRowLastColumn="0" w:lastRowFirstColumn="0" w:lastRowLastColumn="0"/>
            <w:tcW w:w="4253" w:type="dxa"/>
            <w:hideMark/>
          </w:tcPr>
          <w:p w:rsidR="00C8707C" w:rsidRPr="000B6417" w:rsidRDefault="00C8707C" w:rsidP="002E5B56">
            <w:pPr>
              <w:rPr>
                <w:lang w:eastAsia="en-AU"/>
              </w:rPr>
            </w:pPr>
            <w:r w:rsidRPr="000B6417">
              <w:rPr>
                <w:lang w:eastAsia="en-AU"/>
              </w:rPr>
              <w:t xml:space="preserve">Subjects completing the period </w:t>
            </w:r>
            <w:r w:rsidRPr="000B6417">
              <w:rPr>
                <w:vertAlign w:val="superscript"/>
                <w:lang w:eastAsia="en-AU"/>
              </w:rPr>
              <w:t>1</w:t>
            </w:r>
            <w:r w:rsidRPr="000B6417">
              <w:rPr>
                <w:lang w:eastAsia="en-AU"/>
              </w:rPr>
              <w:t xml:space="preserve"> (%)</w:t>
            </w:r>
          </w:p>
        </w:tc>
        <w:tc>
          <w:tcPr>
            <w:tcW w:w="1881"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153 (86.4)</w:t>
            </w:r>
          </w:p>
        </w:tc>
        <w:tc>
          <w:tcPr>
            <w:tcW w:w="1284"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41 </w:t>
            </w:r>
            <w:r w:rsidRPr="000B6417">
              <w:rPr>
                <w:lang w:eastAsia="en-AU"/>
              </w:rPr>
              <w:lastRenderedPageBreak/>
              <w:t>(67.2)</w:t>
            </w:r>
          </w:p>
        </w:tc>
        <w:tc>
          <w:tcPr>
            <w:tcW w:w="141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lastRenderedPageBreak/>
              <w:t xml:space="preserve">194 </w:t>
            </w:r>
            <w:r w:rsidRPr="000B6417">
              <w:rPr>
                <w:lang w:eastAsia="en-AU"/>
              </w:rPr>
              <w:lastRenderedPageBreak/>
              <w:t>(81.5)</w:t>
            </w:r>
          </w:p>
        </w:tc>
      </w:tr>
      <w:tr w:rsidR="00C8707C" w:rsidTr="002C4CAD">
        <w:trPr>
          <w:trHeight w:val="20"/>
        </w:trPr>
        <w:tc>
          <w:tcPr>
            <w:cnfStyle w:val="001000000000" w:firstRow="0" w:lastRow="0" w:firstColumn="1" w:lastColumn="0" w:oddVBand="0" w:evenVBand="0" w:oddHBand="0" w:evenHBand="0" w:firstRowFirstColumn="0" w:firstRowLastColumn="0" w:lastRowFirstColumn="0" w:lastRowLastColumn="0"/>
            <w:tcW w:w="4253" w:type="dxa"/>
            <w:hideMark/>
          </w:tcPr>
          <w:p w:rsidR="00C8707C" w:rsidRPr="000B6417" w:rsidRDefault="00C8707C" w:rsidP="002E5B56">
            <w:pPr>
              <w:rPr>
                <w:lang w:eastAsia="en-AU"/>
              </w:rPr>
            </w:pPr>
            <w:r w:rsidRPr="000B6417">
              <w:rPr>
                <w:lang w:eastAsia="en-AU"/>
              </w:rPr>
              <w:lastRenderedPageBreak/>
              <w:t xml:space="preserve">Subjects not completing the period </w:t>
            </w:r>
            <w:r w:rsidRPr="000B6417">
              <w:rPr>
                <w:vertAlign w:val="superscript"/>
                <w:lang w:eastAsia="en-AU"/>
              </w:rPr>
              <w:t xml:space="preserve">1 </w:t>
            </w:r>
            <w:r w:rsidRPr="000B6417">
              <w:rPr>
                <w:lang w:eastAsia="en-AU"/>
              </w:rPr>
              <w:t>(%)</w:t>
            </w:r>
          </w:p>
        </w:tc>
        <w:tc>
          <w:tcPr>
            <w:tcW w:w="1881"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24 (13.6)</w:t>
            </w:r>
          </w:p>
        </w:tc>
        <w:tc>
          <w:tcPr>
            <w:tcW w:w="1284"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20 (32.8)</w:t>
            </w:r>
          </w:p>
        </w:tc>
        <w:tc>
          <w:tcPr>
            <w:tcW w:w="141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44 (18.5)</w:t>
            </w:r>
          </w:p>
        </w:tc>
      </w:tr>
      <w:tr w:rsidR="00C8707C" w:rsidTr="002C4CAD">
        <w:trPr>
          <w:trHeight w:val="20"/>
        </w:trPr>
        <w:tc>
          <w:tcPr>
            <w:cnfStyle w:val="001000000000" w:firstRow="0" w:lastRow="0" w:firstColumn="1" w:lastColumn="0" w:oddVBand="0" w:evenVBand="0" w:oddHBand="0" w:evenHBand="0" w:firstRowFirstColumn="0" w:firstRowLastColumn="0" w:lastRowFirstColumn="0" w:lastRowLastColumn="0"/>
            <w:tcW w:w="4253" w:type="dxa"/>
            <w:hideMark/>
          </w:tcPr>
          <w:p w:rsidR="00C8707C" w:rsidRPr="000B6417" w:rsidRDefault="00C8707C" w:rsidP="002E5B56">
            <w:pPr>
              <w:rPr>
                <w:lang w:eastAsia="en-AU"/>
              </w:rPr>
            </w:pPr>
            <w:r w:rsidRPr="000B6417">
              <w:rPr>
                <w:lang w:eastAsia="en-AU"/>
              </w:rPr>
              <w:t xml:space="preserve">Reason for not completing the period </w:t>
            </w:r>
            <w:r w:rsidRPr="000B6417">
              <w:rPr>
                <w:vertAlign w:val="superscript"/>
                <w:lang w:eastAsia="en-AU"/>
              </w:rPr>
              <w:t>1</w:t>
            </w:r>
            <w:r w:rsidRPr="000B6417">
              <w:rPr>
                <w:lang w:eastAsia="en-AU"/>
              </w:rPr>
              <w:t xml:space="preserve"> (%)</w:t>
            </w:r>
          </w:p>
        </w:tc>
        <w:tc>
          <w:tcPr>
            <w:tcW w:w="1881" w:type="dxa"/>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p>
        </w:tc>
        <w:tc>
          <w:tcPr>
            <w:tcW w:w="1284" w:type="dxa"/>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p>
        </w:tc>
        <w:tc>
          <w:tcPr>
            <w:tcW w:w="1413" w:type="dxa"/>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p>
        </w:tc>
      </w:tr>
      <w:tr w:rsidR="00C8707C" w:rsidTr="002C4CAD">
        <w:trPr>
          <w:trHeight w:val="20"/>
        </w:trPr>
        <w:tc>
          <w:tcPr>
            <w:cnfStyle w:val="001000000000" w:firstRow="0" w:lastRow="0" w:firstColumn="1" w:lastColumn="0" w:oddVBand="0" w:evenVBand="0" w:oddHBand="0" w:evenHBand="0" w:firstRowFirstColumn="0" w:firstRowLastColumn="0" w:lastRowFirstColumn="0" w:lastRowLastColumn="0"/>
            <w:tcW w:w="4253" w:type="dxa"/>
            <w:hideMark/>
          </w:tcPr>
          <w:p w:rsidR="00C8707C" w:rsidRPr="000B6417" w:rsidRDefault="00C8707C" w:rsidP="002E5B56">
            <w:pPr>
              <w:rPr>
                <w:lang w:eastAsia="en-AU"/>
              </w:rPr>
            </w:pPr>
            <w:r w:rsidRPr="000B6417">
              <w:rPr>
                <w:lang w:eastAsia="en-AU"/>
              </w:rPr>
              <w:t>Lack of efficacy</w:t>
            </w:r>
          </w:p>
        </w:tc>
        <w:tc>
          <w:tcPr>
            <w:tcW w:w="1881"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7 (4.0)</w:t>
            </w:r>
          </w:p>
        </w:tc>
        <w:tc>
          <w:tcPr>
            <w:tcW w:w="1284"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11 (18.0)</w:t>
            </w:r>
          </w:p>
        </w:tc>
        <w:tc>
          <w:tcPr>
            <w:tcW w:w="141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18 (7.6)</w:t>
            </w:r>
          </w:p>
        </w:tc>
      </w:tr>
      <w:tr w:rsidR="00C8707C" w:rsidTr="002C4CAD">
        <w:trPr>
          <w:trHeight w:val="20"/>
        </w:trPr>
        <w:tc>
          <w:tcPr>
            <w:cnfStyle w:val="001000000000" w:firstRow="0" w:lastRow="0" w:firstColumn="1" w:lastColumn="0" w:oddVBand="0" w:evenVBand="0" w:oddHBand="0" w:evenHBand="0" w:firstRowFirstColumn="0" w:firstRowLastColumn="0" w:lastRowFirstColumn="0" w:lastRowLastColumn="0"/>
            <w:tcW w:w="4253" w:type="dxa"/>
            <w:hideMark/>
          </w:tcPr>
          <w:p w:rsidR="00C8707C" w:rsidRPr="000B6417" w:rsidRDefault="00C8707C" w:rsidP="002E5B56">
            <w:pPr>
              <w:rPr>
                <w:lang w:eastAsia="en-AU"/>
              </w:rPr>
            </w:pPr>
            <w:r w:rsidRPr="000B6417">
              <w:rPr>
                <w:lang w:eastAsia="en-AU"/>
              </w:rPr>
              <w:t>Adverse event</w:t>
            </w:r>
          </w:p>
        </w:tc>
        <w:tc>
          <w:tcPr>
            <w:tcW w:w="1881"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10 (5.7)</w:t>
            </w:r>
          </w:p>
        </w:tc>
        <w:tc>
          <w:tcPr>
            <w:tcW w:w="1284"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3 (4.9)</w:t>
            </w:r>
          </w:p>
        </w:tc>
        <w:tc>
          <w:tcPr>
            <w:tcW w:w="141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13 (5.5)</w:t>
            </w:r>
          </w:p>
        </w:tc>
      </w:tr>
      <w:tr w:rsidR="00C8707C" w:rsidTr="002C4CAD">
        <w:trPr>
          <w:trHeight w:val="20"/>
        </w:trPr>
        <w:tc>
          <w:tcPr>
            <w:cnfStyle w:val="001000000000" w:firstRow="0" w:lastRow="0" w:firstColumn="1" w:lastColumn="0" w:oddVBand="0" w:evenVBand="0" w:oddHBand="0" w:evenHBand="0" w:firstRowFirstColumn="0" w:firstRowLastColumn="0" w:lastRowFirstColumn="0" w:lastRowLastColumn="0"/>
            <w:tcW w:w="4253" w:type="dxa"/>
            <w:hideMark/>
          </w:tcPr>
          <w:p w:rsidR="00C8707C" w:rsidRPr="000B6417" w:rsidRDefault="00C8707C" w:rsidP="002E5B56">
            <w:pPr>
              <w:rPr>
                <w:lang w:eastAsia="en-AU"/>
              </w:rPr>
            </w:pPr>
            <w:r w:rsidRPr="000B6417">
              <w:rPr>
                <w:lang w:eastAsia="en-AU"/>
              </w:rPr>
              <w:t>Subject withdrew consent</w:t>
            </w:r>
          </w:p>
        </w:tc>
        <w:tc>
          <w:tcPr>
            <w:tcW w:w="1881"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2 (1.1)</w:t>
            </w:r>
          </w:p>
        </w:tc>
        <w:tc>
          <w:tcPr>
            <w:tcW w:w="1284"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 (1.6)</w:t>
            </w:r>
          </w:p>
        </w:tc>
        <w:tc>
          <w:tcPr>
            <w:tcW w:w="141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3 (1.3)</w:t>
            </w:r>
          </w:p>
        </w:tc>
      </w:tr>
      <w:tr w:rsidR="00C8707C" w:rsidTr="002C4CAD">
        <w:trPr>
          <w:trHeight w:val="20"/>
        </w:trPr>
        <w:tc>
          <w:tcPr>
            <w:cnfStyle w:val="001000000000" w:firstRow="0" w:lastRow="0" w:firstColumn="1" w:lastColumn="0" w:oddVBand="0" w:evenVBand="0" w:oddHBand="0" w:evenHBand="0" w:firstRowFirstColumn="0" w:firstRowLastColumn="0" w:lastRowFirstColumn="0" w:lastRowLastColumn="0"/>
            <w:tcW w:w="4253" w:type="dxa"/>
            <w:hideMark/>
          </w:tcPr>
          <w:p w:rsidR="00C8707C" w:rsidRPr="000B6417" w:rsidRDefault="00C8707C" w:rsidP="002E5B56">
            <w:pPr>
              <w:rPr>
                <w:lang w:eastAsia="en-AU"/>
              </w:rPr>
            </w:pPr>
            <w:r w:rsidRPr="000B6417">
              <w:rPr>
                <w:lang w:eastAsia="en-AU"/>
              </w:rPr>
              <w:t>Death</w:t>
            </w:r>
          </w:p>
        </w:tc>
        <w:tc>
          <w:tcPr>
            <w:tcW w:w="1881"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 (0.6)</w:t>
            </w:r>
          </w:p>
        </w:tc>
        <w:tc>
          <w:tcPr>
            <w:tcW w:w="1284"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0</w:t>
            </w:r>
          </w:p>
        </w:tc>
        <w:tc>
          <w:tcPr>
            <w:tcW w:w="141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 (0.4)</w:t>
            </w:r>
          </w:p>
        </w:tc>
      </w:tr>
      <w:tr w:rsidR="00C8707C" w:rsidTr="002C4CAD">
        <w:trPr>
          <w:trHeight w:val="20"/>
        </w:trPr>
        <w:tc>
          <w:tcPr>
            <w:cnfStyle w:val="001000000000" w:firstRow="0" w:lastRow="0" w:firstColumn="1" w:lastColumn="0" w:oddVBand="0" w:evenVBand="0" w:oddHBand="0" w:evenHBand="0" w:firstRowFirstColumn="0" w:firstRowLastColumn="0" w:lastRowFirstColumn="0" w:lastRowLastColumn="0"/>
            <w:tcW w:w="4253" w:type="dxa"/>
            <w:hideMark/>
          </w:tcPr>
          <w:p w:rsidR="00C8707C" w:rsidRPr="000B6417" w:rsidRDefault="00C8707C" w:rsidP="002E5B56">
            <w:pPr>
              <w:rPr>
                <w:lang w:eastAsia="en-AU"/>
              </w:rPr>
            </w:pPr>
            <w:r w:rsidRPr="000B6417">
              <w:rPr>
                <w:lang w:eastAsia="en-AU"/>
              </w:rPr>
              <w:t>Lost to follow-up</w:t>
            </w:r>
          </w:p>
        </w:tc>
        <w:tc>
          <w:tcPr>
            <w:tcW w:w="1881"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1(0.6)</w:t>
            </w:r>
          </w:p>
        </w:tc>
        <w:tc>
          <w:tcPr>
            <w:tcW w:w="1284"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 (1.6)</w:t>
            </w:r>
          </w:p>
        </w:tc>
        <w:tc>
          <w:tcPr>
            <w:tcW w:w="141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2 (0.8)</w:t>
            </w:r>
          </w:p>
        </w:tc>
      </w:tr>
      <w:tr w:rsidR="00C8707C" w:rsidTr="002C4CAD">
        <w:trPr>
          <w:trHeight w:val="20"/>
        </w:trPr>
        <w:tc>
          <w:tcPr>
            <w:cnfStyle w:val="001000000000" w:firstRow="0" w:lastRow="0" w:firstColumn="1" w:lastColumn="0" w:oddVBand="0" w:evenVBand="0" w:oddHBand="0" w:evenHBand="0" w:firstRowFirstColumn="0" w:firstRowLastColumn="0" w:lastRowFirstColumn="0" w:lastRowLastColumn="0"/>
            <w:tcW w:w="4253" w:type="dxa"/>
            <w:hideMark/>
          </w:tcPr>
          <w:p w:rsidR="00C8707C" w:rsidRPr="000B6417" w:rsidRDefault="00C8707C" w:rsidP="002E5B56">
            <w:pPr>
              <w:rPr>
                <w:lang w:eastAsia="en-AU"/>
              </w:rPr>
            </w:pPr>
            <w:r w:rsidRPr="000B6417">
              <w:rPr>
                <w:lang w:eastAsia="en-AU"/>
              </w:rPr>
              <w:t>Subject no longer meets study criteria</w:t>
            </w:r>
          </w:p>
        </w:tc>
        <w:tc>
          <w:tcPr>
            <w:tcW w:w="1881"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 (0.6)</w:t>
            </w:r>
          </w:p>
        </w:tc>
        <w:tc>
          <w:tcPr>
            <w:tcW w:w="1284"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0</w:t>
            </w:r>
          </w:p>
        </w:tc>
        <w:tc>
          <w:tcPr>
            <w:tcW w:w="141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 (0.4)</w:t>
            </w:r>
          </w:p>
        </w:tc>
      </w:tr>
      <w:tr w:rsidR="00C8707C" w:rsidTr="002C4CAD">
        <w:trPr>
          <w:trHeight w:val="20"/>
        </w:trPr>
        <w:tc>
          <w:tcPr>
            <w:cnfStyle w:val="001000000000" w:firstRow="0" w:lastRow="0" w:firstColumn="1" w:lastColumn="0" w:oddVBand="0" w:evenVBand="0" w:oddHBand="0" w:evenHBand="0" w:firstRowFirstColumn="0" w:firstRowLastColumn="0" w:lastRowFirstColumn="0" w:lastRowLastColumn="0"/>
            <w:tcW w:w="4253" w:type="dxa"/>
            <w:hideMark/>
          </w:tcPr>
          <w:p w:rsidR="00C8707C" w:rsidRPr="000B6417" w:rsidRDefault="00C8707C" w:rsidP="002E5B56">
            <w:pPr>
              <w:rPr>
                <w:lang w:eastAsia="en-AU"/>
              </w:rPr>
            </w:pPr>
            <w:r w:rsidRPr="000B6417">
              <w:rPr>
                <w:lang w:eastAsia="en-AU"/>
              </w:rPr>
              <w:t>Subject request to discontinue study treatment</w:t>
            </w:r>
          </w:p>
        </w:tc>
        <w:tc>
          <w:tcPr>
            <w:tcW w:w="1881"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 (0.6)</w:t>
            </w:r>
          </w:p>
        </w:tc>
        <w:tc>
          <w:tcPr>
            <w:tcW w:w="1284"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 (1.6)</w:t>
            </w:r>
          </w:p>
        </w:tc>
        <w:tc>
          <w:tcPr>
            <w:tcW w:w="141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2 (0.8)</w:t>
            </w:r>
          </w:p>
        </w:tc>
      </w:tr>
      <w:tr w:rsidR="00C8707C" w:rsidTr="002C4CAD">
        <w:trPr>
          <w:trHeight w:val="20"/>
        </w:trPr>
        <w:tc>
          <w:tcPr>
            <w:cnfStyle w:val="001000000000" w:firstRow="0" w:lastRow="0" w:firstColumn="1" w:lastColumn="0" w:oddVBand="0" w:evenVBand="0" w:oddHBand="0" w:evenHBand="0" w:firstRowFirstColumn="0" w:firstRowLastColumn="0" w:lastRowFirstColumn="0" w:lastRowLastColumn="0"/>
            <w:tcW w:w="4253" w:type="dxa"/>
            <w:hideMark/>
          </w:tcPr>
          <w:p w:rsidR="00C8707C" w:rsidRPr="000B6417" w:rsidRDefault="00C8707C" w:rsidP="002E5B56">
            <w:pPr>
              <w:rPr>
                <w:lang w:eastAsia="en-AU"/>
              </w:rPr>
            </w:pPr>
            <w:r w:rsidRPr="000B6417">
              <w:rPr>
                <w:lang w:eastAsia="en-AU"/>
              </w:rPr>
              <w:t>Other</w:t>
            </w:r>
          </w:p>
        </w:tc>
        <w:tc>
          <w:tcPr>
            <w:tcW w:w="1881"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 (0.6)</w:t>
            </w:r>
          </w:p>
        </w:tc>
        <w:tc>
          <w:tcPr>
            <w:tcW w:w="1284"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 (1.6)</w:t>
            </w:r>
          </w:p>
        </w:tc>
        <w:tc>
          <w:tcPr>
            <w:tcW w:w="141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2 (0.8)</w:t>
            </w:r>
          </w:p>
        </w:tc>
      </w:tr>
      <w:tr w:rsidR="00C8707C" w:rsidTr="002C4CAD">
        <w:trPr>
          <w:trHeight w:val="20"/>
        </w:trPr>
        <w:tc>
          <w:tcPr>
            <w:cnfStyle w:val="001000000000" w:firstRow="0" w:lastRow="0" w:firstColumn="1" w:lastColumn="0" w:oddVBand="0" w:evenVBand="0" w:oddHBand="0" w:evenHBand="0" w:firstRowFirstColumn="0" w:firstRowLastColumn="0" w:lastRowFirstColumn="0" w:lastRowLastColumn="0"/>
            <w:tcW w:w="4253" w:type="dxa"/>
            <w:hideMark/>
          </w:tcPr>
          <w:p w:rsidR="00C8707C" w:rsidRPr="000B6417" w:rsidRDefault="00C8707C" w:rsidP="002E5B56">
            <w:pPr>
              <w:rPr>
                <w:lang w:eastAsia="en-AU"/>
              </w:rPr>
            </w:pPr>
            <w:r w:rsidRPr="000B6417">
              <w:rPr>
                <w:lang w:eastAsia="en-AU"/>
              </w:rPr>
              <w:t xml:space="preserve">Completed 24-week </w:t>
            </w:r>
            <w:proofErr w:type="spellStart"/>
            <w:r w:rsidRPr="000B6417">
              <w:rPr>
                <w:lang w:eastAsia="en-AU"/>
              </w:rPr>
              <w:t>treament</w:t>
            </w:r>
            <w:proofErr w:type="spellEnd"/>
            <w:r w:rsidRPr="000B6417">
              <w:rPr>
                <w:lang w:eastAsia="en-AU"/>
              </w:rPr>
              <w:t xml:space="preserve"> period only</w:t>
            </w:r>
          </w:p>
        </w:tc>
        <w:tc>
          <w:tcPr>
            <w:tcW w:w="1881"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0</w:t>
            </w:r>
          </w:p>
        </w:tc>
        <w:tc>
          <w:tcPr>
            <w:tcW w:w="1284"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2 (3.3)</w:t>
            </w:r>
          </w:p>
        </w:tc>
        <w:tc>
          <w:tcPr>
            <w:tcW w:w="141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2 (0.8)</w:t>
            </w:r>
          </w:p>
        </w:tc>
      </w:tr>
      <w:tr w:rsidR="00C8707C" w:rsidTr="002C4CAD">
        <w:trPr>
          <w:trHeight w:val="20"/>
        </w:trPr>
        <w:tc>
          <w:tcPr>
            <w:cnfStyle w:val="001000000000" w:firstRow="0" w:lastRow="0" w:firstColumn="1" w:lastColumn="0" w:oddVBand="0" w:evenVBand="0" w:oddHBand="0" w:evenHBand="0" w:firstRowFirstColumn="0" w:firstRowLastColumn="0" w:lastRowFirstColumn="0" w:lastRowLastColumn="0"/>
            <w:tcW w:w="4253" w:type="dxa"/>
            <w:hideMark/>
          </w:tcPr>
          <w:p w:rsidR="00C8707C" w:rsidRPr="000B6417" w:rsidRDefault="00C8707C" w:rsidP="002E5B56">
            <w:pPr>
              <w:rPr>
                <w:lang w:eastAsia="en-AU"/>
              </w:rPr>
            </w:pPr>
            <w:r w:rsidRPr="000B6417">
              <w:rPr>
                <w:lang w:eastAsia="en-AU"/>
              </w:rPr>
              <w:t xml:space="preserve">Subjects continuing in the study </w:t>
            </w:r>
            <w:r w:rsidRPr="000B6417">
              <w:rPr>
                <w:vertAlign w:val="superscript"/>
                <w:lang w:eastAsia="en-AU"/>
              </w:rPr>
              <w:t xml:space="preserve">2 </w:t>
            </w:r>
            <w:r w:rsidRPr="000B6417">
              <w:rPr>
                <w:lang w:eastAsia="en-AU"/>
              </w:rPr>
              <w:t>(%)</w:t>
            </w:r>
          </w:p>
        </w:tc>
        <w:tc>
          <w:tcPr>
            <w:tcW w:w="1881"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172 (97.2)</w:t>
            </w:r>
          </w:p>
        </w:tc>
        <w:tc>
          <w:tcPr>
            <w:tcW w:w="1284"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57 (93.4)</w:t>
            </w:r>
          </w:p>
        </w:tc>
        <w:tc>
          <w:tcPr>
            <w:tcW w:w="141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229 (96.2)</w:t>
            </w:r>
          </w:p>
        </w:tc>
      </w:tr>
      <w:tr w:rsidR="00C8707C" w:rsidTr="002C4CAD">
        <w:trPr>
          <w:trHeight w:val="20"/>
        </w:trPr>
        <w:tc>
          <w:tcPr>
            <w:cnfStyle w:val="001000000000" w:firstRow="0" w:lastRow="0" w:firstColumn="1" w:lastColumn="0" w:oddVBand="0" w:evenVBand="0" w:oddHBand="0" w:evenHBand="0" w:firstRowFirstColumn="0" w:firstRowLastColumn="0" w:lastRowFirstColumn="0" w:lastRowLastColumn="0"/>
            <w:tcW w:w="4253" w:type="dxa"/>
            <w:hideMark/>
          </w:tcPr>
          <w:p w:rsidR="00C8707C" w:rsidRPr="000B6417" w:rsidRDefault="00C8707C" w:rsidP="002E5B56">
            <w:pPr>
              <w:rPr>
                <w:lang w:eastAsia="en-AU"/>
              </w:rPr>
            </w:pPr>
            <w:r w:rsidRPr="000B6417">
              <w:rPr>
                <w:lang w:eastAsia="en-AU"/>
              </w:rPr>
              <w:t xml:space="preserve">Subjects not continuing in the study (%) </w:t>
            </w:r>
            <w:r w:rsidRPr="000B6417">
              <w:rPr>
                <w:vertAlign w:val="superscript"/>
                <w:lang w:eastAsia="en-AU"/>
              </w:rPr>
              <w:t>2</w:t>
            </w:r>
          </w:p>
        </w:tc>
        <w:tc>
          <w:tcPr>
            <w:tcW w:w="1881"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5 (2.8)</w:t>
            </w:r>
          </w:p>
        </w:tc>
        <w:tc>
          <w:tcPr>
            <w:tcW w:w="1284"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4 (6.6)</w:t>
            </w:r>
          </w:p>
        </w:tc>
        <w:tc>
          <w:tcPr>
            <w:tcW w:w="141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9 (3.8)</w:t>
            </w:r>
          </w:p>
        </w:tc>
      </w:tr>
      <w:tr w:rsidR="00C8707C" w:rsidTr="002C4CAD">
        <w:trPr>
          <w:trHeight w:val="20"/>
        </w:trPr>
        <w:tc>
          <w:tcPr>
            <w:cnfStyle w:val="001000000000" w:firstRow="0" w:lastRow="0" w:firstColumn="1" w:lastColumn="0" w:oddVBand="0" w:evenVBand="0" w:oddHBand="0" w:evenHBand="0" w:firstRowFirstColumn="0" w:firstRowLastColumn="0" w:lastRowFirstColumn="0" w:lastRowLastColumn="0"/>
            <w:tcW w:w="4253" w:type="dxa"/>
            <w:hideMark/>
          </w:tcPr>
          <w:p w:rsidR="00C8707C" w:rsidRPr="000B6417" w:rsidRDefault="00C8707C" w:rsidP="002E5B56">
            <w:pPr>
              <w:rPr>
                <w:lang w:eastAsia="en-AU"/>
              </w:rPr>
            </w:pPr>
            <w:r w:rsidRPr="000B6417">
              <w:rPr>
                <w:lang w:eastAsia="en-AU"/>
              </w:rPr>
              <w:t xml:space="preserve">Reason for not continuing in the study (%) </w:t>
            </w:r>
            <w:r w:rsidRPr="000B6417">
              <w:rPr>
                <w:vertAlign w:val="superscript"/>
                <w:lang w:eastAsia="en-AU"/>
              </w:rPr>
              <w:t>2</w:t>
            </w:r>
          </w:p>
        </w:tc>
        <w:tc>
          <w:tcPr>
            <w:tcW w:w="1881" w:type="dxa"/>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p>
        </w:tc>
        <w:tc>
          <w:tcPr>
            <w:tcW w:w="1284" w:type="dxa"/>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p>
        </w:tc>
        <w:tc>
          <w:tcPr>
            <w:tcW w:w="1413" w:type="dxa"/>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p>
        </w:tc>
      </w:tr>
      <w:tr w:rsidR="00C8707C" w:rsidTr="002C4CAD">
        <w:trPr>
          <w:trHeight w:val="20"/>
        </w:trPr>
        <w:tc>
          <w:tcPr>
            <w:cnfStyle w:val="001000000000" w:firstRow="0" w:lastRow="0" w:firstColumn="1" w:lastColumn="0" w:oddVBand="0" w:evenVBand="0" w:oddHBand="0" w:evenHBand="0" w:firstRowFirstColumn="0" w:firstRowLastColumn="0" w:lastRowFirstColumn="0" w:lastRowLastColumn="0"/>
            <w:tcW w:w="4253" w:type="dxa"/>
            <w:hideMark/>
          </w:tcPr>
          <w:p w:rsidR="00C8707C" w:rsidRPr="000B6417" w:rsidRDefault="00C8707C" w:rsidP="002E5B56">
            <w:pPr>
              <w:rPr>
                <w:lang w:eastAsia="en-AU"/>
              </w:rPr>
            </w:pPr>
            <w:r w:rsidRPr="000B6417">
              <w:rPr>
                <w:lang w:eastAsia="en-AU"/>
              </w:rPr>
              <w:t>Lack of efficacy</w:t>
            </w:r>
          </w:p>
        </w:tc>
        <w:tc>
          <w:tcPr>
            <w:tcW w:w="1881"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 (0.6)</w:t>
            </w:r>
          </w:p>
        </w:tc>
        <w:tc>
          <w:tcPr>
            <w:tcW w:w="1284"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 (1.6)</w:t>
            </w:r>
          </w:p>
        </w:tc>
        <w:tc>
          <w:tcPr>
            <w:tcW w:w="141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2 (0.8)</w:t>
            </w:r>
          </w:p>
        </w:tc>
      </w:tr>
      <w:tr w:rsidR="00C8707C" w:rsidTr="002C4CAD">
        <w:trPr>
          <w:trHeight w:val="20"/>
        </w:trPr>
        <w:tc>
          <w:tcPr>
            <w:cnfStyle w:val="001000000000" w:firstRow="0" w:lastRow="0" w:firstColumn="1" w:lastColumn="0" w:oddVBand="0" w:evenVBand="0" w:oddHBand="0" w:evenHBand="0" w:firstRowFirstColumn="0" w:firstRowLastColumn="0" w:lastRowFirstColumn="0" w:lastRowLastColumn="0"/>
            <w:tcW w:w="4253" w:type="dxa"/>
            <w:hideMark/>
          </w:tcPr>
          <w:p w:rsidR="00C8707C" w:rsidRPr="000B6417" w:rsidRDefault="00C8707C" w:rsidP="002E5B56">
            <w:pPr>
              <w:rPr>
                <w:lang w:eastAsia="en-AU"/>
              </w:rPr>
            </w:pPr>
            <w:r w:rsidRPr="000B6417">
              <w:rPr>
                <w:lang w:eastAsia="en-AU"/>
              </w:rPr>
              <w:t>Subject withdrew consent</w:t>
            </w:r>
          </w:p>
        </w:tc>
        <w:tc>
          <w:tcPr>
            <w:tcW w:w="1881"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2 (1.1)</w:t>
            </w:r>
          </w:p>
        </w:tc>
        <w:tc>
          <w:tcPr>
            <w:tcW w:w="1284"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 (1.6)</w:t>
            </w:r>
          </w:p>
        </w:tc>
        <w:tc>
          <w:tcPr>
            <w:tcW w:w="141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3 (1.3)</w:t>
            </w:r>
          </w:p>
        </w:tc>
      </w:tr>
      <w:tr w:rsidR="00C8707C" w:rsidTr="002C4CAD">
        <w:trPr>
          <w:trHeight w:val="20"/>
        </w:trPr>
        <w:tc>
          <w:tcPr>
            <w:cnfStyle w:val="001000000000" w:firstRow="0" w:lastRow="0" w:firstColumn="1" w:lastColumn="0" w:oddVBand="0" w:evenVBand="0" w:oddHBand="0" w:evenHBand="0" w:firstRowFirstColumn="0" w:firstRowLastColumn="0" w:lastRowFirstColumn="0" w:lastRowLastColumn="0"/>
            <w:tcW w:w="4253" w:type="dxa"/>
            <w:hideMark/>
          </w:tcPr>
          <w:p w:rsidR="00C8707C" w:rsidRPr="000B6417" w:rsidRDefault="00C8707C" w:rsidP="002E5B56">
            <w:pPr>
              <w:rPr>
                <w:lang w:eastAsia="en-AU"/>
              </w:rPr>
            </w:pPr>
            <w:r w:rsidRPr="000B6417">
              <w:rPr>
                <w:lang w:eastAsia="en-AU"/>
              </w:rPr>
              <w:t>Lost to follow up</w:t>
            </w:r>
          </w:p>
        </w:tc>
        <w:tc>
          <w:tcPr>
            <w:tcW w:w="1881"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 (0.6)</w:t>
            </w:r>
          </w:p>
        </w:tc>
        <w:tc>
          <w:tcPr>
            <w:tcW w:w="1284"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 (1.6)</w:t>
            </w:r>
          </w:p>
        </w:tc>
        <w:tc>
          <w:tcPr>
            <w:tcW w:w="141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2 (0.8)</w:t>
            </w:r>
          </w:p>
        </w:tc>
      </w:tr>
      <w:tr w:rsidR="00C8707C" w:rsidTr="002C4CAD">
        <w:trPr>
          <w:trHeight w:val="20"/>
        </w:trPr>
        <w:tc>
          <w:tcPr>
            <w:cnfStyle w:val="001000000000" w:firstRow="0" w:lastRow="0" w:firstColumn="1" w:lastColumn="0" w:oddVBand="0" w:evenVBand="0" w:oddHBand="0" w:evenHBand="0" w:firstRowFirstColumn="0" w:firstRowLastColumn="0" w:lastRowFirstColumn="0" w:lastRowLastColumn="0"/>
            <w:tcW w:w="4253" w:type="dxa"/>
            <w:hideMark/>
          </w:tcPr>
          <w:p w:rsidR="00C8707C" w:rsidRPr="000B6417" w:rsidRDefault="00C8707C" w:rsidP="002E5B56">
            <w:pPr>
              <w:rPr>
                <w:lang w:eastAsia="en-AU"/>
              </w:rPr>
            </w:pPr>
            <w:r w:rsidRPr="000B6417">
              <w:rPr>
                <w:lang w:eastAsia="en-AU"/>
              </w:rPr>
              <w:t>Other</w:t>
            </w:r>
          </w:p>
        </w:tc>
        <w:tc>
          <w:tcPr>
            <w:tcW w:w="1881"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 (0.6)</w:t>
            </w:r>
          </w:p>
        </w:tc>
        <w:tc>
          <w:tcPr>
            <w:tcW w:w="1284"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 (1.6)</w:t>
            </w:r>
          </w:p>
        </w:tc>
        <w:tc>
          <w:tcPr>
            <w:tcW w:w="141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2 (0.8)</w:t>
            </w:r>
          </w:p>
        </w:tc>
      </w:tr>
    </w:tbl>
    <w:p w:rsidR="00C8707C" w:rsidRDefault="00C8707C" w:rsidP="002E5B56">
      <w:pPr>
        <w:pStyle w:val="TableDescription"/>
      </w:pPr>
      <w:r>
        <w:rPr>
          <w:vertAlign w:val="superscript"/>
        </w:rPr>
        <w:t>1</w:t>
      </w:r>
      <w:r>
        <w:t xml:space="preserve"> Subjects completing or not completing the on-treatment period; </w:t>
      </w:r>
      <w:r>
        <w:rPr>
          <w:vertAlign w:val="superscript"/>
        </w:rPr>
        <w:t>2</w:t>
      </w:r>
      <w:r>
        <w:t xml:space="preserve"> Subjects who continued into or did not continue the follow-up period.</w:t>
      </w:r>
    </w:p>
    <w:p w:rsidR="00C8707C" w:rsidRDefault="00C8707C" w:rsidP="00C8707C">
      <w:pPr>
        <w:pStyle w:val="Tabletitle"/>
        <w:rPr>
          <w:kern w:val="16"/>
        </w:rPr>
      </w:pPr>
      <w:r>
        <w:lastRenderedPageBreak/>
        <w:t xml:space="preserve">Table 4C: End of </w:t>
      </w:r>
      <w:r w:rsidRPr="0013164D">
        <w:t>treatment</w:t>
      </w:r>
      <w:r>
        <w:t xml:space="preserve"> period – Stage 2 – Genotype 1</w:t>
      </w:r>
    </w:p>
    <w:tbl>
      <w:tblPr>
        <w:tblStyle w:val="TableTGAblue"/>
        <w:tblW w:w="0" w:type="auto"/>
        <w:tblLayout w:type="fixed"/>
        <w:tblLook w:val="04A0" w:firstRow="1" w:lastRow="0" w:firstColumn="1" w:lastColumn="0" w:noHBand="0" w:noVBand="1"/>
      </w:tblPr>
      <w:tblGrid>
        <w:gridCol w:w="4361"/>
        <w:gridCol w:w="1773"/>
        <w:gridCol w:w="1284"/>
        <w:gridCol w:w="1413"/>
      </w:tblGrid>
      <w:tr w:rsidR="00C8707C" w:rsidTr="002E5B56">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4361" w:type="dxa"/>
          </w:tcPr>
          <w:p w:rsidR="00C8707C" w:rsidRPr="000B6417" w:rsidRDefault="00C8707C" w:rsidP="002E5B56">
            <w:pPr>
              <w:ind w:left="0"/>
              <w:rPr>
                <w:b w:val="0"/>
                <w:lang w:eastAsia="en-AU"/>
              </w:rPr>
            </w:pPr>
          </w:p>
        </w:tc>
        <w:tc>
          <w:tcPr>
            <w:tcW w:w="1773" w:type="dxa"/>
            <w:hideMark/>
          </w:tcPr>
          <w:p w:rsidR="00C8707C" w:rsidRPr="000B6417" w:rsidRDefault="00C8707C" w:rsidP="002E5B56">
            <w:pPr>
              <w:cnfStyle w:val="100000000000" w:firstRow="1" w:lastRow="0" w:firstColumn="0" w:lastColumn="0" w:oddVBand="0" w:evenVBand="0" w:oddHBand="0" w:evenHBand="0" w:firstRowFirstColumn="0" w:firstRowLastColumn="0" w:lastRowFirstColumn="0" w:lastRowLastColumn="0"/>
              <w:rPr>
                <w:b w:val="0"/>
                <w:lang w:eastAsia="en-AU"/>
              </w:rPr>
            </w:pPr>
            <w:r w:rsidRPr="000B6417">
              <w:rPr>
                <w:b w:val="0"/>
                <w:lang w:eastAsia="en-AU"/>
              </w:rPr>
              <w:t>ASV 200 mg BD</w:t>
            </w:r>
          </w:p>
        </w:tc>
        <w:tc>
          <w:tcPr>
            <w:tcW w:w="1284" w:type="dxa"/>
            <w:hideMark/>
          </w:tcPr>
          <w:p w:rsidR="00C8707C" w:rsidRPr="000B6417" w:rsidRDefault="00C8707C" w:rsidP="002E5B56">
            <w:pPr>
              <w:cnfStyle w:val="100000000000" w:firstRow="1" w:lastRow="0" w:firstColumn="0" w:lastColumn="0" w:oddVBand="0" w:evenVBand="0" w:oddHBand="0" w:evenHBand="0" w:firstRowFirstColumn="0" w:firstRowLastColumn="0" w:lastRowFirstColumn="0" w:lastRowLastColumn="0"/>
              <w:rPr>
                <w:b w:val="0"/>
                <w:lang w:eastAsia="en-AU"/>
              </w:rPr>
            </w:pPr>
            <w:r w:rsidRPr="000B6417">
              <w:rPr>
                <w:b w:val="0"/>
                <w:lang w:eastAsia="en-AU"/>
              </w:rPr>
              <w:t>PBO</w:t>
            </w:r>
          </w:p>
        </w:tc>
        <w:tc>
          <w:tcPr>
            <w:tcW w:w="1413" w:type="dxa"/>
            <w:hideMark/>
          </w:tcPr>
          <w:p w:rsidR="00C8707C" w:rsidRPr="000B6417" w:rsidRDefault="00C8707C" w:rsidP="002E5B56">
            <w:pPr>
              <w:cnfStyle w:val="100000000000" w:firstRow="1" w:lastRow="0" w:firstColumn="0" w:lastColumn="0" w:oddVBand="0" w:evenVBand="0" w:oddHBand="0" w:evenHBand="0" w:firstRowFirstColumn="0" w:firstRowLastColumn="0" w:lastRowFirstColumn="0" w:lastRowLastColumn="0"/>
              <w:rPr>
                <w:b w:val="0"/>
                <w:lang w:eastAsia="en-AU"/>
              </w:rPr>
            </w:pPr>
            <w:r w:rsidRPr="000B6417">
              <w:rPr>
                <w:b w:val="0"/>
                <w:lang w:eastAsia="en-AU"/>
              </w:rPr>
              <w:t>Total</w:t>
            </w:r>
          </w:p>
        </w:tc>
      </w:tr>
      <w:tr w:rsidR="00C8707C" w:rsidTr="002E5B56">
        <w:trPr>
          <w:trHeight w:val="20"/>
        </w:trPr>
        <w:tc>
          <w:tcPr>
            <w:cnfStyle w:val="001000000000" w:firstRow="0" w:lastRow="0" w:firstColumn="1" w:lastColumn="0" w:oddVBand="0" w:evenVBand="0" w:oddHBand="0" w:evenHBand="0" w:firstRowFirstColumn="0" w:firstRowLastColumn="0" w:lastRowFirstColumn="0" w:lastRowLastColumn="0"/>
            <w:tcW w:w="4361" w:type="dxa"/>
            <w:hideMark/>
          </w:tcPr>
          <w:p w:rsidR="00C8707C" w:rsidRPr="000B6417" w:rsidRDefault="00C8707C" w:rsidP="002E5B56">
            <w:pPr>
              <w:ind w:left="0"/>
              <w:rPr>
                <w:lang w:eastAsia="en-AU"/>
              </w:rPr>
            </w:pPr>
            <w:r w:rsidRPr="000B6417">
              <w:rPr>
                <w:lang w:eastAsia="en-AU"/>
              </w:rPr>
              <w:t>Subjects</w:t>
            </w:r>
          </w:p>
        </w:tc>
        <w:tc>
          <w:tcPr>
            <w:tcW w:w="177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159</w:t>
            </w:r>
          </w:p>
        </w:tc>
        <w:tc>
          <w:tcPr>
            <w:tcW w:w="1284"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54</w:t>
            </w:r>
          </w:p>
        </w:tc>
        <w:tc>
          <w:tcPr>
            <w:tcW w:w="141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213</w:t>
            </w:r>
          </w:p>
        </w:tc>
      </w:tr>
      <w:tr w:rsidR="00C8707C" w:rsidTr="002E5B56">
        <w:trPr>
          <w:trHeight w:val="20"/>
        </w:trPr>
        <w:tc>
          <w:tcPr>
            <w:cnfStyle w:val="001000000000" w:firstRow="0" w:lastRow="0" w:firstColumn="1" w:lastColumn="0" w:oddVBand="0" w:evenVBand="0" w:oddHBand="0" w:evenHBand="0" w:firstRowFirstColumn="0" w:firstRowLastColumn="0" w:lastRowFirstColumn="0" w:lastRowLastColumn="0"/>
            <w:tcW w:w="4361" w:type="dxa"/>
            <w:hideMark/>
          </w:tcPr>
          <w:p w:rsidR="00C8707C" w:rsidRPr="000B6417" w:rsidRDefault="00C8707C" w:rsidP="002E5B56">
            <w:pPr>
              <w:ind w:left="0"/>
              <w:rPr>
                <w:lang w:eastAsia="en-AU"/>
              </w:rPr>
            </w:pPr>
            <w:r w:rsidRPr="000B6417">
              <w:rPr>
                <w:lang w:eastAsia="en-AU"/>
              </w:rPr>
              <w:t xml:space="preserve">Subjects completing the period </w:t>
            </w:r>
            <w:r w:rsidRPr="000B6417">
              <w:rPr>
                <w:vertAlign w:val="superscript"/>
                <w:lang w:eastAsia="en-AU"/>
              </w:rPr>
              <w:t>1</w:t>
            </w:r>
            <w:r w:rsidRPr="000B6417">
              <w:rPr>
                <w:lang w:eastAsia="en-AU"/>
              </w:rPr>
              <w:t xml:space="preserve"> (%)</w:t>
            </w:r>
          </w:p>
        </w:tc>
        <w:tc>
          <w:tcPr>
            <w:tcW w:w="177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137 (86.2)</w:t>
            </w:r>
          </w:p>
        </w:tc>
        <w:tc>
          <w:tcPr>
            <w:tcW w:w="1284"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37 (68.5)</w:t>
            </w:r>
          </w:p>
        </w:tc>
        <w:tc>
          <w:tcPr>
            <w:tcW w:w="141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174 (81.7)</w:t>
            </w:r>
          </w:p>
        </w:tc>
      </w:tr>
      <w:tr w:rsidR="00C8707C" w:rsidTr="002E5B56">
        <w:trPr>
          <w:trHeight w:val="20"/>
        </w:trPr>
        <w:tc>
          <w:tcPr>
            <w:cnfStyle w:val="001000000000" w:firstRow="0" w:lastRow="0" w:firstColumn="1" w:lastColumn="0" w:oddVBand="0" w:evenVBand="0" w:oddHBand="0" w:evenHBand="0" w:firstRowFirstColumn="0" w:firstRowLastColumn="0" w:lastRowFirstColumn="0" w:lastRowLastColumn="0"/>
            <w:tcW w:w="4361" w:type="dxa"/>
            <w:hideMark/>
          </w:tcPr>
          <w:p w:rsidR="00C8707C" w:rsidRPr="000B6417" w:rsidRDefault="00C8707C" w:rsidP="002E5B56">
            <w:pPr>
              <w:ind w:left="0"/>
              <w:rPr>
                <w:lang w:eastAsia="en-AU"/>
              </w:rPr>
            </w:pPr>
            <w:r w:rsidRPr="000B6417">
              <w:rPr>
                <w:lang w:eastAsia="en-AU"/>
              </w:rPr>
              <w:t xml:space="preserve">Subjects not completing the period </w:t>
            </w:r>
            <w:r w:rsidRPr="000B6417">
              <w:rPr>
                <w:vertAlign w:val="superscript"/>
                <w:lang w:eastAsia="en-AU"/>
              </w:rPr>
              <w:t xml:space="preserve">1 </w:t>
            </w:r>
            <w:r w:rsidRPr="000B6417">
              <w:rPr>
                <w:lang w:eastAsia="en-AU"/>
              </w:rPr>
              <w:t>(%)</w:t>
            </w:r>
          </w:p>
        </w:tc>
        <w:tc>
          <w:tcPr>
            <w:tcW w:w="177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22 (13.8)</w:t>
            </w:r>
          </w:p>
        </w:tc>
        <w:tc>
          <w:tcPr>
            <w:tcW w:w="1284"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17 (31.5)</w:t>
            </w:r>
          </w:p>
        </w:tc>
        <w:tc>
          <w:tcPr>
            <w:tcW w:w="141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39 (18.3)</w:t>
            </w:r>
          </w:p>
        </w:tc>
      </w:tr>
      <w:tr w:rsidR="00C8707C" w:rsidTr="002E5B56">
        <w:trPr>
          <w:trHeight w:val="20"/>
        </w:trPr>
        <w:tc>
          <w:tcPr>
            <w:cnfStyle w:val="001000000000" w:firstRow="0" w:lastRow="0" w:firstColumn="1" w:lastColumn="0" w:oddVBand="0" w:evenVBand="0" w:oddHBand="0" w:evenHBand="0" w:firstRowFirstColumn="0" w:firstRowLastColumn="0" w:lastRowFirstColumn="0" w:lastRowLastColumn="0"/>
            <w:tcW w:w="4361" w:type="dxa"/>
            <w:hideMark/>
          </w:tcPr>
          <w:p w:rsidR="00C8707C" w:rsidRPr="000B6417" w:rsidRDefault="00C8707C" w:rsidP="002E5B56">
            <w:pPr>
              <w:ind w:left="0"/>
              <w:rPr>
                <w:lang w:eastAsia="en-AU"/>
              </w:rPr>
            </w:pPr>
            <w:r w:rsidRPr="000B6417">
              <w:rPr>
                <w:lang w:eastAsia="en-AU"/>
              </w:rPr>
              <w:t xml:space="preserve">Reason for not completing the period </w:t>
            </w:r>
            <w:r w:rsidRPr="000B6417">
              <w:rPr>
                <w:vertAlign w:val="superscript"/>
                <w:lang w:eastAsia="en-AU"/>
              </w:rPr>
              <w:t>1</w:t>
            </w:r>
            <w:r w:rsidRPr="000B6417">
              <w:rPr>
                <w:lang w:eastAsia="en-AU"/>
              </w:rPr>
              <w:t xml:space="preserve"> (%)</w:t>
            </w:r>
          </w:p>
        </w:tc>
        <w:tc>
          <w:tcPr>
            <w:tcW w:w="1773" w:type="dxa"/>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p>
        </w:tc>
        <w:tc>
          <w:tcPr>
            <w:tcW w:w="1284" w:type="dxa"/>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p>
        </w:tc>
        <w:tc>
          <w:tcPr>
            <w:tcW w:w="1413" w:type="dxa"/>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p>
        </w:tc>
      </w:tr>
      <w:tr w:rsidR="00C8707C" w:rsidTr="002E5B56">
        <w:trPr>
          <w:trHeight w:val="20"/>
        </w:trPr>
        <w:tc>
          <w:tcPr>
            <w:cnfStyle w:val="001000000000" w:firstRow="0" w:lastRow="0" w:firstColumn="1" w:lastColumn="0" w:oddVBand="0" w:evenVBand="0" w:oddHBand="0" w:evenHBand="0" w:firstRowFirstColumn="0" w:firstRowLastColumn="0" w:lastRowFirstColumn="0" w:lastRowLastColumn="0"/>
            <w:tcW w:w="4361" w:type="dxa"/>
            <w:hideMark/>
          </w:tcPr>
          <w:p w:rsidR="00C8707C" w:rsidRPr="000B6417" w:rsidRDefault="00C8707C" w:rsidP="002E5B56">
            <w:pPr>
              <w:ind w:left="0"/>
              <w:rPr>
                <w:lang w:eastAsia="en-AU"/>
              </w:rPr>
            </w:pPr>
            <w:r w:rsidRPr="000B6417">
              <w:rPr>
                <w:lang w:eastAsia="en-AU"/>
              </w:rPr>
              <w:t>Lack of efficacy</w:t>
            </w:r>
          </w:p>
        </w:tc>
        <w:tc>
          <w:tcPr>
            <w:tcW w:w="177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6 (3.8)</w:t>
            </w:r>
          </w:p>
        </w:tc>
        <w:tc>
          <w:tcPr>
            <w:tcW w:w="1284"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9 (16.7)</w:t>
            </w:r>
          </w:p>
        </w:tc>
        <w:tc>
          <w:tcPr>
            <w:tcW w:w="141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15 (7.0)</w:t>
            </w:r>
          </w:p>
        </w:tc>
      </w:tr>
      <w:tr w:rsidR="00C8707C" w:rsidTr="002E5B56">
        <w:trPr>
          <w:trHeight w:val="20"/>
        </w:trPr>
        <w:tc>
          <w:tcPr>
            <w:cnfStyle w:val="001000000000" w:firstRow="0" w:lastRow="0" w:firstColumn="1" w:lastColumn="0" w:oddVBand="0" w:evenVBand="0" w:oddHBand="0" w:evenHBand="0" w:firstRowFirstColumn="0" w:firstRowLastColumn="0" w:lastRowFirstColumn="0" w:lastRowLastColumn="0"/>
            <w:tcW w:w="4361" w:type="dxa"/>
            <w:hideMark/>
          </w:tcPr>
          <w:p w:rsidR="00C8707C" w:rsidRPr="000B6417" w:rsidRDefault="00C8707C" w:rsidP="002E5B56">
            <w:pPr>
              <w:ind w:left="0"/>
              <w:rPr>
                <w:lang w:eastAsia="en-AU"/>
              </w:rPr>
            </w:pPr>
            <w:r w:rsidRPr="000B6417">
              <w:rPr>
                <w:lang w:eastAsia="en-AU"/>
              </w:rPr>
              <w:t>Adverse event</w:t>
            </w:r>
          </w:p>
        </w:tc>
        <w:tc>
          <w:tcPr>
            <w:tcW w:w="177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9 (5.7)</w:t>
            </w:r>
          </w:p>
        </w:tc>
        <w:tc>
          <w:tcPr>
            <w:tcW w:w="1284"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3 (5.6)</w:t>
            </w:r>
          </w:p>
        </w:tc>
        <w:tc>
          <w:tcPr>
            <w:tcW w:w="141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12 (5.6)</w:t>
            </w:r>
          </w:p>
        </w:tc>
      </w:tr>
      <w:tr w:rsidR="00C8707C" w:rsidTr="002E5B56">
        <w:trPr>
          <w:trHeight w:val="20"/>
        </w:trPr>
        <w:tc>
          <w:tcPr>
            <w:cnfStyle w:val="001000000000" w:firstRow="0" w:lastRow="0" w:firstColumn="1" w:lastColumn="0" w:oddVBand="0" w:evenVBand="0" w:oddHBand="0" w:evenHBand="0" w:firstRowFirstColumn="0" w:firstRowLastColumn="0" w:lastRowFirstColumn="0" w:lastRowLastColumn="0"/>
            <w:tcW w:w="4361" w:type="dxa"/>
            <w:hideMark/>
          </w:tcPr>
          <w:p w:rsidR="00C8707C" w:rsidRPr="000B6417" w:rsidRDefault="00C8707C" w:rsidP="002E5B56">
            <w:pPr>
              <w:ind w:left="0"/>
              <w:rPr>
                <w:lang w:eastAsia="en-AU"/>
              </w:rPr>
            </w:pPr>
            <w:r w:rsidRPr="000B6417">
              <w:rPr>
                <w:lang w:eastAsia="en-AU"/>
              </w:rPr>
              <w:t>Subject withdrew consent</w:t>
            </w:r>
          </w:p>
        </w:tc>
        <w:tc>
          <w:tcPr>
            <w:tcW w:w="177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2 (1.3)</w:t>
            </w:r>
          </w:p>
        </w:tc>
        <w:tc>
          <w:tcPr>
            <w:tcW w:w="1284"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 (1.9)</w:t>
            </w:r>
          </w:p>
        </w:tc>
        <w:tc>
          <w:tcPr>
            <w:tcW w:w="141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3 (1.4)</w:t>
            </w:r>
          </w:p>
        </w:tc>
      </w:tr>
      <w:tr w:rsidR="00C8707C" w:rsidTr="002E5B56">
        <w:trPr>
          <w:trHeight w:val="20"/>
        </w:trPr>
        <w:tc>
          <w:tcPr>
            <w:cnfStyle w:val="001000000000" w:firstRow="0" w:lastRow="0" w:firstColumn="1" w:lastColumn="0" w:oddVBand="0" w:evenVBand="0" w:oddHBand="0" w:evenHBand="0" w:firstRowFirstColumn="0" w:firstRowLastColumn="0" w:lastRowFirstColumn="0" w:lastRowLastColumn="0"/>
            <w:tcW w:w="4361" w:type="dxa"/>
            <w:hideMark/>
          </w:tcPr>
          <w:p w:rsidR="00C8707C" w:rsidRPr="000B6417" w:rsidRDefault="00C8707C" w:rsidP="002E5B56">
            <w:pPr>
              <w:ind w:left="0"/>
              <w:rPr>
                <w:lang w:eastAsia="en-AU"/>
              </w:rPr>
            </w:pPr>
            <w:r w:rsidRPr="000B6417">
              <w:rPr>
                <w:lang w:eastAsia="en-AU"/>
              </w:rPr>
              <w:t>Death</w:t>
            </w:r>
          </w:p>
        </w:tc>
        <w:tc>
          <w:tcPr>
            <w:tcW w:w="177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 (0.6)</w:t>
            </w:r>
          </w:p>
        </w:tc>
        <w:tc>
          <w:tcPr>
            <w:tcW w:w="1284"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0</w:t>
            </w:r>
          </w:p>
        </w:tc>
        <w:tc>
          <w:tcPr>
            <w:tcW w:w="141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 (0.5)</w:t>
            </w:r>
          </w:p>
        </w:tc>
      </w:tr>
      <w:tr w:rsidR="00C8707C" w:rsidTr="002E5B56">
        <w:trPr>
          <w:trHeight w:val="20"/>
        </w:trPr>
        <w:tc>
          <w:tcPr>
            <w:cnfStyle w:val="001000000000" w:firstRow="0" w:lastRow="0" w:firstColumn="1" w:lastColumn="0" w:oddVBand="0" w:evenVBand="0" w:oddHBand="0" w:evenHBand="0" w:firstRowFirstColumn="0" w:firstRowLastColumn="0" w:lastRowFirstColumn="0" w:lastRowLastColumn="0"/>
            <w:tcW w:w="4361" w:type="dxa"/>
            <w:hideMark/>
          </w:tcPr>
          <w:p w:rsidR="00C8707C" w:rsidRPr="000B6417" w:rsidRDefault="00C8707C" w:rsidP="002E5B56">
            <w:pPr>
              <w:ind w:left="0"/>
              <w:rPr>
                <w:lang w:eastAsia="en-AU"/>
              </w:rPr>
            </w:pPr>
            <w:r w:rsidRPr="000B6417">
              <w:rPr>
                <w:lang w:eastAsia="en-AU"/>
              </w:rPr>
              <w:t>Lost to follow-up</w:t>
            </w:r>
          </w:p>
        </w:tc>
        <w:tc>
          <w:tcPr>
            <w:tcW w:w="177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 (0.6)</w:t>
            </w:r>
          </w:p>
        </w:tc>
        <w:tc>
          <w:tcPr>
            <w:tcW w:w="1284"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 (19)</w:t>
            </w:r>
          </w:p>
        </w:tc>
        <w:tc>
          <w:tcPr>
            <w:tcW w:w="141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2 (0.9)</w:t>
            </w:r>
          </w:p>
        </w:tc>
      </w:tr>
      <w:tr w:rsidR="00C8707C" w:rsidTr="002E5B56">
        <w:trPr>
          <w:trHeight w:val="20"/>
        </w:trPr>
        <w:tc>
          <w:tcPr>
            <w:cnfStyle w:val="001000000000" w:firstRow="0" w:lastRow="0" w:firstColumn="1" w:lastColumn="0" w:oddVBand="0" w:evenVBand="0" w:oddHBand="0" w:evenHBand="0" w:firstRowFirstColumn="0" w:firstRowLastColumn="0" w:lastRowFirstColumn="0" w:lastRowLastColumn="0"/>
            <w:tcW w:w="4361" w:type="dxa"/>
            <w:hideMark/>
          </w:tcPr>
          <w:p w:rsidR="00C8707C" w:rsidRPr="000B6417" w:rsidRDefault="00C8707C" w:rsidP="002E5B56">
            <w:pPr>
              <w:ind w:left="0"/>
              <w:rPr>
                <w:lang w:eastAsia="en-AU"/>
              </w:rPr>
            </w:pPr>
            <w:r w:rsidRPr="000B6417">
              <w:rPr>
                <w:lang w:eastAsia="en-AU"/>
              </w:rPr>
              <w:t>Subject no longer meets study criteria</w:t>
            </w:r>
          </w:p>
        </w:tc>
        <w:tc>
          <w:tcPr>
            <w:tcW w:w="177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 (0.6)</w:t>
            </w:r>
          </w:p>
        </w:tc>
        <w:tc>
          <w:tcPr>
            <w:tcW w:w="1284"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0</w:t>
            </w:r>
          </w:p>
        </w:tc>
        <w:tc>
          <w:tcPr>
            <w:tcW w:w="141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 (0.5)</w:t>
            </w:r>
          </w:p>
        </w:tc>
      </w:tr>
      <w:tr w:rsidR="00C8707C" w:rsidTr="002E5B56">
        <w:trPr>
          <w:trHeight w:val="20"/>
        </w:trPr>
        <w:tc>
          <w:tcPr>
            <w:cnfStyle w:val="001000000000" w:firstRow="0" w:lastRow="0" w:firstColumn="1" w:lastColumn="0" w:oddVBand="0" w:evenVBand="0" w:oddHBand="0" w:evenHBand="0" w:firstRowFirstColumn="0" w:firstRowLastColumn="0" w:lastRowFirstColumn="0" w:lastRowLastColumn="0"/>
            <w:tcW w:w="4361" w:type="dxa"/>
            <w:hideMark/>
          </w:tcPr>
          <w:p w:rsidR="00C8707C" w:rsidRPr="000B6417" w:rsidRDefault="00C8707C" w:rsidP="002E5B56">
            <w:pPr>
              <w:ind w:left="0"/>
              <w:rPr>
                <w:lang w:eastAsia="en-AU"/>
              </w:rPr>
            </w:pPr>
            <w:r w:rsidRPr="000B6417">
              <w:rPr>
                <w:lang w:eastAsia="en-AU"/>
              </w:rPr>
              <w:t>Subject request to discontinue study treatment</w:t>
            </w:r>
          </w:p>
        </w:tc>
        <w:tc>
          <w:tcPr>
            <w:tcW w:w="177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 (0.6)</w:t>
            </w:r>
          </w:p>
        </w:tc>
        <w:tc>
          <w:tcPr>
            <w:tcW w:w="1284"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 (1.9)</w:t>
            </w:r>
          </w:p>
        </w:tc>
        <w:tc>
          <w:tcPr>
            <w:tcW w:w="141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2 (0.9)</w:t>
            </w:r>
          </w:p>
        </w:tc>
      </w:tr>
      <w:tr w:rsidR="00C8707C" w:rsidTr="002E5B56">
        <w:trPr>
          <w:trHeight w:val="20"/>
        </w:trPr>
        <w:tc>
          <w:tcPr>
            <w:cnfStyle w:val="001000000000" w:firstRow="0" w:lastRow="0" w:firstColumn="1" w:lastColumn="0" w:oddVBand="0" w:evenVBand="0" w:oddHBand="0" w:evenHBand="0" w:firstRowFirstColumn="0" w:firstRowLastColumn="0" w:lastRowFirstColumn="0" w:lastRowLastColumn="0"/>
            <w:tcW w:w="4361" w:type="dxa"/>
            <w:hideMark/>
          </w:tcPr>
          <w:p w:rsidR="00C8707C" w:rsidRPr="000B6417" w:rsidRDefault="00C8707C" w:rsidP="002E5B56">
            <w:pPr>
              <w:ind w:left="0"/>
              <w:rPr>
                <w:lang w:eastAsia="en-AU"/>
              </w:rPr>
            </w:pPr>
            <w:r w:rsidRPr="000B6417">
              <w:rPr>
                <w:lang w:eastAsia="en-AU"/>
              </w:rPr>
              <w:t>Other</w:t>
            </w:r>
          </w:p>
        </w:tc>
        <w:tc>
          <w:tcPr>
            <w:tcW w:w="177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 (0.6)</w:t>
            </w:r>
          </w:p>
        </w:tc>
        <w:tc>
          <w:tcPr>
            <w:tcW w:w="1284"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 (1.9)</w:t>
            </w:r>
          </w:p>
        </w:tc>
        <w:tc>
          <w:tcPr>
            <w:tcW w:w="141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2 (0.9)</w:t>
            </w:r>
          </w:p>
        </w:tc>
      </w:tr>
      <w:tr w:rsidR="00C8707C" w:rsidTr="002E5B56">
        <w:trPr>
          <w:trHeight w:val="20"/>
        </w:trPr>
        <w:tc>
          <w:tcPr>
            <w:cnfStyle w:val="001000000000" w:firstRow="0" w:lastRow="0" w:firstColumn="1" w:lastColumn="0" w:oddVBand="0" w:evenVBand="0" w:oddHBand="0" w:evenHBand="0" w:firstRowFirstColumn="0" w:firstRowLastColumn="0" w:lastRowFirstColumn="0" w:lastRowLastColumn="0"/>
            <w:tcW w:w="4361" w:type="dxa"/>
            <w:hideMark/>
          </w:tcPr>
          <w:p w:rsidR="00C8707C" w:rsidRPr="000B6417" w:rsidRDefault="00C8707C" w:rsidP="002E5B56">
            <w:pPr>
              <w:ind w:left="0"/>
              <w:rPr>
                <w:lang w:eastAsia="en-AU"/>
              </w:rPr>
            </w:pPr>
            <w:r w:rsidRPr="000B6417">
              <w:rPr>
                <w:lang w:eastAsia="en-AU"/>
              </w:rPr>
              <w:t xml:space="preserve">Completed 24-wk </w:t>
            </w:r>
            <w:proofErr w:type="spellStart"/>
            <w:r w:rsidRPr="000B6417">
              <w:rPr>
                <w:lang w:eastAsia="en-AU"/>
              </w:rPr>
              <w:t>trt</w:t>
            </w:r>
            <w:proofErr w:type="spellEnd"/>
            <w:r w:rsidRPr="000B6417">
              <w:rPr>
                <w:lang w:eastAsia="en-AU"/>
              </w:rPr>
              <w:t xml:space="preserve"> period only</w:t>
            </w:r>
          </w:p>
        </w:tc>
        <w:tc>
          <w:tcPr>
            <w:tcW w:w="177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0</w:t>
            </w:r>
          </w:p>
        </w:tc>
        <w:tc>
          <w:tcPr>
            <w:tcW w:w="1284"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 (1.9)</w:t>
            </w:r>
          </w:p>
        </w:tc>
        <w:tc>
          <w:tcPr>
            <w:tcW w:w="141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 (0.5)</w:t>
            </w:r>
          </w:p>
        </w:tc>
      </w:tr>
      <w:tr w:rsidR="00C8707C" w:rsidTr="002E5B56">
        <w:trPr>
          <w:trHeight w:val="20"/>
        </w:trPr>
        <w:tc>
          <w:tcPr>
            <w:cnfStyle w:val="001000000000" w:firstRow="0" w:lastRow="0" w:firstColumn="1" w:lastColumn="0" w:oddVBand="0" w:evenVBand="0" w:oddHBand="0" w:evenHBand="0" w:firstRowFirstColumn="0" w:firstRowLastColumn="0" w:lastRowFirstColumn="0" w:lastRowLastColumn="0"/>
            <w:tcW w:w="4361" w:type="dxa"/>
            <w:hideMark/>
          </w:tcPr>
          <w:p w:rsidR="00C8707C" w:rsidRPr="000B6417" w:rsidRDefault="00C8707C" w:rsidP="002E5B56">
            <w:pPr>
              <w:ind w:left="0"/>
              <w:rPr>
                <w:lang w:eastAsia="en-AU"/>
              </w:rPr>
            </w:pPr>
            <w:r w:rsidRPr="000B6417">
              <w:rPr>
                <w:lang w:eastAsia="en-AU"/>
              </w:rPr>
              <w:t xml:space="preserve">Subjects continuing in the study </w:t>
            </w:r>
            <w:r w:rsidRPr="000B6417">
              <w:rPr>
                <w:vertAlign w:val="superscript"/>
                <w:lang w:eastAsia="en-AU"/>
              </w:rPr>
              <w:t xml:space="preserve">2 </w:t>
            </w:r>
            <w:r w:rsidRPr="000B6417">
              <w:rPr>
                <w:lang w:eastAsia="en-AU"/>
              </w:rPr>
              <w:t>(%)</w:t>
            </w:r>
          </w:p>
        </w:tc>
        <w:tc>
          <w:tcPr>
            <w:tcW w:w="177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154 (96.9)</w:t>
            </w:r>
          </w:p>
        </w:tc>
        <w:tc>
          <w:tcPr>
            <w:tcW w:w="1284"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50 (92.6)</w:t>
            </w:r>
          </w:p>
        </w:tc>
        <w:tc>
          <w:tcPr>
            <w:tcW w:w="141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204 (95.8)</w:t>
            </w:r>
          </w:p>
        </w:tc>
      </w:tr>
      <w:tr w:rsidR="00C8707C" w:rsidTr="002E5B56">
        <w:trPr>
          <w:trHeight w:val="20"/>
        </w:trPr>
        <w:tc>
          <w:tcPr>
            <w:cnfStyle w:val="001000000000" w:firstRow="0" w:lastRow="0" w:firstColumn="1" w:lastColumn="0" w:oddVBand="0" w:evenVBand="0" w:oddHBand="0" w:evenHBand="0" w:firstRowFirstColumn="0" w:firstRowLastColumn="0" w:lastRowFirstColumn="0" w:lastRowLastColumn="0"/>
            <w:tcW w:w="4361" w:type="dxa"/>
            <w:hideMark/>
          </w:tcPr>
          <w:p w:rsidR="00C8707C" w:rsidRPr="000B6417" w:rsidRDefault="00C8707C" w:rsidP="002E5B56">
            <w:pPr>
              <w:ind w:left="0"/>
              <w:rPr>
                <w:lang w:eastAsia="en-AU"/>
              </w:rPr>
            </w:pPr>
            <w:r w:rsidRPr="000B6417">
              <w:rPr>
                <w:lang w:eastAsia="en-AU"/>
              </w:rPr>
              <w:t xml:space="preserve">Subjects not continuing in the study (%) </w:t>
            </w:r>
            <w:r w:rsidRPr="000B6417">
              <w:rPr>
                <w:vertAlign w:val="superscript"/>
                <w:lang w:eastAsia="en-AU"/>
              </w:rPr>
              <w:t>2</w:t>
            </w:r>
          </w:p>
        </w:tc>
        <w:tc>
          <w:tcPr>
            <w:tcW w:w="177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5 (3.1)</w:t>
            </w:r>
          </w:p>
        </w:tc>
        <w:tc>
          <w:tcPr>
            <w:tcW w:w="1284"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4 (7.4)</w:t>
            </w:r>
          </w:p>
        </w:tc>
        <w:tc>
          <w:tcPr>
            <w:tcW w:w="141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9 (4.2)</w:t>
            </w:r>
          </w:p>
        </w:tc>
      </w:tr>
      <w:tr w:rsidR="00C8707C" w:rsidTr="002E5B56">
        <w:trPr>
          <w:trHeight w:val="20"/>
        </w:trPr>
        <w:tc>
          <w:tcPr>
            <w:cnfStyle w:val="001000000000" w:firstRow="0" w:lastRow="0" w:firstColumn="1" w:lastColumn="0" w:oddVBand="0" w:evenVBand="0" w:oddHBand="0" w:evenHBand="0" w:firstRowFirstColumn="0" w:firstRowLastColumn="0" w:lastRowFirstColumn="0" w:lastRowLastColumn="0"/>
            <w:tcW w:w="4361" w:type="dxa"/>
            <w:hideMark/>
          </w:tcPr>
          <w:p w:rsidR="00C8707C" w:rsidRPr="000B6417" w:rsidRDefault="00C8707C" w:rsidP="002E5B56">
            <w:pPr>
              <w:ind w:left="0"/>
              <w:rPr>
                <w:lang w:eastAsia="en-AU"/>
              </w:rPr>
            </w:pPr>
            <w:r w:rsidRPr="000B6417">
              <w:rPr>
                <w:lang w:eastAsia="en-AU"/>
              </w:rPr>
              <w:t xml:space="preserve">Reason for not continuing in the study (%) </w:t>
            </w:r>
            <w:r w:rsidRPr="000B6417">
              <w:rPr>
                <w:vertAlign w:val="superscript"/>
                <w:lang w:eastAsia="en-AU"/>
              </w:rPr>
              <w:t>2</w:t>
            </w:r>
          </w:p>
        </w:tc>
        <w:tc>
          <w:tcPr>
            <w:tcW w:w="1773" w:type="dxa"/>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p>
        </w:tc>
        <w:tc>
          <w:tcPr>
            <w:tcW w:w="1284" w:type="dxa"/>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p>
        </w:tc>
        <w:tc>
          <w:tcPr>
            <w:tcW w:w="1413" w:type="dxa"/>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p>
        </w:tc>
      </w:tr>
      <w:tr w:rsidR="00C8707C" w:rsidTr="002E5B56">
        <w:trPr>
          <w:trHeight w:val="20"/>
        </w:trPr>
        <w:tc>
          <w:tcPr>
            <w:cnfStyle w:val="001000000000" w:firstRow="0" w:lastRow="0" w:firstColumn="1" w:lastColumn="0" w:oddVBand="0" w:evenVBand="0" w:oddHBand="0" w:evenHBand="0" w:firstRowFirstColumn="0" w:firstRowLastColumn="0" w:lastRowFirstColumn="0" w:lastRowLastColumn="0"/>
            <w:tcW w:w="4361" w:type="dxa"/>
            <w:hideMark/>
          </w:tcPr>
          <w:p w:rsidR="00C8707C" w:rsidRPr="000B6417" w:rsidRDefault="00C8707C" w:rsidP="002E5B56">
            <w:pPr>
              <w:ind w:left="0"/>
              <w:rPr>
                <w:lang w:eastAsia="en-AU"/>
              </w:rPr>
            </w:pPr>
            <w:r w:rsidRPr="000B6417">
              <w:rPr>
                <w:lang w:eastAsia="en-AU"/>
              </w:rPr>
              <w:t>Lack of efficacy</w:t>
            </w:r>
          </w:p>
        </w:tc>
        <w:tc>
          <w:tcPr>
            <w:tcW w:w="177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 (0.6)</w:t>
            </w:r>
          </w:p>
        </w:tc>
        <w:tc>
          <w:tcPr>
            <w:tcW w:w="1284"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 (1.9)</w:t>
            </w:r>
          </w:p>
        </w:tc>
        <w:tc>
          <w:tcPr>
            <w:tcW w:w="141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2 (0.9)</w:t>
            </w:r>
          </w:p>
        </w:tc>
      </w:tr>
      <w:tr w:rsidR="00C8707C" w:rsidTr="002E5B56">
        <w:trPr>
          <w:trHeight w:val="20"/>
        </w:trPr>
        <w:tc>
          <w:tcPr>
            <w:cnfStyle w:val="001000000000" w:firstRow="0" w:lastRow="0" w:firstColumn="1" w:lastColumn="0" w:oddVBand="0" w:evenVBand="0" w:oddHBand="0" w:evenHBand="0" w:firstRowFirstColumn="0" w:firstRowLastColumn="0" w:lastRowFirstColumn="0" w:lastRowLastColumn="0"/>
            <w:tcW w:w="4361" w:type="dxa"/>
            <w:hideMark/>
          </w:tcPr>
          <w:p w:rsidR="00C8707C" w:rsidRPr="000B6417" w:rsidRDefault="00C8707C" w:rsidP="002E5B56">
            <w:pPr>
              <w:ind w:left="0"/>
              <w:rPr>
                <w:lang w:eastAsia="en-AU"/>
              </w:rPr>
            </w:pPr>
            <w:r w:rsidRPr="000B6417">
              <w:rPr>
                <w:lang w:eastAsia="en-AU"/>
              </w:rPr>
              <w:t>Subject withdrew consent</w:t>
            </w:r>
          </w:p>
        </w:tc>
        <w:tc>
          <w:tcPr>
            <w:tcW w:w="177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2 (1.3)</w:t>
            </w:r>
          </w:p>
        </w:tc>
        <w:tc>
          <w:tcPr>
            <w:tcW w:w="1284"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 (1.9)</w:t>
            </w:r>
          </w:p>
        </w:tc>
        <w:tc>
          <w:tcPr>
            <w:tcW w:w="141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3 (1.4)</w:t>
            </w:r>
          </w:p>
        </w:tc>
      </w:tr>
      <w:tr w:rsidR="00C8707C" w:rsidTr="002E5B56">
        <w:trPr>
          <w:trHeight w:val="20"/>
        </w:trPr>
        <w:tc>
          <w:tcPr>
            <w:cnfStyle w:val="001000000000" w:firstRow="0" w:lastRow="0" w:firstColumn="1" w:lastColumn="0" w:oddVBand="0" w:evenVBand="0" w:oddHBand="0" w:evenHBand="0" w:firstRowFirstColumn="0" w:firstRowLastColumn="0" w:lastRowFirstColumn="0" w:lastRowLastColumn="0"/>
            <w:tcW w:w="4361" w:type="dxa"/>
            <w:hideMark/>
          </w:tcPr>
          <w:p w:rsidR="00C8707C" w:rsidRPr="000B6417" w:rsidRDefault="00C8707C" w:rsidP="002E5B56">
            <w:pPr>
              <w:ind w:left="0"/>
              <w:rPr>
                <w:lang w:eastAsia="en-AU"/>
              </w:rPr>
            </w:pPr>
            <w:r w:rsidRPr="000B6417">
              <w:rPr>
                <w:lang w:eastAsia="en-AU"/>
              </w:rPr>
              <w:t>Lost to follow up</w:t>
            </w:r>
          </w:p>
        </w:tc>
        <w:tc>
          <w:tcPr>
            <w:tcW w:w="177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 (0.6)</w:t>
            </w:r>
          </w:p>
        </w:tc>
        <w:tc>
          <w:tcPr>
            <w:tcW w:w="1284"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 (1.9)</w:t>
            </w:r>
          </w:p>
        </w:tc>
        <w:tc>
          <w:tcPr>
            <w:tcW w:w="141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2 (0.9)</w:t>
            </w:r>
          </w:p>
        </w:tc>
      </w:tr>
      <w:tr w:rsidR="00C8707C" w:rsidTr="002E5B56">
        <w:trPr>
          <w:trHeight w:val="20"/>
        </w:trPr>
        <w:tc>
          <w:tcPr>
            <w:cnfStyle w:val="001000000000" w:firstRow="0" w:lastRow="0" w:firstColumn="1" w:lastColumn="0" w:oddVBand="0" w:evenVBand="0" w:oddHBand="0" w:evenHBand="0" w:firstRowFirstColumn="0" w:firstRowLastColumn="0" w:lastRowFirstColumn="0" w:lastRowLastColumn="0"/>
            <w:tcW w:w="4361" w:type="dxa"/>
            <w:hideMark/>
          </w:tcPr>
          <w:p w:rsidR="00C8707C" w:rsidRPr="000B6417" w:rsidRDefault="00C8707C" w:rsidP="002E5B56">
            <w:pPr>
              <w:ind w:left="0"/>
              <w:rPr>
                <w:lang w:eastAsia="en-AU"/>
              </w:rPr>
            </w:pPr>
            <w:r w:rsidRPr="000B6417">
              <w:rPr>
                <w:lang w:eastAsia="en-AU"/>
              </w:rPr>
              <w:t>Other</w:t>
            </w:r>
          </w:p>
        </w:tc>
        <w:tc>
          <w:tcPr>
            <w:tcW w:w="177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 (0.6)</w:t>
            </w:r>
          </w:p>
        </w:tc>
        <w:tc>
          <w:tcPr>
            <w:tcW w:w="1284"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 (1.9)</w:t>
            </w:r>
          </w:p>
        </w:tc>
        <w:tc>
          <w:tcPr>
            <w:tcW w:w="141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2 (0.9)</w:t>
            </w:r>
          </w:p>
        </w:tc>
      </w:tr>
    </w:tbl>
    <w:p w:rsidR="00C8707C" w:rsidRDefault="00C8707C" w:rsidP="002E5B56">
      <w:pPr>
        <w:pStyle w:val="TableDescription"/>
      </w:pPr>
      <w:r>
        <w:rPr>
          <w:vertAlign w:val="superscript"/>
        </w:rPr>
        <w:t xml:space="preserve">1 </w:t>
      </w:r>
      <w:r>
        <w:t xml:space="preserve">Subjects completing or not completing the on-treatment period; </w:t>
      </w:r>
      <w:r>
        <w:rPr>
          <w:vertAlign w:val="superscript"/>
        </w:rPr>
        <w:t>2</w:t>
      </w:r>
      <w:r>
        <w:t xml:space="preserve"> Subjects who continued into or did not continue the follow-up period.</w:t>
      </w:r>
    </w:p>
    <w:p w:rsidR="00C8707C" w:rsidRDefault="00C8707C" w:rsidP="00C8707C">
      <w:pPr>
        <w:pStyle w:val="Tabletitle"/>
      </w:pPr>
      <w:r>
        <w:lastRenderedPageBreak/>
        <w:t xml:space="preserve">Table 4D: End of </w:t>
      </w:r>
      <w:r w:rsidRPr="0013164D">
        <w:t>treatment</w:t>
      </w:r>
      <w:r>
        <w:t xml:space="preserve"> period – Stage 2 – Genotype 4</w:t>
      </w:r>
    </w:p>
    <w:tbl>
      <w:tblPr>
        <w:tblStyle w:val="TableTGAblue"/>
        <w:tblW w:w="0" w:type="auto"/>
        <w:tblLayout w:type="fixed"/>
        <w:tblLook w:val="04A0" w:firstRow="1" w:lastRow="0" w:firstColumn="1" w:lastColumn="0" w:noHBand="0" w:noVBand="1"/>
      </w:tblPr>
      <w:tblGrid>
        <w:gridCol w:w="4144"/>
        <w:gridCol w:w="2274"/>
        <w:gridCol w:w="1000"/>
        <w:gridCol w:w="1413"/>
      </w:tblGrid>
      <w:tr w:rsidR="00C8707C" w:rsidTr="002E5B56">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4144" w:type="dxa"/>
          </w:tcPr>
          <w:p w:rsidR="00C8707C" w:rsidRPr="000B6417" w:rsidRDefault="00C8707C" w:rsidP="002E5B56">
            <w:pPr>
              <w:rPr>
                <w:b w:val="0"/>
                <w:lang w:eastAsia="en-AU"/>
              </w:rPr>
            </w:pPr>
          </w:p>
        </w:tc>
        <w:tc>
          <w:tcPr>
            <w:tcW w:w="2274" w:type="dxa"/>
            <w:hideMark/>
          </w:tcPr>
          <w:p w:rsidR="00C8707C" w:rsidRPr="000B6417" w:rsidRDefault="00C8707C" w:rsidP="002E5B56">
            <w:pPr>
              <w:cnfStyle w:val="100000000000" w:firstRow="1" w:lastRow="0" w:firstColumn="0" w:lastColumn="0" w:oddVBand="0" w:evenVBand="0" w:oddHBand="0" w:evenHBand="0" w:firstRowFirstColumn="0" w:firstRowLastColumn="0" w:lastRowFirstColumn="0" w:lastRowLastColumn="0"/>
              <w:rPr>
                <w:b w:val="0"/>
                <w:lang w:eastAsia="en-AU"/>
              </w:rPr>
            </w:pPr>
            <w:r w:rsidRPr="000B6417">
              <w:rPr>
                <w:b w:val="0"/>
                <w:lang w:eastAsia="en-AU"/>
              </w:rPr>
              <w:t>ASV 200 mg BD</w:t>
            </w:r>
          </w:p>
        </w:tc>
        <w:tc>
          <w:tcPr>
            <w:tcW w:w="1000" w:type="dxa"/>
            <w:hideMark/>
          </w:tcPr>
          <w:p w:rsidR="00C8707C" w:rsidRPr="000B6417" w:rsidRDefault="00C8707C" w:rsidP="002E5B56">
            <w:pPr>
              <w:cnfStyle w:val="100000000000" w:firstRow="1" w:lastRow="0" w:firstColumn="0" w:lastColumn="0" w:oddVBand="0" w:evenVBand="0" w:oddHBand="0" w:evenHBand="0" w:firstRowFirstColumn="0" w:firstRowLastColumn="0" w:lastRowFirstColumn="0" w:lastRowLastColumn="0"/>
              <w:rPr>
                <w:b w:val="0"/>
                <w:lang w:eastAsia="en-AU"/>
              </w:rPr>
            </w:pPr>
            <w:r w:rsidRPr="000B6417">
              <w:rPr>
                <w:b w:val="0"/>
                <w:lang w:eastAsia="en-AU"/>
              </w:rPr>
              <w:t>PBO</w:t>
            </w:r>
          </w:p>
        </w:tc>
        <w:tc>
          <w:tcPr>
            <w:tcW w:w="1413" w:type="dxa"/>
            <w:hideMark/>
          </w:tcPr>
          <w:p w:rsidR="00C8707C" w:rsidRPr="000B6417" w:rsidRDefault="00C8707C" w:rsidP="002E5B56">
            <w:pPr>
              <w:cnfStyle w:val="100000000000" w:firstRow="1" w:lastRow="0" w:firstColumn="0" w:lastColumn="0" w:oddVBand="0" w:evenVBand="0" w:oddHBand="0" w:evenHBand="0" w:firstRowFirstColumn="0" w:firstRowLastColumn="0" w:lastRowFirstColumn="0" w:lastRowLastColumn="0"/>
              <w:rPr>
                <w:b w:val="0"/>
                <w:lang w:eastAsia="en-AU"/>
              </w:rPr>
            </w:pPr>
            <w:r w:rsidRPr="000B6417">
              <w:rPr>
                <w:b w:val="0"/>
                <w:lang w:eastAsia="en-AU"/>
              </w:rPr>
              <w:t>Total</w:t>
            </w:r>
          </w:p>
        </w:tc>
      </w:tr>
      <w:tr w:rsidR="00C8707C" w:rsidTr="002E5B56">
        <w:trPr>
          <w:trHeight w:val="20"/>
        </w:trPr>
        <w:tc>
          <w:tcPr>
            <w:cnfStyle w:val="001000000000" w:firstRow="0" w:lastRow="0" w:firstColumn="1" w:lastColumn="0" w:oddVBand="0" w:evenVBand="0" w:oddHBand="0" w:evenHBand="0" w:firstRowFirstColumn="0" w:firstRowLastColumn="0" w:lastRowFirstColumn="0" w:lastRowLastColumn="0"/>
            <w:tcW w:w="4144" w:type="dxa"/>
            <w:hideMark/>
          </w:tcPr>
          <w:p w:rsidR="00C8707C" w:rsidRPr="000B6417" w:rsidRDefault="00C8707C" w:rsidP="002E5B56">
            <w:pPr>
              <w:rPr>
                <w:lang w:eastAsia="en-AU"/>
              </w:rPr>
            </w:pPr>
            <w:r w:rsidRPr="000B6417">
              <w:rPr>
                <w:lang w:eastAsia="en-AU"/>
              </w:rPr>
              <w:t>Subjects</w:t>
            </w:r>
          </w:p>
        </w:tc>
        <w:tc>
          <w:tcPr>
            <w:tcW w:w="2274"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18</w:t>
            </w:r>
          </w:p>
        </w:tc>
        <w:tc>
          <w:tcPr>
            <w:tcW w:w="1000"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7</w:t>
            </w:r>
          </w:p>
        </w:tc>
        <w:tc>
          <w:tcPr>
            <w:tcW w:w="141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25</w:t>
            </w:r>
          </w:p>
        </w:tc>
      </w:tr>
      <w:tr w:rsidR="00C8707C" w:rsidTr="002E5B56">
        <w:trPr>
          <w:trHeight w:val="20"/>
        </w:trPr>
        <w:tc>
          <w:tcPr>
            <w:cnfStyle w:val="001000000000" w:firstRow="0" w:lastRow="0" w:firstColumn="1" w:lastColumn="0" w:oddVBand="0" w:evenVBand="0" w:oddHBand="0" w:evenHBand="0" w:firstRowFirstColumn="0" w:firstRowLastColumn="0" w:lastRowFirstColumn="0" w:lastRowLastColumn="0"/>
            <w:tcW w:w="4144" w:type="dxa"/>
            <w:hideMark/>
          </w:tcPr>
          <w:p w:rsidR="00C8707C" w:rsidRPr="000B6417" w:rsidRDefault="00C8707C" w:rsidP="002E5B56">
            <w:pPr>
              <w:rPr>
                <w:lang w:eastAsia="en-AU"/>
              </w:rPr>
            </w:pPr>
            <w:r w:rsidRPr="000B6417">
              <w:rPr>
                <w:lang w:eastAsia="en-AU"/>
              </w:rPr>
              <w:t xml:space="preserve">Subjects completing the period </w:t>
            </w:r>
            <w:r w:rsidRPr="000B6417">
              <w:rPr>
                <w:vertAlign w:val="superscript"/>
                <w:lang w:eastAsia="en-AU"/>
              </w:rPr>
              <w:t>1</w:t>
            </w:r>
            <w:r w:rsidRPr="000B6417">
              <w:rPr>
                <w:lang w:eastAsia="en-AU"/>
              </w:rPr>
              <w:t xml:space="preserve"> (%)</w:t>
            </w:r>
          </w:p>
        </w:tc>
        <w:tc>
          <w:tcPr>
            <w:tcW w:w="2274"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16 (88.9)</w:t>
            </w:r>
          </w:p>
        </w:tc>
        <w:tc>
          <w:tcPr>
            <w:tcW w:w="1000"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4 (57.1)</w:t>
            </w:r>
          </w:p>
        </w:tc>
        <w:tc>
          <w:tcPr>
            <w:tcW w:w="141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20 (80.0)</w:t>
            </w:r>
          </w:p>
        </w:tc>
      </w:tr>
      <w:tr w:rsidR="00C8707C" w:rsidTr="002E5B56">
        <w:trPr>
          <w:trHeight w:val="20"/>
        </w:trPr>
        <w:tc>
          <w:tcPr>
            <w:cnfStyle w:val="001000000000" w:firstRow="0" w:lastRow="0" w:firstColumn="1" w:lastColumn="0" w:oddVBand="0" w:evenVBand="0" w:oddHBand="0" w:evenHBand="0" w:firstRowFirstColumn="0" w:firstRowLastColumn="0" w:lastRowFirstColumn="0" w:lastRowLastColumn="0"/>
            <w:tcW w:w="4144" w:type="dxa"/>
            <w:hideMark/>
          </w:tcPr>
          <w:p w:rsidR="00C8707C" w:rsidRPr="000B6417" w:rsidRDefault="00C8707C" w:rsidP="002E5B56">
            <w:pPr>
              <w:rPr>
                <w:lang w:eastAsia="en-AU"/>
              </w:rPr>
            </w:pPr>
            <w:r w:rsidRPr="000B6417">
              <w:rPr>
                <w:lang w:eastAsia="en-AU"/>
              </w:rPr>
              <w:t xml:space="preserve">Subjects not completing the period </w:t>
            </w:r>
            <w:r w:rsidRPr="000B6417">
              <w:rPr>
                <w:vertAlign w:val="superscript"/>
                <w:lang w:eastAsia="en-AU"/>
              </w:rPr>
              <w:t>1</w:t>
            </w:r>
            <w:r w:rsidRPr="000B6417">
              <w:rPr>
                <w:lang w:eastAsia="en-AU"/>
              </w:rPr>
              <w:t xml:space="preserve"> (%)</w:t>
            </w:r>
          </w:p>
        </w:tc>
        <w:tc>
          <w:tcPr>
            <w:tcW w:w="2274"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2 (11.1)</w:t>
            </w:r>
          </w:p>
        </w:tc>
        <w:tc>
          <w:tcPr>
            <w:tcW w:w="1000"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3 (42.9)</w:t>
            </w:r>
          </w:p>
        </w:tc>
        <w:tc>
          <w:tcPr>
            <w:tcW w:w="141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5 (20.0)</w:t>
            </w:r>
          </w:p>
        </w:tc>
      </w:tr>
      <w:tr w:rsidR="00C8707C" w:rsidTr="002E5B56">
        <w:trPr>
          <w:trHeight w:val="20"/>
        </w:trPr>
        <w:tc>
          <w:tcPr>
            <w:cnfStyle w:val="001000000000" w:firstRow="0" w:lastRow="0" w:firstColumn="1" w:lastColumn="0" w:oddVBand="0" w:evenVBand="0" w:oddHBand="0" w:evenHBand="0" w:firstRowFirstColumn="0" w:firstRowLastColumn="0" w:lastRowFirstColumn="0" w:lastRowLastColumn="0"/>
            <w:tcW w:w="4144" w:type="dxa"/>
            <w:hideMark/>
          </w:tcPr>
          <w:p w:rsidR="00C8707C" w:rsidRPr="000B6417" w:rsidRDefault="00C8707C" w:rsidP="002E5B56">
            <w:pPr>
              <w:rPr>
                <w:lang w:eastAsia="en-AU"/>
              </w:rPr>
            </w:pPr>
            <w:r w:rsidRPr="000B6417">
              <w:rPr>
                <w:lang w:eastAsia="en-AU"/>
              </w:rPr>
              <w:t>Reason for not completing the period (%)</w:t>
            </w:r>
          </w:p>
        </w:tc>
        <w:tc>
          <w:tcPr>
            <w:tcW w:w="2274" w:type="dxa"/>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p>
        </w:tc>
        <w:tc>
          <w:tcPr>
            <w:tcW w:w="1000" w:type="dxa"/>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p>
        </w:tc>
        <w:tc>
          <w:tcPr>
            <w:tcW w:w="1413" w:type="dxa"/>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p>
        </w:tc>
      </w:tr>
      <w:tr w:rsidR="00C8707C" w:rsidTr="002E5B56">
        <w:trPr>
          <w:trHeight w:val="20"/>
        </w:trPr>
        <w:tc>
          <w:tcPr>
            <w:cnfStyle w:val="001000000000" w:firstRow="0" w:lastRow="0" w:firstColumn="1" w:lastColumn="0" w:oddVBand="0" w:evenVBand="0" w:oddHBand="0" w:evenHBand="0" w:firstRowFirstColumn="0" w:firstRowLastColumn="0" w:lastRowFirstColumn="0" w:lastRowLastColumn="0"/>
            <w:tcW w:w="4144" w:type="dxa"/>
            <w:hideMark/>
          </w:tcPr>
          <w:p w:rsidR="00C8707C" w:rsidRPr="000B6417" w:rsidRDefault="00C8707C" w:rsidP="002E5B56">
            <w:pPr>
              <w:rPr>
                <w:lang w:eastAsia="en-AU"/>
              </w:rPr>
            </w:pPr>
            <w:r w:rsidRPr="000B6417">
              <w:rPr>
                <w:lang w:eastAsia="en-AU"/>
              </w:rPr>
              <w:t>Lack of efficacy</w:t>
            </w:r>
          </w:p>
        </w:tc>
        <w:tc>
          <w:tcPr>
            <w:tcW w:w="2274"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 (5.6)</w:t>
            </w:r>
          </w:p>
        </w:tc>
        <w:tc>
          <w:tcPr>
            <w:tcW w:w="1000"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2 (28.6)</w:t>
            </w:r>
          </w:p>
        </w:tc>
        <w:tc>
          <w:tcPr>
            <w:tcW w:w="141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3 (12.0)</w:t>
            </w:r>
          </w:p>
        </w:tc>
      </w:tr>
      <w:tr w:rsidR="00C8707C" w:rsidTr="002E5B56">
        <w:trPr>
          <w:trHeight w:val="20"/>
        </w:trPr>
        <w:tc>
          <w:tcPr>
            <w:cnfStyle w:val="001000000000" w:firstRow="0" w:lastRow="0" w:firstColumn="1" w:lastColumn="0" w:oddVBand="0" w:evenVBand="0" w:oddHBand="0" w:evenHBand="0" w:firstRowFirstColumn="0" w:firstRowLastColumn="0" w:lastRowFirstColumn="0" w:lastRowLastColumn="0"/>
            <w:tcW w:w="4144" w:type="dxa"/>
            <w:hideMark/>
          </w:tcPr>
          <w:p w:rsidR="00C8707C" w:rsidRPr="000B6417" w:rsidRDefault="00C8707C" w:rsidP="002E5B56">
            <w:pPr>
              <w:rPr>
                <w:lang w:eastAsia="en-AU"/>
              </w:rPr>
            </w:pPr>
            <w:r w:rsidRPr="000B6417">
              <w:rPr>
                <w:lang w:eastAsia="en-AU"/>
              </w:rPr>
              <w:t>Adverse event</w:t>
            </w:r>
          </w:p>
        </w:tc>
        <w:tc>
          <w:tcPr>
            <w:tcW w:w="2274"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 (5.6)</w:t>
            </w:r>
          </w:p>
        </w:tc>
        <w:tc>
          <w:tcPr>
            <w:tcW w:w="1000"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0</w:t>
            </w:r>
          </w:p>
        </w:tc>
        <w:tc>
          <w:tcPr>
            <w:tcW w:w="141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 (4.0)</w:t>
            </w:r>
          </w:p>
        </w:tc>
      </w:tr>
      <w:tr w:rsidR="00C8707C" w:rsidTr="002E5B56">
        <w:trPr>
          <w:trHeight w:val="20"/>
        </w:trPr>
        <w:tc>
          <w:tcPr>
            <w:cnfStyle w:val="001000000000" w:firstRow="0" w:lastRow="0" w:firstColumn="1" w:lastColumn="0" w:oddVBand="0" w:evenVBand="0" w:oddHBand="0" w:evenHBand="0" w:firstRowFirstColumn="0" w:firstRowLastColumn="0" w:lastRowFirstColumn="0" w:lastRowLastColumn="0"/>
            <w:tcW w:w="4144" w:type="dxa"/>
            <w:hideMark/>
          </w:tcPr>
          <w:p w:rsidR="00C8707C" w:rsidRPr="000B6417" w:rsidRDefault="00C8707C" w:rsidP="002E5B56">
            <w:pPr>
              <w:rPr>
                <w:lang w:eastAsia="en-AU"/>
              </w:rPr>
            </w:pPr>
            <w:r w:rsidRPr="000B6417">
              <w:rPr>
                <w:lang w:eastAsia="en-AU"/>
              </w:rPr>
              <w:t>Completed 24-wk treatment period only</w:t>
            </w:r>
          </w:p>
        </w:tc>
        <w:tc>
          <w:tcPr>
            <w:tcW w:w="2274"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0</w:t>
            </w:r>
          </w:p>
        </w:tc>
        <w:tc>
          <w:tcPr>
            <w:tcW w:w="1000"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 (14.3)</w:t>
            </w:r>
          </w:p>
        </w:tc>
        <w:tc>
          <w:tcPr>
            <w:tcW w:w="141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 (4.0)</w:t>
            </w:r>
          </w:p>
        </w:tc>
      </w:tr>
      <w:tr w:rsidR="00C8707C" w:rsidTr="002E5B56">
        <w:trPr>
          <w:trHeight w:val="20"/>
        </w:trPr>
        <w:tc>
          <w:tcPr>
            <w:cnfStyle w:val="001000000000" w:firstRow="0" w:lastRow="0" w:firstColumn="1" w:lastColumn="0" w:oddVBand="0" w:evenVBand="0" w:oddHBand="0" w:evenHBand="0" w:firstRowFirstColumn="0" w:firstRowLastColumn="0" w:lastRowFirstColumn="0" w:lastRowLastColumn="0"/>
            <w:tcW w:w="4144" w:type="dxa"/>
            <w:hideMark/>
          </w:tcPr>
          <w:p w:rsidR="00C8707C" w:rsidRPr="000B6417" w:rsidRDefault="00C8707C" w:rsidP="002E5B56">
            <w:pPr>
              <w:rPr>
                <w:lang w:eastAsia="en-AU"/>
              </w:rPr>
            </w:pPr>
            <w:r w:rsidRPr="000B6417">
              <w:rPr>
                <w:lang w:eastAsia="en-AU"/>
              </w:rPr>
              <w:t xml:space="preserve">Subjects continuing in the study </w:t>
            </w:r>
            <w:r w:rsidRPr="000B6417">
              <w:rPr>
                <w:vertAlign w:val="superscript"/>
                <w:lang w:eastAsia="en-AU"/>
              </w:rPr>
              <w:t>2</w:t>
            </w:r>
            <w:r w:rsidRPr="000B6417">
              <w:rPr>
                <w:lang w:eastAsia="en-AU"/>
              </w:rPr>
              <w:t xml:space="preserve"> (%)</w:t>
            </w:r>
          </w:p>
        </w:tc>
        <w:tc>
          <w:tcPr>
            <w:tcW w:w="2274"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18 (100.0)</w:t>
            </w:r>
          </w:p>
        </w:tc>
        <w:tc>
          <w:tcPr>
            <w:tcW w:w="1000"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7 (100.0)</w:t>
            </w:r>
          </w:p>
        </w:tc>
        <w:tc>
          <w:tcPr>
            <w:tcW w:w="1413" w:type="dxa"/>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25 (100.0)</w:t>
            </w:r>
          </w:p>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p>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p>
        </w:tc>
      </w:tr>
      <w:tr w:rsidR="00C8707C" w:rsidTr="002E5B56">
        <w:trPr>
          <w:trHeight w:val="20"/>
        </w:trPr>
        <w:tc>
          <w:tcPr>
            <w:cnfStyle w:val="001000000000" w:firstRow="0" w:lastRow="0" w:firstColumn="1" w:lastColumn="0" w:oddVBand="0" w:evenVBand="0" w:oddHBand="0" w:evenHBand="0" w:firstRowFirstColumn="0" w:firstRowLastColumn="0" w:lastRowFirstColumn="0" w:lastRowLastColumn="0"/>
            <w:tcW w:w="4144" w:type="dxa"/>
            <w:hideMark/>
          </w:tcPr>
          <w:p w:rsidR="00C8707C" w:rsidRPr="000B6417" w:rsidRDefault="00C8707C" w:rsidP="002E5B56">
            <w:pPr>
              <w:rPr>
                <w:lang w:eastAsia="en-AU"/>
              </w:rPr>
            </w:pPr>
            <w:r w:rsidRPr="000B6417">
              <w:rPr>
                <w:lang w:eastAsia="en-AU"/>
              </w:rPr>
              <w:t xml:space="preserve">Subjects not continuing in the study </w:t>
            </w:r>
            <w:r w:rsidRPr="000B6417">
              <w:rPr>
                <w:vertAlign w:val="superscript"/>
                <w:lang w:eastAsia="en-AU"/>
              </w:rPr>
              <w:t>2</w:t>
            </w:r>
            <w:r w:rsidRPr="000B6417">
              <w:rPr>
                <w:lang w:eastAsia="en-AU"/>
              </w:rPr>
              <w:t xml:space="preserve"> (%)</w:t>
            </w:r>
          </w:p>
        </w:tc>
        <w:tc>
          <w:tcPr>
            <w:tcW w:w="2274"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0</w:t>
            </w:r>
          </w:p>
        </w:tc>
        <w:tc>
          <w:tcPr>
            <w:tcW w:w="1000"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0</w:t>
            </w:r>
          </w:p>
        </w:tc>
        <w:tc>
          <w:tcPr>
            <w:tcW w:w="141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0</w:t>
            </w:r>
          </w:p>
        </w:tc>
      </w:tr>
    </w:tbl>
    <w:p w:rsidR="00C8707C" w:rsidRDefault="00C8707C" w:rsidP="002E5B56">
      <w:pPr>
        <w:pStyle w:val="TableDescription"/>
      </w:pPr>
      <w:r>
        <w:rPr>
          <w:vertAlign w:val="superscript"/>
        </w:rPr>
        <w:t>1</w:t>
      </w:r>
      <w:r>
        <w:t xml:space="preserve"> Subjects completing or not completing the on-treatment period; </w:t>
      </w:r>
      <w:r>
        <w:rPr>
          <w:vertAlign w:val="superscript"/>
        </w:rPr>
        <w:t xml:space="preserve">2 </w:t>
      </w:r>
      <w:r>
        <w:t>Subjects who continued into or did not continue the follow-up period.</w:t>
      </w:r>
    </w:p>
    <w:p w:rsidR="00C8707C" w:rsidRDefault="00C8707C" w:rsidP="00C8707C">
      <w:pPr>
        <w:pStyle w:val="Heading6"/>
        <w:numPr>
          <w:ilvl w:val="4"/>
          <w:numId w:val="5"/>
        </w:numPr>
        <w:ind w:left="1702" w:hanging="1418"/>
        <w:rPr>
          <w:kern w:val="16"/>
          <w:szCs w:val="20"/>
        </w:rPr>
      </w:pPr>
      <w:bookmarkStart w:id="194" w:name="_Toc401659974"/>
      <w:r>
        <w:t>Major protocol violations/deviations</w:t>
      </w:r>
      <w:bookmarkEnd w:id="194"/>
    </w:p>
    <w:p w:rsidR="00C8707C" w:rsidRDefault="00C8707C" w:rsidP="00C8707C">
      <w:r>
        <w:t xml:space="preserve">In Stage 1, 4 subjects had dose interruptions of ASV or </w:t>
      </w:r>
      <w:proofErr w:type="spellStart"/>
      <w:r>
        <w:t>pegIFN</w:t>
      </w:r>
      <w:proofErr w:type="spellEnd"/>
      <w:r>
        <w:t>α for 1 to 41 days. In 1 subject this was due to AE of low absolute neutrophil count. In Stage 2 a total of 42 subjects: [ASV group: 30 (16.9%), Placebo (</w:t>
      </w:r>
      <w:proofErr w:type="spellStart"/>
      <w:r>
        <w:t>pegIFN</w:t>
      </w:r>
      <w:proofErr w:type="spellEnd"/>
      <w:r>
        <w:t>α/RBV only) group: 12 (19.7%)] had protocol violations mostly due to taking prohibited concomitant medications. Overall, the protocol deviations were not major in nature and were not considered to have had a significant effect on the study results or conclusions.</w:t>
      </w:r>
    </w:p>
    <w:p w:rsidR="00C8707C" w:rsidRDefault="00C8707C" w:rsidP="00C8707C">
      <w:pPr>
        <w:pStyle w:val="Heading6"/>
        <w:numPr>
          <w:ilvl w:val="4"/>
          <w:numId w:val="5"/>
        </w:numPr>
        <w:ind w:left="1702" w:hanging="1418"/>
      </w:pPr>
      <w:bookmarkStart w:id="195" w:name="_Toc401659975"/>
      <w:r>
        <w:t>Baseline data</w:t>
      </w:r>
      <w:bookmarkEnd w:id="195"/>
    </w:p>
    <w:p w:rsidR="00C8707C" w:rsidRDefault="00C8707C" w:rsidP="00C8707C">
      <w:r>
        <w:t>In Stage 1 the demographic and HCV disease characteristics were balanced between the ASV and placebo groups.</w:t>
      </w:r>
    </w:p>
    <w:p w:rsidR="00C8707C" w:rsidRDefault="00C8707C" w:rsidP="00C8707C">
      <w:r>
        <w:t>In Stage 2 the majority of subjects (64.3%) were male (111/177 ASV group, and 42/61 placebo group). The mean age for all subjects was 47.7 years and 95.8% of subjects were aged 21 to &lt; 65 years (168/177 ASV group and 60/61 placebo group). Most treated subjects were White (83.6%), and 8.4% were Black/African American.</w:t>
      </w:r>
    </w:p>
    <w:p w:rsidR="00C8707C" w:rsidRDefault="00C8707C" w:rsidP="00C8707C">
      <w:pPr>
        <w:pStyle w:val="Heading5"/>
        <w:numPr>
          <w:ilvl w:val="3"/>
          <w:numId w:val="5"/>
        </w:numPr>
      </w:pPr>
      <w:bookmarkStart w:id="196" w:name="_Toc401659976"/>
      <w:r>
        <w:lastRenderedPageBreak/>
        <w:t>Results for the efficacy outcomes</w:t>
      </w:r>
      <w:bookmarkEnd w:id="196"/>
    </w:p>
    <w:p w:rsidR="00C8707C" w:rsidRDefault="00C8707C" w:rsidP="00C8707C">
      <w:pPr>
        <w:pStyle w:val="Heading6"/>
        <w:numPr>
          <w:ilvl w:val="4"/>
          <w:numId w:val="5"/>
        </w:numPr>
        <w:ind w:left="1702" w:hanging="1418"/>
      </w:pPr>
      <w:r>
        <w:t>Stage 1</w:t>
      </w:r>
    </w:p>
    <w:p w:rsidR="00C8707C" w:rsidRDefault="00C8707C" w:rsidP="00C8707C">
      <w:r>
        <w:t>Based on modified intention-to-treat (</w:t>
      </w:r>
      <w:proofErr w:type="spellStart"/>
      <w:r>
        <w:t>mITT</w:t>
      </w:r>
      <w:proofErr w:type="spellEnd"/>
      <w:r>
        <w:t>) analyses for Stage 1:</w:t>
      </w:r>
    </w:p>
    <w:p w:rsidR="00C8707C" w:rsidRDefault="00C8707C" w:rsidP="00C8707C">
      <w:pPr>
        <w:pStyle w:val="ListBullet"/>
        <w:numPr>
          <w:ilvl w:val="0"/>
          <w:numId w:val="1"/>
        </w:numPr>
      </w:pPr>
      <w:r>
        <w:t xml:space="preserve">ASV at 200 mg BD, 600 mg BD, and 600 mg QD in combination with </w:t>
      </w:r>
      <w:proofErr w:type="spellStart"/>
      <w:r>
        <w:t>pegIFN</w:t>
      </w:r>
      <w:proofErr w:type="spellEnd"/>
      <w:r>
        <w:rPr>
          <w:rFonts w:cs="Symbol"/>
        </w:rPr>
        <w:t>α</w:t>
      </w:r>
      <w:r>
        <w:t>/RBV demonstrated rapid antiviral activity.</w:t>
      </w:r>
    </w:p>
    <w:p w:rsidR="00C8707C" w:rsidRDefault="00C8707C" w:rsidP="00C8707C">
      <w:pPr>
        <w:pStyle w:val="ListBullet"/>
        <w:numPr>
          <w:ilvl w:val="0"/>
          <w:numId w:val="1"/>
        </w:numPr>
      </w:pPr>
      <w:r>
        <w:t xml:space="preserve">A high proportion of subjects who received 200 mg BD, 600 mg BD, and 600 mg QD achieved </w:t>
      </w:r>
      <w:proofErr w:type="spellStart"/>
      <w:r>
        <w:t>eRVR</w:t>
      </w:r>
      <w:proofErr w:type="spellEnd"/>
      <w:r>
        <w:t xml:space="preserve"> and were treated with only 24 weeks of therapy. All subjects in the 600-mg QD ASV/</w:t>
      </w:r>
      <w:proofErr w:type="spellStart"/>
      <w:r>
        <w:t>pegIFN</w:t>
      </w:r>
      <w:proofErr w:type="spellEnd"/>
      <w:r>
        <w:t xml:space="preserve">α/RBV group who achieved </w:t>
      </w:r>
      <w:proofErr w:type="spellStart"/>
      <w:r>
        <w:t>eRVR</w:t>
      </w:r>
      <w:proofErr w:type="spellEnd"/>
      <w:r>
        <w:t xml:space="preserve"> subsequently achieved the numerically highest SVR24 rate of all ASV/</w:t>
      </w:r>
      <w:proofErr w:type="spellStart"/>
      <w:r>
        <w:t>pegIFN</w:t>
      </w:r>
      <w:proofErr w:type="spellEnd"/>
      <w:r>
        <w:t>α/RBV groups.</w:t>
      </w:r>
    </w:p>
    <w:p w:rsidR="00C8707C" w:rsidRDefault="00C8707C" w:rsidP="00C8707C">
      <w:pPr>
        <w:pStyle w:val="ListBullet"/>
        <w:numPr>
          <w:ilvl w:val="0"/>
          <w:numId w:val="1"/>
        </w:numPr>
      </w:pPr>
      <w:r>
        <w:t>The SVR24 rate for subjects who received 200 mg BD, 600 mg BD, or 600 mg QD (ASV/</w:t>
      </w:r>
      <w:proofErr w:type="spellStart"/>
      <w:r>
        <w:t>pegIFN</w:t>
      </w:r>
      <w:proofErr w:type="spellEnd"/>
      <w:r>
        <w:t xml:space="preserve">α/RBV) groups was numerically higher than the SVR24 rates for subjects administered </w:t>
      </w:r>
      <w:proofErr w:type="spellStart"/>
      <w:r>
        <w:t>pegIFN</w:t>
      </w:r>
      <w:proofErr w:type="spellEnd"/>
      <w:r>
        <w:t xml:space="preserve">α/RBV therapy alone. Most </w:t>
      </w:r>
      <w:proofErr w:type="spellStart"/>
      <w:r>
        <w:t>virologic</w:t>
      </w:r>
      <w:proofErr w:type="spellEnd"/>
      <w:r>
        <w:t xml:space="preserve"> failures in the ASV-treated subjects were due to relapse.</w:t>
      </w:r>
    </w:p>
    <w:p w:rsidR="00C8707C" w:rsidRDefault="00C8707C" w:rsidP="00C8707C">
      <w:pPr>
        <w:pStyle w:val="ListBullet"/>
        <w:numPr>
          <w:ilvl w:val="0"/>
          <w:numId w:val="1"/>
        </w:numPr>
      </w:pPr>
      <w:r>
        <w:t xml:space="preserve">More subjects administered </w:t>
      </w:r>
      <w:proofErr w:type="spellStart"/>
      <w:r>
        <w:t>pegIFN</w:t>
      </w:r>
      <w:proofErr w:type="spellEnd"/>
      <w:r>
        <w:t xml:space="preserve">α/RBV therapy alone experienced </w:t>
      </w:r>
      <w:proofErr w:type="spellStart"/>
      <w:r>
        <w:t>virologic</w:t>
      </w:r>
      <w:proofErr w:type="spellEnd"/>
      <w:r>
        <w:t xml:space="preserve"> failure than subjects during ASV therapy in combination with </w:t>
      </w:r>
      <w:proofErr w:type="spellStart"/>
      <w:r>
        <w:t>pegIFN</w:t>
      </w:r>
      <w:proofErr w:type="spellEnd"/>
      <w:r>
        <w:t>α/RBV.</w:t>
      </w:r>
    </w:p>
    <w:p w:rsidR="00C8707C" w:rsidRDefault="00C8707C" w:rsidP="00C8707C">
      <w:pPr>
        <w:pStyle w:val="ListBullet"/>
        <w:numPr>
          <w:ilvl w:val="0"/>
          <w:numId w:val="1"/>
        </w:numPr>
      </w:pPr>
      <w:r>
        <w:t>Although small numbers of subjects were included in Stage 1, differences were noted among subjects with CC versus CT/TT (GT-1 and -4) genotype for placebo (</w:t>
      </w:r>
      <w:proofErr w:type="spellStart"/>
      <w:r>
        <w:t>pegIFN</w:t>
      </w:r>
      <w:proofErr w:type="spellEnd"/>
      <w:r>
        <w:t>α/RBV only) but not for ASV/</w:t>
      </w:r>
      <w:proofErr w:type="spellStart"/>
      <w:r>
        <w:t>pegIFN</w:t>
      </w:r>
      <w:proofErr w:type="spellEnd"/>
      <w:r>
        <w:t>α/RBV.</w:t>
      </w:r>
    </w:p>
    <w:p w:rsidR="00C8707C" w:rsidRDefault="00C8707C" w:rsidP="00C8707C">
      <w:pPr>
        <w:pStyle w:val="Tabletitle"/>
      </w:pPr>
      <w:bookmarkStart w:id="197" w:name="_Toc401831783"/>
      <w:r>
        <w:t>Table 5: Study AI447016: Summary of Primary and Secondary Efficacy Endpoints, Stage 1 Modified Intent-to-Treat Analysis, Roche Assay - Treated Subjects with Genotype-1</w:t>
      </w:r>
      <w:bookmarkEnd w:id="197"/>
    </w:p>
    <w:tbl>
      <w:tblPr>
        <w:tblStyle w:val="TableTGAblue"/>
        <w:tblW w:w="9660" w:type="dxa"/>
        <w:tblLayout w:type="fixed"/>
        <w:tblLook w:val="04A0" w:firstRow="1" w:lastRow="0" w:firstColumn="1" w:lastColumn="0" w:noHBand="0" w:noVBand="1"/>
      </w:tblPr>
      <w:tblGrid>
        <w:gridCol w:w="2802"/>
        <w:gridCol w:w="370"/>
        <w:gridCol w:w="1472"/>
        <w:gridCol w:w="155"/>
        <w:gridCol w:w="1405"/>
        <w:gridCol w:w="192"/>
        <w:gridCol w:w="1650"/>
        <w:gridCol w:w="187"/>
        <w:gridCol w:w="1427"/>
      </w:tblGrid>
      <w:tr w:rsidR="00C8707C" w:rsidTr="002E5B56">
        <w:trPr>
          <w:cnfStyle w:val="100000000000" w:firstRow="1" w:lastRow="0" w:firstColumn="0" w:lastColumn="0" w:oddVBand="0" w:evenVBand="0" w:oddHBand="0" w:evenHBand="0" w:firstRowFirstColumn="0" w:firstRowLastColumn="0" w:lastRowFirstColumn="0" w:lastRowLastColumn="0"/>
          <w:trHeight w:val="57"/>
          <w:tblHeader/>
        </w:trPr>
        <w:tc>
          <w:tcPr>
            <w:cnfStyle w:val="001000000000" w:firstRow="0" w:lastRow="0" w:firstColumn="1" w:lastColumn="0" w:oddVBand="0" w:evenVBand="0" w:oddHBand="0" w:evenHBand="0" w:firstRowFirstColumn="0" w:firstRowLastColumn="0" w:lastRowFirstColumn="0" w:lastRowLastColumn="0"/>
            <w:tcW w:w="3172" w:type="dxa"/>
            <w:gridSpan w:val="2"/>
            <w:vMerge w:val="restart"/>
          </w:tcPr>
          <w:p w:rsidR="00C8707C" w:rsidRPr="000B6417" w:rsidRDefault="00C8707C" w:rsidP="002E5B56">
            <w:pPr>
              <w:rPr>
                <w:b w:val="0"/>
                <w:lang w:eastAsia="en-AU"/>
              </w:rPr>
            </w:pPr>
          </w:p>
        </w:tc>
        <w:tc>
          <w:tcPr>
            <w:tcW w:w="6488" w:type="dxa"/>
            <w:gridSpan w:val="7"/>
            <w:hideMark/>
          </w:tcPr>
          <w:p w:rsidR="00C8707C" w:rsidRPr="000B6417" w:rsidRDefault="00C8707C" w:rsidP="002E5B56">
            <w:pPr>
              <w:cnfStyle w:val="100000000000" w:firstRow="1" w:lastRow="0" w:firstColumn="0" w:lastColumn="0" w:oddVBand="0" w:evenVBand="0" w:oddHBand="0" w:evenHBand="0" w:firstRowFirstColumn="0" w:firstRowLastColumn="0" w:lastRowFirstColumn="0" w:lastRowLastColumn="0"/>
              <w:rPr>
                <w:b w:val="0"/>
                <w:bCs/>
                <w:lang w:eastAsia="en-AU"/>
              </w:rPr>
            </w:pPr>
            <w:r w:rsidRPr="000B6417">
              <w:rPr>
                <w:b w:val="0"/>
                <w:bCs/>
                <w:spacing w:val="-5"/>
                <w:lang w:eastAsia="en-AU"/>
              </w:rPr>
              <w:t>Number of Subjects (%)</w:t>
            </w:r>
          </w:p>
        </w:tc>
      </w:tr>
      <w:tr w:rsidR="00C8707C" w:rsidTr="002E5B56">
        <w:trPr>
          <w:cnfStyle w:val="100000000000" w:firstRow="1" w:lastRow="0" w:firstColumn="0" w:lastColumn="0" w:oddVBand="0" w:evenVBand="0" w:oddHBand="0" w:evenHBand="0" w:firstRowFirstColumn="0" w:firstRowLastColumn="0" w:lastRowFirstColumn="0" w:lastRowLastColumn="0"/>
          <w:trHeight w:val="57"/>
          <w:tblHeader/>
        </w:trPr>
        <w:tc>
          <w:tcPr>
            <w:cnfStyle w:val="001000000000" w:firstRow="0" w:lastRow="0" w:firstColumn="1" w:lastColumn="0" w:oddVBand="0" w:evenVBand="0" w:oddHBand="0" w:evenHBand="0" w:firstRowFirstColumn="0" w:firstRowLastColumn="0" w:lastRowFirstColumn="0" w:lastRowLastColumn="0"/>
            <w:tcW w:w="3172" w:type="dxa"/>
            <w:gridSpan w:val="2"/>
            <w:vMerge/>
            <w:hideMark/>
          </w:tcPr>
          <w:p w:rsidR="00C8707C" w:rsidRPr="000B6417" w:rsidRDefault="00C8707C" w:rsidP="002E5B56">
            <w:pPr>
              <w:rPr>
                <w:b w:val="0"/>
                <w:lang w:eastAsia="en-AU"/>
              </w:rPr>
            </w:pPr>
          </w:p>
        </w:tc>
        <w:tc>
          <w:tcPr>
            <w:tcW w:w="1627" w:type="dxa"/>
            <w:gridSpan w:val="2"/>
            <w:hideMark/>
          </w:tcPr>
          <w:p w:rsidR="00C8707C" w:rsidRPr="000B6417" w:rsidRDefault="00C8707C" w:rsidP="002E5B56">
            <w:pPr>
              <w:cnfStyle w:val="100000000000" w:firstRow="1" w:lastRow="0" w:firstColumn="0" w:lastColumn="0" w:oddVBand="0" w:evenVBand="0" w:oddHBand="0" w:evenHBand="0" w:firstRowFirstColumn="0" w:firstRowLastColumn="0" w:lastRowFirstColumn="0" w:lastRowLastColumn="0"/>
              <w:rPr>
                <w:b w:val="0"/>
                <w:lang w:eastAsia="en-AU"/>
              </w:rPr>
            </w:pPr>
            <w:r w:rsidRPr="000B6417">
              <w:rPr>
                <w:b w:val="0"/>
                <w:bCs/>
                <w:spacing w:val="1"/>
                <w:lang w:eastAsia="en-AU"/>
              </w:rPr>
              <w:t>20</w:t>
            </w:r>
            <w:r w:rsidRPr="000B6417">
              <w:rPr>
                <w:b w:val="0"/>
                <w:bCs/>
                <w:lang w:eastAsia="en-AU"/>
              </w:rPr>
              <w:t>0</w:t>
            </w:r>
            <w:r w:rsidRPr="000B6417">
              <w:rPr>
                <w:b w:val="0"/>
                <w:bCs/>
                <w:spacing w:val="-1"/>
                <w:lang w:eastAsia="en-AU"/>
              </w:rPr>
              <w:t xml:space="preserve"> </w:t>
            </w:r>
            <w:r w:rsidRPr="000B6417">
              <w:rPr>
                <w:b w:val="0"/>
                <w:bCs/>
                <w:spacing w:val="-5"/>
                <w:lang w:eastAsia="en-AU"/>
              </w:rPr>
              <w:t>m</w:t>
            </w:r>
            <w:r w:rsidRPr="000B6417">
              <w:rPr>
                <w:b w:val="0"/>
                <w:bCs/>
                <w:lang w:eastAsia="en-AU"/>
              </w:rPr>
              <w:t>g</w:t>
            </w:r>
            <w:r w:rsidRPr="000B6417">
              <w:rPr>
                <w:b w:val="0"/>
                <w:bCs/>
                <w:spacing w:val="-2"/>
                <w:lang w:eastAsia="en-AU"/>
              </w:rPr>
              <w:t xml:space="preserve"> </w:t>
            </w:r>
            <w:r w:rsidRPr="000B6417">
              <w:rPr>
                <w:b w:val="0"/>
                <w:bCs/>
                <w:spacing w:val="1"/>
                <w:lang w:eastAsia="en-AU"/>
              </w:rPr>
              <w:t>BD</w:t>
            </w:r>
            <w:r w:rsidRPr="000B6417">
              <w:rPr>
                <w:b w:val="0"/>
                <w:bCs/>
                <w:spacing w:val="-3"/>
                <w:lang w:eastAsia="en-AU"/>
              </w:rPr>
              <w:t xml:space="preserve"> </w:t>
            </w:r>
            <w:r w:rsidRPr="000B6417">
              <w:rPr>
                <w:b w:val="0"/>
                <w:bCs/>
                <w:spacing w:val="1"/>
                <w:lang w:eastAsia="en-AU"/>
              </w:rPr>
              <w:t>ASV</w:t>
            </w:r>
            <w:r w:rsidRPr="000B6417">
              <w:rPr>
                <w:b w:val="0"/>
                <w:bCs/>
                <w:spacing w:val="-3"/>
                <w:lang w:eastAsia="en-AU"/>
              </w:rPr>
              <w:t xml:space="preserve"> </w:t>
            </w:r>
            <w:r w:rsidRPr="000B6417">
              <w:rPr>
                <w:b w:val="0"/>
                <w:bCs/>
                <w:spacing w:val="1"/>
                <w:lang w:eastAsia="en-AU"/>
              </w:rPr>
              <w:t>(</w:t>
            </w:r>
            <w:r w:rsidRPr="000B6417">
              <w:rPr>
                <w:b w:val="0"/>
                <w:bCs/>
                <w:lang w:eastAsia="en-AU"/>
              </w:rPr>
              <w:t>N</w:t>
            </w:r>
            <w:r w:rsidRPr="000B6417">
              <w:rPr>
                <w:b w:val="0"/>
                <w:bCs/>
                <w:spacing w:val="-1"/>
                <w:lang w:eastAsia="en-AU"/>
              </w:rPr>
              <w:t xml:space="preserve"> </w:t>
            </w:r>
            <w:r w:rsidRPr="000B6417">
              <w:rPr>
                <w:b w:val="0"/>
                <w:bCs/>
                <w:lang w:eastAsia="en-AU"/>
              </w:rPr>
              <w:t xml:space="preserve">= </w:t>
            </w:r>
            <w:r w:rsidRPr="000B6417">
              <w:rPr>
                <w:b w:val="0"/>
                <w:bCs/>
                <w:spacing w:val="1"/>
                <w:lang w:eastAsia="en-AU"/>
              </w:rPr>
              <w:t>12)</w:t>
            </w:r>
          </w:p>
        </w:tc>
        <w:tc>
          <w:tcPr>
            <w:tcW w:w="1597" w:type="dxa"/>
            <w:gridSpan w:val="2"/>
            <w:hideMark/>
          </w:tcPr>
          <w:p w:rsidR="00C8707C" w:rsidRPr="000B6417" w:rsidRDefault="00C8707C" w:rsidP="002E5B56">
            <w:pPr>
              <w:cnfStyle w:val="100000000000" w:firstRow="1" w:lastRow="0" w:firstColumn="0" w:lastColumn="0" w:oddVBand="0" w:evenVBand="0" w:oddHBand="0" w:evenHBand="0" w:firstRowFirstColumn="0" w:firstRowLastColumn="0" w:lastRowFirstColumn="0" w:lastRowLastColumn="0"/>
              <w:rPr>
                <w:b w:val="0"/>
                <w:lang w:eastAsia="en-AU"/>
              </w:rPr>
            </w:pPr>
            <w:r w:rsidRPr="000B6417">
              <w:rPr>
                <w:b w:val="0"/>
                <w:bCs/>
                <w:spacing w:val="1"/>
                <w:lang w:eastAsia="en-AU"/>
              </w:rPr>
              <w:t>60</w:t>
            </w:r>
            <w:r w:rsidRPr="000B6417">
              <w:rPr>
                <w:b w:val="0"/>
                <w:bCs/>
                <w:lang w:eastAsia="en-AU"/>
              </w:rPr>
              <w:t>0</w:t>
            </w:r>
            <w:r w:rsidRPr="000B6417">
              <w:rPr>
                <w:b w:val="0"/>
                <w:bCs/>
                <w:spacing w:val="-1"/>
                <w:lang w:eastAsia="en-AU"/>
              </w:rPr>
              <w:t xml:space="preserve"> </w:t>
            </w:r>
            <w:r w:rsidRPr="000B6417">
              <w:rPr>
                <w:b w:val="0"/>
                <w:bCs/>
                <w:spacing w:val="-5"/>
                <w:lang w:eastAsia="en-AU"/>
              </w:rPr>
              <w:t>m</w:t>
            </w:r>
            <w:r w:rsidRPr="000B6417">
              <w:rPr>
                <w:b w:val="0"/>
                <w:bCs/>
                <w:lang w:eastAsia="en-AU"/>
              </w:rPr>
              <w:t>g</w:t>
            </w:r>
            <w:r w:rsidRPr="000B6417">
              <w:rPr>
                <w:b w:val="0"/>
                <w:bCs/>
                <w:spacing w:val="-2"/>
                <w:lang w:eastAsia="en-AU"/>
              </w:rPr>
              <w:t xml:space="preserve"> </w:t>
            </w:r>
            <w:r w:rsidRPr="000B6417">
              <w:rPr>
                <w:b w:val="0"/>
                <w:bCs/>
                <w:spacing w:val="1"/>
                <w:lang w:eastAsia="en-AU"/>
              </w:rPr>
              <w:t>BD</w:t>
            </w:r>
            <w:r w:rsidRPr="000B6417">
              <w:rPr>
                <w:b w:val="0"/>
                <w:bCs/>
                <w:spacing w:val="-3"/>
                <w:lang w:eastAsia="en-AU"/>
              </w:rPr>
              <w:t xml:space="preserve"> </w:t>
            </w:r>
            <w:r w:rsidRPr="000B6417">
              <w:rPr>
                <w:b w:val="0"/>
                <w:bCs/>
                <w:spacing w:val="1"/>
                <w:lang w:eastAsia="en-AU"/>
              </w:rPr>
              <w:t>ASV</w:t>
            </w:r>
            <w:r w:rsidRPr="000B6417">
              <w:rPr>
                <w:b w:val="0"/>
                <w:bCs/>
                <w:spacing w:val="-3"/>
                <w:lang w:eastAsia="en-AU"/>
              </w:rPr>
              <w:t xml:space="preserve"> </w:t>
            </w:r>
            <w:r w:rsidRPr="000B6417">
              <w:rPr>
                <w:b w:val="0"/>
                <w:bCs/>
                <w:spacing w:val="1"/>
                <w:lang w:eastAsia="en-AU"/>
              </w:rPr>
              <w:t>(</w:t>
            </w:r>
            <w:r w:rsidRPr="000B6417">
              <w:rPr>
                <w:b w:val="0"/>
                <w:bCs/>
                <w:lang w:eastAsia="en-AU"/>
              </w:rPr>
              <w:t>N</w:t>
            </w:r>
            <w:r w:rsidRPr="000B6417">
              <w:rPr>
                <w:b w:val="0"/>
                <w:bCs/>
                <w:spacing w:val="-1"/>
                <w:lang w:eastAsia="en-AU"/>
              </w:rPr>
              <w:t xml:space="preserve"> </w:t>
            </w:r>
            <w:r w:rsidRPr="000B6417">
              <w:rPr>
                <w:b w:val="0"/>
                <w:bCs/>
                <w:lang w:eastAsia="en-AU"/>
              </w:rPr>
              <w:t xml:space="preserve">= </w:t>
            </w:r>
            <w:r w:rsidRPr="000B6417">
              <w:rPr>
                <w:b w:val="0"/>
                <w:bCs/>
                <w:spacing w:val="1"/>
                <w:lang w:eastAsia="en-AU"/>
              </w:rPr>
              <w:t>12)</w:t>
            </w:r>
          </w:p>
        </w:tc>
        <w:tc>
          <w:tcPr>
            <w:tcW w:w="1837" w:type="dxa"/>
            <w:gridSpan w:val="2"/>
            <w:hideMark/>
          </w:tcPr>
          <w:p w:rsidR="00C8707C" w:rsidRPr="000B6417" w:rsidRDefault="00C8707C" w:rsidP="002E5B56">
            <w:pPr>
              <w:cnfStyle w:val="100000000000" w:firstRow="1" w:lastRow="0" w:firstColumn="0" w:lastColumn="0" w:oddVBand="0" w:evenVBand="0" w:oddHBand="0" w:evenHBand="0" w:firstRowFirstColumn="0" w:firstRowLastColumn="0" w:lastRowFirstColumn="0" w:lastRowLastColumn="0"/>
              <w:rPr>
                <w:b w:val="0"/>
                <w:lang w:eastAsia="en-AU"/>
              </w:rPr>
            </w:pPr>
            <w:r w:rsidRPr="000B6417">
              <w:rPr>
                <w:b w:val="0"/>
                <w:bCs/>
                <w:spacing w:val="1"/>
                <w:lang w:eastAsia="en-AU"/>
              </w:rPr>
              <w:t>60</w:t>
            </w:r>
            <w:r w:rsidRPr="000B6417">
              <w:rPr>
                <w:b w:val="0"/>
                <w:bCs/>
                <w:lang w:eastAsia="en-AU"/>
              </w:rPr>
              <w:t>0</w:t>
            </w:r>
            <w:r w:rsidRPr="000B6417">
              <w:rPr>
                <w:b w:val="0"/>
                <w:bCs/>
                <w:spacing w:val="-1"/>
                <w:lang w:eastAsia="en-AU"/>
              </w:rPr>
              <w:t xml:space="preserve"> </w:t>
            </w:r>
            <w:r w:rsidRPr="000B6417">
              <w:rPr>
                <w:b w:val="0"/>
                <w:bCs/>
                <w:spacing w:val="-5"/>
                <w:lang w:eastAsia="en-AU"/>
              </w:rPr>
              <w:t>m</w:t>
            </w:r>
            <w:r w:rsidRPr="000B6417">
              <w:rPr>
                <w:b w:val="0"/>
                <w:bCs/>
                <w:lang w:eastAsia="en-AU"/>
              </w:rPr>
              <w:t>g</w:t>
            </w:r>
            <w:r w:rsidRPr="000B6417">
              <w:rPr>
                <w:b w:val="0"/>
                <w:bCs/>
                <w:spacing w:val="1"/>
                <w:lang w:eastAsia="en-AU"/>
              </w:rPr>
              <w:t xml:space="preserve"> </w:t>
            </w:r>
            <w:r w:rsidRPr="000B6417">
              <w:rPr>
                <w:b w:val="0"/>
                <w:bCs/>
                <w:spacing w:val="-1"/>
                <w:lang w:eastAsia="en-AU"/>
              </w:rPr>
              <w:t>Q</w:t>
            </w:r>
            <w:r w:rsidRPr="000B6417">
              <w:rPr>
                <w:b w:val="0"/>
                <w:bCs/>
                <w:lang w:eastAsia="en-AU"/>
              </w:rPr>
              <w:t>D</w:t>
            </w:r>
            <w:r w:rsidRPr="000B6417">
              <w:rPr>
                <w:b w:val="0"/>
                <w:bCs/>
                <w:spacing w:val="-2"/>
                <w:lang w:eastAsia="en-AU"/>
              </w:rPr>
              <w:t xml:space="preserve"> </w:t>
            </w:r>
            <w:r w:rsidRPr="000B6417">
              <w:rPr>
                <w:b w:val="0"/>
                <w:bCs/>
                <w:lang w:eastAsia="en-AU"/>
              </w:rPr>
              <w:t>ASV</w:t>
            </w:r>
            <w:r w:rsidR="002E5B56">
              <w:rPr>
                <w:b w:val="0"/>
                <w:bCs/>
                <w:lang w:eastAsia="en-AU"/>
              </w:rPr>
              <w:t xml:space="preserve"> </w:t>
            </w:r>
            <w:r w:rsidRPr="000B6417">
              <w:rPr>
                <w:b w:val="0"/>
                <w:bCs/>
                <w:spacing w:val="1"/>
                <w:lang w:eastAsia="en-AU"/>
              </w:rPr>
              <w:t>(</w:t>
            </w:r>
            <w:r w:rsidRPr="000B6417">
              <w:rPr>
                <w:b w:val="0"/>
                <w:bCs/>
                <w:lang w:eastAsia="en-AU"/>
              </w:rPr>
              <w:t>N</w:t>
            </w:r>
            <w:r w:rsidRPr="000B6417">
              <w:rPr>
                <w:b w:val="0"/>
                <w:bCs/>
                <w:spacing w:val="-1"/>
                <w:lang w:eastAsia="en-AU"/>
              </w:rPr>
              <w:t xml:space="preserve"> </w:t>
            </w:r>
            <w:r w:rsidRPr="000B6417">
              <w:rPr>
                <w:b w:val="0"/>
                <w:bCs/>
                <w:lang w:eastAsia="en-AU"/>
              </w:rPr>
              <w:t xml:space="preserve">= </w:t>
            </w:r>
            <w:r w:rsidRPr="000B6417">
              <w:rPr>
                <w:b w:val="0"/>
                <w:bCs/>
                <w:spacing w:val="1"/>
                <w:lang w:eastAsia="en-AU"/>
              </w:rPr>
              <w:t>12)</w:t>
            </w:r>
          </w:p>
        </w:tc>
        <w:tc>
          <w:tcPr>
            <w:tcW w:w="1427" w:type="dxa"/>
            <w:hideMark/>
          </w:tcPr>
          <w:p w:rsidR="00C8707C" w:rsidRPr="000B6417" w:rsidRDefault="00C8707C" w:rsidP="002E5B56">
            <w:pPr>
              <w:cnfStyle w:val="100000000000" w:firstRow="1" w:lastRow="0" w:firstColumn="0" w:lastColumn="0" w:oddVBand="0" w:evenVBand="0" w:oddHBand="0" w:evenHBand="0" w:firstRowFirstColumn="0" w:firstRowLastColumn="0" w:lastRowFirstColumn="0" w:lastRowLastColumn="0"/>
              <w:rPr>
                <w:b w:val="0"/>
                <w:lang w:eastAsia="en-AU"/>
              </w:rPr>
            </w:pPr>
            <w:r w:rsidRPr="000B6417">
              <w:rPr>
                <w:b w:val="0"/>
                <w:bCs/>
                <w:lang w:eastAsia="en-AU"/>
              </w:rPr>
              <w:t>Placebo</w:t>
            </w:r>
            <w:r w:rsidR="002E5B56">
              <w:rPr>
                <w:b w:val="0"/>
                <w:bCs/>
                <w:lang w:eastAsia="en-AU"/>
              </w:rPr>
              <w:t xml:space="preserve"> </w:t>
            </w:r>
            <w:r w:rsidRPr="000B6417">
              <w:rPr>
                <w:b w:val="0"/>
                <w:bCs/>
                <w:spacing w:val="1"/>
                <w:lang w:eastAsia="en-AU"/>
              </w:rPr>
              <w:t>(</w:t>
            </w:r>
            <w:r w:rsidRPr="000B6417">
              <w:rPr>
                <w:b w:val="0"/>
                <w:bCs/>
                <w:lang w:eastAsia="en-AU"/>
              </w:rPr>
              <w:t>N</w:t>
            </w:r>
            <w:r w:rsidRPr="000B6417">
              <w:rPr>
                <w:b w:val="0"/>
                <w:bCs/>
                <w:spacing w:val="-1"/>
                <w:lang w:eastAsia="en-AU"/>
              </w:rPr>
              <w:t xml:space="preserve"> </w:t>
            </w:r>
            <w:r w:rsidRPr="000B6417">
              <w:rPr>
                <w:b w:val="0"/>
                <w:bCs/>
                <w:lang w:eastAsia="en-AU"/>
              </w:rPr>
              <w:t xml:space="preserve">= </w:t>
            </w:r>
            <w:r w:rsidRPr="000B6417">
              <w:rPr>
                <w:b w:val="0"/>
                <w:bCs/>
                <w:spacing w:val="1"/>
                <w:lang w:eastAsia="en-AU"/>
              </w:rPr>
              <w:t>11)</w:t>
            </w:r>
          </w:p>
        </w:tc>
      </w:tr>
      <w:tr w:rsidR="00C8707C" w:rsidTr="002E5B56">
        <w:trPr>
          <w:trHeight w:val="57"/>
        </w:trPr>
        <w:tc>
          <w:tcPr>
            <w:cnfStyle w:val="001000000000" w:firstRow="0" w:lastRow="0" w:firstColumn="1" w:lastColumn="0" w:oddVBand="0" w:evenVBand="0" w:oddHBand="0" w:evenHBand="0" w:firstRowFirstColumn="0" w:firstRowLastColumn="0" w:lastRowFirstColumn="0" w:lastRowLastColumn="0"/>
            <w:tcW w:w="9660" w:type="dxa"/>
            <w:gridSpan w:val="9"/>
            <w:hideMark/>
          </w:tcPr>
          <w:p w:rsidR="00C8707C" w:rsidRPr="000B6417" w:rsidRDefault="00C8707C" w:rsidP="002E5B56">
            <w:pPr>
              <w:rPr>
                <w:lang w:eastAsia="en-AU"/>
              </w:rPr>
            </w:pPr>
            <w:r w:rsidRPr="000B6417">
              <w:rPr>
                <w:bCs/>
                <w:spacing w:val="1"/>
                <w:lang w:eastAsia="en-AU"/>
              </w:rPr>
              <w:t>Pri</w:t>
            </w:r>
            <w:r w:rsidRPr="000B6417">
              <w:rPr>
                <w:bCs/>
                <w:spacing w:val="-5"/>
                <w:lang w:eastAsia="en-AU"/>
              </w:rPr>
              <w:t>m</w:t>
            </w:r>
            <w:r w:rsidRPr="000B6417">
              <w:rPr>
                <w:bCs/>
                <w:lang w:eastAsia="en-AU"/>
              </w:rPr>
              <w:t>ary</w:t>
            </w:r>
            <w:r w:rsidRPr="000B6417">
              <w:rPr>
                <w:bCs/>
                <w:spacing w:val="-6"/>
                <w:lang w:eastAsia="en-AU"/>
              </w:rPr>
              <w:t xml:space="preserve"> </w:t>
            </w:r>
            <w:r w:rsidRPr="000B6417">
              <w:rPr>
                <w:bCs/>
                <w:lang w:eastAsia="en-AU"/>
              </w:rPr>
              <w:t>Antiviral</w:t>
            </w:r>
            <w:r w:rsidRPr="000B6417">
              <w:rPr>
                <w:bCs/>
                <w:spacing w:val="-7"/>
                <w:lang w:eastAsia="en-AU"/>
              </w:rPr>
              <w:t xml:space="preserve"> </w:t>
            </w:r>
            <w:r w:rsidRPr="000B6417">
              <w:rPr>
                <w:bCs/>
                <w:lang w:eastAsia="en-AU"/>
              </w:rPr>
              <w:t>Endpoint</w:t>
            </w:r>
          </w:p>
        </w:tc>
      </w:tr>
      <w:tr w:rsidR="00C8707C" w:rsidTr="002E5B56">
        <w:trPr>
          <w:trHeight w:val="57"/>
        </w:trPr>
        <w:tc>
          <w:tcPr>
            <w:cnfStyle w:val="001000000000" w:firstRow="0" w:lastRow="0" w:firstColumn="1" w:lastColumn="0" w:oddVBand="0" w:evenVBand="0" w:oddHBand="0" w:evenHBand="0" w:firstRowFirstColumn="0" w:firstRowLastColumn="0" w:lastRowFirstColumn="0" w:lastRowLastColumn="0"/>
            <w:tcW w:w="2802" w:type="dxa"/>
            <w:hideMark/>
          </w:tcPr>
          <w:p w:rsidR="00C8707C" w:rsidRPr="000B6417" w:rsidRDefault="00C8707C" w:rsidP="002E5B56">
            <w:pPr>
              <w:rPr>
                <w:lang w:eastAsia="en-AU"/>
              </w:rPr>
            </w:pPr>
            <w:proofErr w:type="spellStart"/>
            <w:proofErr w:type="gramStart"/>
            <w:r w:rsidRPr="000B6417">
              <w:rPr>
                <w:lang w:eastAsia="en-AU"/>
              </w:rPr>
              <w:t>eRVR</w:t>
            </w:r>
            <w:proofErr w:type="spellEnd"/>
            <w:proofErr w:type="gramEnd"/>
            <w:r w:rsidRPr="000B6417">
              <w:rPr>
                <w:lang w:eastAsia="en-AU"/>
              </w:rPr>
              <w:t xml:space="preserve"> Responder</w:t>
            </w:r>
            <w:r w:rsidRPr="000B6417">
              <w:rPr>
                <w:spacing w:val="-9"/>
                <w:lang w:eastAsia="en-AU"/>
              </w:rPr>
              <w:t xml:space="preserve"> </w:t>
            </w:r>
            <w:r w:rsidRPr="000B6417">
              <w:rPr>
                <w:lang w:eastAsia="en-AU"/>
              </w:rPr>
              <w:t>(%)</w:t>
            </w:r>
          </w:p>
        </w:tc>
        <w:tc>
          <w:tcPr>
            <w:tcW w:w="1842"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9/1</w:t>
            </w:r>
            <w:r w:rsidRPr="000B6417">
              <w:rPr>
                <w:lang w:eastAsia="en-AU"/>
              </w:rPr>
              <w:t>2</w:t>
            </w:r>
            <w:r w:rsidRPr="000B6417">
              <w:rPr>
                <w:spacing w:val="-2"/>
                <w:lang w:eastAsia="en-AU"/>
              </w:rPr>
              <w:t xml:space="preserve"> </w:t>
            </w:r>
            <w:r w:rsidRPr="000B6417">
              <w:rPr>
                <w:lang w:eastAsia="en-AU"/>
              </w:rPr>
              <w:t>(75.0)</w:t>
            </w:r>
          </w:p>
        </w:tc>
        <w:tc>
          <w:tcPr>
            <w:tcW w:w="1560"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9/12</w:t>
            </w:r>
            <w:r w:rsidRPr="000B6417">
              <w:rPr>
                <w:spacing w:val="-3"/>
                <w:lang w:eastAsia="en-AU"/>
              </w:rPr>
              <w:t xml:space="preserve"> </w:t>
            </w:r>
            <w:r w:rsidRPr="000B6417">
              <w:rPr>
                <w:lang w:eastAsia="en-AU"/>
              </w:rPr>
              <w:t>(75.0)</w:t>
            </w:r>
          </w:p>
        </w:tc>
        <w:tc>
          <w:tcPr>
            <w:tcW w:w="1842"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11/1</w:t>
            </w:r>
            <w:r w:rsidRPr="000B6417">
              <w:rPr>
                <w:lang w:eastAsia="en-AU"/>
              </w:rPr>
              <w:t>2</w:t>
            </w:r>
            <w:r w:rsidRPr="000B6417">
              <w:rPr>
                <w:spacing w:val="-6"/>
                <w:lang w:eastAsia="en-AU"/>
              </w:rPr>
              <w:t xml:space="preserve"> </w:t>
            </w:r>
            <w:r w:rsidRPr="000B6417">
              <w:rPr>
                <w:spacing w:val="1"/>
                <w:lang w:eastAsia="en-AU"/>
              </w:rPr>
              <w:t>(91.7)</w:t>
            </w:r>
          </w:p>
        </w:tc>
        <w:tc>
          <w:tcPr>
            <w:tcW w:w="1614"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w w:val="99"/>
                <w:lang w:eastAsia="en-AU"/>
              </w:rPr>
              <w:t>0/11</w:t>
            </w:r>
          </w:p>
        </w:tc>
      </w:tr>
      <w:tr w:rsidR="00C8707C" w:rsidTr="002E5B56">
        <w:trPr>
          <w:trHeight w:val="57"/>
        </w:trPr>
        <w:tc>
          <w:tcPr>
            <w:cnfStyle w:val="001000000000" w:firstRow="0" w:lastRow="0" w:firstColumn="1" w:lastColumn="0" w:oddVBand="0" w:evenVBand="0" w:oddHBand="0" w:evenHBand="0" w:firstRowFirstColumn="0" w:firstRowLastColumn="0" w:lastRowFirstColumn="0" w:lastRowLastColumn="0"/>
            <w:tcW w:w="2802" w:type="dxa"/>
            <w:hideMark/>
          </w:tcPr>
          <w:p w:rsidR="00C8707C" w:rsidRPr="000B6417" w:rsidRDefault="00C8707C" w:rsidP="002E5B56">
            <w:pPr>
              <w:rPr>
                <w:lang w:eastAsia="en-AU"/>
              </w:rPr>
            </w:pPr>
            <w:r w:rsidRPr="000B6417">
              <w:rPr>
                <w:lang w:eastAsia="en-AU"/>
              </w:rPr>
              <w:t>80%</w:t>
            </w:r>
            <w:r w:rsidRPr="000B6417">
              <w:rPr>
                <w:spacing w:val="-3"/>
                <w:lang w:eastAsia="en-AU"/>
              </w:rPr>
              <w:t xml:space="preserve"> </w:t>
            </w:r>
            <w:r w:rsidRPr="000B6417">
              <w:rPr>
                <w:lang w:eastAsia="en-AU"/>
              </w:rPr>
              <w:t>CI</w:t>
            </w:r>
          </w:p>
        </w:tc>
        <w:tc>
          <w:tcPr>
            <w:tcW w:w="1842"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(52.5</w:t>
            </w:r>
            <w:r w:rsidRPr="000B6417">
              <w:rPr>
                <w:lang w:eastAsia="en-AU"/>
              </w:rPr>
              <w:t>,</w:t>
            </w:r>
            <w:r w:rsidRPr="000B6417">
              <w:rPr>
                <w:spacing w:val="-4"/>
                <w:lang w:eastAsia="en-AU"/>
              </w:rPr>
              <w:t xml:space="preserve"> </w:t>
            </w:r>
            <w:r w:rsidRPr="000B6417">
              <w:rPr>
                <w:spacing w:val="1"/>
                <w:lang w:eastAsia="en-AU"/>
              </w:rPr>
              <w:t>90.4)</w:t>
            </w:r>
          </w:p>
        </w:tc>
        <w:tc>
          <w:tcPr>
            <w:tcW w:w="1560"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(52.5</w:t>
            </w:r>
            <w:r w:rsidRPr="000B6417">
              <w:rPr>
                <w:lang w:eastAsia="en-AU"/>
              </w:rPr>
              <w:t>,</w:t>
            </w:r>
            <w:r w:rsidRPr="000B6417">
              <w:rPr>
                <w:spacing w:val="-4"/>
                <w:lang w:eastAsia="en-AU"/>
              </w:rPr>
              <w:t xml:space="preserve"> </w:t>
            </w:r>
            <w:r w:rsidRPr="000B6417">
              <w:rPr>
                <w:spacing w:val="1"/>
                <w:lang w:eastAsia="en-AU"/>
              </w:rPr>
              <w:t>90.4)</w:t>
            </w:r>
          </w:p>
        </w:tc>
        <w:tc>
          <w:tcPr>
            <w:tcW w:w="1842"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(71.3</w:t>
            </w:r>
            <w:r w:rsidRPr="000B6417">
              <w:rPr>
                <w:lang w:eastAsia="en-AU"/>
              </w:rPr>
              <w:t>,</w:t>
            </w:r>
            <w:r w:rsidRPr="000B6417">
              <w:rPr>
                <w:spacing w:val="-4"/>
                <w:lang w:eastAsia="en-AU"/>
              </w:rPr>
              <w:t xml:space="preserve"> </w:t>
            </w:r>
            <w:r w:rsidRPr="000B6417">
              <w:rPr>
                <w:spacing w:val="1"/>
                <w:lang w:eastAsia="en-AU"/>
              </w:rPr>
              <w:t>99.1)</w:t>
            </w:r>
          </w:p>
        </w:tc>
        <w:tc>
          <w:tcPr>
            <w:tcW w:w="1614"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w:t>
            </w:r>
            <w:r w:rsidRPr="000B6417">
              <w:rPr>
                <w:lang w:eastAsia="en-AU"/>
              </w:rPr>
              <w:t>0.0,</w:t>
            </w:r>
            <w:r w:rsidRPr="000B6417">
              <w:rPr>
                <w:spacing w:val="-3"/>
                <w:lang w:eastAsia="en-AU"/>
              </w:rPr>
              <w:t xml:space="preserve"> </w:t>
            </w:r>
            <w:r w:rsidRPr="000B6417">
              <w:rPr>
                <w:lang w:eastAsia="en-AU"/>
              </w:rPr>
              <w:t>18.9)</w:t>
            </w:r>
          </w:p>
        </w:tc>
      </w:tr>
      <w:tr w:rsidR="00C8707C" w:rsidTr="002E5B56">
        <w:trPr>
          <w:trHeight w:val="57"/>
        </w:trPr>
        <w:tc>
          <w:tcPr>
            <w:cnfStyle w:val="001000000000" w:firstRow="0" w:lastRow="0" w:firstColumn="1" w:lastColumn="0" w:oddVBand="0" w:evenVBand="0" w:oddHBand="0" w:evenHBand="0" w:firstRowFirstColumn="0" w:firstRowLastColumn="0" w:lastRowFirstColumn="0" w:lastRowLastColumn="0"/>
            <w:tcW w:w="9660" w:type="dxa"/>
            <w:gridSpan w:val="9"/>
            <w:hideMark/>
          </w:tcPr>
          <w:p w:rsidR="00C8707C" w:rsidRPr="000B6417" w:rsidRDefault="00C8707C" w:rsidP="002E5B56">
            <w:pPr>
              <w:rPr>
                <w:spacing w:val="1"/>
                <w:lang w:eastAsia="en-AU"/>
              </w:rPr>
            </w:pPr>
            <w:r w:rsidRPr="000B6417">
              <w:rPr>
                <w:bCs/>
                <w:spacing w:val="-5"/>
                <w:lang w:eastAsia="en-AU"/>
              </w:rPr>
              <w:t>Secondary Antiviral Endpoint</w:t>
            </w:r>
          </w:p>
        </w:tc>
      </w:tr>
      <w:tr w:rsidR="00C8707C" w:rsidTr="002E5B56">
        <w:trPr>
          <w:trHeight w:val="57"/>
        </w:trPr>
        <w:tc>
          <w:tcPr>
            <w:cnfStyle w:val="001000000000" w:firstRow="0" w:lastRow="0" w:firstColumn="1" w:lastColumn="0" w:oddVBand="0" w:evenVBand="0" w:oddHBand="0" w:evenHBand="0" w:firstRowFirstColumn="0" w:firstRowLastColumn="0" w:lastRowFirstColumn="0" w:lastRowLastColumn="0"/>
            <w:tcW w:w="2802" w:type="dxa"/>
            <w:hideMark/>
          </w:tcPr>
          <w:p w:rsidR="00C8707C" w:rsidRPr="000B6417" w:rsidRDefault="00C8707C" w:rsidP="002E5B56">
            <w:pPr>
              <w:rPr>
                <w:lang w:eastAsia="en-AU"/>
              </w:rPr>
            </w:pPr>
            <w:r w:rsidRPr="000B6417">
              <w:rPr>
                <w:lang w:eastAsia="en-AU"/>
              </w:rPr>
              <w:t>RVR Responder</w:t>
            </w:r>
            <w:r w:rsidRPr="000B6417">
              <w:rPr>
                <w:spacing w:val="-9"/>
                <w:lang w:eastAsia="en-AU"/>
              </w:rPr>
              <w:t xml:space="preserve"> </w:t>
            </w:r>
            <w:r w:rsidRPr="000B6417">
              <w:rPr>
                <w:lang w:eastAsia="en-AU"/>
              </w:rPr>
              <w:t>(%)</w:t>
            </w:r>
          </w:p>
        </w:tc>
        <w:tc>
          <w:tcPr>
            <w:tcW w:w="1842"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10/12 (83.3)</w:t>
            </w:r>
          </w:p>
        </w:tc>
        <w:tc>
          <w:tcPr>
            <w:tcW w:w="1560"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10/12 (83.3)</w:t>
            </w:r>
          </w:p>
        </w:tc>
        <w:tc>
          <w:tcPr>
            <w:tcW w:w="1842"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11/12 (91.7)</w:t>
            </w:r>
          </w:p>
        </w:tc>
        <w:tc>
          <w:tcPr>
            <w:tcW w:w="1614"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0/11</w:t>
            </w:r>
          </w:p>
        </w:tc>
      </w:tr>
      <w:tr w:rsidR="00C8707C" w:rsidTr="002E5B56">
        <w:trPr>
          <w:trHeight w:val="57"/>
        </w:trPr>
        <w:tc>
          <w:tcPr>
            <w:cnfStyle w:val="001000000000" w:firstRow="0" w:lastRow="0" w:firstColumn="1" w:lastColumn="0" w:oddVBand="0" w:evenVBand="0" w:oddHBand="0" w:evenHBand="0" w:firstRowFirstColumn="0" w:firstRowLastColumn="0" w:lastRowFirstColumn="0" w:lastRowLastColumn="0"/>
            <w:tcW w:w="2802" w:type="dxa"/>
            <w:hideMark/>
          </w:tcPr>
          <w:p w:rsidR="00C8707C" w:rsidRPr="000B6417" w:rsidRDefault="00C8707C" w:rsidP="002E5B56">
            <w:pPr>
              <w:rPr>
                <w:lang w:eastAsia="en-AU"/>
              </w:rPr>
            </w:pPr>
            <w:r w:rsidRPr="000B6417">
              <w:rPr>
                <w:position w:val="-1"/>
                <w:lang w:eastAsia="en-AU"/>
              </w:rPr>
              <w:t>80%</w:t>
            </w:r>
            <w:r w:rsidRPr="000B6417">
              <w:rPr>
                <w:spacing w:val="-3"/>
                <w:position w:val="-1"/>
                <w:lang w:eastAsia="en-AU"/>
              </w:rPr>
              <w:t xml:space="preserve"> </w:t>
            </w:r>
            <w:r w:rsidRPr="000B6417">
              <w:rPr>
                <w:position w:val="-1"/>
                <w:lang w:eastAsia="en-AU"/>
              </w:rPr>
              <w:t>CI</w:t>
            </w:r>
          </w:p>
        </w:tc>
        <w:tc>
          <w:tcPr>
            <w:tcW w:w="1842"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(61.4, 95.5)</w:t>
            </w:r>
          </w:p>
        </w:tc>
        <w:tc>
          <w:tcPr>
            <w:tcW w:w="1560"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(61.4, 95.5)</w:t>
            </w:r>
          </w:p>
        </w:tc>
        <w:tc>
          <w:tcPr>
            <w:tcW w:w="1842"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(71.3, 99.1)</w:t>
            </w:r>
          </w:p>
        </w:tc>
        <w:tc>
          <w:tcPr>
            <w:tcW w:w="1614"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(0.0, 18.9)</w:t>
            </w:r>
          </w:p>
        </w:tc>
      </w:tr>
      <w:tr w:rsidR="00C8707C" w:rsidTr="002E5B56">
        <w:trPr>
          <w:trHeight w:val="57"/>
        </w:trPr>
        <w:tc>
          <w:tcPr>
            <w:cnfStyle w:val="001000000000" w:firstRow="0" w:lastRow="0" w:firstColumn="1" w:lastColumn="0" w:oddVBand="0" w:evenVBand="0" w:oddHBand="0" w:evenHBand="0" w:firstRowFirstColumn="0" w:firstRowLastColumn="0" w:lastRowFirstColumn="0" w:lastRowLastColumn="0"/>
            <w:tcW w:w="2802" w:type="dxa"/>
            <w:hideMark/>
          </w:tcPr>
          <w:p w:rsidR="00C8707C" w:rsidRPr="000B6417" w:rsidRDefault="00C8707C" w:rsidP="002E5B56">
            <w:pPr>
              <w:rPr>
                <w:lang w:eastAsia="en-AU"/>
              </w:rPr>
            </w:pPr>
            <w:r w:rsidRPr="000B6417">
              <w:rPr>
                <w:lang w:eastAsia="en-AU"/>
              </w:rPr>
              <w:t>EVR Responder</w:t>
            </w:r>
            <w:r w:rsidRPr="000B6417">
              <w:rPr>
                <w:spacing w:val="-9"/>
                <w:lang w:eastAsia="en-AU"/>
              </w:rPr>
              <w:t xml:space="preserve"> </w:t>
            </w:r>
            <w:r w:rsidRPr="000B6417">
              <w:rPr>
                <w:lang w:eastAsia="en-AU"/>
              </w:rPr>
              <w:t>(%)</w:t>
            </w:r>
          </w:p>
        </w:tc>
        <w:tc>
          <w:tcPr>
            <w:tcW w:w="1842"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12/12 (100.0)</w:t>
            </w:r>
          </w:p>
        </w:tc>
        <w:tc>
          <w:tcPr>
            <w:tcW w:w="1560"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11/12 (91.7)</w:t>
            </w:r>
          </w:p>
        </w:tc>
        <w:tc>
          <w:tcPr>
            <w:tcW w:w="1842"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12/12 (100.0)</w:t>
            </w:r>
          </w:p>
        </w:tc>
        <w:tc>
          <w:tcPr>
            <w:tcW w:w="1614"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11/11 (100.0)</w:t>
            </w:r>
          </w:p>
        </w:tc>
      </w:tr>
      <w:tr w:rsidR="00C8707C" w:rsidTr="002E5B56">
        <w:trPr>
          <w:trHeight w:val="57"/>
        </w:trPr>
        <w:tc>
          <w:tcPr>
            <w:cnfStyle w:val="001000000000" w:firstRow="0" w:lastRow="0" w:firstColumn="1" w:lastColumn="0" w:oddVBand="0" w:evenVBand="0" w:oddHBand="0" w:evenHBand="0" w:firstRowFirstColumn="0" w:firstRowLastColumn="0" w:lastRowFirstColumn="0" w:lastRowLastColumn="0"/>
            <w:tcW w:w="2802" w:type="dxa"/>
            <w:hideMark/>
          </w:tcPr>
          <w:p w:rsidR="00C8707C" w:rsidRPr="000B6417" w:rsidRDefault="00C8707C" w:rsidP="002E5B56">
            <w:pPr>
              <w:rPr>
                <w:lang w:eastAsia="en-AU"/>
              </w:rPr>
            </w:pPr>
            <w:r w:rsidRPr="000B6417">
              <w:rPr>
                <w:lang w:eastAsia="en-AU"/>
              </w:rPr>
              <w:t>80%</w:t>
            </w:r>
            <w:r w:rsidRPr="000B6417">
              <w:rPr>
                <w:spacing w:val="-3"/>
                <w:lang w:eastAsia="en-AU"/>
              </w:rPr>
              <w:t xml:space="preserve"> </w:t>
            </w:r>
            <w:r w:rsidRPr="000B6417">
              <w:rPr>
                <w:lang w:eastAsia="en-AU"/>
              </w:rPr>
              <w:t>CI</w:t>
            </w:r>
          </w:p>
        </w:tc>
        <w:tc>
          <w:tcPr>
            <w:tcW w:w="1842"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(82.5, 100.0)</w:t>
            </w:r>
          </w:p>
        </w:tc>
        <w:tc>
          <w:tcPr>
            <w:tcW w:w="1560"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(71.3, 99.1)</w:t>
            </w:r>
          </w:p>
        </w:tc>
        <w:tc>
          <w:tcPr>
            <w:tcW w:w="1842"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(82.5, 100.0)</w:t>
            </w:r>
          </w:p>
        </w:tc>
        <w:tc>
          <w:tcPr>
            <w:tcW w:w="1614"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(81.1, 100.0)</w:t>
            </w:r>
          </w:p>
        </w:tc>
      </w:tr>
      <w:tr w:rsidR="00C8707C" w:rsidTr="002E5B56">
        <w:trPr>
          <w:trHeight w:val="57"/>
        </w:trPr>
        <w:tc>
          <w:tcPr>
            <w:cnfStyle w:val="001000000000" w:firstRow="0" w:lastRow="0" w:firstColumn="1" w:lastColumn="0" w:oddVBand="0" w:evenVBand="0" w:oddHBand="0" w:evenHBand="0" w:firstRowFirstColumn="0" w:firstRowLastColumn="0" w:lastRowFirstColumn="0" w:lastRowLastColumn="0"/>
            <w:tcW w:w="2802" w:type="dxa"/>
            <w:hideMark/>
          </w:tcPr>
          <w:p w:rsidR="00C8707C" w:rsidRPr="000B6417" w:rsidRDefault="00C8707C" w:rsidP="002E5B56">
            <w:pPr>
              <w:rPr>
                <w:lang w:eastAsia="en-AU"/>
              </w:rPr>
            </w:pPr>
            <w:proofErr w:type="spellStart"/>
            <w:proofErr w:type="gramStart"/>
            <w:r w:rsidRPr="000B6417">
              <w:rPr>
                <w:lang w:eastAsia="en-AU"/>
              </w:rPr>
              <w:lastRenderedPageBreak/>
              <w:t>cEVR</w:t>
            </w:r>
            <w:proofErr w:type="spellEnd"/>
            <w:proofErr w:type="gramEnd"/>
            <w:r w:rsidRPr="000B6417">
              <w:rPr>
                <w:lang w:eastAsia="en-AU"/>
              </w:rPr>
              <w:t xml:space="preserve"> Responder</w:t>
            </w:r>
            <w:r w:rsidRPr="000B6417">
              <w:rPr>
                <w:spacing w:val="-8"/>
                <w:lang w:eastAsia="en-AU"/>
              </w:rPr>
              <w:t xml:space="preserve"> </w:t>
            </w:r>
            <w:r w:rsidRPr="000B6417">
              <w:rPr>
                <w:lang w:eastAsia="en-AU"/>
              </w:rPr>
              <w:t>(%)</w:t>
            </w:r>
          </w:p>
        </w:tc>
        <w:tc>
          <w:tcPr>
            <w:tcW w:w="1842"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11/12 (91.7)</w:t>
            </w:r>
          </w:p>
        </w:tc>
        <w:tc>
          <w:tcPr>
            <w:tcW w:w="1560"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10/12 (83.3)</w:t>
            </w:r>
          </w:p>
        </w:tc>
        <w:tc>
          <w:tcPr>
            <w:tcW w:w="1842"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12/12 (100.0)</w:t>
            </w:r>
          </w:p>
        </w:tc>
        <w:tc>
          <w:tcPr>
            <w:tcW w:w="1614"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7/11 (63.6)</w:t>
            </w:r>
          </w:p>
        </w:tc>
      </w:tr>
      <w:tr w:rsidR="00C8707C" w:rsidTr="002E5B56">
        <w:trPr>
          <w:trHeight w:val="57"/>
        </w:trPr>
        <w:tc>
          <w:tcPr>
            <w:cnfStyle w:val="001000000000" w:firstRow="0" w:lastRow="0" w:firstColumn="1" w:lastColumn="0" w:oddVBand="0" w:evenVBand="0" w:oddHBand="0" w:evenHBand="0" w:firstRowFirstColumn="0" w:firstRowLastColumn="0" w:lastRowFirstColumn="0" w:lastRowLastColumn="0"/>
            <w:tcW w:w="2802" w:type="dxa"/>
            <w:hideMark/>
          </w:tcPr>
          <w:p w:rsidR="00C8707C" w:rsidRPr="000B6417" w:rsidRDefault="00C8707C" w:rsidP="002E5B56">
            <w:pPr>
              <w:rPr>
                <w:lang w:eastAsia="en-AU"/>
              </w:rPr>
            </w:pPr>
            <w:r w:rsidRPr="000B6417">
              <w:rPr>
                <w:position w:val="-1"/>
                <w:lang w:eastAsia="en-AU"/>
              </w:rPr>
              <w:t>80%</w:t>
            </w:r>
            <w:r w:rsidRPr="000B6417">
              <w:rPr>
                <w:spacing w:val="-3"/>
                <w:position w:val="-1"/>
                <w:lang w:eastAsia="en-AU"/>
              </w:rPr>
              <w:t xml:space="preserve"> </w:t>
            </w:r>
            <w:r w:rsidRPr="000B6417">
              <w:rPr>
                <w:position w:val="-1"/>
                <w:lang w:eastAsia="en-AU"/>
              </w:rPr>
              <w:t>CI</w:t>
            </w:r>
          </w:p>
        </w:tc>
        <w:tc>
          <w:tcPr>
            <w:tcW w:w="1842"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(71.3, 99.1)</w:t>
            </w:r>
          </w:p>
        </w:tc>
        <w:tc>
          <w:tcPr>
            <w:tcW w:w="1560"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(61.4, 95.5)</w:t>
            </w:r>
          </w:p>
        </w:tc>
        <w:tc>
          <w:tcPr>
            <w:tcW w:w="1842"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(82.5, 100.0)</w:t>
            </w:r>
          </w:p>
        </w:tc>
        <w:tc>
          <w:tcPr>
            <w:tcW w:w="1614"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(40.1, 83.1)</w:t>
            </w:r>
          </w:p>
        </w:tc>
      </w:tr>
      <w:tr w:rsidR="00C8707C" w:rsidTr="002E5B56">
        <w:trPr>
          <w:trHeight w:val="57"/>
        </w:trPr>
        <w:tc>
          <w:tcPr>
            <w:cnfStyle w:val="001000000000" w:firstRow="0" w:lastRow="0" w:firstColumn="1" w:lastColumn="0" w:oddVBand="0" w:evenVBand="0" w:oddHBand="0" w:evenHBand="0" w:firstRowFirstColumn="0" w:firstRowLastColumn="0" w:lastRowFirstColumn="0" w:lastRowLastColumn="0"/>
            <w:tcW w:w="2802" w:type="dxa"/>
            <w:hideMark/>
          </w:tcPr>
          <w:p w:rsidR="00C8707C" w:rsidRPr="000B6417" w:rsidRDefault="00C8707C" w:rsidP="002E5B56">
            <w:pPr>
              <w:rPr>
                <w:lang w:eastAsia="en-AU"/>
              </w:rPr>
            </w:pPr>
            <w:r w:rsidRPr="000B6417">
              <w:rPr>
                <w:spacing w:val="1"/>
                <w:lang w:eastAsia="en-AU"/>
              </w:rPr>
              <w:t>EOTR</w:t>
            </w:r>
            <w:r w:rsidRPr="000B6417">
              <w:rPr>
                <w:lang w:eastAsia="en-AU"/>
              </w:rPr>
              <w:t xml:space="preserve"> Responder</w:t>
            </w:r>
            <w:r w:rsidRPr="000B6417">
              <w:rPr>
                <w:spacing w:val="-9"/>
                <w:lang w:eastAsia="en-AU"/>
              </w:rPr>
              <w:t xml:space="preserve"> </w:t>
            </w:r>
            <w:r w:rsidRPr="000B6417">
              <w:rPr>
                <w:lang w:eastAsia="en-AU"/>
              </w:rPr>
              <w:t>(%)</w:t>
            </w:r>
          </w:p>
        </w:tc>
        <w:tc>
          <w:tcPr>
            <w:tcW w:w="1842"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11/12 (91.7)</w:t>
            </w:r>
          </w:p>
        </w:tc>
        <w:tc>
          <w:tcPr>
            <w:tcW w:w="1560"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11/12 (91.7)</w:t>
            </w:r>
          </w:p>
        </w:tc>
        <w:tc>
          <w:tcPr>
            <w:tcW w:w="1842"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11/12 (91.7)</w:t>
            </w:r>
          </w:p>
        </w:tc>
        <w:tc>
          <w:tcPr>
            <w:tcW w:w="1614"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6/11 (54.5)</w:t>
            </w:r>
          </w:p>
        </w:tc>
      </w:tr>
      <w:tr w:rsidR="00C8707C" w:rsidTr="002E5B56">
        <w:trPr>
          <w:trHeight w:val="57"/>
        </w:trPr>
        <w:tc>
          <w:tcPr>
            <w:cnfStyle w:val="001000000000" w:firstRow="0" w:lastRow="0" w:firstColumn="1" w:lastColumn="0" w:oddVBand="0" w:evenVBand="0" w:oddHBand="0" w:evenHBand="0" w:firstRowFirstColumn="0" w:firstRowLastColumn="0" w:lastRowFirstColumn="0" w:lastRowLastColumn="0"/>
            <w:tcW w:w="2802" w:type="dxa"/>
            <w:hideMark/>
          </w:tcPr>
          <w:p w:rsidR="00C8707C" w:rsidRPr="000B6417" w:rsidRDefault="00C8707C" w:rsidP="002E5B56">
            <w:pPr>
              <w:rPr>
                <w:lang w:eastAsia="en-AU"/>
              </w:rPr>
            </w:pPr>
            <w:r w:rsidRPr="000B6417">
              <w:rPr>
                <w:lang w:eastAsia="en-AU"/>
              </w:rPr>
              <w:t>80%</w:t>
            </w:r>
            <w:r w:rsidRPr="000B6417">
              <w:rPr>
                <w:spacing w:val="-3"/>
                <w:lang w:eastAsia="en-AU"/>
              </w:rPr>
              <w:t xml:space="preserve"> </w:t>
            </w:r>
            <w:r w:rsidRPr="000B6417">
              <w:rPr>
                <w:lang w:eastAsia="en-AU"/>
              </w:rPr>
              <w:t>CI</w:t>
            </w:r>
          </w:p>
        </w:tc>
        <w:tc>
          <w:tcPr>
            <w:tcW w:w="1842"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(71.3, 99.1)</w:t>
            </w:r>
          </w:p>
        </w:tc>
        <w:tc>
          <w:tcPr>
            <w:tcW w:w="1560"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(71.3, 99.1)</w:t>
            </w:r>
          </w:p>
        </w:tc>
        <w:tc>
          <w:tcPr>
            <w:tcW w:w="1842"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(71.3, 99.1)</w:t>
            </w:r>
          </w:p>
        </w:tc>
        <w:tc>
          <w:tcPr>
            <w:tcW w:w="1614"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(31.8, 75.9)</w:t>
            </w:r>
          </w:p>
        </w:tc>
      </w:tr>
      <w:tr w:rsidR="00C8707C" w:rsidTr="002E5B56">
        <w:trPr>
          <w:trHeight w:val="57"/>
        </w:trPr>
        <w:tc>
          <w:tcPr>
            <w:cnfStyle w:val="001000000000" w:firstRow="0" w:lastRow="0" w:firstColumn="1" w:lastColumn="0" w:oddVBand="0" w:evenVBand="0" w:oddHBand="0" w:evenHBand="0" w:firstRowFirstColumn="0" w:firstRowLastColumn="0" w:lastRowFirstColumn="0" w:lastRowLastColumn="0"/>
            <w:tcW w:w="2802" w:type="dxa"/>
            <w:hideMark/>
          </w:tcPr>
          <w:p w:rsidR="00C8707C" w:rsidRPr="000B6417" w:rsidRDefault="00C8707C" w:rsidP="002E5B56">
            <w:pPr>
              <w:rPr>
                <w:lang w:eastAsia="en-AU"/>
              </w:rPr>
            </w:pPr>
            <w:r w:rsidRPr="000B6417">
              <w:rPr>
                <w:lang w:eastAsia="en-AU"/>
              </w:rPr>
              <w:t>SV</w:t>
            </w:r>
            <w:r w:rsidRPr="000B6417">
              <w:rPr>
                <w:spacing w:val="-1"/>
                <w:lang w:eastAsia="en-AU"/>
              </w:rPr>
              <w:t>R</w:t>
            </w:r>
            <w:r w:rsidRPr="000B6417">
              <w:rPr>
                <w:lang w:eastAsia="en-AU"/>
              </w:rPr>
              <w:t>4 Responder</w:t>
            </w:r>
            <w:r w:rsidRPr="000B6417">
              <w:rPr>
                <w:spacing w:val="-9"/>
                <w:lang w:eastAsia="en-AU"/>
              </w:rPr>
              <w:t xml:space="preserve"> </w:t>
            </w:r>
            <w:r w:rsidRPr="000B6417">
              <w:rPr>
                <w:lang w:eastAsia="en-AU"/>
              </w:rPr>
              <w:t>(%)</w:t>
            </w:r>
          </w:p>
        </w:tc>
        <w:tc>
          <w:tcPr>
            <w:tcW w:w="1842"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11/1</w:t>
            </w:r>
            <w:r w:rsidRPr="000B6417">
              <w:rPr>
                <w:lang w:eastAsia="en-AU"/>
              </w:rPr>
              <w:t>2</w:t>
            </w:r>
            <w:r w:rsidRPr="000B6417">
              <w:rPr>
                <w:spacing w:val="-6"/>
                <w:lang w:eastAsia="en-AU"/>
              </w:rPr>
              <w:t xml:space="preserve"> </w:t>
            </w:r>
            <w:r w:rsidRPr="000B6417">
              <w:rPr>
                <w:spacing w:val="1"/>
                <w:lang w:eastAsia="en-AU"/>
              </w:rPr>
              <w:t>(91.7</w:t>
            </w:r>
            <w:r w:rsidRPr="000B6417">
              <w:rPr>
                <w:lang w:eastAsia="en-AU"/>
              </w:rPr>
              <w:t>)</w:t>
            </w:r>
          </w:p>
        </w:tc>
        <w:tc>
          <w:tcPr>
            <w:tcW w:w="1560"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9/1</w:t>
            </w:r>
            <w:r w:rsidRPr="000B6417">
              <w:rPr>
                <w:lang w:eastAsia="en-AU"/>
              </w:rPr>
              <w:t>2</w:t>
            </w:r>
            <w:r w:rsidRPr="000B6417">
              <w:rPr>
                <w:spacing w:val="-2"/>
                <w:lang w:eastAsia="en-AU"/>
              </w:rPr>
              <w:t xml:space="preserve"> </w:t>
            </w:r>
            <w:r w:rsidRPr="000B6417">
              <w:rPr>
                <w:lang w:eastAsia="en-AU"/>
              </w:rPr>
              <w:t>(75.0)</w:t>
            </w:r>
          </w:p>
        </w:tc>
        <w:tc>
          <w:tcPr>
            <w:tcW w:w="1842"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10/1</w:t>
            </w:r>
            <w:r w:rsidRPr="000B6417">
              <w:rPr>
                <w:lang w:eastAsia="en-AU"/>
              </w:rPr>
              <w:t>2</w:t>
            </w:r>
            <w:r w:rsidRPr="000B6417">
              <w:rPr>
                <w:spacing w:val="-6"/>
                <w:lang w:eastAsia="en-AU"/>
              </w:rPr>
              <w:t xml:space="preserve"> </w:t>
            </w:r>
            <w:r w:rsidRPr="000B6417">
              <w:rPr>
                <w:spacing w:val="1"/>
                <w:lang w:eastAsia="en-AU"/>
              </w:rPr>
              <w:t>(83.3</w:t>
            </w:r>
            <w:r w:rsidRPr="000B6417">
              <w:rPr>
                <w:lang w:eastAsia="en-AU"/>
              </w:rPr>
              <w:t>)</w:t>
            </w:r>
          </w:p>
        </w:tc>
        <w:tc>
          <w:tcPr>
            <w:tcW w:w="1614" w:type="dxa"/>
            <w:gridSpan w:val="2"/>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p>
        </w:tc>
      </w:tr>
      <w:tr w:rsidR="00C8707C" w:rsidTr="002E5B56">
        <w:trPr>
          <w:trHeight w:val="57"/>
        </w:trPr>
        <w:tc>
          <w:tcPr>
            <w:cnfStyle w:val="001000000000" w:firstRow="0" w:lastRow="0" w:firstColumn="1" w:lastColumn="0" w:oddVBand="0" w:evenVBand="0" w:oddHBand="0" w:evenHBand="0" w:firstRowFirstColumn="0" w:firstRowLastColumn="0" w:lastRowFirstColumn="0" w:lastRowLastColumn="0"/>
            <w:tcW w:w="2802" w:type="dxa"/>
            <w:hideMark/>
          </w:tcPr>
          <w:p w:rsidR="00C8707C" w:rsidRPr="000B6417" w:rsidRDefault="00C8707C" w:rsidP="002E5B56">
            <w:pPr>
              <w:rPr>
                <w:lang w:eastAsia="en-AU"/>
              </w:rPr>
            </w:pPr>
            <w:r w:rsidRPr="000B6417">
              <w:rPr>
                <w:lang w:eastAsia="en-AU"/>
              </w:rPr>
              <w:t>80% CI</w:t>
            </w:r>
          </w:p>
        </w:tc>
        <w:tc>
          <w:tcPr>
            <w:tcW w:w="1842"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(71.3</w:t>
            </w:r>
            <w:r w:rsidRPr="000B6417">
              <w:rPr>
                <w:lang w:eastAsia="en-AU"/>
              </w:rPr>
              <w:t>,</w:t>
            </w:r>
            <w:r w:rsidRPr="000B6417">
              <w:rPr>
                <w:spacing w:val="-4"/>
                <w:lang w:eastAsia="en-AU"/>
              </w:rPr>
              <w:t xml:space="preserve"> </w:t>
            </w:r>
            <w:r w:rsidRPr="000B6417">
              <w:rPr>
                <w:spacing w:val="1"/>
                <w:lang w:eastAsia="en-AU"/>
              </w:rPr>
              <w:t>99.1</w:t>
            </w:r>
            <w:r w:rsidRPr="000B6417">
              <w:rPr>
                <w:lang w:eastAsia="en-AU"/>
              </w:rPr>
              <w:t>)</w:t>
            </w:r>
          </w:p>
        </w:tc>
        <w:tc>
          <w:tcPr>
            <w:tcW w:w="1560"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(52.5</w:t>
            </w:r>
            <w:r w:rsidRPr="000B6417">
              <w:rPr>
                <w:lang w:eastAsia="en-AU"/>
              </w:rPr>
              <w:t>,</w:t>
            </w:r>
            <w:r w:rsidRPr="000B6417">
              <w:rPr>
                <w:spacing w:val="-4"/>
                <w:lang w:eastAsia="en-AU"/>
              </w:rPr>
              <w:t xml:space="preserve"> </w:t>
            </w:r>
            <w:r w:rsidRPr="000B6417">
              <w:rPr>
                <w:spacing w:val="1"/>
                <w:lang w:eastAsia="en-AU"/>
              </w:rPr>
              <w:t>90.4</w:t>
            </w:r>
            <w:r w:rsidRPr="000B6417">
              <w:rPr>
                <w:lang w:eastAsia="en-AU"/>
              </w:rPr>
              <w:t>)</w:t>
            </w:r>
          </w:p>
        </w:tc>
        <w:tc>
          <w:tcPr>
            <w:tcW w:w="1842"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(61.4</w:t>
            </w:r>
            <w:r w:rsidRPr="000B6417">
              <w:rPr>
                <w:lang w:eastAsia="en-AU"/>
              </w:rPr>
              <w:t>,</w:t>
            </w:r>
            <w:r w:rsidRPr="000B6417">
              <w:rPr>
                <w:spacing w:val="-4"/>
                <w:lang w:eastAsia="en-AU"/>
              </w:rPr>
              <w:t xml:space="preserve"> </w:t>
            </w:r>
            <w:r w:rsidRPr="000B6417">
              <w:rPr>
                <w:spacing w:val="1"/>
                <w:lang w:eastAsia="en-AU"/>
              </w:rPr>
              <w:t>95.5</w:t>
            </w:r>
            <w:r w:rsidRPr="000B6417">
              <w:rPr>
                <w:lang w:eastAsia="en-AU"/>
              </w:rPr>
              <w:t>)</w:t>
            </w:r>
          </w:p>
        </w:tc>
        <w:tc>
          <w:tcPr>
            <w:tcW w:w="1614"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(24.1</w:t>
            </w:r>
            <w:r w:rsidRPr="000B6417">
              <w:rPr>
                <w:lang w:eastAsia="en-AU"/>
              </w:rPr>
              <w:t>,</w:t>
            </w:r>
            <w:r w:rsidRPr="000B6417">
              <w:rPr>
                <w:spacing w:val="-4"/>
                <w:lang w:eastAsia="en-AU"/>
              </w:rPr>
              <w:t xml:space="preserve"> </w:t>
            </w:r>
            <w:r w:rsidRPr="000B6417">
              <w:rPr>
                <w:spacing w:val="1"/>
                <w:lang w:eastAsia="en-AU"/>
              </w:rPr>
              <w:t>68.2)</w:t>
            </w:r>
          </w:p>
        </w:tc>
      </w:tr>
      <w:tr w:rsidR="00C8707C" w:rsidTr="002E5B56">
        <w:trPr>
          <w:trHeight w:val="57"/>
        </w:trPr>
        <w:tc>
          <w:tcPr>
            <w:cnfStyle w:val="001000000000" w:firstRow="0" w:lastRow="0" w:firstColumn="1" w:lastColumn="0" w:oddVBand="0" w:evenVBand="0" w:oddHBand="0" w:evenHBand="0" w:firstRowFirstColumn="0" w:firstRowLastColumn="0" w:lastRowFirstColumn="0" w:lastRowLastColumn="0"/>
            <w:tcW w:w="2802" w:type="dxa"/>
            <w:hideMark/>
          </w:tcPr>
          <w:p w:rsidR="00C8707C" w:rsidRPr="000B6417" w:rsidRDefault="00C8707C" w:rsidP="002E5B56">
            <w:pPr>
              <w:rPr>
                <w:lang w:eastAsia="en-AU"/>
              </w:rPr>
            </w:pPr>
            <w:r w:rsidRPr="000B6417">
              <w:rPr>
                <w:lang w:eastAsia="en-AU"/>
              </w:rPr>
              <w:t>SVR12 Responder</w:t>
            </w:r>
            <w:r w:rsidRPr="000B6417">
              <w:rPr>
                <w:spacing w:val="-9"/>
                <w:lang w:eastAsia="en-AU"/>
              </w:rPr>
              <w:t xml:space="preserve"> </w:t>
            </w:r>
            <w:r w:rsidRPr="000B6417">
              <w:rPr>
                <w:lang w:eastAsia="en-AU"/>
              </w:rPr>
              <w:t>(%)</w:t>
            </w:r>
          </w:p>
        </w:tc>
        <w:tc>
          <w:tcPr>
            <w:tcW w:w="1842"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10/1</w:t>
            </w:r>
            <w:r w:rsidRPr="000B6417">
              <w:rPr>
                <w:lang w:eastAsia="en-AU"/>
              </w:rPr>
              <w:t>2</w:t>
            </w:r>
            <w:r w:rsidRPr="000B6417">
              <w:rPr>
                <w:spacing w:val="-4"/>
                <w:lang w:eastAsia="en-AU"/>
              </w:rPr>
              <w:t xml:space="preserve"> </w:t>
            </w:r>
            <w:r w:rsidRPr="000B6417">
              <w:rPr>
                <w:spacing w:val="1"/>
                <w:lang w:eastAsia="en-AU"/>
              </w:rPr>
              <w:t>(83.3)</w:t>
            </w:r>
          </w:p>
        </w:tc>
        <w:tc>
          <w:tcPr>
            <w:tcW w:w="1560"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10/1</w:t>
            </w:r>
            <w:r w:rsidRPr="000B6417">
              <w:rPr>
                <w:lang w:eastAsia="en-AU"/>
              </w:rPr>
              <w:t>2</w:t>
            </w:r>
            <w:r w:rsidRPr="000B6417">
              <w:rPr>
                <w:spacing w:val="-6"/>
                <w:lang w:eastAsia="en-AU"/>
              </w:rPr>
              <w:t xml:space="preserve"> </w:t>
            </w:r>
            <w:r w:rsidRPr="000B6417">
              <w:rPr>
                <w:spacing w:val="1"/>
                <w:lang w:eastAsia="en-AU"/>
              </w:rPr>
              <w:t>(83.3)</w:t>
            </w:r>
          </w:p>
        </w:tc>
        <w:tc>
          <w:tcPr>
            <w:tcW w:w="1842"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12/1</w:t>
            </w:r>
            <w:r w:rsidRPr="000B6417">
              <w:rPr>
                <w:lang w:eastAsia="en-AU"/>
              </w:rPr>
              <w:t>2</w:t>
            </w:r>
            <w:r w:rsidRPr="000B6417">
              <w:rPr>
                <w:spacing w:val="-6"/>
                <w:lang w:eastAsia="en-AU"/>
              </w:rPr>
              <w:t xml:space="preserve"> </w:t>
            </w:r>
            <w:r w:rsidRPr="000B6417">
              <w:rPr>
                <w:spacing w:val="1"/>
                <w:lang w:eastAsia="en-AU"/>
              </w:rPr>
              <w:t>(100.0)</w:t>
            </w:r>
          </w:p>
        </w:tc>
        <w:tc>
          <w:tcPr>
            <w:tcW w:w="1614"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5/1</w:t>
            </w:r>
            <w:r w:rsidRPr="000B6417">
              <w:rPr>
                <w:lang w:eastAsia="en-AU"/>
              </w:rPr>
              <w:t>1</w:t>
            </w:r>
            <w:r w:rsidRPr="000B6417">
              <w:rPr>
                <w:spacing w:val="-2"/>
                <w:lang w:eastAsia="en-AU"/>
              </w:rPr>
              <w:t xml:space="preserve"> </w:t>
            </w:r>
            <w:r w:rsidRPr="000B6417">
              <w:rPr>
                <w:lang w:eastAsia="en-AU"/>
              </w:rPr>
              <w:t>(45.5)</w:t>
            </w:r>
          </w:p>
        </w:tc>
      </w:tr>
      <w:tr w:rsidR="00C8707C" w:rsidTr="002E5B56">
        <w:trPr>
          <w:trHeight w:val="57"/>
        </w:trPr>
        <w:tc>
          <w:tcPr>
            <w:cnfStyle w:val="001000000000" w:firstRow="0" w:lastRow="0" w:firstColumn="1" w:lastColumn="0" w:oddVBand="0" w:evenVBand="0" w:oddHBand="0" w:evenHBand="0" w:firstRowFirstColumn="0" w:firstRowLastColumn="0" w:lastRowFirstColumn="0" w:lastRowLastColumn="0"/>
            <w:tcW w:w="2802" w:type="dxa"/>
            <w:hideMark/>
          </w:tcPr>
          <w:p w:rsidR="00C8707C" w:rsidRPr="000B6417" w:rsidRDefault="00C8707C" w:rsidP="002E5B56">
            <w:pPr>
              <w:rPr>
                <w:lang w:eastAsia="en-AU"/>
              </w:rPr>
            </w:pPr>
            <w:r w:rsidRPr="000B6417">
              <w:rPr>
                <w:position w:val="-1"/>
                <w:lang w:eastAsia="en-AU"/>
              </w:rPr>
              <w:t>80%</w:t>
            </w:r>
            <w:r w:rsidRPr="000B6417">
              <w:rPr>
                <w:spacing w:val="-3"/>
                <w:position w:val="-1"/>
                <w:lang w:eastAsia="en-AU"/>
              </w:rPr>
              <w:t xml:space="preserve"> </w:t>
            </w:r>
            <w:r w:rsidRPr="000B6417">
              <w:rPr>
                <w:position w:val="-1"/>
                <w:lang w:eastAsia="en-AU"/>
              </w:rPr>
              <w:t>CI</w:t>
            </w:r>
          </w:p>
        </w:tc>
        <w:tc>
          <w:tcPr>
            <w:tcW w:w="1842"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position w:val="-1"/>
                <w:lang w:eastAsia="en-AU"/>
              </w:rPr>
              <w:t>(61.4</w:t>
            </w:r>
            <w:r w:rsidRPr="000B6417">
              <w:rPr>
                <w:position w:val="-1"/>
                <w:lang w:eastAsia="en-AU"/>
              </w:rPr>
              <w:t>,</w:t>
            </w:r>
            <w:r w:rsidRPr="000B6417">
              <w:rPr>
                <w:spacing w:val="-4"/>
                <w:position w:val="-1"/>
                <w:lang w:eastAsia="en-AU"/>
              </w:rPr>
              <w:t xml:space="preserve"> </w:t>
            </w:r>
            <w:r w:rsidRPr="000B6417">
              <w:rPr>
                <w:spacing w:val="1"/>
                <w:position w:val="-1"/>
                <w:lang w:eastAsia="en-AU"/>
              </w:rPr>
              <w:t>95.5)</w:t>
            </w:r>
          </w:p>
        </w:tc>
        <w:tc>
          <w:tcPr>
            <w:tcW w:w="1560"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position w:val="-1"/>
                <w:lang w:eastAsia="en-AU"/>
              </w:rPr>
              <w:t>(61.4</w:t>
            </w:r>
            <w:r w:rsidRPr="000B6417">
              <w:rPr>
                <w:position w:val="-1"/>
                <w:lang w:eastAsia="en-AU"/>
              </w:rPr>
              <w:t>,</w:t>
            </w:r>
            <w:r w:rsidRPr="000B6417">
              <w:rPr>
                <w:spacing w:val="-4"/>
                <w:position w:val="-1"/>
                <w:lang w:eastAsia="en-AU"/>
              </w:rPr>
              <w:t xml:space="preserve"> </w:t>
            </w:r>
            <w:r w:rsidRPr="000B6417">
              <w:rPr>
                <w:spacing w:val="1"/>
                <w:position w:val="-1"/>
                <w:lang w:eastAsia="en-AU"/>
              </w:rPr>
              <w:t>95.5)</w:t>
            </w:r>
          </w:p>
        </w:tc>
        <w:tc>
          <w:tcPr>
            <w:tcW w:w="1842"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position w:val="-1"/>
                <w:lang w:eastAsia="en-AU"/>
              </w:rPr>
              <w:t>(82</w:t>
            </w:r>
            <w:r w:rsidRPr="000B6417">
              <w:rPr>
                <w:position w:val="-1"/>
                <w:lang w:eastAsia="en-AU"/>
              </w:rPr>
              <w:t>.5,</w:t>
            </w:r>
            <w:r w:rsidRPr="000B6417">
              <w:rPr>
                <w:spacing w:val="-4"/>
                <w:position w:val="-1"/>
                <w:lang w:eastAsia="en-AU"/>
              </w:rPr>
              <w:t xml:space="preserve"> </w:t>
            </w:r>
            <w:r w:rsidRPr="000B6417">
              <w:rPr>
                <w:position w:val="-1"/>
                <w:lang w:eastAsia="en-AU"/>
              </w:rPr>
              <w:t>100.0)</w:t>
            </w:r>
          </w:p>
        </w:tc>
        <w:tc>
          <w:tcPr>
            <w:tcW w:w="1614"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position w:val="-1"/>
                <w:lang w:eastAsia="en-AU"/>
              </w:rPr>
              <w:t>(24.1</w:t>
            </w:r>
            <w:r w:rsidRPr="000B6417">
              <w:rPr>
                <w:position w:val="-1"/>
                <w:lang w:eastAsia="en-AU"/>
              </w:rPr>
              <w:t>,</w:t>
            </w:r>
            <w:r w:rsidRPr="000B6417">
              <w:rPr>
                <w:spacing w:val="-4"/>
                <w:position w:val="-1"/>
                <w:lang w:eastAsia="en-AU"/>
              </w:rPr>
              <w:t xml:space="preserve"> </w:t>
            </w:r>
            <w:r w:rsidRPr="000B6417">
              <w:rPr>
                <w:spacing w:val="1"/>
                <w:position w:val="-1"/>
                <w:lang w:eastAsia="en-AU"/>
              </w:rPr>
              <w:t>68.2)</w:t>
            </w:r>
          </w:p>
        </w:tc>
      </w:tr>
      <w:tr w:rsidR="00C8707C" w:rsidTr="002E5B56">
        <w:trPr>
          <w:trHeight w:val="57"/>
        </w:trPr>
        <w:tc>
          <w:tcPr>
            <w:cnfStyle w:val="001000000000" w:firstRow="0" w:lastRow="0" w:firstColumn="1" w:lastColumn="0" w:oddVBand="0" w:evenVBand="0" w:oddHBand="0" w:evenHBand="0" w:firstRowFirstColumn="0" w:firstRowLastColumn="0" w:lastRowFirstColumn="0" w:lastRowLastColumn="0"/>
            <w:tcW w:w="2802" w:type="dxa"/>
            <w:hideMark/>
          </w:tcPr>
          <w:p w:rsidR="00C8707C" w:rsidRPr="000B6417" w:rsidRDefault="00C8707C" w:rsidP="002E5B56">
            <w:pPr>
              <w:rPr>
                <w:lang w:eastAsia="en-AU"/>
              </w:rPr>
            </w:pPr>
            <w:r w:rsidRPr="000B6417">
              <w:rPr>
                <w:lang w:eastAsia="en-AU"/>
              </w:rPr>
              <w:t>SVR24 Responder</w:t>
            </w:r>
            <w:r w:rsidRPr="000B6417">
              <w:rPr>
                <w:spacing w:val="-9"/>
                <w:lang w:eastAsia="en-AU"/>
              </w:rPr>
              <w:t xml:space="preserve"> </w:t>
            </w:r>
            <w:r w:rsidRPr="000B6417">
              <w:rPr>
                <w:lang w:eastAsia="en-AU"/>
              </w:rPr>
              <w:t>(%)</w:t>
            </w:r>
          </w:p>
        </w:tc>
        <w:tc>
          <w:tcPr>
            <w:tcW w:w="1842"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10/1</w:t>
            </w:r>
            <w:r w:rsidRPr="000B6417">
              <w:rPr>
                <w:lang w:eastAsia="en-AU"/>
              </w:rPr>
              <w:t>2</w:t>
            </w:r>
            <w:r w:rsidRPr="000B6417">
              <w:rPr>
                <w:spacing w:val="-6"/>
                <w:lang w:eastAsia="en-AU"/>
              </w:rPr>
              <w:t xml:space="preserve"> </w:t>
            </w:r>
            <w:r w:rsidRPr="000B6417">
              <w:rPr>
                <w:spacing w:val="1"/>
                <w:lang w:eastAsia="en-AU"/>
              </w:rPr>
              <w:t>(83.3)</w:t>
            </w:r>
          </w:p>
        </w:tc>
        <w:tc>
          <w:tcPr>
            <w:tcW w:w="1560"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10/1</w:t>
            </w:r>
            <w:r w:rsidRPr="000B6417">
              <w:rPr>
                <w:lang w:eastAsia="en-AU"/>
              </w:rPr>
              <w:t>2</w:t>
            </w:r>
            <w:r w:rsidRPr="000B6417">
              <w:rPr>
                <w:spacing w:val="-6"/>
                <w:lang w:eastAsia="en-AU"/>
              </w:rPr>
              <w:t xml:space="preserve"> </w:t>
            </w:r>
            <w:r w:rsidRPr="000B6417">
              <w:rPr>
                <w:spacing w:val="1"/>
                <w:lang w:eastAsia="en-AU"/>
              </w:rPr>
              <w:t>(83.3)</w:t>
            </w:r>
          </w:p>
        </w:tc>
        <w:tc>
          <w:tcPr>
            <w:tcW w:w="1842"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11/1</w:t>
            </w:r>
            <w:r w:rsidRPr="000B6417">
              <w:rPr>
                <w:lang w:eastAsia="en-AU"/>
              </w:rPr>
              <w:t>2</w:t>
            </w:r>
            <w:r w:rsidRPr="000B6417">
              <w:rPr>
                <w:spacing w:val="-6"/>
                <w:lang w:eastAsia="en-AU"/>
              </w:rPr>
              <w:t xml:space="preserve"> </w:t>
            </w:r>
            <w:r w:rsidRPr="000B6417">
              <w:rPr>
                <w:spacing w:val="1"/>
                <w:lang w:eastAsia="en-AU"/>
              </w:rPr>
              <w:t>(91.7)</w:t>
            </w:r>
          </w:p>
        </w:tc>
        <w:tc>
          <w:tcPr>
            <w:tcW w:w="1614"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5/1</w:t>
            </w:r>
            <w:r w:rsidRPr="000B6417">
              <w:rPr>
                <w:lang w:eastAsia="en-AU"/>
              </w:rPr>
              <w:t>1</w:t>
            </w:r>
            <w:r w:rsidRPr="000B6417">
              <w:rPr>
                <w:spacing w:val="-2"/>
                <w:lang w:eastAsia="en-AU"/>
              </w:rPr>
              <w:t xml:space="preserve"> </w:t>
            </w:r>
            <w:r w:rsidRPr="000B6417">
              <w:rPr>
                <w:lang w:eastAsia="en-AU"/>
              </w:rPr>
              <w:t>(45.5)</w:t>
            </w:r>
          </w:p>
        </w:tc>
      </w:tr>
      <w:tr w:rsidR="00C8707C" w:rsidTr="002E5B56">
        <w:trPr>
          <w:trHeight w:val="57"/>
        </w:trPr>
        <w:tc>
          <w:tcPr>
            <w:cnfStyle w:val="001000000000" w:firstRow="0" w:lastRow="0" w:firstColumn="1" w:lastColumn="0" w:oddVBand="0" w:evenVBand="0" w:oddHBand="0" w:evenHBand="0" w:firstRowFirstColumn="0" w:firstRowLastColumn="0" w:lastRowFirstColumn="0" w:lastRowLastColumn="0"/>
            <w:tcW w:w="2802" w:type="dxa"/>
            <w:hideMark/>
          </w:tcPr>
          <w:p w:rsidR="00C8707C" w:rsidRPr="000B6417" w:rsidRDefault="00C8707C" w:rsidP="002E5B56">
            <w:pPr>
              <w:rPr>
                <w:lang w:eastAsia="en-AU"/>
              </w:rPr>
            </w:pPr>
            <w:r w:rsidRPr="000B6417">
              <w:rPr>
                <w:lang w:eastAsia="en-AU"/>
              </w:rPr>
              <w:t>80%</w:t>
            </w:r>
            <w:r w:rsidRPr="000B6417">
              <w:rPr>
                <w:spacing w:val="-3"/>
                <w:lang w:eastAsia="en-AU"/>
              </w:rPr>
              <w:t xml:space="preserve"> </w:t>
            </w:r>
            <w:r w:rsidRPr="000B6417">
              <w:rPr>
                <w:lang w:eastAsia="en-AU"/>
              </w:rPr>
              <w:t>CI</w:t>
            </w:r>
          </w:p>
        </w:tc>
        <w:tc>
          <w:tcPr>
            <w:tcW w:w="1842"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w:t>
            </w:r>
            <w:r w:rsidRPr="000B6417">
              <w:rPr>
                <w:lang w:eastAsia="en-AU"/>
              </w:rPr>
              <w:t>61.4,</w:t>
            </w:r>
            <w:r w:rsidRPr="000B6417">
              <w:rPr>
                <w:spacing w:val="-4"/>
                <w:lang w:eastAsia="en-AU"/>
              </w:rPr>
              <w:t xml:space="preserve"> </w:t>
            </w:r>
            <w:r w:rsidRPr="000B6417">
              <w:rPr>
                <w:lang w:eastAsia="en-AU"/>
              </w:rPr>
              <w:t>95.5)</w:t>
            </w:r>
          </w:p>
        </w:tc>
        <w:tc>
          <w:tcPr>
            <w:tcW w:w="1560"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(61.4</w:t>
            </w:r>
            <w:r w:rsidRPr="000B6417">
              <w:rPr>
                <w:lang w:eastAsia="en-AU"/>
              </w:rPr>
              <w:t>,</w:t>
            </w:r>
            <w:r w:rsidRPr="000B6417">
              <w:rPr>
                <w:spacing w:val="-4"/>
                <w:lang w:eastAsia="en-AU"/>
              </w:rPr>
              <w:t xml:space="preserve"> </w:t>
            </w:r>
            <w:r w:rsidRPr="000B6417">
              <w:rPr>
                <w:spacing w:val="1"/>
                <w:lang w:eastAsia="en-AU"/>
              </w:rPr>
              <w:t>95.5)</w:t>
            </w:r>
          </w:p>
        </w:tc>
        <w:tc>
          <w:tcPr>
            <w:tcW w:w="1842"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(71.3</w:t>
            </w:r>
            <w:r w:rsidRPr="000B6417">
              <w:rPr>
                <w:lang w:eastAsia="en-AU"/>
              </w:rPr>
              <w:t>,</w:t>
            </w:r>
            <w:r w:rsidRPr="000B6417">
              <w:rPr>
                <w:spacing w:val="-4"/>
                <w:lang w:eastAsia="en-AU"/>
              </w:rPr>
              <w:t xml:space="preserve"> </w:t>
            </w:r>
            <w:r w:rsidRPr="000B6417">
              <w:rPr>
                <w:spacing w:val="1"/>
                <w:lang w:eastAsia="en-AU"/>
              </w:rPr>
              <w:t>99.1)</w:t>
            </w:r>
          </w:p>
        </w:tc>
        <w:tc>
          <w:tcPr>
            <w:tcW w:w="1614"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(24.1</w:t>
            </w:r>
            <w:r w:rsidRPr="000B6417">
              <w:rPr>
                <w:lang w:eastAsia="en-AU"/>
              </w:rPr>
              <w:t>,</w:t>
            </w:r>
            <w:r w:rsidRPr="000B6417">
              <w:rPr>
                <w:spacing w:val="-4"/>
                <w:lang w:eastAsia="en-AU"/>
              </w:rPr>
              <w:t xml:space="preserve"> </w:t>
            </w:r>
            <w:r w:rsidRPr="000B6417">
              <w:rPr>
                <w:spacing w:val="1"/>
                <w:lang w:eastAsia="en-AU"/>
              </w:rPr>
              <w:t>68.2)</w:t>
            </w:r>
          </w:p>
        </w:tc>
      </w:tr>
      <w:tr w:rsidR="00C8707C" w:rsidTr="002E5B56">
        <w:trPr>
          <w:trHeight w:val="57"/>
        </w:trPr>
        <w:tc>
          <w:tcPr>
            <w:cnfStyle w:val="001000000000" w:firstRow="0" w:lastRow="0" w:firstColumn="1" w:lastColumn="0" w:oddVBand="0" w:evenVBand="0" w:oddHBand="0" w:evenHBand="0" w:firstRowFirstColumn="0" w:firstRowLastColumn="0" w:lastRowFirstColumn="0" w:lastRowLastColumn="0"/>
            <w:tcW w:w="2802" w:type="dxa"/>
            <w:hideMark/>
          </w:tcPr>
          <w:p w:rsidR="00C8707C" w:rsidRPr="000B6417" w:rsidRDefault="00C8707C" w:rsidP="002E5B56">
            <w:pPr>
              <w:rPr>
                <w:lang w:eastAsia="en-AU"/>
              </w:rPr>
            </w:pPr>
            <w:proofErr w:type="spellStart"/>
            <w:r w:rsidRPr="000B6417">
              <w:rPr>
                <w:bCs/>
                <w:lang w:eastAsia="en-AU"/>
              </w:rPr>
              <w:t>Virologic</w:t>
            </w:r>
            <w:proofErr w:type="spellEnd"/>
            <w:r w:rsidRPr="000B6417">
              <w:rPr>
                <w:bCs/>
                <w:spacing w:val="-7"/>
                <w:lang w:eastAsia="en-AU"/>
              </w:rPr>
              <w:t xml:space="preserve"> </w:t>
            </w:r>
            <w:r w:rsidRPr="000B6417">
              <w:rPr>
                <w:bCs/>
                <w:lang w:eastAsia="en-AU"/>
              </w:rPr>
              <w:t xml:space="preserve">Failure </w:t>
            </w:r>
            <w:r w:rsidRPr="000B6417">
              <w:rPr>
                <w:bCs/>
                <w:vertAlign w:val="superscript"/>
                <w:lang w:eastAsia="en-AU"/>
              </w:rPr>
              <w:t>a</w:t>
            </w:r>
            <w:r w:rsidRPr="000B6417">
              <w:rPr>
                <w:bCs/>
                <w:spacing w:val="34"/>
                <w:vertAlign w:val="superscript"/>
                <w:lang w:eastAsia="en-AU"/>
              </w:rPr>
              <w:t xml:space="preserve"> </w:t>
            </w:r>
            <w:r w:rsidRPr="000B6417">
              <w:rPr>
                <w:bCs/>
                <w:lang w:eastAsia="en-AU"/>
              </w:rPr>
              <w:t>(Treated Subjects)</w:t>
            </w:r>
          </w:p>
        </w:tc>
        <w:tc>
          <w:tcPr>
            <w:tcW w:w="1842"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3 </w:t>
            </w:r>
            <w:r w:rsidRPr="000B6417">
              <w:rPr>
                <w:spacing w:val="1"/>
                <w:lang w:eastAsia="en-AU"/>
              </w:rPr>
              <w:t>(25.0)</w:t>
            </w:r>
          </w:p>
        </w:tc>
        <w:tc>
          <w:tcPr>
            <w:tcW w:w="1560"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2 </w:t>
            </w:r>
            <w:r w:rsidRPr="000B6417">
              <w:rPr>
                <w:spacing w:val="1"/>
                <w:lang w:eastAsia="en-AU"/>
              </w:rPr>
              <w:t>(16.7)</w:t>
            </w:r>
          </w:p>
        </w:tc>
        <w:tc>
          <w:tcPr>
            <w:tcW w:w="1842"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3 </w:t>
            </w:r>
            <w:r w:rsidRPr="000B6417">
              <w:rPr>
                <w:spacing w:val="1"/>
                <w:lang w:eastAsia="en-AU"/>
              </w:rPr>
              <w:t>(25.0)</w:t>
            </w:r>
          </w:p>
        </w:tc>
        <w:tc>
          <w:tcPr>
            <w:tcW w:w="1614"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7 </w:t>
            </w:r>
            <w:r w:rsidRPr="000B6417">
              <w:rPr>
                <w:spacing w:val="1"/>
                <w:lang w:eastAsia="en-AU"/>
              </w:rPr>
              <w:t>(63.6)</w:t>
            </w:r>
          </w:p>
        </w:tc>
      </w:tr>
      <w:tr w:rsidR="00C8707C" w:rsidTr="002E5B56">
        <w:trPr>
          <w:trHeight w:val="57"/>
        </w:trPr>
        <w:tc>
          <w:tcPr>
            <w:cnfStyle w:val="001000000000" w:firstRow="0" w:lastRow="0" w:firstColumn="1" w:lastColumn="0" w:oddVBand="0" w:evenVBand="0" w:oddHBand="0" w:evenHBand="0" w:firstRowFirstColumn="0" w:firstRowLastColumn="0" w:lastRowFirstColumn="0" w:lastRowLastColumn="0"/>
            <w:tcW w:w="2802" w:type="dxa"/>
            <w:hideMark/>
          </w:tcPr>
          <w:p w:rsidR="00C8707C" w:rsidRPr="000B6417" w:rsidRDefault="00C8707C" w:rsidP="002E5B56">
            <w:pPr>
              <w:rPr>
                <w:lang w:eastAsia="en-AU"/>
              </w:rPr>
            </w:pPr>
            <w:proofErr w:type="spellStart"/>
            <w:r w:rsidRPr="000B6417">
              <w:rPr>
                <w:lang w:eastAsia="en-AU"/>
              </w:rPr>
              <w:t>Virologic</w:t>
            </w:r>
            <w:proofErr w:type="spellEnd"/>
            <w:r w:rsidRPr="000B6417">
              <w:rPr>
                <w:spacing w:val="-8"/>
                <w:lang w:eastAsia="en-AU"/>
              </w:rPr>
              <w:t xml:space="preserve"> </w:t>
            </w:r>
            <w:r w:rsidRPr="000B6417">
              <w:rPr>
                <w:lang w:eastAsia="en-AU"/>
              </w:rPr>
              <w:t>failure,</w:t>
            </w:r>
            <w:r w:rsidRPr="000B6417">
              <w:rPr>
                <w:spacing w:val="-6"/>
                <w:lang w:eastAsia="en-AU"/>
              </w:rPr>
              <w:t xml:space="preserve"> </w:t>
            </w:r>
            <w:r w:rsidRPr="000B6417">
              <w:rPr>
                <w:spacing w:val="1"/>
                <w:lang w:eastAsia="en-AU"/>
              </w:rPr>
              <w:t>o</w:t>
            </w:r>
            <w:r w:rsidRPr="000B6417">
              <w:rPr>
                <w:spacing w:val="-1"/>
                <w:lang w:eastAsia="en-AU"/>
              </w:rPr>
              <w:t>n</w:t>
            </w:r>
            <w:r w:rsidRPr="000B6417">
              <w:rPr>
                <w:spacing w:val="1"/>
                <w:lang w:eastAsia="en-AU"/>
              </w:rPr>
              <w:t>-</w:t>
            </w:r>
            <w:r w:rsidRPr="000B6417">
              <w:rPr>
                <w:lang w:eastAsia="en-AU"/>
              </w:rPr>
              <w:t>treatment</w:t>
            </w:r>
          </w:p>
        </w:tc>
        <w:tc>
          <w:tcPr>
            <w:tcW w:w="1842"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1 </w:t>
            </w:r>
            <w:r w:rsidRPr="000B6417">
              <w:rPr>
                <w:spacing w:val="1"/>
                <w:w w:val="99"/>
                <w:lang w:eastAsia="en-AU"/>
              </w:rPr>
              <w:t>(8.3)</w:t>
            </w:r>
          </w:p>
        </w:tc>
        <w:tc>
          <w:tcPr>
            <w:tcW w:w="1560"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1 </w:t>
            </w:r>
            <w:r w:rsidRPr="000B6417">
              <w:rPr>
                <w:spacing w:val="1"/>
                <w:lang w:eastAsia="en-AU"/>
              </w:rPr>
              <w:t>(8.3)</w:t>
            </w:r>
          </w:p>
        </w:tc>
        <w:tc>
          <w:tcPr>
            <w:tcW w:w="1842"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1 </w:t>
            </w:r>
            <w:r w:rsidRPr="000B6417">
              <w:rPr>
                <w:spacing w:val="1"/>
                <w:w w:val="99"/>
                <w:lang w:eastAsia="en-AU"/>
              </w:rPr>
              <w:t>(8.3)</w:t>
            </w:r>
          </w:p>
        </w:tc>
        <w:tc>
          <w:tcPr>
            <w:tcW w:w="1614"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5 </w:t>
            </w:r>
            <w:r w:rsidRPr="000B6417">
              <w:rPr>
                <w:spacing w:val="1"/>
                <w:lang w:eastAsia="en-AU"/>
              </w:rPr>
              <w:t>(45.5)</w:t>
            </w:r>
          </w:p>
        </w:tc>
      </w:tr>
      <w:tr w:rsidR="00C8707C" w:rsidTr="002E5B56">
        <w:trPr>
          <w:trHeight w:val="57"/>
        </w:trPr>
        <w:tc>
          <w:tcPr>
            <w:cnfStyle w:val="001000000000" w:firstRow="0" w:lastRow="0" w:firstColumn="1" w:lastColumn="0" w:oddVBand="0" w:evenVBand="0" w:oddHBand="0" w:evenHBand="0" w:firstRowFirstColumn="0" w:firstRowLastColumn="0" w:lastRowFirstColumn="0" w:lastRowLastColumn="0"/>
            <w:tcW w:w="2802" w:type="dxa"/>
            <w:hideMark/>
          </w:tcPr>
          <w:p w:rsidR="00C8707C" w:rsidRPr="000B6417" w:rsidRDefault="00C8707C" w:rsidP="002E5B56">
            <w:pPr>
              <w:rPr>
                <w:lang w:eastAsia="en-AU"/>
              </w:rPr>
            </w:pPr>
            <w:r w:rsidRPr="000B6417">
              <w:rPr>
                <w:lang w:eastAsia="en-AU"/>
              </w:rPr>
              <w:t>Relapse</w:t>
            </w:r>
          </w:p>
        </w:tc>
        <w:tc>
          <w:tcPr>
            <w:tcW w:w="1842"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2 </w:t>
            </w:r>
            <w:r w:rsidRPr="000B6417">
              <w:rPr>
                <w:spacing w:val="1"/>
                <w:lang w:eastAsia="en-AU"/>
              </w:rPr>
              <w:t>(16.7)</w:t>
            </w:r>
          </w:p>
        </w:tc>
        <w:tc>
          <w:tcPr>
            <w:tcW w:w="1560"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1 </w:t>
            </w:r>
            <w:r w:rsidRPr="000B6417">
              <w:rPr>
                <w:spacing w:val="1"/>
                <w:lang w:eastAsia="en-AU"/>
              </w:rPr>
              <w:t>(8.3)</w:t>
            </w:r>
          </w:p>
        </w:tc>
        <w:tc>
          <w:tcPr>
            <w:tcW w:w="1842"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2 </w:t>
            </w:r>
            <w:r w:rsidRPr="000B6417">
              <w:rPr>
                <w:spacing w:val="1"/>
                <w:lang w:eastAsia="en-AU"/>
              </w:rPr>
              <w:t>(16.7)</w:t>
            </w:r>
          </w:p>
        </w:tc>
        <w:tc>
          <w:tcPr>
            <w:tcW w:w="1614" w:type="dxa"/>
            <w:gridSpan w:val="2"/>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2 </w:t>
            </w:r>
            <w:r w:rsidRPr="000B6417">
              <w:rPr>
                <w:spacing w:val="1"/>
                <w:lang w:eastAsia="en-AU"/>
              </w:rPr>
              <w:t>(18.2)</w:t>
            </w:r>
          </w:p>
        </w:tc>
      </w:tr>
    </w:tbl>
    <w:p w:rsidR="00C8707C" w:rsidRDefault="00C8707C" w:rsidP="002E5B56">
      <w:pPr>
        <w:pStyle w:val="TableDescription"/>
      </w:pPr>
      <w:r>
        <w:t xml:space="preserve">a </w:t>
      </w:r>
      <w:proofErr w:type="spellStart"/>
      <w:r>
        <w:t>Virologic</w:t>
      </w:r>
      <w:proofErr w:type="spellEnd"/>
      <w:r>
        <w:t xml:space="preserve"> failure is defined as 1) </w:t>
      </w:r>
      <w:proofErr w:type="spellStart"/>
      <w:r>
        <w:t>virologic</w:t>
      </w:r>
      <w:proofErr w:type="spellEnd"/>
      <w:r>
        <w:t xml:space="preserve"> breakthrough, 2) &lt; 1 log10 decrease in HCV RNA from baseline at Week 4 of treatment, 3) failure to achieve EVR, 4) detectable HCV RNA at Week 12 and HCV RNA </w:t>
      </w:r>
      <w:r>
        <w:rPr>
          <w:rFonts w:cs="Symbol"/>
        </w:rPr>
        <w:t xml:space="preserve">≥ </w:t>
      </w:r>
      <w:r>
        <w:t xml:space="preserve">LOQ at Week 24 of treatment, 5) detectable HCV RNA at End of Treatment (EOT) including early discontinuation, or 6) relapse, categorised by the earliest </w:t>
      </w:r>
      <w:proofErr w:type="spellStart"/>
      <w:r>
        <w:t>virologic</w:t>
      </w:r>
      <w:proofErr w:type="spellEnd"/>
      <w:r>
        <w:t xml:space="preserve"> failure event in the study.</w:t>
      </w:r>
    </w:p>
    <w:p w:rsidR="00C8707C" w:rsidRDefault="00C8707C" w:rsidP="00C8707C">
      <w:pPr>
        <w:pStyle w:val="FigureTitle"/>
      </w:pPr>
      <w:bookmarkStart w:id="198" w:name="_Toc401664149"/>
      <w:r>
        <w:lastRenderedPageBreak/>
        <w:t>Figure 2: Study AI447016: Undetectable HCV RNA Endpoints, Stage 1 - Modified ITT - Treated Subjects</w:t>
      </w:r>
      <w:bookmarkEnd w:id="198"/>
    </w:p>
    <w:p w:rsidR="00C8707C" w:rsidRDefault="00FC18E9" w:rsidP="002E5B56">
      <w:pPr>
        <w:rPr>
          <w:szCs w:val="24"/>
        </w:rPr>
      </w:pPr>
      <w:r>
        <w:rPr>
          <w:noProof/>
          <w:lang w:eastAsia="en-AU"/>
        </w:rPr>
        <w:drawing>
          <wp:inline distT="0" distB="0" distL="0" distR="0" wp14:anchorId="3C4D6391" wp14:editId="7FF19660">
            <wp:extent cx="4524375" cy="4352925"/>
            <wp:effectExtent l="19050" t="19050" r="28575" b="28575"/>
            <wp:docPr id="3" name="Picture 3" descr="Figure 2: Study AI447016: Undetectable HCV RNA Endpoints, Stage 1 - Modified ITT - Treated Subj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2: Study AI447016: Undetectable HCV RNA Endpoints, Stage 1 - Modified ITT - Treated Subjects"/>
                    <pic:cNvPicPr>
                      <a:picLocks noChangeAspect="1" noChangeArrowheads="1"/>
                    </pic:cNvPicPr>
                  </pic:nvPicPr>
                  <pic:blipFill>
                    <a:blip r:embed="rId16">
                      <a:lum bright="-20000" contrast="40000"/>
                      <a:extLst>
                        <a:ext uri="{28A0092B-C50C-407E-A947-70E740481C1C}">
                          <a14:useLocalDpi xmlns:a14="http://schemas.microsoft.com/office/drawing/2010/main" val="0"/>
                        </a:ext>
                      </a:extLst>
                    </a:blip>
                    <a:srcRect/>
                    <a:stretch>
                      <a:fillRect/>
                    </a:stretch>
                  </pic:blipFill>
                  <pic:spPr bwMode="auto">
                    <a:xfrm>
                      <a:off x="0" y="0"/>
                      <a:ext cx="4524375" cy="4352925"/>
                    </a:xfrm>
                    <a:prstGeom prst="rect">
                      <a:avLst/>
                    </a:prstGeom>
                    <a:noFill/>
                    <a:ln w="6350" cmpd="sng">
                      <a:solidFill>
                        <a:srgbClr val="000000"/>
                      </a:solidFill>
                      <a:miter lim="800000"/>
                      <a:headEnd/>
                      <a:tailEnd/>
                    </a:ln>
                    <a:effectLst/>
                  </pic:spPr>
                </pic:pic>
              </a:graphicData>
            </a:graphic>
          </wp:inline>
        </w:drawing>
      </w:r>
    </w:p>
    <w:p w:rsidR="00C8707C" w:rsidRDefault="00C8707C" w:rsidP="00C8707C">
      <w:pPr>
        <w:pStyle w:val="Heading6"/>
        <w:numPr>
          <w:ilvl w:val="4"/>
          <w:numId w:val="5"/>
        </w:numPr>
        <w:ind w:left="1702" w:hanging="1418"/>
      </w:pPr>
      <w:r>
        <w:t>Stage 2</w:t>
      </w:r>
    </w:p>
    <w:p w:rsidR="00C8707C" w:rsidRDefault="00C8707C" w:rsidP="00C8707C">
      <w:pPr>
        <w:pStyle w:val="Heading6"/>
        <w:numPr>
          <w:ilvl w:val="0"/>
          <w:numId w:val="0"/>
        </w:numPr>
        <w:ind w:left="1702" w:hanging="1418"/>
        <w:rPr>
          <w:rFonts w:eastAsia="TimesNewRoman"/>
        </w:rPr>
      </w:pPr>
      <w:r>
        <w:rPr>
          <w:rFonts w:eastAsia="TimesNewRoman"/>
        </w:rPr>
        <w:t>Genotype I group</w:t>
      </w:r>
    </w:p>
    <w:p w:rsidR="00C8707C" w:rsidRPr="009D6F1F" w:rsidRDefault="00C8707C" w:rsidP="00C8707C">
      <w:r w:rsidRPr="009D6F1F">
        <w:t xml:space="preserve">In subjects with GT-1, </w:t>
      </w:r>
      <w:proofErr w:type="spellStart"/>
      <w:r w:rsidRPr="009D6F1F">
        <w:t>virologic</w:t>
      </w:r>
      <w:proofErr w:type="spellEnd"/>
      <w:r w:rsidRPr="009D6F1F">
        <w:t xml:space="preserve"> response rates during treatment and SVR rates during follow-up in the ASV group (ASV/</w:t>
      </w:r>
      <w:proofErr w:type="spellStart"/>
      <w:r w:rsidRPr="009D6F1F">
        <w:t>pegIFN</w:t>
      </w:r>
      <w:proofErr w:type="spellEnd"/>
      <w:r w:rsidRPr="009D6F1F">
        <w:t>α/RBV) were numerically higher than those in the placebo (</w:t>
      </w:r>
      <w:proofErr w:type="spellStart"/>
      <w:r w:rsidRPr="009D6F1F">
        <w:t>pegIFN</w:t>
      </w:r>
      <w:proofErr w:type="spellEnd"/>
      <w:r w:rsidRPr="009D6F1F">
        <w:t>α/RBV only) group:</w:t>
      </w:r>
    </w:p>
    <w:p w:rsidR="00C8707C" w:rsidRDefault="00C8707C" w:rsidP="00C8707C">
      <w:pPr>
        <w:pStyle w:val="ListBullet"/>
        <w:numPr>
          <w:ilvl w:val="0"/>
          <w:numId w:val="1"/>
        </w:numPr>
      </w:pPr>
      <w:r>
        <w:t xml:space="preserve">Subjects with GT-1 exhibited greater early virology response than placebo in inducing </w:t>
      </w:r>
      <w:proofErr w:type="spellStart"/>
      <w:r>
        <w:t>eRVR</w:t>
      </w:r>
      <w:proofErr w:type="spellEnd"/>
      <w:r>
        <w:t>. Extended RVR rates were numerically higher in the ASV treatment groups (66.7%) compared with the placebo group (5.6%).</w:t>
      </w:r>
    </w:p>
    <w:p w:rsidR="00C8707C" w:rsidRDefault="00C8707C" w:rsidP="00C8707C">
      <w:pPr>
        <w:pStyle w:val="ListBullet"/>
        <w:numPr>
          <w:ilvl w:val="0"/>
          <w:numId w:val="1"/>
        </w:numPr>
      </w:pPr>
      <w:r>
        <w:t>The rates for SVR24 were also numerically higher for the ASV group (63.5%) compared with the placebo group (44.4%).</w:t>
      </w:r>
    </w:p>
    <w:p w:rsidR="00C8707C" w:rsidRDefault="00C8707C" w:rsidP="00C8707C">
      <w:pPr>
        <w:tabs>
          <w:tab w:val="left" w:pos="720"/>
        </w:tabs>
        <w:autoSpaceDE w:val="0"/>
        <w:autoSpaceDN w:val="0"/>
        <w:adjustRightInd w:val="0"/>
        <w:rPr>
          <w:rFonts w:eastAsia="TimesNewRoman" w:cs="TimesNewRoman"/>
          <w:color w:val="000000"/>
        </w:rPr>
      </w:pPr>
      <w:r>
        <w:rPr>
          <w:rFonts w:eastAsia="TimesNewRoman" w:cs="TimesNewRoman"/>
        </w:rPr>
        <w:t>ASV-treated subjects who achieved a PDR (HCV RNA &lt; LOQ at Week 4 and undetectable HCV RNA at Week 10) in both of these groups had a 66.7% to 73.1% chance of achieving SVR24. The 12W plus 12W placebo group demonstrated a slightly higher response (73.1%) at SVR24 than the 24W ASV group (66.7%).</w:t>
      </w:r>
    </w:p>
    <w:p w:rsidR="00C8707C" w:rsidRDefault="00C8707C" w:rsidP="00C8707C">
      <w:pPr>
        <w:tabs>
          <w:tab w:val="left" w:pos="720"/>
        </w:tabs>
        <w:autoSpaceDE w:val="0"/>
        <w:autoSpaceDN w:val="0"/>
        <w:adjustRightInd w:val="0"/>
        <w:rPr>
          <w:rFonts w:eastAsia="TimesNewRoman" w:cs="TimesNewRoman"/>
        </w:rPr>
      </w:pPr>
      <w:r>
        <w:rPr>
          <w:rFonts w:eastAsia="TimesNewRoman" w:cs="TimesNewRoman"/>
        </w:rPr>
        <w:t>Concordance (defined as [number of responders at both time points + number of non-responders at both time points] divided by total number of subjects with non-missing data at both time points) between SVR12 with SVR24 for subjects with GT-1, based on the criteria HCV RNA &lt; LLOQ, target not detected (TND) or target detected (TD), was 97.1% and 97.6% in the ASV and placebo groups, respectively.</w:t>
      </w:r>
    </w:p>
    <w:p w:rsidR="002C4CAD" w:rsidRDefault="00C8707C" w:rsidP="00C8707C">
      <w:pPr>
        <w:tabs>
          <w:tab w:val="left" w:pos="720"/>
        </w:tabs>
        <w:autoSpaceDE w:val="0"/>
        <w:autoSpaceDN w:val="0"/>
        <w:adjustRightInd w:val="0"/>
        <w:rPr>
          <w:rFonts w:eastAsia="TimesNewRoman" w:cs="TimesNewRoman"/>
        </w:rPr>
      </w:pPr>
      <w:proofErr w:type="spellStart"/>
      <w:r>
        <w:rPr>
          <w:rFonts w:eastAsia="TimesNewRoman" w:cs="TimesNewRoman"/>
        </w:rPr>
        <w:lastRenderedPageBreak/>
        <w:t>Virologic</w:t>
      </w:r>
      <w:proofErr w:type="spellEnd"/>
      <w:r>
        <w:rPr>
          <w:rFonts w:eastAsia="TimesNewRoman" w:cs="TimesNewRoman"/>
        </w:rPr>
        <w:t xml:space="preserve"> failure on-treatment was more frequent in the placebo group (12 [22.2%]) than the ASV group (16 [10.1%] subjects). </w:t>
      </w:r>
      <w:proofErr w:type="spellStart"/>
      <w:proofErr w:type="gramStart"/>
      <w:r>
        <w:rPr>
          <w:rFonts w:eastAsia="TimesNewRoman" w:cs="TimesNewRoman"/>
        </w:rPr>
        <w:t>Virologic</w:t>
      </w:r>
      <w:proofErr w:type="spellEnd"/>
      <w:r>
        <w:rPr>
          <w:rFonts w:eastAsia="TimesNewRoman" w:cs="TimesNewRoman"/>
        </w:rPr>
        <w:t xml:space="preserve"> failures on-treatment in the ASV group included </w:t>
      </w:r>
      <w:proofErr w:type="spellStart"/>
      <w:r>
        <w:rPr>
          <w:rFonts w:eastAsia="TimesNewRoman" w:cs="TimesNewRoman"/>
        </w:rPr>
        <w:t>virologic</w:t>
      </w:r>
      <w:proofErr w:type="spellEnd"/>
      <w:r>
        <w:rPr>
          <w:rFonts w:eastAsia="TimesNewRoman" w:cs="TimesNewRoman"/>
        </w:rPr>
        <w:t xml:space="preserve"> breakthrough (VBT) (6.3%) or detectable HCV RNA at end of treatment (EOT) (3.8%).</w:t>
      </w:r>
      <w:proofErr w:type="gramEnd"/>
    </w:p>
    <w:p w:rsidR="00C8707C" w:rsidRDefault="00C8707C" w:rsidP="00C8707C">
      <w:pPr>
        <w:tabs>
          <w:tab w:val="left" w:pos="720"/>
        </w:tabs>
        <w:autoSpaceDE w:val="0"/>
        <w:autoSpaceDN w:val="0"/>
        <w:adjustRightInd w:val="0"/>
        <w:rPr>
          <w:rFonts w:eastAsia="TimesNewRoman" w:cs="TimesNewRoman"/>
        </w:rPr>
      </w:pPr>
      <w:r>
        <w:rPr>
          <w:rFonts w:eastAsia="TimesNewRoman" w:cs="TimesNewRoman"/>
        </w:rPr>
        <w:t xml:space="preserve">In the placebo group, </w:t>
      </w:r>
      <w:proofErr w:type="spellStart"/>
      <w:r>
        <w:rPr>
          <w:rFonts w:eastAsia="TimesNewRoman" w:cs="TimesNewRoman"/>
        </w:rPr>
        <w:t>virologic</w:t>
      </w:r>
      <w:proofErr w:type="spellEnd"/>
      <w:r>
        <w:rPr>
          <w:rFonts w:eastAsia="TimesNewRoman" w:cs="TimesNewRoman"/>
        </w:rPr>
        <w:t xml:space="preserve"> failure was due to &lt; 1 log</w:t>
      </w:r>
      <w:r>
        <w:rPr>
          <w:rFonts w:eastAsia="TimesNewRoman" w:cs="TimesNewRoman"/>
          <w:vertAlign w:val="subscript"/>
        </w:rPr>
        <w:t>10</w:t>
      </w:r>
      <w:r>
        <w:rPr>
          <w:rFonts w:eastAsia="TimesNewRoman" w:cs="TimesNewRoman"/>
        </w:rPr>
        <w:t xml:space="preserve"> HCV RNA decrease from baseline at Week 4 (11.1%), failure to achieve EVR (5.6%), or detectable HCV RNA at Week 12 and HCV RNA ≥ LOQ at Week 24 (5.6%). A greater number of subjects (14 [53.8%]) in the 12W ASV plus 36W placebo group had </w:t>
      </w:r>
      <w:proofErr w:type="spellStart"/>
      <w:r>
        <w:rPr>
          <w:rFonts w:eastAsia="TimesNewRoman" w:cs="TimesNewRoman"/>
        </w:rPr>
        <w:t>virologic</w:t>
      </w:r>
      <w:proofErr w:type="spellEnd"/>
      <w:r>
        <w:rPr>
          <w:rFonts w:eastAsia="TimesNewRoman" w:cs="TimesNewRoman"/>
        </w:rPr>
        <w:t xml:space="preserve"> failure than the 24W ASV and 12W ASV plus 12W placebo groups (17 [25.8%] and 17 [25.4%], respectively).</w:t>
      </w:r>
    </w:p>
    <w:p w:rsidR="00C8707C" w:rsidRDefault="00C8707C" w:rsidP="00C8707C">
      <w:pPr>
        <w:tabs>
          <w:tab w:val="left" w:pos="720"/>
        </w:tabs>
        <w:autoSpaceDE w:val="0"/>
        <w:autoSpaceDN w:val="0"/>
        <w:adjustRightInd w:val="0"/>
        <w:rPr>
          <w:rFonts w:eastAsia="TimesNewRoman" w:cs="TimesNewRoman"/>
        </w:rPr>
      </w:pPr>
      <w:r>
        <w:rPr>
          <w:rFonts w:eastAsia="TimesNewRoman" w:cs="TimesNewRoman"/>
        </w:rPr>
        <w:t xml:space="preserve">Based on the SVR24 outcomes analysis, 58 (36.5%) subjects in the ASV group and 30 (55.6%) in the placebo group had </w:t>
      </w:r>
      <w:proofErr w:type="spellStart"/>
      <w:r>
        <w:rPr>
          <w:rFonts w:eastAsia="TimesNewRoman" w:cs="TimesNewRoman"/>
        </w:rPr>
        <w:t>virologic</w:t>
      </w:r>
      <w:proofErr w:type="spellEnd"/>
      <w:r>
        <w:rPr>
          <w:rFonts w:eastAsia="TimesNewRoman" w:cs="TimesNewRoman"/>
        </w:rPr>
        <w:t xml:space="preserve"> failure. Relapse rates (among subjects who had HCV RNA &lt; LLOQ, TND at EOT) were 18.4% (26/141) in the ASV group and 30.2% (13/43) in the placebo group. In Stage 2, 6.3% (10/159) subjects had VBT in the ASV group; no subject in the placebo group had VBT.</w:t>
      </w:r>
    </w:p>
    <w:p w:rsidR="00C8707C" w:rsidRDefault="00C8707C" w:rsidP="00C8707C">
      <w:pPr>
        <w:tabs>
          <w:tab w:val="left" w:pos="720"/>
        </w:tabs>
        <w:autoSpaceDE w:val="0"/>
        <w:autoSpaceDN w:val="0"/>
        <w:adjustRightInd w:val="0"/>
        <w:rPr>
          <w:rFonts w:eastAsia="TimesNewRoman" w:cs="TimesNewRoman"/>
        </w:rPr>
      </w:pPr>
      <w:r>
        <w:rPr>
          <w:rFonts w:eastAsia="TimesNewRoman" w:cs="TimesNewRoman"/>
        </w:rPr>
        <w:t>ASV demonstrated efficacy in all subgroups of subjects with GT-1:</w:t>
      </w:r>
    </w:p>
    <w:p w:rsidR="00C8707C" w:rsidRDefault="00C8707C" w:rsidP="00C8707C">
      <w:pPr>
        <w:pStyle w:val="ListBullet"/>
        <w:numPr>
          <w:ilvl w:val="0"/>
          <w:numId w:val="1"/>
        </w:numPr>
      </w:pPr>
      <w:r>
        <w:t>SVR24 rates were higher in subjects without baseline cirrhosis compared with subjects with baseline cirrhosis</w:t>
      </w:r>
    </w:p>
    <w:p w:rsidR="00C8707C" w:rsidRDefault="00C8707C" w:rsidP="00C8707C">
      <w:pPr>
        <w:pStyle w:val="ListBullet"/>
        <w:numPr>
          <w:ilvl w:val="0"/>
          <w:numId w:val="1"/>
        </w:numPr>
      </w:pPr>
      <w:r>
        <w:t>SVR24 rates were higher in subjects with GT-1b compared with GT-1a</w:t>
      </w:r>
    </w:p>
    <w:p w:rsidR="002C4CAD" w:rsidRDefault="00C8707C" w:rsidP="00C8707C">
      <w:pPr>
        <w:autoSpaceDE w:val="0"/>
        <w:autoSpaceDN w:val="0"/>
        <w:adjustRightInd w:val="0"/>
      </w:pPr>
      <w:r>
        <w:t>The results for GT-1 are presented in the table below.</w:t>
      </w:r>
    </w:p>
    <w:p w:rsidR="00C8707C" w:rsidRDefault="00C8707C" w:rsidP="00C8707C">
      <w:pPr>
        <w:sectPr w:rsidR="00C8707C" w:rsidSect="00C52DE9">
          <w:footnotePr>
            <w:numFmt w:val="lowerLetter"/>
          </w:footnotePr>
          <w:endnotePr>
            <w:numFmt w:val="decimal"/>
          </w:endnotePr>
          <w:pgSz w:w="11906" w:h="16838"/>
          <w:pgMar w:top="1134" w:right="1134" w:bottom="1134" w:left="1134" w:header="737" w:footer="737" w:gutter="0"/>
          <w:pgNumType w:start="1"/>
          <w:cols w:space="720"/>
          <w:docGrid w:linePitch="299"/>
        </w:sectPr>
      </w:pPr>
    </w:p>
    <w:p w:rsidR="00C8707C" w:rsidRDefault="00C8707C" w:rsidP="00C8707C">
      <w:pPr>
        <w:pStyle w:val="Tabletitle"/>
      </w:pPr>
      <w:bookmarkStart w:id="199" w:name="_Toc401831784"/>
      <w:r>
        <w:lastRenderedPageBreak/>
        <w:t>Table 6: Study AI447016: Summary of primary and secondary efficacy endpoints – Stage 2: MITT analysis: Treated subjects – GT-1</w:t>
      </w:r>
      <w:bookmarkEnd w:id="199"/>
    </w:p>
    <w:tbl>
      <w:tblPr>
        <w:tblStyle w:val="TableTGAblue"/>
        <w:tblW w:w="4890" w:type="pct"/>
        <w:tblLook w:val="04A0" w:firstRow="1" w:lastRow="0" w:firstColumn="1" w:lastColumn="0" w:noHBand="0" w:noVBand="1"/>
      </w:tblPr>
      <w:tblGrid>
        <w:gridCol w:w="3736"/>
        <w:gridCol w:w="1874"/>
        <w:gridCol w:w="1727"/>
        <w:gridCol w:w="1727"/>
        <w:gridCol w:w="1871"/>
        <w:gridCol w:w="1727"/>
        <w:gridCol w:w="1799"/>
      </w:tblGrid>
      <w:tr w:rsidR="00C8707C" w:rsidRPr="009D6F1F" w:rsidTr="002E5B56">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292" w:type="pct"/>
          </w:tcPr>
          <w:p w:rsidR="00C8707C" w:rsidRPr="000B6417" w:rsidRDefault="00C8707C" w:rsidP="002E5B56">
            <w:pPr>
              <w:rPr>
                <w:b w:val="0"/>
                <w:lang w:eastAsia="en-AU"/>
              </w:rPr>
            </w:pPr>
          </w:p>
        </w:tc>
        <w:tc>
          <w:tcPr>
            <w:tcW w:w="3708" w:type="pct"/>
            <w:gridSpan w:val="6"/>
          </w:tcPr>
          <w:p w:rsidR="00C8707C" w:rsidRPr="000B6417" w:rsidRDefault="00C8707C" w:rsidP="002E5B56">
            <w:pPr>
              <w:cnfStyle w:val="100000000000" w:firstRow="1" w:lastRow="0" w:firstColumn="0" w:lastColumn="0" w:oddVBand="0" w:evenVBand="0" w:oddHBand="0" w:evenHBand="0" w:firstRowFirstColumn="0" w:firstRowLastColumn="0" w:lastRowFirstColumn="0" w:lastRowLastColumn="0"/>
              <w:rPr>
                <w:b w:val="0"/>
                <w:bCs/>
                <w:lang w:eastAsia="en-AU"/>
              </w:rPr>
            </w:pPr>
            <w:r w:rsidRPr="000B6417">
              <w:rPr>
                <w:b w:val="0"/>
                <w:bCs/>
                <w:lang w:eastAsia="en-AU"/>
              </w:rPr>
              <w:t>Number</w:t>
            </w:r>
            <w:r w:rsidRPr="000B6417">
              <w:rPr>
                <w:b w:val="0"/>
                <w:bCs/>
                <w:spacing w:val="-7"/>
                <w:lang w:eastAsia="en-AU"/>
              </w:rPr>
              <w:t xml:space="preserve"> </w:t>
            </w:r>
            <w:r w:rsidRPr="000B6417">
              <w:rPr>
                <w:b w:val="0"/>
                <w:bCs/>
                <w:lang w:eastAsia="en-AU"/>
              </w:rPr>
              <w:t>of</w:t>
            </w:r>
            <w:r w:rsidRPr="000B6417">
              <w:rPr>
                <w:b w:val="0"/>
                <w:bCs/>
                <w:spacing w:val="-2"/>
                <w:lang w:eastAsia="en-AU"/>
              </w:rPr>
              <w:t xml:space="preserve"> </w:t>
            </w:r>
            <w:r w:rsidRPr="000B6417">
              <w:rPr>
                <w:b w:val="0"/>
                <w:bCs/>
                <w:lang w:eastAsia="en-AU"/>
              </w:rPr>
              <w:t>Subjects</w:t>
            </w:r>
            <w:r w:rsidRPr="000B6417">
              <w:rPr>
                <w:b w:val="0"/>
                <w:bCs/>
                <w:spacing w:val="-7"/>
                <w:lang w:eastAsia="en-AU"/>
              </w:rPr>
              <w:t xml:space="preserve"> </w:t>
            </w:r>
            <w:r w:rsidRPr="000B6417">
              <w:rPr>
                <w:b w:val="0"/>
                <w:bCs/>
                <w:lang w:eastAsia="en-AU"/>
              </w:rPr>
              <w:t>(%)</w:t>
            </w:r>
          </w:p>
        </w:tc>
      </w:tr>
      <w:tr w:rsidR="00C8707C" w:rsidRPr="009D6F1F" w:rsidTr="002E5B56">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292" w:type="pct"/>
          </w:tcPr>
          <w:p w:rsidR="00C8707C" w:rsidRPr="000B6417" w:rsidRDefault="00C8707C" w:rsidP="002E5B56">
            <w:pPr>
              <w:rPr>
                <w:b w:val="0"/>
                <w:lang w:eastAsia="en-AU"/>
              </w:rPr>
            </w:pPr>
          </w:p>
        </w:tc>
        <w:tc>
          <w:tcPr>
            <w:tcW w:w="1245" w:type="pct"/>
            <w:gridSpan w:val="2"/>
            <w:hideMark/>
          </w:tcPr>
          <w:p w:rsidR="00C8707C" w:rsidRPr="000B6417" w:rsidRDefault="00C8707C" w:rsidP="002E5B56">
            <w:pPr>
              <w:cnfStyle w:val="100000000000" w:firstRow="1" w:lastRow="0" w:firstColumn="0" w:lastColumn="0" w:oddVBand="0" w:evenVBand="0" w:oddHBand="0" w:evenHBand="0" w:firstRowFirstColumn="0" w:firstRowLastColumn="0" w:lastRowFirstColumn="0" w:lastRowLastColumn="0"/>
              <w:rPr>
                <w:b w:val="0"/>
                <w:bCs/>
                <w:lang w:eastAsia="en-AU"/>
              </w:rPr>
            </w:pPr>
            <w:r w:rsidRPr="000B6417">
              <w:rPr>
                <w:b w:val="0"/>
                <w:bCs/>
                <w:lang w:eastAsia="en-AU"/>
              </w:rPr>
              <w:t>Genotype</w:t>
            </w:r>
            <w:r w:rsidRPr="000B6417">
              <w:rPr>
                <w:b w:val="0"/>
                <w:bCs/>
                <w:spacing w:val="1"/>
                <w:lang w:eastAsia="en-AU"/>
              </w:rPr>
              <w:t>-</w:t>
            </w:r>
            <w:r w:rsidRPr="000B6417">
              <w:rPr>
                <w:b w:val="0"/>
                <w:bCs/>
                <w:lang w:eastAsia="en-AU"/>
              </w:rPr>
              <w:t>1</w:t>
            </w:r>
          </w:p>
        </w:tc>
        <w:tc>
          <w:tcPr>
            <w:tcW w:w="1244" w:type="pct"/>
            <w:gridSpan w:val="2"/>
            <w:hideMark/>
          </w:tcPr>
          <w:p w:rsidR="00C8707C" w:rsidRPr="000B6417" w:rsidRDefault="00C8707C" w:rsidP="002E5B56">
            <w:pPr>
              <w:cnfStyle w:val="100000000000" w:firstRow="1" w:lastRow="0" w:firstColumn="0" w:lastColumn="0" w:oddVBand="0" w:evenVBand="0" w:oddHBand="0" w:evenHBand="0" w:firstRowFirstColumn="0" w:firstRowLastColumn="0" w:lastRowFirstColumn="0" w:lastRowLastColumn="0"/>
              <w:rPr>
                <w:b w:val="0"/>
                <w:bCs/>
                <w:w w:val="99"/>
                <w:position w:val="1"/>
                <w:lang w:eastAsia="en-AU"/>
              </w:rPr>
            </w:pPr>
            <w:r w:rsidRPr="000B6417">
              <w:rPr>
                <w:b w:val="0"/>
                <w:bCs/>
                <w:lang w:eastAsia="en-AU"/>
              </w:rPr>
              <w:t>Genotype</w:t>
            </w:r>
            <w:r w:rsidRPr="000B6417">
              <w:rPr>
                <w:b w:val="0"/>
                <w:bCs/>
                <w:spacing w:val="1"/>
                <w:lang w:eastAsia="en-AU"/>
              </w:rPr>
              <w:t>-1</w:t>
            </w:r>
            <w:r w:rsidRPr="000B6417">
              <w:rPr>
                <w:b w:val="0"/>
                <w:bCs/>
                <w:lang w:eastAsia="en-AU"/>
              </w:rPr>
              <w:t>a</w:t>
            </w:r>
          </w:p>
        </w:tc>
        <w:tc>
          <w:tcPr>
            <w:tcW w:w="1219" w:type="pct"/>
            <w:gridSpan w:val="2"/>
            <w:hideMark/>
          </w:tcPr>
          <w:p w:rsidR="00C8707C" w:rsidRPr="000B6417" w:rsidRDefault="00C8707C" w:rsidP="002E5B56">
            <w:pPr>
              <w:cnfStyle w:val="100000000000" w:firstRow="1" w:lastRow="0" w:firstColumn="0" w:lastColumn="0" w:oddVBand="0" w:evenVBand="0" w:oddHBand="0" w:evenHBand="0" w:firstRowFirstColumn="0" w:firstRowLastColumn="0" w:lastRowFirstColumn="0" w:lastRowLastColumn="0"/>
              <w:rPr>
                <w:b w:val="0"/>
                <w:bCs/>
                <w:lang w:eastAsia="en-AU"/>
              </w:rPr>
            </w:pPr>
            <w:r w:rsidRPr="000B6417">
              <w:rPr>
                <w:b w:val="0"/>
                <w:bCs/>
                <w:lang w:eastAsia="en-AU"/>
              </w:rPr>
              <w:t>Genotype</w:t>
            </w:r>
            <w:r w:rsidRPr="000B6417">
              <w:rPr>
                <w:b w:val="0"/>
                <w:bCs/>
                <w:spacing w:val="1"/>
                <w:lang w:eastAsia="en-AU"/>
              </w:rPr>
              <w:t>-1</w:t>
            </w:r>
            <w:r w:rsidRPr="000B6417">
              <w:rPr>
                <w:b w:val="0"/>
                <w:bCs/>
                <w:lang w:eastAsia="en-AU"/>
              </w:rPr>
              <w:t>b</w:t>
            </w:r>
          </w:p>
        </w:tc>
      </w:tr>
      <w:tr w:rsidR="00C8707C" w:rsidRPr="009D6F1F" w:rsidTr="002E5B56">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292" w:type="pct"/>
          </w:tcPr>
          <w:p w:rsidR="00C8707C" w:rsidRPr="000B6417" w:rsidRDefault="00C8707C" w:rsidP="002E5B56">
            <w:pPr>
              <w:rPr>
                <w:b w:val="0"/>
                <w:lang w:eastAsia="en-AU"/>
              </w:rPr>
            </w:pPr>
          </w:p>
        </w:tc>
        <w:tc>
          <w:tcPr>
            <w:tcW w:w="648" w:type="pct"/>
            <w:hideMark/>
          </w:tcPr>
          <w:p w:rsidR="00C8707C" w:rsidRPr="000B6417" w:rsidRDefault="00C8707C" w:rsidP="002E5B56">
            <w:pPr>
              <w:cnfStyle w:val="100000000000" w:firstRow="1" w:lastRow="0" w:firstColumn="0" w:lastColumn="0" w:oddVBand="0" w:evenVBand="0" w:oddHBand="0" w:evenHBand="0" w:firstRowFirstColumn="0" w:firstRowLastColumn="0" w:lastRowFirstColumn="0" w:lastRowLastColumn="0"/>
              <w:rPr>
                <w:b w:val="0"/>
                <w:bCs/>
                <w:spacing w:val="1"/>
                <w:lang w:eastAsia="en-AU"/>
              </w:rPr>
            </w:pPr>
            <w:r w:rsidRPr="000B6417">
              <w:rPr>
                <w:b w:val="0"/>
                <w:bCs/>
                <w:spacing w:val="1"/>
                <w:lang w:eastAsia="en-AU"/>
              </w:rPr>
              <w:t>20</w:t>
            </w:r>
            <w:r w:rsidRPr="000B6417">
              <w:rPr>
                <w:b w:val="0"/>
                <w:bCs/>
                <w:lang w:eastAsia="en-AU"/>
              </w:rPr>
              <w:t>0</w:t>
            </w:r>
            <w:r w:rsidRPr="000B6417">
              <w:rPr>
                <w:b w:val="0"/>
                <w:bCs/>
                <w:spacing w:val="-2"/>
                <w:lang w:eastAsia="en-AU"/>
              </w:rPr>
              <w:t xml:space="preserve"> </w:t>
            </w:r>
            <w:r w:rsidRPr="000B6417">
              <w:rPr>
                <w:b w:val="0"/>
                <w:bCs/>
                <w:spacing w:val="1"/>
                <w:lang w:eastAsia="en-AU"/>
              </w:rPr>
              <w:t xml:space="preserve">ASV </w:t>
            </w:r>
            <w:r w:rsidRPr="000B6417">
              <w:rPr>
                <w:b w:val="0"/>
                <w:bCs/>
                <w:lang w:eastAsia="en-AU"/>
              </w:rPr>
              <w:t>(N</w:t>
            </w:r>
            <w:r w:rsidRPr="000B6417">
              <w:rPr>
                <w:b w:val="0"/>
                <w:bCs/>
                <w:spacing w:val="-2"/>
                <w:lang w:eastAsia="en-AU"/>
              </w:rPr>
              <w:t xml:space="preserve"> </w:t>
            </w:r>
            <w:r w:rsidRPr="000B6417">
              <w:rPr>
                <w:b w:val="0"/>
                <w:bCs/>
                <w:lang w:eastAsia="en-AU"/>
              </w:rPr>
              <w:t xml:space="preserve">= </w:t>
            </w:r>
            <w:r w:rsidRPr="000B6417">
              <w:rPr>
                <w:b w:val="0"/>
                <w:bCs/>
                <w:spacing w:val="1"/>
                <w:lang w:eastAsia="en-AU"/>
              </w:rPr>
              <w:t>159</w:t>
            </w:r>
            <w:r w:rsidRPr="000B6417">
              <w:rPr>
                <w:b w:val="0"/>
                <w:bCs/>
                <w:lang w:eastAsia="en-AU"/>
              </w:rPr>
              <w:t>)</w:t>
            </w:r>
          </w:p>
        </w:tc>
        <w:tc>
          <w:tcPr>
            <w:tcW w:w="597" w:type="pct"/>
            <w:hideMark/>
          </w:tcPr>
          <w:p w:rsidR="00C8707C" w:rsidRPr="000B6417" w:rsidRDefault="00C8707C" w:rsidP="002E5B56">
            <w:pPr>
              <w:cnfStyle w:val="100000000000" w:firstRow="1" w:lastRow="0" w:firstColumn="0" w:lastColumn="0" w:oddVBand="0" w:evenVBand="0" w:oddHBand="0" w:evenHBand="0" w:firstRowFirstColumn="0" w:firstRowLastColumn="0" w:lastRowFirstColumn="0" w:lastRowLastColumn="0"/>
              <w:rPr>
                <w:b w:val="0"/>
                <w:lang w:eastAsia="en-AU"/>
              </w:rPr>
            </w:pPr>
            <w:r w:rsidRPr="000B6417">
              <w:rPr>
                <w:b w:val="0"/>
                <w:bCs/>
                <w:lang w:eastAsia="en-AU"/>
              </w:rPr>
              <w:t>Placebo</w:t>
            </w:r>
            <w:r w:rsidRPr="000B6417">
              <w:rPr>
                <w:b w:val="0"/>
                <w:lang w:eastAsia="en-AU"/>
              </w:rPr>
              <w:t xml:space="preserve"> </w:t>
            </w:r>
            <w:r w:rsidRPr="000B6417">
              <w:rPr>
                <w:b w:val="0"/>
                <w:bCs/>
                <w:lang w:eastAsia="en-AU"/>
              </w:rPr>
              <w:t>(N</w:t>
            </w:r>
            <w:r w:rsidRPr="000B6417">
              <w:rPr>
                <w:b w:val="0"/>
                <w:bCs/>
                <w:spacing w:val="-2"/>
                <w:lang w:eastAsia="en-AU"/>
              </w:rPr>
              <w:t xml:space="preserve"> </w:t>
            </w:r>
            <w:r w:rsidRPr="000B6417">
              <w:rPr>
                <w:b w:val="0"/>
                <w:bCs/>
                <w:lang w:eastAsia="en-AU"/>
              </w:rPr>
              <w:t xml:space="preserve">= </w:t>
            </w:r>
            <w:r w:rsidRPr="000B6417">
              <w:rPr>
                <w:b w:val="0"/>
                <w:bCs/>
                <w:spacing w:val="1"/>
                <w:lang w:eastAsia="en-AU"/>
              </w:rPr>
              <w:t>54</w:t>
            </w:r>
            <w:r w:rsidRPr="000B6417">
              <w:rPr>
                <w:b w:val="0"/>
                <w:bCs/>
                <w:lang w:eastAsia="en-AU"/>
              </w:rPr>
              <w:t>)</w:t>
            </w:r>
          </w:p>
        </w:tc>
        <w:tc>
          <w:tcPr>
            <w:tcW w:w="597" w:type="pct"/>
            <w:hideMark/>
          </w:tcPr>
          <w:p w:rsidR="00C8707C" w:rsidRPr="000B6417" w:rsidRDefault="00C8707C" w:rsidP="002E5B56">
            <w:pPr>
              <w:cnfStyle w:val="100000000000" w:firstRow="1" w:lastRow="0" w:firstColumn="0" w:lastColumn="0" w:oddVBand="0" w:evenVBand="0" w:oddHBand="0" w:evenHBand="0" w:firstRowFirstColumn="0" w:firstRowLastColumn="0" w:lastRowFirstColumn="0" w:lastRowLastColumn="0"/>
              <w:rPr>
                <w:b w:val="0"/>
                <w:bCs/>
                <w:spacing w:val="1"/>
                <w:lang w:eastAsia="en-AU"/>
              </w:rPr>
            </w:pPr>
            <w:r w:rsidRPr="000B6417">
              <w:rPr>
                <w:b w:val="0"/>
                <w:bCs/>
                <w:spacing w:val="1"/>
                <w:lang w:eastAsia="en-AU"/>
              </w:rPr>
              <w:t>20</w:t>
            </w:r>
            <w:r w:rsidRPr="000B6417">
              <w:rPr>
                <w:b w:val="0"/>
                <w:bCs/>
                <w:lang w:eastAsia="en-AU"/>
              </w:rPr>
              <w:t>0</w:t>
            </w:r>
            <w:r w:rsidRPr="000B6417">
              <w:rPr>
                <w:b w:val="0"/>
                <w:bCs/>
                <w:spacing w:val="-2"/>
                <w:lang w:eastAsia="en-AU"/>
              </w:rPr>
              <w:t xml:space="preserve"> </w:t>
            </w:r>
            <w:r w:rsidRPr="000B6417">
              <w:rPr>
                <w:b w:val="0"/>
                <w:bCs/>
                <w:spacing w:val="1"/>
                <w:lang w:eastAsia="en-AU"/>
              </w:rPr>
              <w:t>ASV (</w:t>
            </w:r>
            <w:r w:rsidRPr="000B6417">
              <w:rPr>
                <w:b w:val="0"/>
                <w:bCs/>
                <w:lang w:eastAsia="en-AU"/>
              </w:rPr>
              <w:t>N</w:t>
            </w:r>
            <w:r w:rsidRPr="000B6417">
              <w:rPr>
                <w:b w:val="0"/>
                <w:bCs/>
                <w:spacing w:val="-1"/>
                <w:lang w:eastAsia="en-AU"/>
              </w:rPr>
              <w:t xml:space="preserve"> </w:t>
            </w:r>
            <w:r w:rsidRPr="000B6417">
              <w:rPr>
                <w:b w:val="0"/>
                <w:bCs/>
                <w:lang w:eastAsia="en-AU"/>
              </w:rPr>
              <w:t xml:space="preserve">= </w:t>
            </w:r>
            <w:r w:rsidRPr="000B6417">
              <w:rPr>
                <w:b w:val="0"/>
                <w:bCs/>
                <w:spacing w:val="1"/>
                <w:lang w:eastAsia="en-AU"/>
              </w:rPr>
              <w:t>94)</w:t>
            </w:r>
          </w:p>
        </w:tc>
        <w:tc>
          <w:tcPr>
            <w:tcW w:w="647" w:type="pct"/>
            <w:hideMark/>
          </w:tcPr>
          <w:p w:rsidR="00C8707C" w:rsidRPr="000B6417" w:rsidRDefault="00C8707C" w:rsidP="002E5B56">
            <w:pPr>
              <w:cnfStyle w:val="100000000000" w:firstRow="1" w:lastRow="0" w:firstColumn="0" w:lastColumn="0" w:oddVBand="0" w:evenVBand="0" w:oddHBand="0" w:evenHBand="0" w:firstRowFirstColumn="0" w:firstRowLastColumn="0" w:lastRowFirstColumn="0" w:lastRowLastColumn="0"/>
              <w:rPr>
                <w:b w:val="0"/>
                <w:lang w:eastAsia="en-AU"/>
              </w:rPr>
            </w:pPr>
            <w:r w:rsidRPr="000B6417">
              <w:rPr>
                <w:b w:val="0"/>
                <w:bCs/>
                <w:w w:val="99"/>
                <w:position w:val="1"/>
                <w:lang w:eastAsia="en-AU"/>
              </w:rPr>
              <w:t>Placebo</w:t>
            </w:r>
            <w:r w:rsidRPr="000B6417">
              <w:rPr>
                <w:b w:val="0"/>
                <w:lang w:eastAsia="en-AU"/>
              </w:rPr>
              <w:t xml:space="preserve"> </w:t>
            </w:r>
            <w:r w:rsidRPr="000B6417">
              <w:rPr>
                <w:b w:val="0"/>
                <w:bCs/>
                <w:spacing w:val="1"/>
                <w:lang w:eastAsia="en-AU"/>
              </w:rPr>
              <w:t>(</w:t>
            </w:r>
            <w:r w:rsidRPr="000B6417">
              <w:rPr>
                <w:b w:val="0"/>
                <w:bCs/>
                <w:lang w:eastAsia="en-AU"/>
              </w:rPr>
              <w:t>N</w:t>
            </w:r>
            <w:r w:rsidRPr="000B6417">
              <w:rPr>
                <w:b w:val="0"/>
                <w:bCs/>
                <w:spacing w:val="-1"/>
                <w:lang w:eastAsia="en-AU"/>
              </w:rPr>
              <w:t xml:space="preserve"> </w:t>
            </w:r>
            <w:r w:rsidRPr="000B6417">
              <w:rPr>
                <w:b w:val="0"/>
                <w:bCs/>
                <w:lang w:eastAsia="en-AU"/>
              </w:rPr>
              <w:t xml:space="preserve">= </w:t>
            </w:r>
            <w:r w:rsidRPr="000B6417">
              <w:rPr>
                <w:b w:val="0"/>
                <w:bCs/>
                <w:w w:val="99"/>
                <w:lang w:eastAsia="en-AU"/>
              </w:rPr>
              <w:t>2</w:t>
            </w:r>
            <w:r w:rsidRPr="000B6417">
              <w:rPr>
                <w:b w:val="0"/>
                <w:bCs/>
                <w:spacing w:val="1"/>
                <w:w w:val="99"/>
                <w:lang w:eastAsia="en-AU"/>
              </w:rPr>
              <w:t>8</w:t>
            </w:r>
            <w:r w:rsidRPr="000B6417">
              <w:rPr>
                <w:b w:val="0"/>
                <w:bCs/>
                <w:w w:val="99"/>
                <w:lang w:eastAsia="en-AU"/>
              </w:rPr>
              <w:t>)</w:t>
            </w:r>
          </w:p>
        </w:tc>
        <w:tc>
          <w:tcPr>
            <w:tcW w:w="597" w:type="pct"/>
            <w:hideMark/>
          </w:tcPr>
          <w:p w:rsidR="00C8707C" w:rsidRPr="000B6417" w:rsidRDefault="00C8707C" w:rsidP="002E5B56">
            <w:pPr>
              <w:cnfStyle w:val="100000000000" w:firstRow="1" w:lastRow="0" w:firstColumn="0" w:lastColumn="0" w:oddVBand="0" w:evenVBand="0" w:oddHBand="0" w:evenHBand="0" w:firstRowFirstColumn="0" w:firstRowLastColumn="0" w:lastRowFirstColumn="0" w:lastRowLastColumn="0"/>
              <w:rPr>
                <w:b w:val="0"/>
                <w:bCs/>
                <w:spacing w:val="1"/>
                <w:lang w:eastAsia="en-AU"/>
              </w:rPr>
            </w:pPr>
            <w:r w:rsidRPr="000B6417">
              <w:rPr>
                <w:b w:val="0"/>
                <w:bCs/>
                <w:spacing w:val="1"/>
                <w:lang w:eastAsia="en-AU"/>
              </w:rPr>
              <w:t>20</w:t>
            </w:r>
            <w:r w:rsidRPr="000B6417">
              <w:rPr>
                <w:b w:val="0"/>
                <w:bCs/>
                <w:lang w:eastAsia="en-AU"/>
              </w:rPr>
              <w:t>0</w:t>
            </w:r>
            <w:r w:rsidRPr="000B6417">
              <w:rPr>
                <w:b w:val="0"/>
                <w:bCs/>
                <w:spacing w:val="-2"/>
                <w:lang w:eastAsia="en-AU"/>
              </w:rPr>
              <w:t xml:space="preserve"> </w:t>
            </w:r>
            <w:r w:rsidRPr="000B6417">
              <w:rPr>
                <w:b w:val="0"/>
                <w:bCs/>
                <w:spacing w:val="1"/>
                <w:lang w:eastAsia="en-AU"/>
              </w:rPr>
              <w:t>ASV (</w:t>
            </w:r>
            <w:r w:rsidRPr="000B6417">
              <w:rPr>
                <w:b w:val="0"/>
                <w:bCs/>
                <w:lang w:eastAsia="en-AU"/>
              </w:rPr>
              <w:t>N</w:t>
            </w:r>
            <w:r w:rsidRPr="000B6417">
              <w:rPr>
                <w:b w:val="0"/>
                <w:bCs/>
                <w:spacing w:val="-1"/>
                <w:lang w:eastAsia="en-AU"/>
              </w:rPr>
              <w:t xml:space="preserve"> </w:t>
            </w:r>
            <w:r w:rsidRPr="000B6417">
              <w:rPr>
                <w:b w:val="0"/>
                <w:bCs/>
                <w:lang w:eastAsia="en-AU"/>
              </w:rPr>
              <w:t>= 6</w:t>
            </w:r>
            <w:r w:rsidRPr="000B6417">
              <w:rPr>
                <w:b w:val="0"/>
                <w:bCs/>
                <w:spacing w:val="1"/>
                <w:lang w:eastAsia="en-AU"/>
              </w:rPr>
              <w:t>3</w:t>
            </w:r>
            <w:r w:rsidRPr="000B6417">
              <w:rPr>
                <w:b w:val="0"/>
                <w:bCs/>
                <w:lang w:eastAsia="en-AU"/>
              </w:rPr>
              <w:t>)</w:t>
            </w:r>
          </w:p>
        </w:tc>
        <w:tc>
          <w:tcPr>
            <w:tcW w:w="622" w:type="pct"/>
            <w:hideMark/>
          </w:tcPr>
          <w:p w:rsidR="00C8707C" w:rsidRPr="000B6417" w:rsidRDefault="00C8707C" w:rsidP="002E5B56">
            <w:pPr>
              <w:cnfStyle w:val="100000000000" w:firstRow="1" w:lastRow="0" w:firstColumn="0" w:lastColumn="0" w:oddVBand="0" w:evenVBand="0" w:oddHBand="0" w:evenHBand="0" w:firstRowFirstColumn="0" w:firstRowLastColumn="0" w:lastRowFirstColumn="0" w:lastRowLastColumn="0"/>
              <w:rPr>
                <w:b w:val="0"/>
                <w:lang w:eastAsia="en-AU"/>
              </w:rPr>
            </w:pPr>
            <w:r w:rsidRPr="000B6417">
              <w:rPr>
                <w:b w:val="0"/>
                <w:bCs/>
                <w:lang w:eastAsia="en-AU"/>
              </w:rPr>
              <w:t>Placebo</w:t>
            </w:r>
            <w:r w:rsidRPr="000B6417">
              <w:rPr>
                <w:b w:val="0"/>
                <w:lang w:eastAsia="en-AU"/>
              </w:rPr>
              <w:t xml:space="preserve"> </w:t>
            </w:r>
            <w:r w:rsidRPr="000B6417">
              <w:rPr>
                <w:b w:val="0"/>
                <w:bCs/>
                <w:spacing w:val="1"/>
                <w:lang w:eastAsia="en-AU"/>
              </w:rPr>
              <w:t>(</w:t>
            </w:r>
            <w:r w:rsidRPr="000B6417">
              <w:rPr>
                <w:b w:val="0"/>
                <w:bCs/>
                <w:lang w:eastAsia="en-AU"/>
              </w:rPr>
              <w:t>N</w:t>
            </w:r>
            <w:r w:rsidRPr="000B6417">
              <w:rPr>
                <w:b w:val="0"/>
                <w:bCs/>
                <w:spacing w:val="-1"/>
                <w:lang w:eastAsia="en-AU"/>
              </w:rPr>
              <w:t xml:space="preserve"> </w:t>
            </w:r>
            <w:r w:rsidRPr="000B6417">
              <w:rPr>
                <w:b w:val="0"/>
                <w:bCs/>
                <w:lang w:eastAsia="en-AU"/>
              </w:rPr>
              <w:t xml:space="preserve">= </w:t>
            </w:r>
            <w:r w:rsidRPr="000B6417">
              <w:rPr>
                <w:b w:val="0"/>
                <w:bCs/>
                <w:spacing w:val="1"/>
                <w:lang w:eastAsia="en-AU"/>
              </w:rPr>
              <w:t>25)</w:t>
            </w:r>
          </w:p>
        </w:tc>
      </w:tr>
      <w:tr w:rsidR="00C8707C" w:rsidRPr="009D6F1F" w:rsidTr="002E5B56">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rsidR="00C8707C" w:rsidRPr="000B6417" w:rsidRDefault="00C8707C" w:rsidP="002E5B56">
            <w:pPr>
              <w:rPr>
                <w:lang w:eastAsia="en-AU"/>
              </w:rPr>
            </w:pPr>
            <w:r w:rsidRPr="000B6417">
              <w:rPr>
                <w:bCs/>
                <w:spacing w:val="1"/>
                <w:lang w:eastAsia="en-AU"/>
              </w:rPr>
              <w:t>Pri</w:t>
            </w:r>
            <w:r w:rsidRPr="000B6417">
              <w:rPr>
                <w:bCs/>
                <w:spacing w:val="-5"/>
                <w:lang w:eastAsia="en-AU"/>
              </w:rPr>
              <w:t>m</w:t>
            </w:r>
            <w:r w:rsidRPr="000B6417">
              <w:rPr>
                <w:bCs/>
                <w:lang w:eastAsia="en-AU"/>
              </w:rPr>
              <w:t>ary</w:t>
            </w:r>
            <w:r w:rsidRPr="000B6417">
              <w:rPr>
                <w:bCs/>
                <w:spacing w:val="-6"/>
                <w:lang w:eastAsia="en-AU"/>
              </w:rPr>
              <w:t xml:space="preserve"> </w:t>
            </w:r>
            <w:r w:rsidRPr="000B6417">
              <w:rPr>
                <w:bCs/>
                <w:lang w:eastAsia="en-AU"/>
              </w:rPr>
              <w:t>Antiviral</w:t>
            </w:r>
            <w:r w:rsidRPr="000B6417">
              <w:rPr>
                <w:bCs/>
                <w:spacing w:val="-7"/>
                <w:lang w:eastAsia="en-AU"/>
              </w:rPr>
              <w:t xml:space="preserve"> </w:t>
            </w:r>
            <w:r w:rsidRPr="000B6417">
              <w:rPr>
                <w:bCs/>
                <w:lang w:eastAsia="en-AU"/>
              </w:rPr>
              <w:t>Endpoint</w:t>
            </w:r>
          </w:p>
        </w:tc>
      </w:tr>
      <w:tr w:rsidR="00C8707C" w:rsidRPr="009D6F1F" w:rsidTr="002E5B56">
        <w:trPr>
          <w:trHeight w:val="20"/>
        </w:trPr>
        <w:tc>
          <w:tcPr>
            <w:cnfStyle w:val="001000000000" w:firstRow="0" w:lastRow="0" w:firstColumn="1" w:lastColumn="0" w:oddVBand="0" w:evenVBand="0" w:oddHBand="0" w:evenHBand="0" w:firstRowFirstColumn="0" w:firstRowLastColumn="0" w:lastRowFirstColumn="0" w:lastRowLastColumn="0"/>
            <w:tcW w:w="1292" w:type="pct"/>
            <w:hideMark/>
          </w:tcPr>
          <w:p w:rsidR="00C8707C" w:rsidRPr="000B6417" w:rsidRDefault="00C8707C" w:rsidP="002E5B56">
            <w:pPr>
              <w:rPr>
                <w:lang w:eastAsia="en-AU"/>
              </w:rPr>
            </w:pPr>
            <w:proofErr w:type="spellStart"/>
            <w:proofErr w:type="gramStart"/>
            <w:r w:rsidRPr="000B6417">
              <w:rPr>
                <w:lang w:eastAsia="en-AU"/>
              </w:rPr>
              <w:t>eRVR</w:t>
            </w:r>
            <w:proofErr w:type="spellEnd"/>
            <w:proofErr w:type="gramEnd"/>
            <w:r w:rsidRPr="000B6417">
              <w:rPr>
                <w:lang w:eastAsia="en-AU"/>
              </w:rPr>
              <w:t xml:space="preserve"> Responder</w:t>
            </w:r>
            <w:r w:rsidRPr="000B6417">
              <w:rPr>
                <w:spacing w:val="-9"/>
                <w:lang w:eastAsia="en-AU"/>
              </w:rPr>
              <w:t xml:space="preserve"> </w:t>
            </w:r>
            <w:r w:rsidRPr="000B6417">
              <w:rPr>
                <w:lang w:eastAsia="en-AU"/>
              </w:rPr>
              <w:t>(%)</w:t>
            </w:r>
          </w:p>
        </w:tc>
        <w:tc>
          <w:tcPr>
            <w:tcW w:w="648"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106/159</w:t>
            </w:r>
            <w:r w:rsidRPr="000B6417">
              <w:rPr>
                <w:spacing w:val="-6"/>
                <w:lang w:eastAsia="en-AU"/>
              </w:rPr>
              <w:t xml:space="preserve"> </w:t>
            </w:r>
            <w:r w:rsidRPr="000B6417">
              <w:rPr>
                <w:lang w:eastAsia="en-AU"/>
              </w:rPr>
              <w:t>(66.7)</w:t>
            </w:r>
          </w:p>
        </w:tc>
        <w:tc>
          <w:tcPr>
            <w:tcW w:w="59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3/5</w:t>
            </w:r>
            <w:r w:rsidRPr="000B6417">
              <w:rPr>
                <w:lang w:eastAsia="en-AU"/>
              </w:rPr>
              <w:t>4</w:t>
            </w:r>
            <w:r w:rsidRPr="000B6417">
              <w:rPr>
                <w:spacing w:val="-3"/>
                <w:lang w:eastAsia="en-AU"/>
              </w:rPr>
              <w:t xml:space="preserve"> </w:t>
            </w:r>
            <w:r w:rsidRPr="000B6417">
              <w:rPr>
                <w:spacing w:val="1"/>
                <w:lang w:eastAsia="en-AU"/>
              </w:rPr>
              <w:t>(5.6)</w:t>
            </w:r>
          </w:p>
        </w:tc>
        <w:tc>
          <w:tcPr>
            <w:tcW w:w="59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56/9</w:t>
            </w:r>
            <w:r w:rsidRPr="000B6417">
              <w:rPr>
                <w:lang w:eastAsia="en-AU"/>
              </w:rPr>
              <w:t>4</w:t>
            </w:r>
            <w:r w:rsidRPr="000B6417">
              <w:rPr>
                <w:spacing w:val="-4"/>
                <w:lang w:eastAsia="en-AU"/>
              </w:rPr>
              <w:t xml:space="preserve"> </w:t>
            </w:r>
            <w:r w:rsidRPr="000B6417">
              <w:rPr>
                <w:spacing w:val="1"/>
                <w:lang w:eastAsia="en-AU"/>
              </w:rPr>
              <w:t>(59.6)</w:t>
            </w:r>
          </w:p>
        </w:tc>
        <w:tc>
          <w:tcPr>
            <w:tcW w:w="64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1/2</w:t>
            </w:r>
            <w:r w:rsidRPr="000B6417">
              <w:rPr>
                <w:lang w:eastAsia="en-AU"/>
              </w:rPr>
              <w:t>8</w:t>
            </w:r>
            <w:r w:rsidRPr="000B6417">
              <w:rPr>
                <w:spacing w:val="-3"/>
                <w:lang w:eastAsia="en-AU"/>
              </w:rPr>
              <w:t xml:space="preserve"> </w:t>
            </w:r>
            <w:r w:rsidRPr="000B6417">
              <w:rPr>
                <w:spacing w:val="1"/>
                <w:lang w:eastAsia="en-AU"/>
              </w:rPr>
              <w:t>(3.6)</w:t>
            </w:r>
          </w:p>
        </w:tc>
        <w:tc>
          <w:tcPr>
            <w:tcW w:w="59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48/6</w:t>
            </w:r>
            <w:r w:rsidRPr="000B6417">
              <w:rPr>
                <w:lang w:eastAsia="en-AU"/>
              </w:rPr>
              <w:t>3</w:t>
            </w:r>
            <w:r w:rsidRPr="000B6417">
              <w:rPr>
                <w:spacing w:val="-4"/>
                <w:lang w:eastAsia="en-AU"/>
              </w:rPr>
              <w:t xml:space="preserve"> </w:t>
            </w:r>
            <w:r w:rsidRPr="000B6417">
              <w:rPr>
                <w:spacing w:val="1"/>
                <w:lang w:eastAsia="en-AU"/>
              </w:rPr>
              <w:t>(76.2)</w:t>
            </w:r>
          </w:p>
        </w:tc>
        <w:tc>
          <w:tcPr>
            <w:tcW w:w="622"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2/2</w:t>
            </w:r>
            <w:r w:rsidRPr="000B6417">
              <w:rPr>
                <w:lang w:eastAsia="en-AU"/>
              </w:rPr>
              <w:t>5</w:t>
            </w:r>
            <w:r w:rsidRPr="000B6417">
              <w:rPr>
                <w:spacing w:val="-3"/>
                <w:lang w:eastAsia="en-AU"/>
              </w:rPr>
              <w:t xml:space="preserve"> </w:t>
            </w:r>
            <w:r w:rsidRPr="000B6417">
              <w:rPr>
                <w:spacing w:val="1"/>
                <w:lang w:eastAsia="en-AU"/>
              </w:rPr>
              <w:t>(8.0</w:t>
            </w:r>
            <w:r w:rsidRPr="000B6417">
              <w:rPr>
                <w:lang w:eastAsia="en-AU"/>
              </w:rPr>
              <w:t>)</w:t>
            </w:r>
          </w:p>
        </w:tc>
      </w:tr>
      <w:tr w:rsidR="00C8707C" w:rsidRPr="009D6F1F" w:rsidTr="002E5B56">
        <w:trPr>
          <w:trHeight w:val="20"/>
        </w:trPr>
        <w:tc>
          <w:tcPr>
            <w:cnfStyle w:val="001000000000" w:firstRow="0" w:lastRow="0" w:firstColumn="1" w:lastColumn="0" w:oddVBand="0" w:evenVBand="0" w:oddHBand="0" w:evenHBand="0" w:firstRowFirstColumn="0" w:firstRowLastColumn="0" w:lastRowFirstColumn="0" w:lastRowLastColumn="0"/>
            <w:tcW w:w="1292" w:type="pct"/>
            <w:hideMark/>
          </w:tcPr>
          <w:p w:rsidR="00C8707C" w:rsidRPr="000B6417" w:rsidRDefault="00C8707C" w:rsidP="002E5B56">
            <w:pPr>
              <w:rPr>
                <w:lang w:eastAsia="en-AU"/>
              </w:rPr>
            </w:pPr>
            <w:r w:rsidRPr="000B6417">
              <w:rPr>
                <w:lang w:eastAsia="en-AU"/>
              </w:rPr>
              <w:t>80%</w:t>
            </w:r>
            <w:r w:rsidRPr="000B6417">
              <w:rPr>
                <w:spacing w:val="-3"/>
                <w:lang w:eastAsia="en-AU"/>
              </w:rPr>
              <w:t xml:space="preserve"> </w:t>
            </w:r>
            <w:r w:rsidRPr="000B6417">
              <w:rPr>
                <w:lang w:eastAsia="en-AU"/>
              </w:rPr>
              <w:t>CI</w:t>
            </w:r>
          </w:p>
        </w:tc>
        <w:tc>
          <w:tcPr>
            <w:tcW w:w="648"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(61.9</w:t>
            </w:r>
            <w:r w:rsidRPr="000B6417">
              <w:rPr>
                <w:lang w:eastAsia="en-AU"/>
              </w:rPr>
              <w:t>,</w:t>
            </w:r>
            <w:r w:rsidRPr="000B6417">
              <w:rPr>
                <w:spacing w:val="-4"/>
                <w:lang w:eastAsia="en-AU"/>
              </w:rPr>
              <w:t xml:space="preserve"> </w:t>
            </w:r>
            <w:r w:rsidRPr="000B6417">
              <w:rPr>
                <w:spacing w:val="1"/>
                <w:lang w:eastAsia="en-AU"/>
              </w:rPr>
              <w:t>71.5)</w:t>
            </w:r>
          </w:p>
        </w:tc>
        <w:tc>
          <w:tcPr>
            <w:tcW w:w="59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(1.6</w:t>
            </w:r>
            <w:r w:rsidRPr="000B6417">
              <w:rPr>
                <w:lang w:eastAsia="en-AU"/>
              </w:rPr>
              <w:t>,</w:t>
            </w:r>
            <w:r w:rsidRPr="000B6417">
              <w:rPr>
                <w:spacing w:val="-3"/>
                <w:lang w:eastAsia="en-AU"/>
              </w:rPr>
              <w:t xml:space="preserve"> </w:t>
            </w:r>
            <w:r w:rsidRPr="000B6417">
              <w:rPr>
                <w:spacing w:val="1"/>
                <w:lang w:eastAsia="en-AU"/>
              </w:rPr>
              <w:t>9.6)</w:t>
            </w:r>
          </w:p>
        </w:tc>
        <w:tc>
          <w:tcPr>
            <w:tcW w:w="59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(53.1</w:t>
            </w:r>
            <w:r w:rsidRPr="000B6417">
              <w:rPr>
                <w:lang w:eastAsia="en-AU"/>
              </w:rPr>
              <w:t>,</w:t>
            </w:r>
            <w:r w:rsidRPr="000B6417">
              <w:rPr>
                <w:spacing w:val="-4"/>
                <w:lang w:eastAsia="en-AU"/>
              </w:rPr>
              <w:t xml:space="preserve"> </w:t>
            </w:r>
            <w:r w:rsidRPr="000B6417">
              <w:rPr>
                <w:spacing w:val="1"/>
                <w:lang w:eastAsia="en-AU"/>
              </w:rPr>
              <w:t>66.1)</w:t>
            </w:r>
          </w:p>
        </w:tc>
        <w:tc>
          <w:tcPr>
            <w:tcW w:w="64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(0.0</w:t>
            </w:r>
            <w:r w:rsidRPr="000B6417">
              <w:rPr>
                <w:lang w:eastAsia="en-AU"/>
              </w:rPr>
              <w:t>,</w:t>
            </w:r>
            <w:r w:rsidRPr="000B6417">
              <w:rPr>
                <w:spacing w:val="-3"/>
                <w:lang w:eastAsia="en-AU"/>
              </w:rPr>
              <w:t xml:space="preserve"> </w:t>
            </w:r>
            <w:r w:rsidRPr="000B6417">
              <w:rPr>
                <w:spacing w:val="1"/>
                <w:lang w:eastAsia="en-AU"/>
              </w:rPr>
              <w:t>8.1)</w:t>
            </w:r>
          </w:p>
        </w:tc>
        <w:tc>
          <w:tcPr>
            <w:tcW w:w="59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(69.3</w:t>
            </w:r>
            <w:r w:rsidRPr="000B6417">
              <w:rPr>
                <w:lang w:eastAsia="en-AU"/>
              </w:rPr>
              <w:t>,</w:t>
            </w:r>
            <w:r w:rsidRPr="000B6417">
              <w:rPr>
                <w:spacing w:val="-4"/>
                <w:lang w:eastAsia="en-AU"/>
              </w:rPr>
              <w:t xml:space="preserve"> </w:t>
            </w:r>
            <w:r w:rsidRPr="000B6417">
              <w:rPr>
                <w:spacing w:val="1"/>
                <w:lang w:eastAsia="en-AU"/>
              </w:rPr>
              <w:t>83.1)</w:t>
            </w:r>
          </w:p>
        </w:tc>
        <w:tc>
          <w:tcPr>
            <w:tcW w:w="622"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(1.0,</w:t>
            </w:r>
            <w:r w:rsidRPr="000B6417">
              <w:rPr>
                <w:spacing w:val="-3"/>
                <w:lang w:eastAsia="en-AU"/>
              </w:rPr>
              <w:t xml:space="preserve"> </w:t>
            </w:r>
            <w:r w:rsidRPr="000B6417">
              <w:rPr>
                <w:lang w:eastAsia="en-AU"/>
              </w:rPr>
              <w:t>15.0)</w:t>
            </w:r>
          </w:p>
        </w:tc>
      </w:tr>
      <w:tr w:rsidR="00C8707C" w:rsidRPr="009D6F1F" w:rsidTr="002E5B56">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rsidR="00C8707C" w:rsidRPr="000B6417" w:rsidRDefault="00C8707C" w:rsidP="002E5B56">
            <w:pPr>
              <w:rPr>
                <w:lang w:eastAsia="en-AU"/>
              </w:rPr>
            </w:pPr>
            <w:r w:rsidRPr="000B6417">
              <w:rPr>
                <w:bCs/>
                <w:lang w:eastAsia="en-AU"/>
              </w:rPr>
              <w:t>Secondary</w:t>
            </w:r>
            <w:r w:rsidRPr="000B6417">
              <w:rPr>
                <w:bCs/>
                <w:spacing w:val="-9"/>
                <w:lang w:eastAsia="en-AU"/>
              </w:rPr>
              <w:t xml:space="preserve"> </w:t>
            </w:r>
            <w:r w:rsidRPr="000B6417">
              <w:rPr>
                <w:bCs/>
                <w:lang w:eastAsia="en-AU"/>
              </w:rPr>
              <w:t>Antiviral</w:t>
            </w:r>
            <w:r w:rsidRPr="000B6417">
              <w:rPr>
                <w:bCs/>
                <w:spacing w:val="-8"/>
                <w:lang w:eastAsia="en-AU"/>
              </w:rPr>
              <w:t xml:space="preserve"> </w:t>
            </w:r>
            <w:r w:rsidRPr="000B6417">
              <w:rPr>
                <w:bCs/>
                <w:lang w:eastAsia="en-AU"/>
              </w:rPr>
              <w:t>Endpoint</w:t>
            </w:r>
          </w:p>
        </w:tc>
      </w:tr>
      <w:tr w:rsidR="00C8707C" w:rsidRPr="009D6F1F" w:rsidTr="002E5B56">
        <w:trPr>
          <w:trHeight w:val="20"/>
        </w:trPr>
        <w:tc>
          <w:tcPr>
            <w:cnfStyle w:val="001000000000" w:firstRow="0" w:lastRow="0" w:firstColumn="1" w:lastColumn="0" w:oddVBand="0" w:evenVBand="0" w:oddHBand="0" w:evenHBand="0" w:firstRowFirstColumn="0" w:firstRowLastColumn="0" w:lastRowFirstColumn="0" w:lastRowLastColumn="0"/>
            <w:tcW w:w="1292" w:type="pct"/>
            <w:hideMark/>
          </w:tcPr>
          <w:p w:rsidR="00C8707C" w:rsidRPr="000B6417" w:rsidRDefault="00C8707C" w:rsidP="002E5B56">
            <w:pPr>
              <w:rPr>
                <w:lang w:eastAsia="en-AU"/>
              </w:rPr>
            </w:pPr>
            <w:r w:rsidRPr="000B6417">
              <w:rPr>
                <w:lang w:eastAsia="en-AU"/>
              </w:rPr>
              <w:t>RVR</w:t>
            </w:r>
            <w:r w:rsidRPr="000B6417">
              <w:rPr>
                <w:position w:val="1"/>
                <w:lang w:eastAsia="en-AU"/>
              </w:rPr>
              <w:t xml:space="preserve"> Responder</w:t>
            </w:r>
            <w:r w:rsidRPr="000B6417">
              <w:rPr>
                <w:spacing w:val="-9"/>
                <w:position w:val="1"/>
                <w:lang w:eastAsia="en-AU"/>
              </w:rPr>
              <w:t xml:space="preserve"> </w:t>
            </w:r>
            <w:r w:rsidRPr="000B6417">
              <w:rPr>
                <w:position w:val="1"/>
                <w:lang w:eastAsia="en-AU"/>
              </w:rPr>
              <w:t>(%)</w:t>
            </w:r>
          </w:p>
        </w:tc>
        <w:tc>
          <w:tcPr>
            <w:tcW w:w="648"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position w:val="-2"/>
                <w:lang w:eastAsia="en-AU"/>
              </w:rPr>
              <w:t>118</w:t>
            </w:r>
            <w:r w:rsidRPr="000B6417">
              <w:rPr>
                <w:position w:val="-2"/>
                <w:lang w:eastAsia="en-AU"/>
              </w:rPr>
              <w:t>/159</w:t>
            </w:r>
            <w:r w:rsidRPr="000B6417">
              <w:rPr>
                <w:spacing w:val="-7"/>
                <w:position w:val="-2"/>
                <w:lang w:eastAsia="en-AU"/>
              </w:rPr>
              <w:t xml:space="preserve"> </w:t>
            </w:r>
            <w:r w:rsidRPr="000B6417">
              <w:rPr>
                <w:position w:val="-2"/>
                <w:lang w:eastAsia="en-AU"/>
              </w:rPr>
              <w:t>(74.2</w:t>
            </w:r>
            <w:r w:rsidRPr="000B6417">
              <w:rPr>
                <w:spacing w:val="1"/>
                <w:position w:val="-2"/>
                <w:lang w:eastAsia="en-AU"/>
              </w:rPr>
              <w:t xml:space="preserve">) </w:t>
            </w:r>
            <w:r w:rsidRPr="000B6417">
              <w:rPr>
                <w:spacing w:val="1"/>
                <w:position w:val="-2"/>
                <w:vertAlign w:val="superscript"/>
                <w:lang w:eastAsia="en-AU"/>
              </w:rPr>
              <w:t>b</w:t>
            </w:r>
          </w:p>
        </w:tc>
        <w:tc>
          <w:tcPr>
            <w:tcW w:w="59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position w:val="1"/>
                <w:lang w:eastAsia="en-AU"/>
              </w:rPr>
              <w:t>3/5</w:t>
            </w:r>
            <w:r w:rsidRPr="000B6417">
              <w:rPr>
                <w:position w:val="1"/>
                <w:lang w:eastAsia="en-AU"/>
              </w:rPr>
              <w:t>4</w:t>
            </w:r>
            <w:r w:rsidRPr="000B6417">
              <w:rPr>
                <w:spacing w:val="-3"/>
                <w:position w:val="1"/>
                <w:lang w:eastAsia="en-AU"/>
              </w:rPr>
              <w:t xml:space="preserve"> </w:t>
            </w:r>
            <w:r w:rsidRPr="000B6417">
              <w:rPr>
                <w:spacing w:val="1"/>
                <w:position w:val="1"/>
                <w:lang w:eastAsia="en-AU"/>
              </w:rPr>
              <w:t>(5.6</w:t>
            </w:r>
            <w:r w:rsidRPr="000B6417">
              <w:rPr>
                <w:position w:val="1"/>
                <w:lang w:eastAsia="en-AU"/>
              </w:rPr>
              <w:t>)</w:t>
            </w:r>
          </w:p>
        </w:tc>
        <w:tc>
          <w:tcPr>
            <w:tcW w:w="59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position w:val="1"/>
                <w:lang w:eastAsia="en-AU"/>
              </w:rPr>
              <w:t>65/9</w:t>
            </w:r>
            <w:r w:rsidRPr="000B6417">
              <w:rPr>
                <w:position w:val="1"/>
                <w:lang w:eastAsia="en-AU"/>
              </w:rPr>
              <w:t>4</w:t>
            </w:r>
            <w:r w:rsidRPr="000B6417">
              <w:rPr>
                <w:spacing w:val="-4"/>
                <w:position w:val="1"/>
                <w:lang w:eastAsia="en-AU"/>
              </w:rPr>
              <w:t xml:space="preserve"> </w:t>
            </w:r>
            <w:r w:rsidRPr="000B6417">
              <w:rPr>
                <w:spacing w:val="1"/>
                <w:position w:val="1"/>
                <w:lang w:eastAsia="en-AU"/>
              </w:rPr>
              <w:t>(69.1</w:t>
            </w:r>
            <w:r w:rsidRPr="000B6417">
              <w:rPr>
                <w:position w:val="1"/>
                <w:lang w:eastAsia="en-AU"/>
              </w:rPr>
              <w:t>)</w:t>
            </w:r>
          </w:p>
        </w:tc>
        <w:tc>
          <w:tcPr>
            <w:tcW w:w="64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position w:val="1"/>
                <w:lang w:eastAsia="en-AU"/>
              </w:rPr>
              <w:t>1/2</w:t>
            </w:r>
            <w:r w:rsidRPr="000B6417">
              <w:rPr>
                <w:position w:val="1"/>
                <w:lang w:eastAsia="en-AU"/>
              </w:rPr>
              <w:t>8</w:t>
            </w:r>
            <w:r w:rsidRPr="000B6417">
              <w:rPr>
                <w:spacing w:val="-3"/>
                <w:position w:val="1"/>
                <w:lang w:eastAsia="en-AU"/>
              </w:rPr>
              <w:t xml:space="preserve"> </w:t>
            </w:r>
            <w:r w:rsidRPr="000B6417">
              <w:rPr>
                <w:spacing w:val="1"/>
                <w:position w:val="1"/>
                <w:lang w:eastAsia="en-AU"/>
              </w:rPr>
              <w:t>(3.6</w:t>
            </w:r>
            <w:r w:rsidRPr="000B6417">
              <w:rPr>
                <w:position w:val="1"/>
                <w:lang w:eastAsia="en-AU"/>
              </w:rPr>
              <w:t>)</w:t>
            </w:r>
          </w:p>
        </w:tc>
        <w:tc>
          <w:tcPr>
            <w:tcW w:w="59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position w:val="-2"/>
                <w:lang w:eastAsia="en-AU"/>
              </w:rPr>
              <w:t>51/6</w:t>
            </w:r>
            <w:r w:rsidRPr="000B6417">
              <w:rPr>
                <w:position w:val="-2"/>
                <w:lang w:eastAsia="en-AU"/>
              </w:rPr>
              <w:t>3</w:t>
            </w:r>
            <w:r w:rsidRPr="000B6417">
              <w:rPr>
                <w:spacing w:val="-4"/>
                <w:position w:val="-2"/>
                <w:lang w:eastAsia="en-AU"/>
              </w:rPr>
              <w:t xml:space="preserve"> </w:t>
            </w:r>
            <w:r w:rsidRPr="000B6417">
              <w:rPr>
                <w:spacing w:val="1"/>
                <w:position w:val="-2"/>
                <w:lang w:eastAsia="en-AU"/>
              </w:rPr>
              <w:t xml:space="preserve">(81.0) </w:t>
            </w:r>
            <w:r w:rsidRPr="000B6417">
              <w:rPr>
                <w:spacing w:val="1"/>
                <w:position w:val="-2"/>
                <w:vertAlign w:val="superscript"/>
                <w:lang w:eastAsia="en-AU"/>
              </w:rPr>
              <w:t>b</w:t>
            </w:r>
          </w:p>
        </w:tc>
        <w:tc>
          <w:tcPr>
            <w:tcW w:w="622"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position w:val="1"/>
                <w:lang w:eastAsia="en-AU"/>
              </w:rPr>
              <w:t>2/2</w:t>
            </w:r>
            <w:r w:rsidRPr="000B6417">
              <w:rPr>
                <w:position w:val="1"/>
                <w:lang w:eastAsia="en-AU"/>
              </w:rPr>
              <w:t>5</w:t>
            </w:r>
            <w:r w:rsidRPr="000B6417">
              <w:rPr>
                <w:spacing w:val="-3"/>
                <w:position w:val="1"/>
                <w:lang w:eastAsia="en-AU"/>
              </w:rPr>
              <w:t xml:space="preserve"> </w:t>
            </w:r>
            <w:r w:rsidRPr="000B6417">
              <w:rPr>
                <w:spacing w:val="1"/>
                <w:position w:val="1"/>
                <w:lang w:eastAsia="en-AU"/>
              </w:rPr>
              <w:t>(8.0)</w:t>
            </w:r>
          </w:p>
        </w:tc>
      </w:tr>
      <w:tr w:rsidR="00C8707C" w:rsidRPr="009D6F1F" w:rsidTr="002E5B56">
        <w:trPr>
          <w:trHeight w:val="20"/>
        </w:trPr>
        <w:tc>
          <w:tcPr>
            <w:cnfStyle w:val="001000000000" w:firstRow="0" w:lastRow="0" w:firstColumn="1" w:lastColumn="0" w:oddVBand="0" w:evenVBand="0" w:oddHBand="0" w:evenHBand="0" w:firstRowFirstColumn="0" w:firstRowLastColumn="0" w:lastRowFirstColumn="0" w:lastRowLastColumn="0"/>
            <w:tcW w:w="1292" w:type="pct"/>
            <w:hideMark/>
          </w:tcPr>
          <w:p w:rsidR="00C8707C" w:rsidRPr="000B6417" w:rsidRDefault="00C8707C" w:rsidP="002E5B56">
            <w:pPr>
              <w:rPr>
                <w:lang w:eastAsia="en-AU"/>
              </w:rPr>
            </w:pPr>
            <w:r w:rsidRPr="000B6417">
              <w:rPr>
                <w:lang w:eastAsia="en-AU"/>
              </w:rPr>
              <w:t>80%</w:t>
            </w:r>
            <w:r w:rsidRPr="000B6417">
              <w:rPr>
                <w:spacing w:val="-3"/>
                <w:lang w:eastAsia="en-AU"/>
              </w:rPr>
              <w:t xml:space="preserve"> </w:t>
            </w:r>
            <w:r w:rsidRPr="000B6417">
              <w:rPr>
                <w:lang w:eastAsia="en-AU"/>
              </w:rPr>
              <w:t>CI</w:t>
            </w:r>
          </w:p>
        </w:tc>
        <w:tc>
          <w:tcPr>
            <w:tcW w:w="648"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(69.8</w:t>
            </w:r>
            <w:r w:rsidRPr="000B6417">
              <w:rPr>
                <w:lang w:eastAsia="en-AU"/>
              </w:rPr>
              <w:t>,</w:t>
            </w:r>
            <w:r w:rsidRPr="000B6417">
              <w:rPr>
                <w:spacing w:val="-4"/>
                <w:lang w:eastAsia="en-AU"/>
              </w:rPr>
              <w:t xml:space="preserve"> </w:t>
            </w:r>
            <w:r w:rsidRPr="000B6417">
              <w:rPr>
                <w:spacing w:val="1"/>
                <w:lang w:eastAsia="en-AU"/>
              </w:rPr>
              <w:t>78.7</w:t>
            </w:r>
            <w:r w:rsidRPr="000B6417">
              <w:rPr>
                <w:lang w:eastAsia="en-AU"/>
              </w:rPr>
              <w:t>)</w:t>
            </w:r>
          </w:p>
        </w:tc>
        <w:tc>
          <w:tcPr>
            <w:tcW w:w="59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(1.6</w:t>
            </w:r>
            <w:r w:rsidRPr="000B6417">
              <w:rPr>
                <w:lang w:eastAsia="en-AU"/>
              </w:rPr>
              <w:t>,</w:t>
            </w:r>
            <w:r w:rsidRPr="000B6417">
              <w:rPr>
                <w:spacing w:val="-3"/>
                <w:lang w:eastAsia="en-AU"/>
              </w:rPr>
              <w:t xml:space="preserve"> </w:t>
            </w:r>
            <w:r w:rsidRPr="000B6417">
              <w:rPr>
                <w:spacing w:val="1"/>
                <w:lang w:eastAsia="en-AU"/>
              </w:rPr>
              <w:t>9.6</w:t>
            </w:r>
            <w:r w:rsidRPr="000B6417">
              <w:rPr>
                <w:lang w:eastAsia="en-AU"/>
              </w:rPr>
              <w:t>)</w:t>
            </w:r>
          </w:p>
        </w:tc>
        <w:tc>
          <w:tcPr>
            <w:tcW w:w="59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(63.0</w:t>
            </w:r>
            <w:r w:rsidRPr="000B6417">
              <w:rPr>
                <w:lang w:eastAsia="en-AU"/>
              </w:rPr>
              <w:t>,</w:t>
            </w:r>
            <w:r w:rsidRPr="000B6417">
              <w:rPr>
                <w:spacing w:val="-4"/>
                <w:lang w:eastAsia="en-AU"/>
              </w:rPr>
              <w:t xml:space="preserve"> </w:t>
            </w:r>
            <w:r w:rsidRPr="000B6417">
              <w:rPr>
                <w:lang w:eastAsia="en-AU"/>
              </w:rPr>
              <w:t>75.3)</w:t>
            </w:r>
          </w:p>
        </w:tc>
        <w:tc>
          <w:tcPr>
            <w:tcW w:w="64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(0.0</w:t>
            </w:r>
            <w:r w:rsidRPr="000B6417">
              <w:rPr>
                <w:lang w:eastAsia="en-AU"/>
              </w:rPr>
              <w:t>,</w:t>
            </w:r>
            <w:r w:rsidRPr="000B6417">
              <w:rPr>
                <w:spacing w:val="-3"/>
                <w:lang w:eastAsia="en-AU"/>
              </w:rPr>
              <w:t xml:space="preserve"> </w:t>
            </w:r>
            <w:r w:rsidRPr="000B6417">
              <w:rPr>
                <w:spacing w:val="1"/>
                <w:lang w:eastAsia="en-AU"/>
              </w:rPr>
              <w:t>8.1</w:t>
            </w:r>
            <w:r w:rsidRPr="000B6417">
              <w:rPr>
                <w:lang w:eastAsia="en-AU"/>
              </w:rPr>
              <w:t>)</w:t>
            </w:r>
          </w:p>
        </w:tc>
        <w:tc>
          <w:tcPr>
            <w:tcW w:w="59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(74.6</w:t>
            </w:r>
            <w:r w:rsidRPr="000B6417">
              <w:rPr>
                <w:lang w:eastAsia="en-AU"/>
              </w:rPr>
              <w:t>,</w:t>
            </w:r>
            <w:r w:rsidRPr="000B6417">
              <w:rPr>
                <w:spacing w:val="-4"/>
                <w:lang w:eastAsia="en-AU"/>
              </w:rPr>
              <w:t xml:space="preserve"> </w:t>
            </w:r>
            <w:r w:rsidRPr="000B6417">
              <w:rPr>
                <w:spacing w:val="1"/>
                <w:lang w:eastAsia="en-AU"/>
              </w:rPr>
              <w:t>87.3</w:t>
            </w:r>
            <w:r w:rsidRPr="000B6417">
              <w:rPr>
                <w:lang w:eastAsia="en-AU"/>
              </w:rPr>
              <w:t>)</w:t>
            </w:r>
          </w:p>
        </w:tc>
        <w:tc>
          <w:tcPr>
            <w:tcW w:w="622"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(1.0,</w:t>
            </w:r>
            <w:r w:rsidRPr="000B6417">
              <w:rPr>
                <w:spacing w:val="-3"/>
                <w:lang w:eastAsia="en-AU"/>
              </w:rPr>
              <w:t xml:space="preserve"> </w:t>
            </w:r>
            <w:r w:rsidRPr="000B6417">
              <w:rPr>
                <w:lang w:eastAsia="en-AU"/>
              </w:rPr>
              <w:t>15.0)</w:t>
            </w:r>
          </w:p>
        </w:tc>
      </w:tr>
      <w:tr w:rsidR="00C8707C" w:rsidRPr="009D6F1F" w:rsidTr="002E5B56">
        <w:trPr>
          <w:trHeight w:val="20"/>
        </w:trPr>
        <w:tc>
          <w:tcPr>
            <w:cnfStyle w:val="001000000000" w:firstRow="0" w:lastRow="0" w:firstColumn="1" w:lastColumn="0" w:oddVBand="0" w:evenVBand="0" w:oddHBand="0" w:evenHBand="0" w:firstRowFirstColumn="0" w:firstRowLastColumn="0" w:lastRowFirstColumn="0" w:lastRowLastColumn="0"/>
            <w:tcW w:w="1292" w:type="pct"/>
            <w:hideMark/>
          </w:tcPr>
          <w:p w:rsidR="00C8707C" w:rsidRPr="000B6417" w:rsidRDefault="00C8707C" w:rsidP="002E5B56">
            <w:pPr>
              <w:rPr>
                <w:lang w:eastAsia="en-AU"/>
              </w:rPr>
            </w:pPr>
            <w:proofErr w:type="spellStart"/>
            <w:proofErr w:type="gramStart"/>
            <w:r w:rsidRPr="000B6417">
              <w:rPr>
                <w:lang w:eastAsia="en-AU"/>
              </w:rPr>
              <w:t>cEVR</w:t>
            </w:r>
            <w:proofErr w:type="spellEnd"/>
            <w:proofErr w:type="gramEnd"/>
            <w:r w:rsidRPr="000B6417">
              <w:rPr>
                <w:position w:val="1"/>
                <w:lang w:eastAsia="en-AU"/>
              </w:rPr>
              <w:t xml:space="preserve"> Responder</w:t>
            </w:r>
            <w:r w:rsidRPr="000B6417">
              <w:rPr>
                <w:spacing w:val="-9"/>
                <w:position w:val="1"/>
                <w:lang w:eastAsia="en-AU"/>
              </w:rPr>
              <w:t xml:space="preserve"> </w:t>
            </w:r>
            <w:r w:rsidRPr="000B6417">
              <w:rPr>
                <w:position w:val="1"/>
                <w:lang w:eastAsia="en-AU"/>
              </w:rPr>
              <w:t>(%)</w:t>
            </w:r>
          </w:p>
        </w:tc>
        <w:tc>
          <w:tcPr>
            <w:tcW w:w="648"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position w:val="-2"/>
                <w:lang w:eastAsia="en-AU"/>
              </w:rPr>
              <w:t>135/159</w:t>
            </w:r>
            <w:r w:rsidRPr="000B6417">
              <w:rPr>
                <w:spacing w:val="-6"/>
                <w:position w:val="-2"/>
                <w:lang w:eastAsia="en-AU"/>
              </w:rPr>
              <w:t xml:space="preserve"> </w:t>
            </w:r>
            <w:r w:rsidRPr="000B6417">
              <w:rPr>
                <w:position w:val="-2"/>
                <w:lang w:eastAsia="en-AU"/>
              </w:rPr>
              <w:t>(84.9</w:t>
            </w:r>
            <w:r w:rsidRPr="000B6417">
              <w:rPr>
                <w:spacing w:val="1"/>
                <w:position w:val="-2"/>
                <w:lang w:eastAsia="en-AU"/>
              </w:rPr>
              <w:t xml:space="preserve">) </w:t>
            </w:r>
            <w:r w:rsidRPr="000B6417">
              <w:rPr>
                <w:spacing w:val="1"/>
                <w:position w:val="-2"/>
                <w:vertAlign w:val="superscript"/>
                <w:lang w:eastAsia="en-AU"/>
              </w:rPr>
              <w:t>b</w:t>
            </w:r>
          </w:p>
        </w:tc>
        <w:tc>
          <w:tcPr>
            <w:tcW w:w="59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position w:val="1"/>
                <w:lang w:eastAsia="en-AU"/>
              </w:rPr>
              <w:t>28/5</w:t>
            </w:r>
            <w:r w:rsidRPr="000B6417">
              <w:rPr>
                <w:position w:val="1"/>
                <w:lang w:eastAsia="en-AU"/>
              </w:rPr>
              <w:t>4</w:t>
            </w:r>
            <w:r w:rsidRPr="000B6417">
              <w:rPr>
                <w:spacing w:val="-4"/>
                <w:position w:val="1"/>
                <w:lang w:eastAsia="en-AU"/>
              </w:rPr>
              <w:t xml:space="preserve"> </w:t>
            </w:r>
            <w:r w:rsidRPr="000B6417">
              <w:rPr>
                <w:spacing w:val="1"/>
                <w:position w:val="1"/>
                <w:lang w:eastAsia="en-AU"/>
              </w:rPr>
              <w:t>(51.9</w:t>
            </w:r>
            <w:r w:rsidRPr="000B6417">
              <w:rPr>
                <w:position w:val="1"/>
                <w:lang w:eastAsia="en-AU"/>
              </w:rPr>
              <w:t>)</w:t>
            </w:r>
          </w:p>
        </w:tc>
        <w:tc>
          <w:tcPr>
            <w:tcW w:w="59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position w:val="1"/>
                <w:lang w:eastAsia="en-AU"/>
              </w:rPr>
              <w:t>76/9</w:t>
            </w:r>
            <w:r w:rsidRPr="000B6417">
              <w:rPr>
                <w:position w:val="1"/>
                <w:lang w:eastAsia="en-AU"/>
              </w:rPr>
              <w:t>4</w:t>
            </w:r>
            <w:r w:rsidRPr="000B6417">
              <w:rPr>
                <w:spacing w:val="-4"/>
                <w:position w:val="1"/>
                <w:lang w:eastAsia="en-AU"/>
              </w:rPr>
              <w:t xml:space="preserve"> </w:t>
            </w:r>
            <w:r w:rsidRPr="000B6417">
              <w:rPr>
                <w:spacing w:val="1"/>
                <w:position w:val="1"/>
                <w:lang w:eastAsia="en-AU"/>
              </w:rPr>
              <w:t>(80.9</w:t>
            </w:r>
            <w:r w:rsidRPr="000B6417">
              <w:rPr>
                <w:position w:val="1"/>
                <w:lang w:eastAsia="en-AU"/>
              </w:rPr>
              <w:t>)</w:t>
            </w:r>
          </w:p>
        </w:tc>
        <w:tc>
          <w:tcPr>
            <w:tcW w:w="64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position w:val="1"/>
                <w:lang w:eastAsia="en-AU"/>
              </w:rPr>
              <w:t>14/2</w:t>
            </w:r>
            <w:r w:rsidRPr="000B6417">
              <w:rPr>
                <w:position w:val="1"/>
                <w:lang w:eastAsia="en-AU"/>
              </w:rPr>
              <w:t>8</w:t>
            </w:r>
            <w:r w:rsidRPr="000B6417">
              <w:rPr>
                <w:spacing w:val="-4"/>
                <w:position w:val="1"/>
                <w:lang w:eastAsia="en-AU"/>
              </w:rPr>
              <w:t xml:space="preserve"> </w:t>
            </w:r>
            <w:r w:rsidRPr="000B6417">
              <w:rPr>
                <w:spacing w:val="1"/>
                <w:position w:val="1"/>
                <w:lang w:eastAsia="en-AU"/>
              </w:rPr>
              <w:t>(50.0</w:t>
            </w:r>
            <w:r w:rsidRPr="000B6417">
              <w:rPr>
                <w:position w:val="1"/>
                <w:lang w:eastAsia="en-AU"/>
              </w:rPr>
              <w:t>)</w:t>
            </w:r>
          </w:p>
        </w:tc>
        <w:tc>
          <w:tcPr>
            <w:tcW w:w="59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position w:val="-2"/>
                <w:lang w:eastAsia="en-AU"/>
              </w:rPr>
              <w:t>57/6</w:t>
            </w:r>
            <w:r w:rsidRPr="000B6417">
              <w:rPr>
                <w:position w:val="-2"/>
                <w:lang w:eastAsia="en-AU"/>
              </w:rPr>
              <w:t>3</w:t>
            </w:r>
            <w:r w:rsidRPr="000B6417">
              <w:rPr>
                <w:spacing w:val="-4"/>
                <w:position w:val="-2"/>
                <w:lang w:eastAsia="en-AU"/>
              </w:rPr>
              <w:t xml:space="preserve"> </w:t>
            </w:r>
            <w:r w:rsidRPr="000B6417">
              <w:rPr>
                <w:spacing w:val="1"/>
                <w:position w:val="-2"/>
                <w:lang w:eastAsia="en-AU"/>
              </w:rPr>
              <w:t xml:space="preserve">(90.5) </w:t>
            </w:r>
            <w:r w:rsidRPr="000B6417">
              <w:rPr>
                <w:spacing w:val="1"/>
                <w:position w:val="-2"/>
                <w:vertAlign w:val="superscript"/>
                <w:lang w:eastAsia="en-AU"/>
              </w:rPr>
              <w:t>b</w:t>
            </w:r>
          </w:p>
        </w:tc>
        <w:tc>
          <w:tcPr>
            <w:tcW w:w="622"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position w:val="1"/>
                <w:lang w:eastAsia="en-AU"/>
              </w:rPr>
              <w:t>14/2</w:t>
            </w:r>
            <w:r w:rsidRPr="000B6417">
              <w:rPr>
                <w:position w:val="1"/>
                <w:lang w:eastAsia="en-AU"/>
              </w:rPr>
              <w:t>5</w:t>
            </w:r>
            <w:r w:rsidRPr="000B6417">
              <w:rPr>
                <w:spacing w:val="-4"/>
                <w:position w:val="1"/>
                <w:lang w:eastAsia="en-AU"/>
              </w:rPr>
              <w:t xml:space="preserve"> </w:t>
            </w:r>
            <w:r w:rsidRPr="000B6417">
              <w:rPr>
                <w:spacing w:val="1"/>
                <w:position w:val="1"/>
                <w:lang w:eastAsia="en-AU"/>
              </w:rPr>
              <w:t>(56.0)</w:t>
            </w:r>
          </w:p>
        </w:tc>
      </w:tr>
      <w:tr w:rsidR="00C8707C" w:rsidRPr="009D6F1F" w:rsidTr="002E5B56">
        <w:trPr>
          <w:trHeight w:val="20"/>
        </w:trPr>
        <w:tc>
          <w:tcPr>
            <w:cnfStyle w:val="001000000000" w:firstRow="0" w:lastRow="0" w:firstColumn="1" w:lastColumn="0" w:oddVBand="0" w:evenVBand="0" w:oddHBand="0" w:evenHBand="0" w:firstRowFirstColumn="0" w:firstRowLastColumn="0" w:lastRowFirstColumn="0" w:lastRowLastColumn="0"/>
            <w:tcW w:w="1292" w:type="pct"/>
            <w:hideMark/>
          </w:tcPr>
          <w:p w:rsidR="00C8707C" w:rsidRPr="000B6417" w:rsidRDefault="00C8707C" w:rsidP="002E5B56">
            <w:pPr>
              <w:rPr>
                <w:lang w:eastAsia="en-AU"/>
              </w:rPr>
            </w:pPr>
            <w:r w:rsidRPr="000B6417">
              <w:rPr>
                <w:lang w:eastAsia="en-AU"/>
              </w:rPr>
              <w:t>80%</w:t>
            </w:r>
            <w:r w:rsidRPr="000B6417">
              <w:rPr>
                <w:spacing w:val="-3"/>
                <w:lang w:eastAsia="en-AU"/>
              </w:rPr>
              <w:t xml:space="preserve"> </w:t>
            </w:r>
            <w:r w:rsidRPr="000B6417">
              <w:rPr>
                <w:lang w:eastAsia="en-AU"/>
              </w:rPr>
              <w:t>CI</w:t>
            </w:r>
          </w:p>
        </w:tc>
        <w:tc>
          <w:tcPr>
            <w:tcW w:w="648"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(81.3</w:t>
            </w:r>
            <w:r w:rsidRPr="000B6417">
              <w:rPr>
                <w:lang w:eastAsia="en-AU"/>
              </w:rPr>
              <w:t>,</w:t>
            </w:r>
            <w:r w:rsidRPr="000B6417">
              <w:rPr>
                <w:spacing w:val="-4"/>
                <w:lang w:eastAsia="en-AU"/>
              </w:rPr>
              <w:t xml:space="preserve"> </w:t>
            </w:r>
            <w:r w:rsidRPr="000B6417">
              <w:rPr>
                <w:spacing w:val="1"/>
                <w:lang w:eastAsia="en-AU"/>
              </w:rPr>
              <w:t>88.5</w:t>
            </w:r>
            <w:r w:rsidRPr="000B6417">
              <w:rPr>
                <w:lang w:eastAsia="en-AU"/>
              </w:rPr>
              <w:t>)</w:t>
            </w:r>
          </w:p>
        </w:tc>
        <w:tc>
          <w:tcPr>
            <w:tcW w:w="59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(43.1</w:t>
            </w:r>
            <w:r w:rsidRPr="000B6417">
              <w:rPr>
                <w:lang w:eastAsia="en-AU"/>
              </w:rPr>
              <w:t>,</w:t>
            </w:r>
            <w:r w:rsidRPr="000B6417">
              <w:rPr>
                <w:spacing w:val="-4"/>
                <w:lang w:eastAsia="en-AU"/>
              </w:rPr>
              <w:t xml:space="preserve"> </w:t>
            </w:r>
            <w:r w:rsidRPr="000B6417">
              <w:rPr>
                <w:spacing w:val="1"/>
                <w:lang w:eastAsia="en-AU"/>
              </w:rPr>
              <w:t>60.6</w:t>
            </w:r>
            <w:r w:rsidRPr="000B6417">
              <w:rPr>
                <w:lang w:eastAsia="en-AU"/>
              </w:rPr>
              <w:t>)</w:t>
            </w:r>
          </w:p>
        </w:tc>
        <w:tc>
          <w:tcPr>
            <w:tcW w:w="59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(75.7</w:t>
            </w:r>
            <w:r w:rsidRPr="000B6417">
              <w:rPr>
                <w:lang w:eastAsia="en-AU"/>
              </w:rPr>
              <w:t>,</w:t>
            </w:r>
            <w:r w:rsidRPr="000B6417">
              <w:rPr>
                <w:spacing w:val="-4"/>
                <w:lang w:eastAsia="en-AU"/>
              </w:rPr>
              <w:t xml:space="preserve"> </w:t>
            </w:r>
            <w:r w:rsidRPr="000B6417">
              <w:rPr>
                <w:spacing w:val="1"/>
                <w:lang w:eastAsia="en-AU"/>
              </w:rPr>
              <w:t>86.1</w:t>
            </w:r>
            <w:r w:rsidRPr="000B6417">
              <w:rPr>
                <w:lang w:eastAsia="en-AU"/>
              </w:rPr>
              <w:t>)</w:t>
            </w:r>
          </w:p>
        </w:tc>
        <w:tc>
          <w:tcPr>
            <w:tcW w:w="64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(37.9</w:t>
            </w:r>
            <w:r w:rsidRPr="000B6417">
              <w:rPr>
                <w:lang w:eastAsia="en-AU"/>
              </w:rPr>
              <w:t>,</w:t>
            </w:r>
            <w:r w:rsidRPr="000B6417">
              <w:rPr>
                <w:spacing w:val="-4"/>
                <w:lang w:eastAsia="en-AU"/>
              </w:rPr>
              <w:t xml:space="preserve"> </w:t>
            </w:r>
            <w:r w:rsidRPr="000B6417">
              <w:rPr>
                <w:spacing w:val="1"/>
                <w:lang w:eastAsia="en-AU"/>
              </w:rPr>
              <w:t>62.1</w:t>
            </w:r>
            <w:r w:rsidRPr="000B6417">
              <w:rPr>
                <w:lang w:eastAsia="en-AU"/>
              </w:rPr>
              <w:t>)</w:t>
            </w:r>
          </w:p>
        </w:tc>
        <w:tc>
          <w:tcPr>
            <w:tcW w:w="59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(85.7</w:t>
            </w:r>
            <w:r w:rsidRPr="000B6417">
              <w:rPr>
                <w:lang w:eastAsia="en-AU"/>
              </w:rPr>
              <w:t>,</w:t>
            </w:r>
            <w:r w:rsidRPr="000B6417">
              <w:rPr>
                <w:spacing w:val="-4"/>
                <w:lang w:eastAsia="en-AU"/>
              </w:rPr>
              <w:t xml:space="preserve"> </w:t>
            </w:r>
            <w:r w:rsidRPr="000B6417">
              <w:rPr>
                <w:spacing w:val="1"/>
                <w:lang w:eastAsia="en-AU"/>
              </w:rPr>
              <w:t>95.2</w:t>
            </w:r>
            <w:r w:rsidRPr="000B6417">
              <w:rPr>
                <w:lang w:eastAsia="en-AU"/>
              </w:rPr>
              <w:t>)</w:t>
            </w:r>
          </w:p>
        </w:tc>
        <w:tc>
          <w:tcPr>
            <w:tcW w:w="622"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(43.3</w:t>
            </w:r>
            <w:r w:rsidRPr="000B6417">
              <w:rPr>
                <w:lang w:eastAsia="en-AU"/>
              </w:rPr>
              <w:t>,</w:t>
            </w:r>
            <w:r w:rsidRPr="000B6417">
              <w:rPr>
                <w:spacing w:val="-4"/>
                <w:lang w:eastAsia="en-AU"/>
              </w:rPr>
              <w:t xml:space="preserve"> </w:t>
            </w:r>
            <w:r w:rsidRPr="000B6417">
              <w:rPr>
                <w:spacing w:val="1"/>
                <w:lang w:eastAsia="en-AU"/>
              </w:rPr>
              <w:t>68.7)</w:t>
            </w:r>
          </w:p>
        </w:tc>
      </w:tr>
      <w:tr w:rsidR="00C8707C" w:rsidRPr="009D6F1F" w:rsidTr="002E5B56">
        <w:trPr>
          <w:trHeight w:val="20"/>
        </w:trPr>
        <w:tc>
          <w:tcPr>
            <w:cnfStyle w:val="001000000000" w:firstRow="0" w:lastRow="0" w:firstColumn="1" w:lastColumn="0" w:oddVBand="0" w:evenVBand="0" w:oddHBand="0" w:evenHBand="0" w:firstRowFirstColumn="0" w:firstRowLastColumn="0" w:lastRowFirstColumn="0" w:lastRowLastColumn="0"/>
            <w:tcW w:w="1292" w:type="pct"/>
            <w:hideMark/>
          </w:tcPr>
          <w:p w:rsidR="00C8707C" w:rsidRPr="000B6417" w:rsidRDefault="00C8707C" w:rsidP="002E5B56">
            <w:pPr>
              <w:rPr>
                <w:position w:val="1"/>
                <w:lang w:eastAsia="en-AU"/>
              </w:rPr>
            </w:pPr>
            <w:r w:rsidRPr="000B6417">
              <w:rPr>
                <w:lang w:eastAsia="en-AU"/>
              </w:rPr>
              <w:t>PDR</w:t>
            </w:r>
            <w:r w:rsidRPr="000B6417">
              <w:rPr>
                <w:position w:val="1"/>
                <w:lang w:eastAsia="en-AU"/>
              </w:rPr>
              <w:t xml:space="preserve"> Responder (%)</w:t>
            </w:r>
          </w:p>
        </w:tc>
        <w:tc>
          <w:tcPr>
            <w:tcW w:w="648"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position w:val="-1"/>
                <w:lang w:eastAsia="en-AU"/>
              </w:rPr>
              <w:t>139/159</w:t>
            </w:r>
            <w:r w:rsidRPr="000B6417">
              <w:rPr>
                <w:spacing w:val="-6"/>
                <w:position w:val="-1"/>
                <w:lang w:eastAsia="en-AU"/>
              </w:rPr>
              <w:t xml:space="preserve"> </w:t>
            </w:r>
            <w:r w:rsidRPr="000B6417">
              <w:rPr>
                <w:position w:val="-1"/>
                <w:lang w:eastAsia="en-AU"/>
              </w:rPr>
              <w:t>(87.4</w:t>
            </w:r>
            <w:r w:rsidRPr="000B6417">
              <w:rPr>
                <w:spacing w:val="1"/>
                <w:position w:val="-1"/>
                <w:lang w:eastAsia="en-AU"/>
              </w:rPr>
              <w:t>)</w:t>
            </w:r>
          </w:p>
        </w:tc>
        <w:tc>
          <w:tcPr>
            <w:tcW w:w="59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position w:val="1"/>
                <w:lang w:eastAsia="en-AU"/>
              </w:rPr>
              <w:t>8/54</w:t>
            </w:r>
            <w:r w:rsidRPr="000B6417">
              <w:rPr>
                <w:spacing w:val="-3"/>
                <w:position w:val="1"/>
                <w:lang w:eastAsia="en-AU"/>
              </w:rPr>
              <w:t xml:space="preserve"> </w:t>
            </w:r>
            <w:r w:rsidRPr="000B6417">
              <w:rPr>
                <w:position w:val="1"/>
                <w:lang w:eastAsia="en-AU"/>
              </w:rPr>
              <w:t>(14.8)</w:t>
            </w:r>
          </w:p>
        </w:tc>
        <w:tc>
          <w:tcPr>
            <w:tcW w:w="59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position w:val="1"/>
                <w:lang w:eastAsia="en-AU"/>
              </w:rPr>
              <w:t>80/9</w:t>
            </w:r>
            <w:r w:rsidRPr="000B6417">
              <w:rPr>
                <w:position w:val="1"/>
                <w:lang w:eastAsia="en-AU"/>
              </w:rPr>
              <w:t>4</w:t>
            </w:r>
            <w:r w:rsidRPr="000B6417">
              <w:rPr>
                <w:spacing w:val="-4"/>
                <w:position w:val="1"/>
                <w:lang w:eastAsia="en-AU"/>
              </w:rPr>
              <w:t xml:space="preserve"> </w:t>
            </w:r>
            <w:r w:rsidRPr="000B6417">
              <w:rPr>
                <w:spacing w:val="1"/>
                <w:position w:val="1"/>
                <w:lang w:eastAsia="en-AU"/>
              </w:rPr>
              <w:t>(85.1</w:t>
            </w:r>
            <w:r w:rsidRPr="000B6417">
              <w:rPr>
                <w:position w:val="1"/>
                <w:lang w:eastAsia="en-AU"/>
              </w:rPr>
              <w:t>)</w:t>
            </w:r>
          </w:p>
        </w:tc>
        <w:tc>
          <w:tcPr>
            <w:tcW w:w="64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position w:val="1"/>
                <w:lang w:eastAsia="en-AU"/>
              </w:rPr>
              <w:t>4/28</w:t>
            </w:r>
            <w:r w:rsidRPr="000B6417">
              <w:rPr>
                <w:spacing w:val="-3"/>
                <w:position w:val="1"/>
                <w:lang w:eastAsia="en-AU"/>
              </w:rPr>
              <w:t xml:space="preserve"> </w:t>
            </w:r>
            <w:r w:rsidRPr="000B6417">
              <w:rPr>
                <w:position w:val="1"/>
                <w:lang w:eastAsia="en-AU"/>
              </w:rPr>
              <w:t>(14.3)</w:t>
            </w:r>
          </w:p>
        </w:tc>
        <w:tc>
          <w:tcPr>
            <w:tcW w:w="59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position w:val="-1"/>
                <w:lang w:eastAsia="en-AU"/>
              </w:rPr>
              <w:t>57/6</w:t>
            </w:r>
            <w:r w:rsidRPr="000B6417">
              <w:rPr>
                <w:position w:val="-1"/>
                <w:lang w:eastAsia="en-AU"/>
              </w:rPr>
              <w:t>3</w:t>
            </w:r>
            <w:r w:rsidRPr="000B6417">
              <w:rPr>
                <w:spacing w:val="-4"/>
                <w:position w:val="-1"/>
                <w:lang w:eastAsia="en-AU"/>
              </w:rPr>
              <w:t xml:space="preserve"> </w:t>
            </w:r>
            <w:r w:rsidRPr="000B6417">
              <w:rPr>
                <w:spacing w:val="1"/>
                <w:position w:val="-1"/>
                <w:lang w:eastAsia="en-AU"/>
              </w:rPr>
              <w:t xml:space="preserve">(90.5) </w:t>
            </w:r>
            <w:r w:rsidRPr="000B6417">
              <w:rPr>
                <w:spacing w:val="1"/>
                <w:position w:val="-2"/>
                <w:vertAlign w:val="superscript"/>
                <w:lang w:eastAsia="en-AU"/>
              </w:rPr>
              <w:t>b</w:t>
            </w:r>
          </w:p>
        </w:tc>
        <w:tc>
          <w:tcPr>
            <w:tcW w:w="622"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position w:val="1"/>
                <w:lang w:eastAsia="en-AU"/>
              </w:rPr>
              <w:t>4/25</w:t>
            </w:r>
            <w:r w:rsidRPr="000B6417">
              <w:rPr>
                <w:spacing w:val="-3"/>
                <w:position w:val="1"/>
                <w:lang w:eastAsia="en-AU"/>
              </w:rPr>
              <w:t xml:space="preserve"> </w:t>
            </w:r>
            <w:r w:rsidRPr="000B6417">
              <w:rPr>
                <w:position w:val="1"/>
                <w:lang w:eastAsia="en-AU"/>
              </w:rPr>
              <w:t>(16.0)</w:t>
            </w:r>
          </w:p>
        </w:tc>
      </w:tr>
      <w:tr w:rsidR="00C8707C" w:rsidRPr="009D6F1F" w:rsidTr="002E5B56">
        <w:trPr>
          <w:trHeight w:val="20"/>
        </w:trPr>
        <w:tc>
          <w:tcPr>
            <w:cnfStyle w:val="001000000000" w:firstRow="0" w:lastRow="0" w:firstColumn="1" w:lastColumn="0" w:oddVBand="0" w:evenVBand="0" w:oddHBand="0" w:evenHBand="0" w:firstRowFirstColumn="0" w:firstRowLastColumn="0" w:lastRowFirstColumn="0" w:lastRowLastColumn="0"/>
            <w:tcW w:w="1292" w:type="pct"/>
            <w:hideMark/>
          </w:tcPr>
          <w:p w:rsidR="00C8707C" w:rsidRPr="000B6417" w:rsidRDefault="00C8707C" w:rsidP="002E5B56">
            <w:pPr>
              <w:rPr>
                <w:position w:val="1"/>
                <w:lang w:eastAsia="en-AU"/>
              </w:rPr>
            </w:pPr>
            <w:r w:rsidRPr="000B6417">
              <w:rPr>
                <w:position w:val="1"/>
                <w:lang w:eastAsia="en-AU"/>
              </w:rPr>
              <w:t>80% CI</w:t>
            </w:r>
          </w:p>
        </w:tc>
        <w:tc>
          <w:tcPr>
            <w:tcW w:w="648"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(84.1</w:t>
            </w:r>
            <w:r w:rsidRPr="000B6417">
              <w:rPr>
                <w:lang w:eastAsia="en-AU"/>
              </w:rPr>
              <w:t>,</w:t>
            </w:r>
            <w:r w:rsidRPr="000B6417">
              <w:rPr>
                <w:spacing w:val="-4"/>
                <w:lang w:eastAsia="en-AU"/>
              </w:rPr>
              <w:t xml:space="preserve"> </w:t>
            </w:r>
            <w:r w:rsidRPr="000B6417">
              <w:rPr>
                <w:spacing w:val="1"/>
                <w:lang w:eastAsia="en-AU"/>
              </w:rPr>
              <w:t>90.8</w:t>
            </w:r>
            <w:r w:rsidRPr="000B6417">
              <w:rPr>
                <w:lang w:eastAsia="en-AU"/>
              </w:rPr>
              <w:t>)</w:t>
            </w:r>
          </w:p>
        </w:tc>
        <w:tc>
          <w:tcPr>
            <w:tcW w:w="59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lang w:eastAsia="en-AU"/>
              </w:rPr>
              <w:t>(8.6,</w:t>
            </w:r>
            <w:r w:rsidRPr="000B6417">
              <w:rPr>
                <w:spacing w:val="-3"/>
                <w:lang w:eastAsia="en-AU"/>
              </w:rPr>
              <w:t xml:space="preserve"> </w:t>
            </w:r>
            <w:r w:rsidRPr="000B6417">
              <w:rPr>
                <w:lang w:eastAsia="en-AU"/>
              </w:rPr>
              <w:t>21.0)</w:t>
            </w:r>
          </w:p>
        </w:tc>
        <w:tc>
          <w:tcPr>
            <w:tcW w:w="59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(80.4</w:t>
            </w:r>
            <w:r w:rsidRPr="000B6417">
              <w:rPr>
                <w:lang w:eastAsia="en-AU"/>
              </w:rPr>
              <w:t>,</w:t>
            </w:r>
            <w:r w:rsidRPr="000B6417">
              <w:rPr>
                <w:spacing w:val="-4"/>
                <w:lang w:eastAsia="en-AU"/>
              </w:rPr>
              <w:t xml:space="preserve"> </w:t>
            </w:r>
            <w:r w:rsidRPr="000B6417">
              <w:rPr>
                <w:spacing w:val="1"/>
                <w:lang w:eastAsia="en-AU"/>
              </w:rPr>
              <w:t>89.8</w:t>
            </w:r>
            <w:r w:rsidRPr="000B6417">
              <w:rPr>
                <w:lang w:eastAsia="en-AU"/>
              </w:rPr>
              <w:t>)</w:t>
            </w:r>
          </w:p>
        </w:tc>
        <w:tc>
          <w:tcPr>
            <w:tcW w:w="64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lang w:eastAsia="en-AU"/>
              </w:rPr>
              <w:t>(5.8,</w:t>
            </w:r>
            <w:r w:rsidRPr="000B6417">
              <w:rPr>
                <w:spacing w:val="-3"/>
                <w:lang w:eastAsia="en-AU"/>
              </w:rPr>
              <w:t xml:space="preserve"> </w:t>
            </w:r>
            <w:r w:rsidRPr="000B6417">
              <w:rPr>
                <w:lang w:eastAsia="en-AU"/>
              </w:rPr>
              <w:t>22.8)</w:t>
            </w:r>
          </w:p>
        </w:tc>
        <w:tc>
          <w:tcPr>
            <w:tcW w:w="59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(85.7</w:t>
            </w:r>
            <w:r w:rsidRPr="000B6417">
              <w:rPr>
                <w:lang w:eastAsia="en-AU"/>
              </w:rPr>
              <w:t>,</w:t>
            </w:r>
            <w:r w:rsidRPr="000B6417">
              <w:rPr>
                <w:spacing w:val="-4"/>
                <w:lang w:eastAsia="en-AU"/>
              </w:rPr>
              <w:t xml:space="preserve"> </w:t>
            </w:r>
            <w:r w:rsidRPr="000B6417">
              <w:rPr>
                <w:spacing w:val="1"/>
                <w:lang w:eastAsia="en-AU"/>
              </w:rPr>
              <w:t>95.2</w:t>
            </w:r>
            <w:r w:rsidRPr="000B6417">
              <w:rPr>
                <w:lang w:eastAsia="en-AU"/>
              </w:rPr>
              <w:t>)</w:t>
            </w:r>
          </w:p>
        </w:tc>
        <w:tc>
          <w:tcPr>
            <w:tcW w:w="622"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lang w:eastAsia="en-AU"/>
              </w:rPr>
              <w:t>(6.6,</w:t>
            </w:r>
            <w:r w:rsidRPr="000B6417">
              <w:rPr>
                <w:spacing w:val="-3"/>
                <w:lang w:eastAsia="en-AU"/>
              </w:rPr>
              <w:t xml:space="preserve"> </w:t>
            </w:r>
            <w:r w:rsidRPr="000B6417">
              <w:rPr>
                <w:lang w:eastAsia="en-AU"/>
              </w:rPr>
              <w:t>25.4)</w:t>
            </w:r>
          </w:p>
        </w:tc>
      </w:tr>
      <w:tr w:rsidR="00C8707C" w:rsidRPr="009D6F1F" w:rsidTr="002E5B56">
        <w:trPr>
          <w:trHeight w:val="20"/>
        </w:trPr>
        <w:tc>
          <w:tcPr>
            <w:cnfStyle w:val="001000000000" w:firstRow="0" w:lastRow="0" w:firstColumn="1" w:lastColumn="0" w:oddVBand="0" w:evenVBand="0" w:oddHBand="0" w:evenHBand="0" w:firstRowFirstColumn="0" w:firstRowLastColumn="0" w:lastRowFirstColumn="0" w:lastRowLastColumn="0"/>
            <w:tcW w:w="1292" w:type="pct"/>
            <w:hideMark/>
          </w:tcPr>
          <w:p w:rsidR="00C8707C" w:rsidRPr="000B6417" w:rsidRDefault="00C8707C" w:rsidP="002E5B56">
            <w:pPr>
              <w:rPr>
                <w:position w:val="1"/>
                <w:lang w:eastAsia="en-AU"/>
              </w:rPr>
            </w:pPr>
            <w:r w:rsidRPr="000B6417">
              <w:rPr>
                <w:lang w:eastAsia="en-AU"/>
              </w:rPr>
              <w:t>EOTR Responder</w:t>
            </w:r>
            <w:r w:rsidRPr="000B6417">
              <w:rPr>
                <w:spacing w:val="-9"/>
                <w:lang w:eastAsia="en-AU"/>
              </w:rPr>
              <w:t xml:space="preserve"> </w:t>
            </w:r>
            <w:r w:rsidRPr="000B6417">
              <w:rPr>
                <w:lang w:eastAsia="en-AU"/>
              </w:rPr>
              <w:t>(%)</w:t>
            </w:r>
          </w:p>
        </w:tc>
        <w:tc>
          <w:tcPr>
            <w:tcW w:w="648"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position w:val="-3"/>
                <w:lang w:eastAsia="en-AU"/>
              </w:rPr>
              <w:t>141/159</w:t>
            </w:r>
            <w:r w:rsidRPr="000B6417">
              <w:rPr>
                <w:spacing w:val="-6"/>
                <w:position w:val="-3"/>
                <w:lang w:eastAsia="en-AU"/>
              </w:rPr>
              <w:t xml:space="preserve"> </w:t>
            </w:r>
            <w:r w:rsidRPr="000B6417">
              <w:rPr>
                <w:position w:val="-3"/>
                <w:lang w:eastAsia="en-AU"/>
              </w:rPr>
              <w:lastRenderedPageBreak/>
              <w:t>(88.7</w:t>
            </w:r>
            <w:r w:rsidRPr="000B6417">
              <w:rPr>
                <w:spacing w:val="1"/>
                <w:position w:val="-3"/>
                <w:lang w:eastAsia="en-AU"/>
              </w:rPr>
              <w:t>)</w:t>
            </w:r>
          </w:p>
        </w:tc>
        <w:tc>
          <w:tcPr>
            <w:tcW w:w="59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lastRenderedPageBreak/>
              <w:t>43/5</w:t>
            </w:r>
            <w:r w:rsidRPr="000B6417">
              <w:rPr>
                <w:lang w:eastAsia="en-AU"/>
              </w:rPr>
              <w:t>4</w:t>
            </w:r>
            <w:r w:rsidRPr="000B6417">
              <w:rPr>
                <w:spacing w:val="-4"/>
                <w:lang w:eastAsia="en-AU"/>
              </w:rPr>
              <w:t xml:space="preserve"> </w:t>
            </w:r>
            <w:r w:rsidRPr="000B6417">
              <w:rPr>
                <w:spacing w:val="1"/>
                <w:lang w:eastAsia="en-AU"/>
              </w:rPr>
              <w:lastRenderedPageBreak/>
              <w:t>(79.6</w:t>
            </w:r>
            <w:r w:rsidRPr="000B6417">
              <w:rPr>
                <w:lang w:eastAsia="en-AU"/>
              </w:rPr>
              <w:t>)</w:t>
            </w:r>
          </w:p>
        </w:tc>
        <w:tc>
          <w:tcPr>
            <w:tcW w:w="59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lastRenderedPageBreak/>
              <w:t>81/9</w:t>
            </w:r>
            <w:r w:rsidRPr="000B6417">
              <w:rPr>
                <w:lang w:eastAsia="en-AU"/>
              </w:rPr>
              <w:t>4</w:t>
            </w:r>
            <w:r w:rsidRPr="000B6417">
              <w:rPr>
                <w:spacing w:val="-4"/>
                <w:lang w:eastAsia="en-AU"/>
              </w:rPr>
              <w:t xml:space="preserve"> </w:t>
            </w:r>
            <w:r w:rsidRPr="000B6417">
              <w:rPr>
                <w:spacing w:val="1"/>
                <w:lang w:eastAsia="en-AU"/>
              </w:rPr>
              <w:lastRenderedPageBreak/>
              <w:t>(86.2</w:t>
            </w:r>
            <w:r w:rsidRPr="000B6417">
              <w:rPr>
                <w:lang w:eastAsia="en-AU"/>
              </w:rPr>
              <w:t>)</w:t>
            </w:r>
          </w:p>
        </w:tc>
        <w:tc>
          <w:tcPr>
            <w:tcW w:w="64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lastRenderedPageBreak/>
              <w:t>22/2</w:t>
            </w:r>
            <w:r w:rsidRPr="000B6417">
              <w:rPr>
                <w:lang w:eastAsia="en-AU"/>
              </w:rPr>
              <w:t>8</w:t>
            </w:r>
            <w:r w:rsidRPr="000B6417">
              <w:rPr>
                <w:spacing w:val="-4"/>
                <w:lang w:eastAsia="en-AU"/>
              </w:rPr>
              <w:t xml:space="preserve"> </w:t>
            </w:r>
            <w:r w:rsidRPr="000B6417">
              <w:rPr>
                <w:spacing w:val="1"/>
                <w:lang w:eastAsia="en-AU"/>
              </w:rPr>
              <w:t>(78.6</w:t>
            </w:r>
            <w:r w:rsidRPr="000B6417">
              <w:rPr>
                <w:lang w:eastAsia="en-AU"/>
              </w:rPr>
              <w:t>)</w:t>
            </w:r>
          </w:p>
        </w:tc>
        <w:tc>
          <w:tcPr>
            <w:tcW w:w="59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position w:val="-3"/>
                <w:lang w:eastAsia="en-AU"/>
              </w:rPr>
              <w:t>58/6</w:t>
            </w:r>
            <w:r w:rsidRPr="000B6417">
              <w:rPr>
                <w:position w:val="-3"/>
                <w:lang w:eastAsia="en-AU"/>
              </w:rPr>
              <w:t>3</w:t>
            </w:r>
            <w:r w:rsidRPr="000B6417">
              <w:rPr>
                <w:spacing w:val="-4"/>
                <w:position w:val="-3"/>
                <w:lang w:eastAsia="en-AU"/>
              </w:rPr>
              <w:t xml:space="preserve"> </w:t>
            </w:r>
            <w:r w:rsidRPr="000B6417">
              <w:rPr>
                <w:spacing w:val="1"/>
                <w:position w:val="-3"/>
                <w:lang w:eastAsia="en-AU"/>
              </w:rPr>
              <w:lastRenderedPageBreak/>
              <w:t xml:space="preserve">(92.1) </w:t>
            </w:r>
            <w:r w:rsidRPr="000B6417">
              <w:rPr>
                <w:spacing w:val="1"/>
                <w:position w:val="-2"/>
                <w:vertAlign w:val="superscript"/>
                <w:lang w:eastAsia="en-AU"/>
              </w:rPr>
              <w:t>b</w:t>
            </w:r>
          </w:p>
        </w:tc>
        <w:tc>
          <w:tcPr>
            <w:tcW w:w="622"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lastRenderedPageBreak/>
              <w:t>20/2</w:t>
            </w:r>
            <w:r w:rsidRPr="000B6417">
              <w:rPr>
                <w:lang w:eastAsia="en-AU"/>
              </w:rPr>
              <w:t>5</w:t>
            </w:r>
            <w:r w:rsidRPr="000B6417">
              <w:rPr>
                <w:spacing w:val="-4"/>
                <w:lang w:eastAsia="en-AU"/>
              </w:rPr>
              <w:t xml:space="preserve"> </w:t>
            </w:r>
            <w:r w:rsidRPr="000B6417">
              <w:rPr>
                <w:spacing w:val="1"/>
                <w:lang w:eastAsia="en-AU"/>
              </w:rPr>
              <w:t>(80.0)</w:t>
            </w:r>
          </w:p>
        </w:tc>
      </w:tr>
      <w:tr w:rsidR="00C8707C" w:rsidRPr="009D6F1F" w:rsidTr="002E5B56">
        <w:trPr>
          <w:trHeight w:val="20"/>
        </w:trPr>
        <w:tc>
          <w:tcPr>
            <w:cnfStyle w:val="001000000000" w:firstRow="0" w:lastRow="0" w:firstColumn="1" w:lastColumn="0" w:oddVBand="0" w:evenVBand="0" w:oddHBand="0" w:evenHBand="0" w:firstRowFirstColumn="0" w:firstRowLastColumn="0" w:lastRowFirstColumn="0" w:lastRowLastColumn="0"/>
            <w:tcW w:w="1292" w:type="pct"/>
            <w:hideMark/>
          </w:tcPr>
          <w:p w:rsidR="00C8707C" w:rsidRPr="000B6417" w:rsidRDefault="00C8707C" w:rsidP="002E5B56">
            <w:pPr>
              <w:rPr>
                <w:position w:val="1"/>
                <w:lang w:eastAsia="en-AU"/>
              </w:rPr>
            </w:pPr>
            <w:r w:rsidRPr="000B6417">
              <w:rPr>
                <w:lang w:eastAsia="en-AU"/>
              </w:rPr>
              <w:lastRenderedPageBreak/>
              <w:t>80%</w:t>
            </w:r>
            <w:r w:rsidRPr="000B6417">
              <w:rPr>
                <w:spacing w:val="-3"/>
                <w:lang w:eastAsia="en-AU"/>
              </w:rPr>
              <w:t xml:space="preserve"> </w:t>
            </w:r>
            <w:r w:rsidRPr="000B6417">
              <w:rPr>
                <w:lang w:eastAsia="en-AU"/>
              </w:rPr>
              <w:t>CI</w:t>
            </w:r>
          </w:p>
        </w:tc>
        <w:tc>
          <w:tcPr>
            <w:tcW w:w="648"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(85.5</w:t>
            </w:r>
            <w:r w:rsidRPr="000B6417">
              <w:rPr>
                <w:lang w:eastAsia="en-AU"/>
              </w:rPr>
              <w:t>,</w:t>
            </w:r>
            <w:r w:rsidRPr="000B6417">
              <w:rPr>
                <w:spacing w:val="-4"/>
                <w:lang w:eastAsia="en-AU"/>
              </w:rPr>
              <w:t xml:space="preserve"> </w:t>
            </w:r>
            <w:r w:rsidRPr="000B6417">
              <w:rPr>
                <w:spacing w:val="1"/>
                <w:lang w:eastAsia="en-AU"/>
              </w:rPr>
              <w:t>91.9</w:t>
            </w:r>
            <w:r w:rsidRPr="000B6417">
              <w:rPr>
                <w:lang w:eastAsia="en-AU"/>
              </w:rPr>
              <w:t>)</w:t>
            </w:r>
          </w:p>
        </w:tc>
        <w:tc>
          <w:tcPr>
            <w:tcW w:w="59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(72.6</w:t>
            </w:r>
            <w:r w:rsidRPr="000B6417">
              <w:rPr>
                <w:lang w:eastAsia="en-AU"/>
              </w:rPr>
              <w:t>,</w:t>
            </w:r>
            <w:r w:rsidRPr="000B6417">
              <w:rPr>
                <w:spacing w:val="-4"/>
                <w:lang w:eastAsia="en-AU"/>
              </w:rPr>
              <w:t xml:space="preserve"> </w:t>
            </w:r>
            <w:r w:rsidRPr="000B6417">
              <w:rPr>
                <w:spacing w:val="1"/>
                <w:lang w:eastAsia="en-AU"/>
              </w:rPr>
              <w:t>86.7</w:t>
            </w:r>
            <w:r w:rsidRPr="000B6417">
              <w:rPr>
                <w:lang w:eastAsia="en-AU"/>
              </w:rPr>
              <w:t>)</w:t>
            </w:r>
          </w:p>
        </w:tc>
        <w:tc>
          <w:tcPr>
            <w:tcW w:w="59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(81.6</w:t>
            </w:r>
            <w:r w:rsidRPr="000B6417">
              <w:rPr>
                <w:lang w:eastAsia="en-AU"/>
              </w:rPr>
              <w:t>,</w:t>
            </w:r>
            <w:r w:rsidRPr="000B6417">
              <w:rPr>
                <w:spacing w:val="-4"/>
                <w:lang w:eastAsia="en-AU"/>
              </w:rPr>
              <w:t xml:space="preserve"> </w:t>
            </w:r>
            <w:r w:rsidRPr="000B6417">
              <w:rPr>
                <w:spacing w:val="1"/>
                <w:lang w:eastAsia="en-AU"/>
              </w:rPr>
              <w:t>90.7</w:t>
            </w:r>
            <w:r w:rsidRPr="000B6417">
              <w:rPr>
                <w:lang w:eastAsia="en-AU"/>
              </w:rPr>
              <w:t>)</w:t>
            </w:r>
          </w:p>
        </w:tc>
        <w:tc>
          <w:tcPr>
            <w:tcW w:w="64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(68.6</w:t>
            </w:r>
            <w:r w:rsidRPr="000B6417">
              <w:rPr>
                <w:lang w:eastAsia="en-AU"/>
              </w:rPr>
              <w:t>,</w:t>
            </w:r>
            <w:r w:rsidRPr="000B6417">
              <w:rPr>
                <w:spacing w:val="-4"/>
                <w:lang w:eastAsia="en-AU"/>
              </w:rPr>
              <w:t xml:space="preserve"> </w:t>
            </w:r>
            <w:r w:rsidRPr="000B6417">
              <w:rPr>
                <w:spacing w:val="1"/>
                <w:lang w:eastAsia="en-AU"/>
              </w:rPr>
              <w:t>88.5)</w:t>
            </w:r>
          </w:p>
        </w:tc>
        <w:tc>
          <w:tcPr>
            <w:tcW w:w="59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(87.7</w:t>
            </w:r>
            <w:r w:rsidRPr="000B6417">
              <w:rPr>
                <w:lang w:eastAsia="en-AU"/>
              </w:rPr>
              <w:t>,</w:t>
            </w:r>
            <w:r w:rsidRPr="000B6417">
              <w:rPr>
                <w:spacing w:val="-4"/>
                <w:lang w:eastAsia="en-AU"/>
              </w:rPr>
              <w:t xml:space="preserve"> </w:t>
            </w:r>
            <w:r w:rsidRPr="000B6417">
              <w:rPr>
                <w:spacing w:val="1"/>
                <w:lang w:eastAsia="en-AU"/>
              </w:rPr>
              <w:t>96.4</w:t>
            </w:r>
            <w:r w:rsidRPr="000B6417">
              <w:rPr>
                <w:lang w:eastAsia="en-AU"/>
              </w:rPr>
              <w:t>)</w:t>
            </w:r>
          </w:p>
        </w:tc>
        <w:tc>
          <w:tcPr>
            <w:tcW w:w="622"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(69.7</w:t>
            </w:r>
            <w:r w:rsidRPr="000B6417">
              <w:rPr>
                <w:lang w:eastAsia="en-AU"/>
              </w:rPr>
              <w:t>,</w:t>
            </w:r>
            <w:r w:rsidRPr="000B6417">
              <w:rPr>
                <w:spacing w:val="-4"/>
                <w:lang w:eastAsia="en-AU"/>
              </w:rPr>
              <w:t xml:space="preserve"> </w:t>
            </w:r>
            <w:r w:rsidRPr="000B6417">
              <w:rPr>
                <w:spacing w:val="1"/>
                <w:lang w:eastAsia="en-AU"/>
              </w:rPr>
              <w:t>90.3)</w:t>
            </w:r>
          </w:p>
        </w:tc>
      </w:tr>
      <w:tr w:rsidR="00C8707C" w:rsidRPr="009D6F1F" w:rsidTr="002E5B56">
        <w:trPr>
          <w:trHeight w:val="20"/>
        </w:trPr>
        <w:tc>
          <w:tcPr>
            <w:cnfStyle w:val="001000000000" w:firstRow="0" w:lastRow="0" w:firstColumn="1" w:lastColumn="0" w:oddVBand="0" w:evenVBand="0" w:oddHBand="0" w:evenHBand="0" w:firstRowFirstColumn="0" w:firstRowLastColumn="0" w:lastRowFirstColumn="0" w:lastRowLastColumn="0"/>
            <w:tcW w:w="1292" w:type="pct"/>
            <w:hideMark/>
          </w:tcPr>
          <w:p w:rsidR="00C8707C" w:rsidRPr="000B6417" w:rsidRDefault="00C8707C" w:rsidP="002E5B56">
            <w:pPr>
              <w:rPr>
                <w:lang w:eastAsia="en-AU"/>
              </w:rPr>
            </w:pPr>
            <w:r w:rsidRPr="000B6417">
              <w:rPr>
                <w:lang w:eastAsia="en-AU"/>
              </w:rPr>
              <w:t>SVR4Responder</w:t>
            </w:r>
            <w:r w:rsidRPr="000B6417">
              <w:rPr>
                <w:spacing w:val="-9"/>
                <w:lang w:eastAsia="en-AU"/>
              </w:rPr>
              <w:t xml:space="preserve"> </w:t>
            </w:r>
            <w:r w:rsidRPr="000B6417">
              <w:rPr>
                <w:lang w:eastAsia="en-AU"/>
              </w:rPr>
              <w:t>(%)</w:t>
            </w:r>
          </w:p>
        </w:tc>
        <w:tc>
          <w:tcPr>
            <w:tcW w:w="648"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position w:val="-3"/>
                <w:lang w:eastAsia="en-AU"/>
              </w:rPr>
              <w:t>120/159</w:t>
            </w:r>
            <w:r w:rsidRPr="000B6417">
              <w:rPr>
                <w:spacing w:val="-6"/>
                <w:position w:val="-3"/>
                <w:lang w:eastAsia="en-AU"/>
              </w:rPr>
              <w:t xml:space="preserve"> </w:t>
            </w:r>
            <w:r w:rsidRPr="000B6417">
              <w:rPr>
                <w:position w:val="-3"/>
                <w:lang w:eastAsia="en-AU"/>
              </w:rPr>
              <w:t>(75.5</w:t>
            </w:r>
            <w:r w:rsidRPr="000B6417">
              <w:rPr>
                <w:spacing w:val="1"/>
                <w:position w:val="-3"/>
                <w:lang w:eastAsia="en-AU"/>
              </w:rPr>
              <w:t xml:space="preserve">) </w:t>
            </w:r>
            <w:r w:rsidRPr="000B6417">
              <w:rPr>
                <w:spacing w:val="1"/>
                <w:position w:val="-2"/>
                <w:vertAlign w:val="superscript"/>
                <w:lang w:eastAsia="en-AU"/>
              </w:rPr>
              <w:t>b,</w:t>
            </w:r>
          </w:p>
        </w:tc>
        <w:tc>
          <w:tcPr>
            <w:tcW w:w="59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30/5</w:t>
            </w:r>
            <w:r w:rsidRPr="000B6417">
              <w:rPr>
                <w:lang w:eastAsia="en-AU"/>
              </w:rPr>
              <w:t>4</w:t>
            </w:r>
            <w:r w:rsidRPr="000B6417">
              <w:rPr>
                <w:spacing w:val="-4"/>
                <w:lang w:eastAsia="en-AU"/>
              </w:rPr>
              <w:t xml:space="preserve"> </w:t>
            </w:r>
            <w:r w:rsidRPr="000B6417">
              <w:rPr>
                <w:spacing w:val="1"/>
                <w:lang w:eastAsia="en-AU"/>
              </w:rPr>
              <w:t>(55.6</w:t>
            </w:r>
            <w:r w:rsidRPr="000B6417">
              <w:rPr>
                <w:lang w:eastAsia="en-AU"/>
              </w:rPr>
              <w:t>)</w:t>
            </w:r>
          </w:p>
        </w:tc>
        <w:tc>
          <w:tcPr>
            <w:tcW w:w="59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position w:val="-3"/>
                <w:lang w:eastAsia="en-AU"/>
              </w:rPr>
              <w:t>66/9</w:t>
            </w:r>
            <w:r w:rsidRPr="000B6417">
              <w:rPr>
                <w:position w:val="-3"/>
                <w:lang w:eastAsia="en-AU"/>
              </w:rPr>
              <w:t>4</w:t>
            </w:r>
            <w:r w:rsidRPr="000B6417">
              <w:rPr>
                <w:spacing w:val="-4"/>
                <w:position w:val="-3"/>
                <w:lang w:eastAsia="en-AU"/>
              </w:rPr>
              <w:t xml:space="preserve"> </w:t>
            </w:r>
            <w:r w:rsidRPr="000B6417">
              <w:rPr>
                <w:spacing w:val="1"/>
                <w:position w:val="-3"/>
                <w:lang w:eastAsia="en-AU"/>
              </w:rPr>
              <w:t xml:space="preserve">(70.2) </w:t>
            </w:r>
            <w:r w:rsidRPr="000B6417">
              <w:rPr>
                <w:spacing w:val="1"/>
                <w:position w:val="-3"/>
                <w:vertAlign w:val="superscript"/>
                <w:lang w:eastAsia="en-AU"/>
              </w:rPr>
              <w:t>c</w:t>
            </w:r>
          </w:p>
        </w:tc>
        <w:tc>
          <w:tcPr>
            <w:tcW w:w="64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14/2</w:t>
            </w:r>
            <w:r w:rsidRPr="000B6417">
              <w:rPr>
                <w:lang w:eastAsia="en-AU"/>
              </w:rPr>
              <w:t>8</w:t>
            </w:r>
            <w:r w:rsidRPr="000B6417">
              <w:rPr>
                <w:spacing w:val="-4"/>
                <w:lang w:eastAsia="en-AU"/>
              </w:rPr>
              <w:t xml:space="preserve"> </w:t>
            </w:r>
            <w:r w:rsidRPr="000B6417">
              <w:rPr>
                <w:spacing w:val="1"/>
                <w:lang w:eastAsia="en-AU"/>
              </w:rPr>
              <w:t>(50.0</w:t>
            </w:r>
            <w:r w:rsidRPr="000B6417">
              <w:rPr>
                <w:lang w:eastAsia="en-AU"/>
              </w:rPr>
              <w:t>)</w:t>
            </w:r>
          </w:p>
        </w:tc>
        <w:tc>
          <w:tcPr>
            <w:tcW w:w="59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position w:val="-3"/>
                <w:lang w:eastAsia="en-AU"/>
              </w:rPr>
              <w:t>52/6</w:t>
            </w:r>
            <w:r w:rsidRPr="000B6417">
              <w:rPr>
                <w:position w:val="-3"/>
                <w:lang w:eastAsia="en-AU"/>
              </w:rPr>
              <w:t>3</w:t>
            </w:r>
            <w:r w:rsidRPr="000B6417">
              <w:rPr>
                <w:spacing w:val="-4"/>
                <w:position w:val="-3"/>
                <w:lang w:eastAsia="en-AU"/>
              </w:rPr>
              <w:t xml:space="preserve"> </w:t>
            </w:r>
            <w:r w:rsidRPr="000B6417">
              <w:rPr>
                <w:spacing w:val="1"/>
                <w:position w:val="-3"/>
                <w:lang w:eastAsia="en-AU"/>
              </w:rPr>
              <w:t xml:space="preserve">(82.5) </w:t>
            </w:r>
            <w:r w:rsidRPr="000B6417">
              <w:rPr>
                <w:spacing w:val="1"/>
                <w:position w:val="-2"/>
                <w:vertAlign w:val="superscript"/>
                <w:lang w:eastAsia="en-AU"/>
              </w:rPr>
              <w:t>b</w:t>
            </w:r>
          </w:p>
        </w:tc>
        <w:tc>
          <w:tcPr>
            <w:tcW w:w="622"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16/2</w:t>
            </w:r>
            <w:r w:rsidRPr="000B6417">
              <w:rPr>
                <w:lang w:eastAsia="en-AU"/>
              </w:rPr>
              <w:t>5</w:t>
            </w:r>
            <w:r w:rsidRPr="000B6417">
              <w:rPr>
                <w:spacing w:val="-4"/>
                <w:lang w:eastAsia="en-AU"/>
              </w:rPr>
              <w:t xml:space="preserve"> </w:t>
            </w:r>
            <w:r w:rsidRPr="000B6417">
              <w:rPr>
                <w:spacing w:val="1"/>
                <w:lang w:eastAsia="en-AU"/>
              </w:rPr>
              <w:t>(64.0)</w:t>
            </w:r>
          </w:p>
        </w:tc>
      </w:tr>
      <w:tr w:rsidR="00C8707C" w:rsidRPr="009D6F1F" w:rsidTr="002E5B56">
        <w:trPr>
          <w:trHeight w:val="20"/>
        </w:trPr>
        <w:tc>
          <w:tcPr>
            <w:cnfStyle w:val="001000000000" w:firstRow="0" w:lastRow="0" w:firstColumn="1" w:lastColumn="0" w:oddVBand="0" w:evenVBand="0" w:oddHBand="0" w:evenHBand="0" w:firstRowFirstColumn="0" w:firstRowLastColumn="0" w:lastRowFirstColumn="0" w:lastRowLastColumn="0"/>
            <w:tcW w:w="1292" w:type="pct"/>
            <w:hideMark/>
          </w:tcPr>
          <w:p w:rsidR="00C8707C" w:rsidRPr="000B6417" w:rsidRDefault="00C8707C" w:rsidP="002E5B56">
            <w:pPr>
              <w:rPr>
                <w:lang w:eastAsia="en-AU"/>
              </w:rPr>
            </w:pPr>
            <w:r w:rsidRPr="000B6417">
              <w:rPr>
                <w:lang w:eastAsia="en-AU"/>
              </w:rPr>
              <w:t>80%</w:t>
            </w:r>
            <w:r w:rsidRPr="000B6417">
              <w:rPr>
                <w:spacing w:val="-3"/>
                <w:lang w:eastAsia="en-AU"/>
              </w:rPr>
              <w:t xml:space="preserve"> </w:t>
            </w:r>
            <w:r w:rsidRPr="000B6417">
              <w:rPr>
                <w:lang w:eastAsia="en-AU"/>
              </w:rPr>
              <w:t>CI</w:t>
            </w:r>
          </w:p>
        </w:tc>
        <w:tc>
          <w:tcPr>
            <w:tcW w:w="648"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(71.1</w:t>
            </w:r>
            <w:r w:rsidRPr="000B6417">
              <w:rPr>
                <w:lang w:eastAsia="en-AU"/>
              </w:rPr>
              <w:t>,</w:t>
            </w:r>
            <w:r w:rsidRPr="000B6417">
              <w:rPr>
                <w:spacing w:val="-4"/>
                <w:lang w:eastAsia="en-AU"/>
              </w:rPr>
              <w:t xml:space="preserve"> </w:t>
            </w:r>
            <w:r w:rsidRPr="000B6417">
              <w:rPr>
                <w:spacing w:val="1"/>
                <w:lang w:eastAsia="en-AU"/>
              </w:rPr>
              <w:t>79.8</w:t>
            </w:r>
            <w:r w:rsidRPr="000B6417">
              <w:rPr>
                <w:lang w:eastAsia="en-AU"/>
              </w:rPr>
              <w:t>)</w:t>
            </w:r>
          </w:p>
        </w:tc>
        <w:tc>
          <w:tcPr>
            <w:tcW w:w="59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(46.9</w:t>
            </w:r>
            <w:r w:rsidRPr="000B6417">
              <w:rPr>
                <w:lang w:eastAsia="en-AU"/>
              </w:rPr>
              <w:t>,</w:t>
            </w:r>
            <w:r w:rsidRPr="000B6417">
              <w:rPr>
                <w:spacing w:val="-4"/>
                <w:lang w:eastAsia="en-AU"/>
              </w:rPr>
              <w:t xml:space="preserve"> </w:t>
            </w:r>
            <w:r w:rsidRPr="000B6417">
              <w:rPr>
                <w:spacing w:val="1"/>
                <w:lang w:eastAsia="en-AU"/>
              </w:rPr>
              <w:t>64.2</w:t>
            </w:r>
            <w:r w:rsidRPr="000B6417">
              <w:rPr>
                <w:lang w:eastAsia="en-AU"/>
              </w:rPr>
              <w:t>)</w:t>
            </w:r>
          </w:p>
        </w:tc>
        <w:tc>
          <w:tcPr>
            <w:tcW w:w="59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(64.2</w:t>
            </w:r>
            <w:r w:rsidRPr="000B6417">
              <w:rPr>
                <w:lang w:eastAsia="en-AU"/>
              </w:rPr>
              <w:t>,</w:t>
            </w:r>
            <w:r w:rsidRPr="000B6417">
              <w:rPr>
                <w:spacing w:val="-4"/>
                <w:lang w:eastAsia="en-AU"/>
              </w:rPr>
              <w:t xml:space="preserve"> </w:t>
            </w:r>
            <w:r w:rsidRPr="000B6417">
              <w:rPr>
                <w:spacing w:val="1"/>
                <w:lang w:eastAsia="en-AU"/>
              </w:rPr>
              <w:t>76.3</w:t>
            </w:r>
            <w:r w:rsidRPr="000B6417">
              <w:rPr>
                <w:lang w:eastAsia="en-AU"/>
              </w:rPr>
              <w:t>)</w:t>
            </w:r>
          </w:p>
        </w:tc>
        <w:tc>
          <w:tcPr>
            <w:tcW w:w="64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(37.9</w:t>
            </w:r>
            <w:r w:rsidRPr="000B6417">
              <w:rPr>
                <w:lang w:eastAsia="en-AU"/>
              </w:rPr>
              <w:t>,</w:t>
            </w:r>
            <w:r w:rsidRPr="000B6417">
              <w:rPr>
                <w:spacing w:val="-4"/>
                <w:lang w:eastAsia="en-AU"/>
              </w:rPr>
              <w:t xml:space="preserve"> </w:t>
            </w:r>
            <w:r w:rsidRPr="000B6417">
              <w:rPr>
                <w:spacing w:val="1"/>
                <w:lang w:eastAsia="en-AU"/>
              </w:rPr>
              <w:t>62.1</w:t>
            </w:r>
            <w:r w:rsidRPr="000B6417">
              <w:rPr>
                <w:lang w:eastAsia="en-AU"/>
              </w:rPr>
              <w:t>)</w:t>
            </w:r>
          </w:p>
        </w:tc>
        <w:tc>
          <w:tcPr>
            <w:tcW w:w="59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(76.4</w:t>
            </w:r>
            <w:r w:rsidRPr="000B6417">
              <w:rPr>
                <w:lang w:eastAsia="en-AU"/>
              </w:rPr>
              <w:t>,</w:t>
            </w:r>
            <w:r w:rsidRPr="000B6417">
              <w:rPr>
                <w:spacing w:val="-4"/>
                <w:lang w:eastAsia="en-AU"/>
              </w:rPr>
              <w:t xml:space="preserve"> </w:t>
            </w:r>
            <w:r w:rsidRPr="000B6417">
              <w:rPr>
                <w:spacing w:val="1"/>
                <w:lang w:eastAsia="en-AU"/>
              </w:rPr>
              <w:t>88.7</w:t>
            </w:r>
            <w:r w:rsidRPr="000B6417">
              <w:rPr>
                <w:lang w:eastAsia="en-AU"/>
              </w:rPr>
              <w:t>)</w:t>
            </w:r>
          </w:p>
        </w:tc>
        <w:tc>
          <w:tcPr>
            <w:tcW w:w="622"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(51.7</w:t>
            </w:r>
            <w:r w:rsidRPr="000B6417">
              <w:rPr>
                <w:lang w:eastAsia="en-AU"/>
              </w:rPr>
              <w:t>,</w:t>
            </w:r>
            <w:r w:rsidRPr="000B6417">
              <w:rPr>
                <w:spacing w:val="-4"/>
                <w:lang w:eastAsia="en-AU"/>
              </w:rPr>
              <w:t xml:space="preserve"> </w:t>
            </w:r>
            <w:r w:rsidRPr="000B6417">
              <w:rPr>
                <w:spacing w:val="1"/>
                <w:lang w:eastAsia="en-AU"/>
              </w:rPr>
              <w:t>76.3)</w:t>
            </w:r>
          </w:p>
        </w:tc>
      </w:tr>
      <w:tr w:rsidR="00C8707C" w:rsidRPr="009D6F1F" w:rsidTr="002E5B56">
        <w:trPr>
          <w:trHeight w:val="20"/>
        </w:trPr>
        <w:tc>
          <w:tcPr>
            <w:cnfStyle w:val="001000000000" w:firstRow="0" w:lastRow="0" w:firstColumn="1" w:lastColumn="0" w:oddVBand="0" w:evenVBand="0" w:oddHBand="0" w:evenHBand="0" w:firstRowFirstColumn="0" w:firstRowLastColumn="0" w:lastRowFirstColumn="0" w:lastRowLastColumn="0"/>
            <w:tcW w:w="1292" w:type="pct"/>
            <w:hideMark/>
          </w:tcPr>
          <w:p w:rsidR="00C8707C" w:rsidRPr="000B6417" w:rsidRDefault="00C8707C" w:rsidP="002E5B56">
            <w:pPr>
              <w:rPr>
                <w:lang w:eastAsia="en-AU"/>
              </w:rPr>
            </w:pPr>
            <w:r w:rsidRPr="000B6417">
              <w:rPr>
                <w:lang w:eastAsia="en-AU"/>
              </w:rPr>
              <w:t>SVR12Responder</w:t>
            </w:r>
            <w:r w:rsidRPr="000B6417">
              <w:rPr>
                <w:spacing w:val="-9"/>
                <w:lang w:eastAsia="en-AU"/>
              </w:rPr>
              <w:t xml:space="preserve"> </w:t>
            </w:r>
            <w:r w:rsidRPr="000B6417">
              <w:rPr>
                <w:lang w:eastAsia="en-AU"/>
              </w:rPr>
              <w:t>(%)</w:t>
            </w:r>
          </w:p>
        </w:tc>
        <w:tc>
          <w:tcPr>
            <w:tcW w:w="648"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position w:val="-2"/>
                <w:lang w:eastAsia="en-AU"/>
              </w:rPr>
              <w:t>114/159</w:t>
            </w:r>
            <w:r w:rsidRPr="000B6417">
              <w:rPr>
                <w:spacing w:val="-6"/>
                <w:position w:val="-2"/>
                <w:lang w:eastAsia="en-AU"/>
              </w:rPr>
              <w:t xml:space="preserve"> </w:t>
            </w:r>
            <w:r w:rsidRPr="000B6417">
              <w:rPr>
                <w:position w:val="-2"/>
                <w:lang w:eastAsia="en-AU"/>
              </w:rPr>
              <w:t>(71.7</w:t>
            </w:r>
            <w:r w:rsidRPr="000B6417">
              <w:rPr>
                <w:spacing w:val="1"/>
                <w:position w:val="-2"/>
                <w:lang w:eastAsia="en-AU"/>
              </w:rPr>
              <w:t>)</w:t>
            </w:r>
          </w:p>
        </w:tc>
        <w:tc>
          <w:tcPr>
            <w:tcW w:w="59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28/5</w:t>
            </w:r>
            <w:r w:rsidRPr="000B6417">
              <w:rPr>
                <w:lang w:eastAsia="en-AU"/>
              </w:rPr>
              <w:t>4</w:t>
            </w:r>
            <w:r w:rsidRPr="000B6417">
              <w:rPr>
                <w:spacing w:val="-4"/>
                <w:lang w:eastAsia="en-AU"/>
              </w:rPr>
              <w:t xml:space="preserve"> </w:t>
            </w:r>
            <w:r w:rsidRPr="000B6417">
              <w:rPr>
                <w:spacing w:val="1"/>
                <w:lang w:eastAsia="en-AU"/>
              </w:rPr>
              <w:t>(51.9</w:t>
            </w:r>
            <w:r w:rsidRPr="000B6417">
              <w:rPr>
                <w:lang w:eastAsia="en-AU"/>
              </w:rPr>
              <w:t>)</w:t>
            </w:r>
          </w:p>
        </w:tc>
        <w:tc>
          <w:tcPr>
            <w:tcW w:w="59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position w:val="-2"/>
                <w:lang w:eastAsia="en-AU"/>
              </w:rPr>
              <w:t>66/94</w:t>
            </w:r>
            <w:r w:rsidRPr="000B6417">
              <w:rPr>
                <w:spacing w:val="1"/>
                <w:position w:val="-3"/>
                <w:lang w:eastAsia="en-AU"/>
              </w:rPr>
              <w:t xml:space="preserve"> (70.2)</w:t>
            </w:r>
          </w:p>
        </w:tc>
        <w:tc>
          <w:tcPr>
            <w:tcW w:w="64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14/2</w:t>
            </w:r>
            <w:r w:rsidRPr="000B6417">
              <w:rPr>
                <w:lang w:eastAsia="en-AU"/>
              </w:rPr>
              <w:t>8</w:t>
            </w:r>
            <w:r w:rsidRPr="000B6417">
              <w:rPr>
                <w:spacing w:val="-6"/>
                <w:lang w:eastAsia="en-AU"/>
              </w:rPr>
              <w:t xml:space="preserve"> </w:t>
            </w:r>
            <w:r w:rsidRPr="000B6417">
              <w:rPr>
                <w:spacing w:val="1"/>
                <w:lang w:eastAsia="en-AU"/>
              </w:rPr>
              <w:t>(50.0</w:t>
            </w:r>
            <w:r w:rsidRPr="000B6417">
              <w:rPr>
                <w:lang w:eastAsia="en-AU"/>
              </w:rPr>
              <w:t>)</w:t>
            </w:r>
          </w:p>
        </w:tc>
        <w:tc>
          <w:tcPr>
            <w:tcW w:w="59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position w:val="-3"/>
                <w:lang w:eastAsia="en-AU"/>
              </w:rPr>
              <w:t>46/63 (73.0)</w:t>
            </w:r>
          </w:p>
        </w:tc>
        <w:tc>
          <w:tcPr>
            <w:tcW w:w="622"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14/2</w:t>
            </w:r>
            <w:r w:rsidRPr="000B6417">
              <w:rPr>
                <w:lang w:eastAsia="en-AU"/>
              </w:rPr>
              <w:t>5</w:t>
            </w:r>
            <w:r w:rsidRPr="000B6417">
              <w:rPr>
                <w:spacing w:val="-4"/>
                <w:lang w:eastAsia="en-AU"/>
              </w:rPr>
              <w:t xml:space="preserve"> </w:t>
            </w:r>
            <w:r w:rsidRPr="000B6417">
              <w:rPr>
                <w:spacing w:val="1"/>
                <w:lang w:eastAsia="en-AU"/>
              </w:rPr>
              <w:t>(56.0)</w:t>
            </w:r>
          </w:p>
        </w:tc>
      </w:tr>
      <w:tr w:rsidR="00C8707C" w:rsidRPr="009D6F1F" w:rsidTr="002E5B56">
        <w:trPr>
          <w:trHeight w:val="20"/>
        </w:trPr>
        <w:tc>
          <w:tcPr>
            <w:cnfStyle w:val="001000000000" w:firstRow="0" w:lastRow="0" w:firstColumn="1" w:lastColumn="0" w:oddVBand="0" w:evenVBand="0" w:oddHBand="0" w:evenHBand="0" w:firstRowFirstColumn="0" w:firstRowLastColumn="0" w:lastRowFirstColumn="0" w:lastRowLastColumn="0"/>
            <w:tcW w:w="1292" w:type="pct"/>
            <w:hideMark/>
          </w:tcPr>
          <w:p w:rsidR="00C8707C" w:rsidRPr="000B6417" w:rsidRDefault="00C8707C" w:rsidP="002E5B56">
            <w:pPr>
              <w:rPr>
                <w:lang w:eastAsia="en-AU"/>
              </w:rPr>
            </w:pPr>
            <w:r w:rsidRPr="000B6417">
              <w:rPr>
                <w:lang w:eastAsia="en-AU"/>
              </w:rPr>
              <w:t>80%</w:t>
            </w:r>
            <w:r w:rsidRPr="000B6417">
              <w:rPr>
                <w:spacing w:val="-3"/>
                <w:lang w:eastAsia="en-AU"/>
              </w:rPr>
              <w:t xml:space="preserve"> </w:t>
            </w:r>
            <w:r w:rsidRPr="000B6417">
              <w:rPr>
                <w:lang w:eastAsia="en-AU"/>
              </w:rPr>
              <w:t>CI</w:t>
            </w:r>
          </w:p>
        </w:tc>
        <w:tc>
          <w:tcPr>
            <w:tcW w:w="648"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(67.1</w:t>
            </w:r>
            <w:r w:rsidRPr="000B6417">
              <w:rPr>
                <w:lang w:eastAsia="en-AU"/>
              </w:rPr>
              <w:t>,</w:t>
            </w:r>
            <w:r w:rsidRPr="000B6417">
              <w:rPr>
                <w:spacing w:val="-4"/>
                <w:lang w:eastAsia="en-AU"/>
              </w:rPr>
              <w:t xml:space="preserve"> </w:t>
            </w:r>
            <w:r w:rsidRPr="000B6417">
              <w:rPr>
                <w:spacing w:val="1"/>
                <w:lang w:eastAsia="en-AU"/>
              </w:rPr>
              <w:t>76.3</w:t>
            </w:r>
            <w:r w:rsidRPr="000B6417">
              <w:rPr>
                <w:lang w:eastAsia="en-AU"/>
              </w:rPr>
              <w:t>)</w:t>
            </w:r>
          </w:p>
        </w:tc>
        <w:tc>
          <w:tcPr>
            <w:tcW w:w="59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(43.1</w:t>
            </w:r>
            <w:r w:rsidRPr="000B6417">
              <w:rPr>
                <w:lang w:eastAsia="en-AU"/>
              </w:rPr>
              <w:t>,</w:t>
            </w:r>
            <w:r w:rsidRPr="000B6417">
              <w:rPr>
                <w:spacing w:val="-4"/>
                <w:lang w:eastAsia="en-AU"/>
              </w:rPr>
              <w:t xml:space="preserve"> </w:t>
            </w:r>
            <w:r w:rsidRPr="000B6417">
              <w:rPr>
                <w:spacing w:val="1"/>
                <w:lang w:eastAsia="en-AU"/>
              </w:rPr>
              <w:t>60.6</w:t>
            </w:r>
            <w:r w:rsidRPr="000B6417">
              <w:rPr>
                <w:lang w:eastAsia="en-AU"/>
              </w:rPr>
              <w:t>)</w:t>
            </w:r>
          </w:p>
        </w:tc>
        <w:tc>
          <w:tcPr>
            <w:tcW w:w="59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(64.2</w:t>
            </w:r>
            <w:r w:rsidRPr="000B6417">
              <w:rPr>
                <w:lang w:eastAsia="en-AU"/>
              </w:rPr>
              <w:t xml:space="preserve">, </w:t>
            </w:r>
            <w:r w:rsidRPr="000B6417">
              <w:rPr>
                <w:spacing w:val="1"/>
                <w:lang w:eastAsia="en-AU"/>
              </w:rPr>
              <w:t>76.3</w:t>
            </w:r>
            <w:r w:rsidRPr="000B6417">
              <w:rPr>
                <w:lang w:eastAsia="en-AU"/>
              </w:rPr>
              <w:t>)</w:t>
            </w:r>
          </w:p>
        </w:tc>
        <w:tc>
          <w:tcPr>
            <w:tcW w:w="64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(37.9</w:t>
            </w:r>
            <w:r w:rsidRPr="000B6417">
              <w:rPr>
                <w:lang w:eastAsia="en-AU"/>
              </w:rPr>
              <w:t>,</w:t>
            </w:r>
            <w:r w:rsidRPr="000B6417">
              <w:rPr>
                <w:spacing w:val="-4"/>
                <w:lang w:eastAsia="en-AU"/>
              </w:rPr>
              <w:t xml:space="preserve"> </w:t>
            </w:r>
            <w:r w:rsidRPr="000B6417">
              <w:rPr>
                <w:spacing w:val="1"/>
                <w:lang w:eastAsia="en-AU"/>
              </w:rPr>
              <w:t>62.1</w:t>
            </w:r>
            <w:r w:rsidRPr="000B6417">
              <w:rPr>
                <w:lang w:eastAsia="en-AU"/>
              </w:rPr>
              <w:t>)</w:t>
            </w:r>
          </w:p>
        </w:tc>
        <w:tc>
          <w:tcPr>
            <w:tcW w:w="59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(65.8, 80.2</w:t>
            </w:r>
            <w:r w:rsidRPr="000B6417">
              <w:rPr>
                <w:lang w:eastAsia="en-AU"/>
              </w:rPr>
              <w:t>)</w:t>
            </w:r>
          </w:p>
        </w:tc>
        <w:tc>
          <w:tcPr>
            <w:tcW w:w="622"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(43.3</w:t>
            </w:r>
            <w:r w:rsidRPr="000B6417">
              <w:rPr>
                <w:lang w:eastAsia="en-AU"/>
              </w:rPr>
              <w:t>,</w:t>
            </w:r>
            <w:r w:rsidRPr="000B6417">
              <w:rPr>
                <w:spacing w:val="-4"/>
                <w:lang w:eastAsia="en-AU"/>
              </w:rPr>
              <w:t xml:space="preserve"> </w:t>
            </w:r>
            <w:r w:rsidRPr="000B6417">
              <w:rPr>
                <w:spacing w:val="1"/>
                <w:lang w:eastAsia="en-AU"/>
              </w:rPr>
              <w:t>68.7)</w:t>
            </w:r>
          </w:p>
        </w:tc>
      </w:tr>
      <w:tr w:rsidR="00C8707C" w:rsidRPr="009D6F1F" w:rsidTr="002E5B56">
        <w:trPr>
          <w:trHeight w:val="20"/>
        </w:trPr>
        <w:tc>
          <w:tcPr>
            <w:cnfStyle w:val="001000000000" w:firstRow="0" w:lastRow="0" w:firstColumn="1" w:lastColumn="0" w:oddVBand="0" w:evenVBand="0" w:oddHBand="0" w:evenHBand="0" w:firstRowFirstColumn="0" w:firstRowLastColumn="0" w:lastRowFirstColumn="0" w:lastRowLastColumn="0"/>
            <w:tcW w:w="1292" w:type="pct"/>
            <w:hideMark/>
          </w:tcPr>
          <w:p w:rsidR="00C8707C" w:rsidRPr="000B6417" w:rsidRDefault="00C8707C" w:rsidP="002E5B56">
            <w:pPr>
              <w:rPr>
                <w:lang w:eastAsia="en-AU"/>
              </w:rPr>
            </w:pPr>
            <w:r w:rsidRPr="000B6417">
              <w:rPr>
                <w:lang w:eastAsia="en-AU"/>
              </w:rPr>
              <w:t>SV</w:t>
            </w:r>
            <w:r w:rsidRPr="000B6417">
              <w:rPr>
                <w:spacing w:val="-1"/>
                <w:lang w:eastAsia="en-AU"/>
              </w:rPr>
              <w:t>R</w:t>
            </w:r>
            <w:r w:rsidRPr="000B6417">
              <w:rPr>
                <w:spacing w:val="1"/>
                <w:lang w:eastAsia="en-AU"/>
              </w:rPr>
              <w:t xml:space="preserve">24 </w:t>
            </w:r>
            <w:r w:rsidRPr="000B6417">
              <w:rPr>
                <w:spacing w:val="1"/>
                <w:vertAlign w:val="superscript"/>
                <w:lang w:eastAsia="en-AU"/>
              </w:rPr>
              <w:t>e</w:t>
            </w:r>
            <w:r w:rsidRPr="000B6417">
              <w:rPr>
                <w:lang w:eastAsia="en-AU"/>
              </w:rPr>
              <w:t xml:space="preserve"> Responder</w:t>
            </w:r>
            <w:r w:rsidRPr="000B6417">
              <w:rPr>
                <w:spacing w:val="-9"/>
                <w:lang w:eastAsia="en-AU"/>
              </w:rPr>
              <w:t xml:space="preserve"> </w:t>
            </w:r>
            <w:r w:rsidRPr="000B6417">
              <w:rPr>
                <w:lang w:eastAsia="en-AU"/>
              </w:rPr>
              <w:t>(%)</w:t>
            </w:r>
          </w:p>
        </w:tc>
        <w:tc>
          <w:tcPr>
            <w:tcW w:w="648"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position w:val="-2"/>
                <w:lang w:eastAsia="en-AU"/>
              </w:rPr>
            </w:pPr>
            <w:r w:rsidRPr="000B6417">
              <w:rPr>
                <w:position w:val="-2"/>
                <w:lang w:eastAsia="en-AU"/>
              </w:rPr>
              <w:t xml:space="preserve">101/159 (63.5) </w:t>
            </w:r>
            <w:proofErr w:type="spellStart"/>
            <w:r w:rsidRPr="000B6417">
              <w:rPr>
                <w:position w:val="-2"/>
                <w:vertAlign w:val="superscript"/>
                <w:lang w:eastAsia="en-AU"/>
              </w:rPr>
              <w:t>b,c</w:t>
            </w:r>
            <w:proofErr w:type="spellEnd"/>
          </w:p>
        </w:tc>
        <w:tc>
          <w:tcPr>
            <w:tcW w:w="59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position w:val="-2"/>
                <w:lang w:eastAsia="en-AU"/>
              </w:rPr>
            </w:pPr>
            <w:r w:rsidRPr="000B6417">
              <w:rPr>
                <w:position w:val="-2"/>
                <w:lang w:eastAsia="en-AU"/>
              </w:rPr>
              <w:t>24/54 (44.4)</w:t>
            </w:r>
          </w:p>
        </w:tc>
        <w:tc>
          <w:tcPr>
            <w:tcW w:w="59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position w:val="-2"/>
                <w:lang w:eastAsia="en-AU"/>
              </w:rPr>
            </w:pPr>
            <w:r w:rsidRPr="000B6417">
              <w:rPr>
                <w:position w:val="-2"/>
                <w:lang w:eastAsia="en-AU"/>
              </w:rPr>
              <w:t>55/94 (58.5)</w:t>
            </w:r>
          </w:p>
        </w:tc>
        <w:tc>
          <w:tcPr>
            <w:tcW w:w="64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position w:val="-2"/>
                <w:lang w:eastAsia="en-AU"/>
              </w:rPr>
            </w:pPr>
            <w:r w:rsidRPr="000B6417">
              <w:rPr>
                <w:position w:val="-2"/>
                <w:lang w:eastAsia="en-AU"/>
              </w:rPr>
              <w:t>10/28 (35.7)</w:t>
            </w:r>
          </w:p>
        </w:tc>
        <w:tc>
          <w:tcPr>
            <w:tcW w:w="59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position w:val="-2"/>
                <w:lang w:eastAsia="en-AU"/>
              </w:rPr>
            </w:pPr>
            <w:r w:rsidRPr="000B6417">
              <w:rPr>
                <w:position w:val="-2"/>
                <w:lang w:eastAsia="en-AU"/>
              </w:rPr>
              <w:t>45/63 (71.4)</w:t>
            </w:r>
            <w:r w:rsidRPr="000B6417">
              <w:rPr>
                <w:position w:val="-2"/>
                <w:vertAlign w:val="superscript"/>
                <w:lang w:eastAsia="en-AU"/>
              </w:rPr>
              <w:t>b</w:t>
            </w:r>
          </w:p>
        </w:tc>
        <w:tc>
          <w:tcPr>
            <w:tcW w:w="622"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position w:val="-2"/>
                <w:lang w:eastAsia="en-AU"/>
              </w:rPr>
            </w:pPr>
            <w:r w:rsidRPr="000B6417">
              <w:rPr>
                <w:position w:val="-2"/>
                <w:lang w:eastAsia="en-AU"/>
              </w:rPr>
              <w:t>14/25 (56.0)</w:t>
            </w:r>
          </w:p>
        </w:tc>
      </w:tr>
      <w:tr w:rsidR="00C8707C" w:rsidRPr="009D6F1F" w:rsidTr="002E5B56">
        <w:trPr>
          <w:trHeight w:val="20"/>
        </w:trPr>
        <w:tc>
          <w:tcPr>
            <w:cnfStyle w:val="001000000000" w:firstRow="0" w:lastRow="0" w:firstColumn="1" w:lastColumn="0" w:oddVBand="0" w:evenVBand="0" w:oddHBand="0" w:evenHBand="0" w:firstRowFirstColumn="0" w:firstRowLastColumn="0" w:lastRowFirstColumn="0" w:lastRowLastColumn="0"/>
            <w:tcW w:w="1292" w:type="pct"/>
            <w:hideMark/>
          </w:tcPr>
          <w:p w:rsidR="00C8707C" w:rsidRPr="000B6417" w:rsidRDefault="00C8707C" w:rsidP="002E5B56">
            <w:pPr>
              <w:rPr>
                <w:lang w:eastAsia="en-AU"/>
              </w:rPr>
            </w:pPr>
            <w:r w:rsidRPr="000B6417">
              <w:rPr>
                <w:lang w:eastAsia="en-AU"/>
              </w:rPr>
              <w:t>80%</w:t>
            </w:r>
            <w:r w:rsidRPr="000B6417">
              <w:rPr>
                <w:spacing w:val="-3"/>
                <w:lang w:eastAsia="en-AU"/>
              </w:rPr>
              <w:t xml:space="preserve"> </w:t>
            </w:r>
            <w:r w:rsidRPr="000B6417">
              <w:rPr>
                <w:lang w:eastAsia="en-AU"/>
              </w:rPr>
              <w:t>CI</w:t>
            </w:r>
          </w:p>
        </w:tc>
        <w:tc>
          <w:tcPr>
            <w:tcW w:w="648"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position w:val="-2"/>
                <w:lang w:eastAsia="en-AU"/>
              </w:rPr>
            </w:pPr>
            <w:r w:rsidRPr="000B6417">
              <w:rPr>
                <w:position w:val="-2"/>
                <w:lang w:eastAsia="en-AU"/>
              </w:rPr>
              <w:t>(58.6, 68.4)</w:t>
            </w:r>
          </w:p>
        </w:tc>
        <w:tc>
          <w:tcPr>
            <w:tcW w:w="59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position w:val="-2"/>
                <w:lang w:eastAsia="en-AU"/>
              </w:rPr>
            </w:pPr>
            <w:r w:rsidRPr="000B6417">
              <w:rPr>
                <w:position w:val="-2"/>
                <w:lang w:eastAsia="en-AU"/>
              </w:rPr>
              <w:t>(35.8, 53.1)</w:t>
            </w:r>
          </w:p>
        </w:tc>
        <w:tc>
          <w:tcPr>
            <w:tcW w:w="59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position w:val="-2"/>
                <w:lang w:eastAsia="en-AU"/>
              </w:rPr>
            </w:pPr>
            <w:r w:rsidRPr="000B6417">
              <w:rPr>
                <w:position w:val="-2"/>
                <w:lang w:eastAsia="en-AU"/>
              </w:rPr>
              <w:t>(52.0, 65.0)</w:t>
            </w:r>
          </w:p>
        </w:tc>
        <w:tc>
          <w:tcPr>
            <w:tcW w:w="64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position w:val="-2"/>
                <w:lang w:eastAsia="en-AU"/>
              </w:rPr>
            </w:pPr>
            <w:r w:rsidRPr="000B6417">
              <w:rPr>
                <w:position w:val="-2"/>
                <w:lang w:eastAsia="en-AU"/>
              </w:rPr>
              <w:t>(24.1, 47.3)</w:t>
            </w:r>
          </w:p>
        </w:tc>
        <w:tc>
          <w:tcPr>
            <w:tcW w:w="59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position w:val="-2"/>
                <w:lang w:eastAsia="en-AU"/>
              </w:rPr>
            </w:pPr>
            <w:r w:rsidRPr="000B6417">
              <w:rPr>
                <w:position w:val="-2"/>
                <w:lang w:eastAsia="en-AU"/>
              </w:rPr>
              <w:t>(64.1, 78.7)</w:t>
            </w:r>
          </w:p>
        </w:tc>
        <w:tc>
          <w:tcPr>
            <w:tcW w:w="622"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position w:val="-2"/>
                <w:lang w:eastAsia="en-AU"/>
              </w:rPr>
            </w:pPr>
            <w:r w:rsidRPr="000B6417">
              <w:rPr>
                <w:position w:val="-2"/>
                <w:lang w:eastAsia="en-AU"/>
              </w:rPr>
              <w:t>(43.3, 68.7)</w:t>
            </w:r>
          </w:p>
        </w:tc>
      </w:tr>
      <w:tr w:rsidR="00C8707C" w:rsidRPr="009D6F1F" w:rsidTr="002E5B56">
        <w:trPr>
          <w:trHeight w:val="20"/>
        </w:trPr>
        <w:tc>
          <w:tcPr>
            <w:cnfStyle w:val="001000000000" w:firstRow="0" w:lastRow="0" w:firstColumn="1" w:lastColumn="0" w:oddVBand="0" w:evenVBand="0" w:oddHBand="0" w:evenHBand="0" w:firstRowFirstColumn="0" w:firstRowLastColumn="0" w:lastRowFirstColumn="0" w:lastRowLastColumn="0"/>
            <w:tcW w:w="1292" w:type="pct"/>
            <w:hideMark/>
          </w:tcPr>
          <w:p w:rsidR="00C8707C" w:rsidRPr="000B6417" w:rsidRDefault="00C8707C" w:rsidP="002E5B56">
            <w:pPr>
              <w:rPr>
                <w:lang w:eastAsia="en-AU"/>
              </w:rPr>
            </w:pPr>
            <w:proofErr w:type="spellStart"/>
            <w:r w:rsidRPr="000B6417">
              <w:rPr>
                <w:bCs/>
                <w:position w:val="1"/>
                <w:lang w:eastAsia="en-AU"/>
              </w:rPr>
              <w:t>Virologic</w:t>
            </w:r>
            <w:proofErr w:type="spellEnd"/>
            <w:r w:rsidRPr="000B6417">
              <w:rPr>
                <w:bCs/>
                <w:spacing w:val="-7"/>
                <w:position w:val="1"/>
                <w:lang w:eastAsia="en-AU"/>
              </w:rPr>
              <w:t xml:space="preserve"> </w:t>
            </w:r>
            <w:r w:rsidRPr="000B6417">
              <w:rPr>
                <w:bCs/>
                <w:position w:val="1"/>
                <w:lang w:eastAsia="en-AU"/>
              </w:rPr>
              <w:t xml:space="preserve">Failure </w:t>
            </w:r>
            <w:r w:rsidRPr="000B6417">
              <w:rPr>
                <w:bCs/>
                <w:position w:val="1"/>
                <w:vertAlign w:val="superscript"/>
                <w:lang w:eastAsia="en-AU"/>
              </w:rPr>
              <w:t>f</w:t>
            </w:r>
            <w:r w:rsidRPr="000B6417">
              <w:rPr>
                <w:bCs/>
                <w:spacing w:val="2"/>
                <w:position w:val="1"/>
                <w:lang w:eastAsia="en-AU"/>
              </w:rPr>
              <w:t xml:space="preserve"> </w:t>
            </w:r>
            <w:r w:rsidRPr="000B6417">
              <w:rPr>
                <w:bCs/>
                <w:position w:val="1"/>
                <w:lang w:eastAsia="en-AU"/>
              </w:rPr>
              <w:t>(Treated</w:t>
            </w:r>
            <w:r w:rsidRPr="000B6417">
              <w:rPr>
                <w:bCs/>
                <w:spacing w:val="-7"/>
                <w:position w:val="1"/>
                <w:lang w:eastAsia="en-AU"/>
              </w:rPr>
              <w:t xml:space="preserve"> </w:t>
            </w:r>
            <w:r w:rsidRPr="000B6417">
              <w:rPr>
                <w:bCs/>
                <w:position w:val="1"/>
                <w:lang w:eastAsia="en-AU"/>
              </w:rPr>
              <w:t>Subjects)</w:t>
            </w:r>
          </w:p>
        </w:tc>
        <w:tc>
          <w:tcPr>
            <w:tcW w:w="648"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48 (30.2)</w:t>
            </w:r>
          </w:p>
        </w:tc>
        <w:tc>
          <w:tcPr>
            <w:tcW w:w="59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27 (50.0)</w:t>
            </w:r>
          </w:p>
        </w:tc>
        <w:tc>
          <w:tcPr>
            <w:tcW w:w="59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30 (31.9)</w:t>
            </w:r>
          </w:p>
        </w:tc>
        <w:tc>
          <w:tcPr>
            <w:tcW w:w="64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16 (57.1)</w:t>
            </w:r>
          </w:p>
        </w:tc>
        <w:tc>
          <w:tcPr>
            <w:tcW w:w="59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17 (27.0)</w:t>
            </w:r>
          </w:p>
        </w:tc>
        <w:tc>
          <w:tcPr>
            <w:tcW w:w="622"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10 (40.0)</w:t>
            </w:r>
          </w:p>
        </w:tc>
      </w:tr>
      <w:tr w:rsidR="00C8707C" w:rsidRPr="009D6F1F" w:rsidTr="002E5B56">
        <w:trPr>
          <w:trHeight w:val="20"/>
        </w:trPr>
        <w:tc>
          <w:tcPr>
            <w:cnfStyle w:val="001000000000" w:firstRow="0" w:lastRow="0" w:firstColumn="1" w:lastColumn="0" w:oddVBand="0" w:evenVBand="0" w:oddHBand="0" w:evenHBand="0" w:firstRowFirstColumn="0" w:firstRowLastColumn="0" w:lastRowFirstColumn="0" w:lastRowLastColumn="0"/>
            <w:tcW w:w="1292" w:type="pct"/>
            <w:hideMark/>
          </w:tcPr>
          <w:p w:rsidR="00C8707C" w:rsidRPr="000B6417" w:rsidRDefault="00C8707C" w:rsidP="002E5B56">
            <w:pPr>
              <w:rPr>
                <w:lang w:eastAsia="en-AU"/>
              </w:rPr>
            </w:pPr>
            <w:proofErr w:type="spellStart"/>
            <w:r w:rsidRPr="000B6417">
              <w:rPr>
                <w:lang w:eastAsia="en-AU"/>
              </w:rPr>
              <w:t>Virologic</w:t>
            </w:r>
            <w:proofErr w:type="spellEnd"/>
            <w:r w:rsidRPr="000B6417">
              <w:rPr>
                <w:spacing w:val="-8"/>
                <w:lang w:eastAsia="en-AU"/>
              </w:rPr>
              <w:t xml:space="preserve"> </w:t>
            </w:r>
            <w:r w:rsidRPr="000B6417">
              <w:rPr>
                <w:lang w:eastAsia="en-AU"/>
              </w:rPr>
              <w:t>failure,</w:t>
            </w:r>
            <w:r w:rsidRPr="000B6417">
              <w:rPr>
                <w:spacing w:val="-6"/>
                <w:lang w:eastAsia="en-AU"/>
              </w:rPr>
              <w:t xml:space="preserve"> </w:t>
            </w:r>
            <w:r w:rsidRPr="000B6417">
              <w:rPr>
                <w:spacing w:val="1"/>
                <w:lang w:eastAsia="en-AU"/>
              </w:rPr>
              <w:t>o</w:t>
            </w:r>
            <w:r w:rsidRPr="000B6417">
              <w:rPr>
                <w:spacing w:val="-1"/>
                <w:lang w:eastAsia="en-AU"/>
              </w:rPr>
              <w:t>n</w:t>
            </w:r>
            <w:r w:rsidRPr="000B6417">
              <w:rPr>
                <w:spacing w:val="1"/>
                <w:lang w:eastAsia="en-AU"/>
              </w:rPr>
              <w:t>-</w:t>
            </w:r>
            <w:r w:rsidRPr="000B6417">
              <w:rPr>
                <w:lang w:eastAsia="en-AU"/>
              </w:rPr>
              <w:t>treatment</w:t>
            </w:r>
          </w:p>
        </w:tc>
        <w:tc>
          <w:tcPr>
            <w:tcW w:w="648"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16 (10.1)</w:t>
            </w:r>
          </w:p>
        </w:tc>
        <w:tc>
          <w:tcPr>
            <w:tcW w:w="59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12 (22.0)</w:t>
            </w:r>
          </w:p>
        </w:tc>
        <w:tc>
          <w:tcPr>
            <w:tcW w:w="59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13 (13.8)</w:t>
            </w:r>
          </w:p>
        </w:tc>
        <w:tc>
          <w:tcPr>
            <w:tcW w:w="64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6 (21.4)</w:t>
            </w:r>
          </w:p>
        </w:tc>
        <w:tc>
          <w:tcPr>
            <w:tcW w:w="59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3 (4.8)</w:t>
            </w:r>
          </w:p>
        </w:tc>
        <w:tc>
          <w:tcPr>
            <w:tcW w:w="622"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6 (24.0)</w:t>
            </w:r>
          </w:p>
        </w:tc>
      </w:tr>
      <w:tr w:rsidR="00C8707C" w:rsidRPr="009D6F1F" w:rsidTr="002E5B56">
        <w:trPr>
          <w:trHeight w:val="20"/>
        </w:trPr>
        <w:tc>
          <w:tcPr>
            <w:cnfStyle w:val="001000000000" w:firstRow="0" w:lastRow="0" w:firstColumn="1" w:lastColumn="0" w:oddVBand="0" w:evenVBand="0" w:oddHBand="0" w:evenHBand="0" w:firstRowFirstColumn="0" w:firstRowLastColumn="0" w:lastRowFirstColumn="0" w:lastRowLastColumn="0"/>
            <w:tcW w:w="1292" w:type="pct"/>
            <w:hideMark/>
          </w:tcPr>
          <w:p w:rsidR="00C8707C" w:rsidRPr="000B6417" w:rsidRDefault="00C8707C" w:rsidP="002E5B56">
            <w:pPr>
              <w:rPr>
                <w:lang w:eastAsia="en-AU"/>
              </w:rPr>
            </w:pPr>
            <w:r w:rsidRPr="000B6417">
              <w:rPr>
                <w:spacing w:val="1"/>
                <w:lang w:eastAsia="en-AU"/>
              </w:rPr>
              <w:t>VBT</w:t>
            </w:r>
          </w:p>
        </w:tc>
        <w:tc>
          <w:tcPr>
            <w:tcW w:w="648"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10 (6.3)</w:t>
            </w:r>
          </w:p>
        </w:tc>
        <w:tc>
          <w:tcPr>
            <w:tcW w:w="59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0</w:t>
            </w:r>
          </w:p>
        </w:tc>
        <w:tc>
          <w:tcPr>
            <w:tcW w:w="59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8 (8.5)</w:t>
            </w:r>
          </w:p>
        </w:tc>
        <w:tc>
          <w:tcPr>
            <w:tcW w:w="64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0</w:t>
            </w:r>
          </w:p>
        </w:tc>
        <w:tc>
          <w:tcPr>
            <w:tcW w:w="59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2 (3.2)</w:t>
            </w:r>
          </w:p>
        </w:tc>
        <w:tc>
          <w:tcPr>
            <w:tcW w:w="622"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0</w:t>
            </w:r>
          </w:p>
        </w:tc>
      </w:tr>
      <w:tr w:rsidR="00C8707C" w:rsidRPr="009D6F1F" w:rsidTr="002E5B56">
        <w:trPr>
          <w:trHeight w:val="20"/>
        </w:trPr>
        <w:tc>
          <w:tcPr>
            <w:cnfStyle w:val="001000000000" w:firstRow="0" w:lastRow="0" w:firstColumn="1" w:lastColumn="0" w:oddVBand="0" w:evenVBand="0" w:oddHBand="0" w:evenHBand="0" w:firstRowFirstColumn="0" w:firstRowLastColumn="0" w:lastRowFirstColumn="0" w:lastRowLastColumn="0"/>
            <w:tcW w:w="1292" w:type="pct"/>
            <w:hideMark/>
          </w:tcPr>
          <w:p w:rsidR="00C8707C" w:rsidRPr="000B6417" w:rsidRDefault="00C8707C" w:rsidP="002E5B56">
            <w:pPr>
              <w:rPr>
                <w:lang w:eastAsia="en-AU"/>
              </w:rPr>
            </w:pPr>
            <w:r w:rsidRPr="000B6417">
              <w:rPr>
                <w:position w:val="1"/>
                <w:lang w:eastAsia="en-AU"/>
              </w:rPr>
              <w:t xml:space="preserve">Relapse </w:t>
            </w:r>
            <w:r w:rsidRPr="000B6417">
              <w:rPr>
                <w:position w:val="1"/>
                <w:vertAlign w:val="superscript"/>
                <w:lang w:eastAsia="en-AU"/>
              </w:rPr>
              <w:t>g</w:t>
            </w:r>
          </w:p>
        </w:tc>
        <w:tc>
          <w:tcPr>
            <w:tcW w:w="648"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32 (20.1)</w:t>
            </w:r>
          </w:p>
        </w:tc>
        <w:tc>
          <w:tcPr>
            <w:tcW w:w="59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15 (27.8)</w:t>
            </w:r>
          </w:p>
        </w:tc>
        <w:tc>
          <w:tcPr>
            <w:tcW w:w="59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17 (18.1)</w:t>
            </w:r>
          </w:p>
        </w:tc>
        <w:tc>
          <w:tcPr>
            <w:tcW w:w="64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10 (35.7)</w:t>
            </w:r>
          </w:p>
        </w:tc>
        <w:tc>
          <w:tcPr>
            <w:tcW w:w="59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14 (22.2)</w:t>
            </w:r>
          </w:p>
        </w:tc>
        <w:tc>
          <w:tcPr>
            <w:tcW w:w="622"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4 (16.0)</w:t>
            </w:r>
          </w:p>
        </w:tc>
      </w:tr>
      <w:tr w:rsidR="00C8707C" w:rsidRPr="009D6F1F" w:rsidTr="002E5B56">
        <w:trPr>
          <w:trHeight w:val="20"/>
        </w:trPr>
        <w:tc>
          <w:tcPr>
            <w:cnfStyle w:val="001000000000" w:firstRow="0" w:lastRow="0" w:firstColumn="1" w:lastColumn="0" w:oddVBand="0" w:evenVBand="0" w:oddHBand="0" w:evenHBand="0" w:firstRowFirstColumn="0" w:firstRowLastColumn="0" w:lastRowFirstColumn="0" w:lastRowLastColumn="0"/>
            <w:tcW w:w="1292" w:type="pct"/>
            <w:hideMark/>
          </w:tcPr>
          <w:p w:rsidR="00C8707C" w:rsidRPr="000B6417" w:rsidRDefault="00C8707C" w:rsidP="002E5B56">
            <w:pPr>
              <w:rPr>
                <w:lang w:eastAsia="en-AU"/>
              </w:rPr>
            </w:pPr>
            <w:r w:rsidRPr="000B6417">
              <w:rPr>
                <w:position w:val="1"/>
                <w:lang w:eastAsia="en-AU"/>
              </w:rPr>
              <w:lastRenderedPageBreak/>
              <w:t>Relapse</w:t>
            </w:r>
            <w:r w:rsidRPr="000B6417">
              <w:rPr>
                <w:spacing w:val="-6"/>
                <w:position w:val="1"/>
                <w:lang w:eastAsia="en-AU"/>
              </w:rPr>
              <w:t xml:space="preserve"> </w:t>
            </w:r>
            <w:r w:rsidRPr="000B6417">
              <w:rPr>
                <w:position w:val="1"/>
                <w:lang w:eastAsia="en-AU"/>
              </w:rPr>
              <w:t xml:space="preserve">Rate </w:t>
            </w:r>
            <w:r w:rsidRPr="000B6417">
              <w:rPr>
                <w:position w:val="1"/>
                <w:vertAlign w:val="superscript"/>
                <w:lang w:eastAsia="en-AU"/>
              </w:rPr>
              <w:t>h</w:t>
            </w:r>
          </w:p>
        </w:tc>
        <w:tc>
          <w:tcPr>
            <w:tcW w:w="648"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32/141 (22.7)</w:t>
            </w:r>
          </w:p>
        </w:tc>
        <w:tc>
          <w:tcPr>
            <w:tcW w:w="59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15/43 (34.9)</w:t>
            </w:r>
          </w:p>
        </w:tc>
        <w:tc>
          <w:tcPr>
            <w:tcW w:w="59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17/81 (21.0)</w:t>
            </w:r>
          </w:p>
        </w:tc>
        <w:tc>
          <w:tcPr>
            <w:tcW w:w="64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10/22 (45.5)</w:t>
            </w:r>
          </w:p>
        </w:tc>
        <w:tc>
          <w:tcPr>
            <w:tcW w:w="597"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14/58 (24.1)</w:t>
            </w:r>
          </w:p>
        </w:tc>
        <w:tc>
          <w:tcPr>
            <w:tcW w:w="622" w:type="pct"/>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4/20 (20.0)</w:t>
            </w:r>
          </w:p>
        </w:tc>
      </w:tr>
    </w:tbl>
    <w:p w:rsidR="00C8707C" w:rsidRDefault="00C8707C" w:rsidP="002E5B56">
      <w:pPr>
        <w:pStyle w:val="TableDescription"/>
      </w:pPr>
      <w:r>
        <w:t xml:space="preserve">a One genotype missing; b After database lock, 1 subject was identified as a potential </w:t>
      </w:r>
      <w:proofErr w:type="spellStart"/>
      <w:r>
        <w:t>eRVR</w:t>
      </w:r>
      <w:proofErr w:type="spellEnd"/>
      <w:r>
        <w:t xml:space="preserve">, RVR, </w:t>
      </w:r>
      <w:proofErr w:type="spellStart"/>
      <w:r>
        <w:t>cEVR</w:t>
      </w:r>
      <w:proofErr w:type="spellEnd"/>
      <w:r>
        <w:t xml:space="preserve">, PDR, EOTR, SVR4, SVR12, and SVR24 responder; c After database lock, 1 subject was identified as a potential SVR4, SVR12, and SVR24 responder; d The numerator is based on subjects meeting the response criteria; e The numerator is based on subjects meeting the response criteria; The denominator is based on all treated subjects; f </w:t>
      </w:r>
      <w:proofErr w:type="spellStart"/>
      <w:r>
        <w:t>Virologic</w:t>
      </w:r>
      <w:proofErr w:type="spellEnd"/>
      <w:r>
        <w:t xml:space="preserve"> failure is defined as 1) </w:t>
      </w:r>
      <w:proofErr w:type="spellStart"/>
      <w:r>
        <w:t>virologic</w:t>
      </w:r>
      <w:proofErr w:type="spellEnd"/>
      <w:r>
        <w:t xml:space="preserve"> breakthrough, 2) &lt; 1 log10 decrease in HCV RNA from baseline at Week 4 of treatment, 3) failure to achieve EVR, 4) detectable HCV RNA at Week 12 and HCV RNA </w:t>
      </w:r>
      <w:r>
        <w:sym w:font="Cambria" w:char="F0B3"/>
      </w:r>
      <w:r>
        <w:t xml:space="preserve"> LOQ at Week 24 of treatment, 5) detectable HCV RNA at EOT including early discontinuation, or 6) relapse, categorised by the earliest </w:t>
      </w:r>
      <w:proofErr w:type="spellStart"/>
      <w:r>
        <w:t>virologic</w:t>
      </w:r>
      <w:proofErr w:type="spellEnd"/>
      <w:r>
        <w:t xml:space="preserve"> failure event in the study;  g Based on all treated subjects (modified ITT approach) as the denominator; h Based on the number of subjects with HCV RNA &lt; LLOQ, TND at EOT as the denominator</w:t>
      </w:r>
    </w:p>
    <w:p w:rsidR="00C8707C" w:rsidRDefault="00C8707C" w:rsidP="00C8707C">
      <w:pPr>
        <w:tabs>
          <w:tab w:val="left" w:pos="720"/>
        </w:tabs>
        <w:rPr>
          <w:kern w:val="16"/>
          <w:szCs w:val="24"/>
        </w:rPr>
      </w:pPr>
    </w:p>
    <w:p w:rsidR="00C8707C" w:rsidRDefault="00C8707C" w:rsidP="00C8707C">
      <w:pPr>
        <w:sectPr w:rsidR="00C8707C">
          <w:footnotePr>
            <w:numFmt w:val="lowerLetter"/>
          </w:footnotePr>
          <w:endnotePr>
            <w:numFmt w:val="decimal"/>
          </w:endnotePr>
          <w:pgSz w:w="16838" w:h="11906" w:orient="landscape"/>
          <w:pgMar w:top="1440" w:right="1134" w:bottom="1134" w:left="1134" w:header="737" w:footer="737" w:gutter="0"/>
          <w:cols w:space="720"/>
        </w:sectPr>
      </w:pPr>
    </w:p>
    <w:p w:rsidR="00C8707C" w:rsidRDefault="00C8707C" w:rsidP="00C8707C">
      <w:pPr>
        <w:autoSpaceDE w:val="0"/>
        <w:autoSpaceDN w:val="0"/>
        <w:adjustRightInd w:val="0"/>
        <w:rPr>
          <w:i/>
          <w:szCs w:val="24"/>
        </w:rPr>
      </w:pPr>
      <w:r>
        <w:rPr>
          <w:i/>
        </w:rPr>
        <w:lastRenderedPageBreak/>
        <w:t>Genotype 4 group</w:t>
      </w:r>
    </w:p>
    <w:p w:rsidR="00C8707C" w:rsidRDefault="00C8707C" w:rsidP="00C8707C">
      <w:pPr>
        <w:tabs>
          <w:tab w:val="left" w:pos="720"/>
        </w:tabs>
        <w:autoSpaceDE w:val="0"/>
        <w:autoSpaceDN w:val="0"/>
        <w:adjustRightInd w:val="0"/>
        <w:rPr>
          <w:rFonts w:eastAsia="TimesNewRoman" w:cs="TimesNewRomanPSMT"/>
        </w:rPr>
      </w:pPr>
      <w:r>
        <w:rPr>
          <w:rFonts w:eastAsia="TimesNewRoman" w:cs="TimesNewRoman"/>
        </w:rPr>
        <w:t xml:space="preserve">In subjects with GT-4, </w:t>
      </w:r>
      <w:proofErr w:type="spellStart"/>
      <w:r>
        <w:rPr>
          <w:rFonts w:eastAsia="TimesNewRoman" w:cs="TimesNewRoman"/>
        </w:rPr>
        <w:t>virologic</w:t>
      </w:r>
      <w:proofErr w:type="spellEnd"/>
      <w:r>
        <w:rPr>
          <w:rFonts w:eastAsia="TimesNewRoman" w:cs="TimesNewRoman"/>
        </w:rPr>
        <w:t xml:space="preserve"> response rates during treatment and SVR rates during follow-up in the ASV group (ASV/</w:t>
      </w:r>
      <w:proofErr w:type="spellStart"/>
      <w:r>
        <w:rPr>
          <w:rFonts w:eastAsia="TimesNewRoman" w:cs="TimesNewRoman"/>
        </w:rPr>
        <w:t>pegIFN</w:t>
      </w:r>
      <w:proofErr w:type="spellEnd"/>
      <w:r>
        <w:rPr>
          <w:rFonts w:eastAsia="TimesNewRoman" w:cs="Symbol"/>
        </w:rPr>
        <w:t>α</w:t>
      </w:r>
      <w:r>
        <w:rPr>
          <w:rFonts w:eastAsia="TimesNewRoman" w:cs="TimesNewRoman"/>
        </w:rPr>
        <w:t>/RBV) were higher than in the placebo (</w:t>
      </w:r>
      <w:proofErr w:type="spellStart"/>
      <w:r>
        <w:rPr>
          <w:rFonts w:eastAsia="TimesNewRoman" w:cs="TimesNewRoman"/>
        </w:rPr>
        <w:t>pegIFN</w:t>
      </w:r>
      <w:proofErr w:type="spellEnd"/>
      <w:r>
        <w:rPr>
          <w:rFonts w:eastAsia="TimesNewRoman" w:cs="Symbol"/>
        </w:rPr>
        <w:t>α</w:t>
      </w:r>
      <w:r>
        <w:rPr>
          <w:rFonts w:eastAsia="TimesNewRoman" w:cs="TimesNewRoman"/>
        </w:rPr>
        <w:t>/RBV only) group</w:t>
      </w:r>
      <w:r>
        <w:rPr>
          <w:rFonts w:eastAsia="TimesNewRoman" w:cs="TimesNewRomanPSMT"/>
        </w:rPr>
        <w:t>:</w:t>
      </w:r>
    </w:p>
    <w:p w:rsidR="00C8707C" w:rsidRDefault="00C8707C" w:rsidP="00C8707C">
      <w:pPr>
        <w:pStyle w:val="ListBullet"/>
        <w:numPr>
          <w:ilvl w:val="0"/>
          <w:numId w:val="1"/>
        </w:numPr>
      </w:pPr>
      <w:r>
        <w:t xml:space="preserve">Subjects with GT-4 exhibited greater early virology response than placebo in inducing </w:t>
      </w:r>
      <w:proofErr w:type="spellStart"/>
      <w:r>
        <w:t>eRVR</w:t>
      </w:r>
      <w:proofErr w:type="spellEnd"/>
      <w:r>
        <w:t>. Extended RVR rates were numerically higher in the ASV treatment groups (88.9%) compared with the placebo group (0%)</w:t>
      </w:r>
    </w:p>
    <w:p w:rsidR="00C8707C" w:rsidRDefault="00C8707C" w:rsidP="00C8707C">
      <w:pPr>
        <w:pStyle w:val="ListBullet"/>
        <w:numPr>
          <w:ilvl w:val="0"/>
          <w:numId w:val="1"/>
        </w:numPr>
      </w:pPr>
      <w:r>
        <w:t>The rates for SVR24 were also numerically higher for the ASV group (88.9%) compared with the placebo group (42.9%)</w:t>
      </w:r>
    </w:p>
    <w:p w:rsidR="00C8707C" w:rsidRDefault="00C8707C" w:rsidP="00C8707C">
      <w:pPr>
        <w:tabs>
          <w:tab w:val="left" w:pos="720"/>
        </w:tabs>
        <w:autoSpaceDE w:val="0"/>
        <w:autoSpaceDN w:val="0"/>
        <w:adjustRightInd w:val="0"/>
        <w:rPr>
          <w:rFonts w:eastAsia="TimesNewRoman" w:cs="TimesNewRoman"/>
        </w:rPr>
      </w:pPr>
      <w:r>
        <w:rPr>
          <w:rFonts w:eastAsia="TimesNewRoman" w:cs="TimesNewRoman"/>
        </w:rPr>
        <w:t>Concordance between SVR12 with SVR24 for subjects with GT-4 (based on the criteria HCV RNA &lt; LLOQ, TND or TD) was 100.0% in both ASV and placebo groups, respectively.</w:t>
      </w:r>
    </w:p>
    <w:p w:rsidR="00C8707C" w:rsidRDefault="00C8707C" w:rsidP="00C8707C">
      <w:pPr>
        <w:tabs>
          <w:tab w:val="left" w:pos="720"/>
        </w:tabs>
        <w:autoSpaceDE w:val="0"/>
        <w:autoSpaceDN w:val="0"/>
        <w:adjustRightInd w:val="0"/>
        <w:rPr>
          <w:rFonts w:eastAsia="TimesNewRoman" w:cs="TimesNewRoman"/>
        </w:rPr>
      </w:pPr>
      <w:proofErr w:type="spellStart"/>
      <w:r>
        <w:rPr>
          <w:rFonts w:eastAsia="TimesNewRoman" w:cs="TimesNewRoman"/>
        </w:rPr>
        <w:t>Virologic</w:t>
      </w:r>
      <w:proofErr w:type="spellEnd"/>
      <w:r>
        <w:rPr>
          <w:rFonts w:eastAsia="TimesNewRoman" w:cs="TimesNewRoman"/>
        </w:rPr>
        <w:t xml:space="preserve"> failure on-treatment was more frequent in the placebo group (4 [57.1%]) compared with the ASV group (2 [11.1%]) for subjects with GT-4</w:t>
      </w:r>
      <w:r>
        <w:rPr>
          <w:rFonts w:eastAsia="TimesNewRoman" w:cs="TimesNewRomanPSMT"/>
        </w:rPr>
        <w:t xml:space="preserve">. Both </w:t>
      </w:r>
      <w:proofErr w:type="spellStart"/>
      <w:r>
        <w:rPr>
          <w:rFonts w:eastAsia="TimesNewRoman" w:cs="TimesNewRomanPSMT"/>
        </w:rPr>
        <w:t>virologic</w:t>
      </w:r>
      <w:proofErr w:type="spellEnd"/>
      <w:r>
        <w:rPr>
          <w:rFonts w:eastAsia="TimesNewRoman" w:cs="TimesNewRomanPSMT"/>
        </w:rPr>
        <w:t xml:space="preserve"> failures </w:t>
      </w:r>
      <w:r>
        <w:rPr>
          <w:rFonts w:eastAsia="TimesNewRoman" w:cs="TimesNewRoman"/>
        </w:rPr>
        <w:t xml:space="preserve">on-treatment in the ASV group were detectable HCV RNA at EOT; in the placebo group, </w:t>
      </w:r>
      <w:proofErr w:type="spellStart"/>
      <w:r>
        <w:rPr>
          <w:rFonts w:eastAsia="TimesNewRoman" w:cs="TimesNewRoman"/>
        </w:rPr>
        <w:t>virologic</w:t>
      </w:r>
      <w:proofErr w:type="spellEnd"/>
      <w:r>
        <w:rPr>
          <w:rFonts w:eastAsia="TimesNewRoman" w:cs="TimesNewRoman"/>
        </w:rPr>
        <w:t xml:space="preserve"> failure was due to </w:t>
      </w:r>
      <w:proofErr w:type="spellStart"/>
      <w:r>
        <w:rPr>
          <w:rFonts w:eastAsia="TimesNewRoman" w:cs="TimesNewRoman"/>
        </w:rPr>
        <w:t>virologic</w:t>
      </w:r>
      <w:proofErr w:type="spellEnd"/>
      <w:r>
        <w:rPr>
          <w:rFonts w:eastAsia="TimesNewRoman" w:cs="TimesNewRoman"/>
        </w:rPr>
        <w:t xml:space="preserve"> breakthrough (14.3%), &lt; 1 log</w:t>
      </w:r>
      <w:r>
        <w:rPr>
          <w:rFonts w:eastAsia="TimesNewRoman" w:cs="TimesNewRoman"/>
          <w:vertAlign w:val="subscript"/>
        </w:rPr>
        <w:t>10</w:t>
      </w:r>
      <w:r>
        <w:rPr>
          <w:rFonts w:eastAsia="TimesNewRoman" w:cs="TimesNewRoman"/>
        </w:rPr>
        <w:t xml:space="preserve"> HCV RNA decrease from baseline at Week 4 (28.6%), or detectable HCV RNA at Week 12 and HCV RNA </w:t>
      </w:r>
      <w:r>
        <w:rPr>
          <w:rFonts w:eastAsia="TimesNewRoman" w:cs="Symbol"/>
        </w:rPr>
        <w:t xml:space="preserve">≥ </w:t>
      </w:r>
      <w:r>
        <w:rPr>
          <w:rFonts w:eastAsia="TimesNewRoman" w:cs="TimesNewRoman"/>
        </w:rPr>
        <w:t>LOQ at Week 24 (14.3%).</w:t>
      </w:r>
    </w:p>
    <w:p w:rsidR="00C8707C" w:rsidRDefault="00C8707C" w:rsidP="00C8707C">
      <w:pPr>
        <w:tabs>
          <w:tab w:val="left" w:pos="720"/>
        </w:tabs>
        <w:autoSpaceDE w:val="0"/>
        <w:autoSpaceDN w:val="0"/>
        <w:adjustRightInd w:val="0"/>
        <w:rPr>
          <w:rFonts w:eastAsia="TimesNewRoman" w:cs="TimesNewRoman"/>
        </w:rPr>
      </w:pPr>
      <w:r>
        <w:rPr>
          <w:rFonts w:eastAsia="TimesNewRoman" w:cs="TimesNewRoman"/>
        </w:rPr>
        <w:t>The results for GT-4 are presented in the table below.</w:t>
      </w:r>
    </w:p>
    <w:p w:rsidR="00C8707C" w:rsidRDefault="00C8707C" w:rsidP="00C8707C">
      <w:pPr>
        <w:pStyle w:val="Tabletitle"/>
      </w:pPr>
      <w:bookmarkStart w:id="200" w:name="_Toc401831785"/>
      <w:r>
        <w:t xml:space="preserve">Table 7: Study AI447016: Summary of primary and secondary efficacy end points – Stage 2: </w:t>
      </w:r>
      <w:proofErr w:type="spellStart"/>
      <w:r>
        <w:t>mITT</w:t>
      </w:r>
      <w:proofErr w:type="spellEnd"/>
      <w:r>
        <w:t xml:space="preserve"> analysis – Treated subjects with GT-4</w:t>
      </w:r>
      <w:bookmarkEnd w:id="200"/>
    </w:p>
    <w:tbl>
      <w:tblPr>
        <w:tblStyle w:val="TableTGAblue"/>
        <w:tblW w:w="9039" w:type="dxa"/>
        <w:tblLayout w:type="fixed"/>
        <w:tblLook w:val="04A0" w:firstRow="1" w:lastRow="0" w:firstColumn="1" w:lastColumn="0" w:noHBand="0" w:noVBand="1"/>
      </w:tblPr>
      <w:tblGrid>
        <w:gridCol w:w="3739"/>
        <w:gridCol w:w="2833"/>
        <w:gridCol w:w="2467"/>
      </w:tblGrid>
      <w:tr w:rsidR="00C8707C" w:rsidRPr="00427904" w:rsidTr="002E5B56">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3739" w:type="dxa"/>
          </w:tcPr>
          <w:p w:rsidR="00C8707C" w:rsidRPr="000B6417" w:rsidRDefault="00C8707C" w:rsidP="002E5B56">
            <w:pPr>
              <w:rPr>
                <w:b w:val="0"/>
                <w:lang w:eastAsia="en-AU"/>
              </w:rPr>
            </w:pPr>
          </w:p>
        </w:tc>
        <w:tc>
          <w:tcPr>
            <w:tcW w:w="5300" w:type="dxa"/>
            <w:gridSpan w:val="2"/>
            <w:hideMark/>
          </w:tcPr>
          <w:p w:rsidR="00C8707C" w:rsidRPr="000B6417" w:rsidRDefault="00C8707C" w:rsidP="002E5B56">
            <w:pPr>
              <w:cnfStyle w:val="100000000000" w:firstRow="1" w:lastRow="0" w:firstColumn="0" w:lastColumn="0" w:oddVBand="0" w:evenVBand="0" w:oddHBand="0" w:evenHBand="0" w:firstRowFirstColumn="0" w:firstRowLastColumn="0" w:lastRowFirstColumn="0" w:lastRowLastColumn="0"/>
              <w:rPr>
                <w:b w:val="0"/>
                <w:spacing w:val="1"/>
                <w:lang w:eastAsia="en-AU"/>
              </w:rPr>
            </w:pPr>
            <w:r w:rsidRPr="000B6417">
              <w:rPr>
                <w:b w:val="0"/>
                <w:bCs/>
                <w:lang w:eastAsia="en-AU"/>
              </w:rPr>
              <w:t>Number</w:t>
            </w:r>
            <w:r w:rsidRPr="000B6417">
              <w:rPr>
                <w:b w:val="0"/>
                <w:bCs/>
                <w:spacing w:val="-7"/>
                <w:lang w:eastAsia="en-AU"/>
              </w:rPr>
              <w:t xml:space="preserve"> </w:t>
            </w:r>
            <w:r w:rsidRPr="000B6417">
              <w:rPr>
                <w:b w:val="0"/>
                <w:bCs/>
                <w:lang w:eastAsia="en-AU"/>
              </w:rPr>
              <w:t>of</w:t>
            </w:r>
            <w:r w:rsidRPr="000B6417">
              <w:rPr>
                <w:b w:val="0"/>
                <w:bCs/>
                <w:spacing w:val="-2"/>
                <w:lang w:eastAsia="en-AU"/>
              </w:rPr>
              <w:t xml:space="preserve"> </w:t>
            </w:r>
            <w:r w:rsidRPr="000B6417">
              <w:rPr>
                <w:b w:val="0"/>
                <w:bCs/>
                <w:lang w:eastAsia="en-AU"/>
              </w:rPr>
              <w:t>Subjects</w:t>
            </w:r>
            <w:r w:rsidRPr="000B6417">
              <w:rPr>
                <w:b w:val="0"/>
                <w:bCs/>
                <w:spacing w:val="-7"/>
                <w:lang w:eastAsia="en-AU"/>
              </w:rPr>
              <w:t xml:space="preserve"> </w:t>
            </w:r>
            <w:r w:rsidRPr="000B6417">
              <w:rPr>
                <w:b w:val="0"/>
                <w:bCs/>
                <w:lang w:eastAsia="en-AU"/>
              </w:rPr>
              <w:t>(%)</w:t>
            </w:r>
          </w:p>
        </w:tc>
      </w:tr>
      <w:tr w:rsidR="00C8707C" w:rsidRPr="00427904" w:rsidTr="002E5B56">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3739" w:type="dxa"/>
          </w:tcPr>
          <w:p w:rsidR="00C8707C" w:rsidRPr="000B6417" w:rsidRDefault="00C8707C" w:rsidP="002E5B56">
            <w:pPr>
              <w:rPr>
                <w:b w:val="0"/>
                <w:lang w:eastAsia="en-AU"/>
              </w:rPr>
            </w:pPr>
          </w:p>
        </w:tc>
        <w:tc>
          <w:tcPr>
            <w:tcW w:w="2833" w:type="dxa"/>
            <w:hideMark/>
          </w:tcPr>
          <w:p w:rsidR="00C8707C" w:rsidRPr="000B6417" w:rsidRDefault="00C8707C" w:rsidP="002E5B56">
            <w:pPr>
              <w:cnfStyle w:val="100000000000" w:firstRow="1" w:lastRow="0" w:firstColumn="0" w:lastColumn="0" w:oddVBand="0" w:evenVBand="0" w:oddHBand="0" w:evenHBand="0" w:firstRowFirstColumn="0" w:firstRowLastColumn="0" w:lastRowFirstColumn="0" w:lastRowLastColumn="0"/>
              <w:rPr>
                <w:b w:val="0"/>
                <w:spacing w:val="1"/>
                <w:lang w:eastAsia="en-AU"/>
              </w:rPr>
            </w:pPr>
            <w:r w:rsidRPr="000B6417">
              <w:rPr>
                <w:b w:val="0"/>
                <w:bCs/>
                <w:spacing w:val="1"/>
                <w:lang w:eastAsia="en-AU"/>
              </w:rPr>
              <w:t>20</w:t>
            </w:r>
            <w:r w:rsidRPr="000B6417">
              <w:rPr>
                <w:b w:val="0"/>
                <w:bCs/>
                <w:lang w:eastAsia="en-AU"/>
              </w:rPr>
              <w:t>0</w:t>
            </w:r>
            <w:r w:rsidRPr="000B6417">
              <w:rPr>
                <w:b w:val="0"/>
                <w:bCs/>
                <w:spacing w:val="-2"/>
                <w:lang w:eastAsia="en-AU"/>
              </w:rPr>
              <w:t xml:space="preserve"> </w:t>
            </w:r>
            <w:r w:rsidRPr="000B6417">
              <w:rPr>
                <w:b w:val="0"/>
                <w:bCs/>
                <w:spacing w:val="1"/>
                <w:lang w:eastAsia="en-AU"/>
              </w:rPr>
              <w:t>ASV</w:t>
            </w:r>
            <w:r w:rsidR="002E5B56">
              <w:rPr>
                <w:b w:val="0"/>
                <w:bCs/>
                <w:spacing w:val="1"/>
                <w:lang w:eastAsia="en-AU"/>
              </w:rPr>
              <w:t xml:space="preserve"> </w:t>
            </w:r>
            <w:r w:rsidRPr="000B6417">
              <w:rPr>
                <w:b w:val="0"/>
                <w:bCs/>
                <w:lang w:eastAsia="en-AU"/>
              </w:rPr>
              <w:t>(N</w:t>
            </w:r>
            <w:r w:rsidRPr="000B6417">
              <w:rPr>
                <w:b w:val="0"/>
                <w:bCs/>
                <w:spacing w:val="-2"/>
                <w:lang w:eastAsia="en-AU"/>
              </w:rPr>
              <w:t xml:space="preserve"> </w:t>
            </w:r>
            <w:r w:rsidRPr="000B6417">
              <w:rPr>
                <w:b w:val="0"/>
                <w:bCs/>
                <w:lang w:eastAsia="en-AU"/>
              </w:rPr>
              <w:t>=</w:t>
            </w:r>
            <w:r w:rsidRPr="000B6417">
              <w:rPr>
                <w:b w:val="0"/>
                <w:bCs/>
                <w:spacing w:val="-1"/>
                <w:lang w:eastAsia="en-AU"/>
              </w:rPr>
              <w:t xml:space="preserve"> </w:t>
            </w:r>
            <w:r w:rsidRPr="000B6417">
              <w:rPr>
                <w:b w:val="0"/>
                <w:bCs/>
                <w:spacing w:val="1"/>
                <w:lang w:eastAsia="en-AU"/>
              </w:rPr>
              <w:t>18)</w:t>
            </w:r>
          </w:p>
        </w:tc>
        <w:tc>
          <w:tcPr>
            <w:tcW w:w="2467" w:type="dxa"/>
            <w:hideMark/>
          </w:tcPr>
          <w:p w:rsidR="00C8707C" w:rsidRPr="000B6417" w:rsidRDefault="00C8707C" w:rsidP="002E5B56">
            <w:pPr>
              <w:cnfStyle w:val="100000000000" w:firstRow="1" w:lastRow="0" w:firstColumn="0" w:lastColumn="0" w:oddVBand="0" w:evenVBand="0" w:oddHBand="0" w:evenHBand="0" w:firstRowFirstColumn="0" w:firstRowLastColumn="0" w:lastRowFirstColumn="0" w:lastRowLastColumn="0"/>
              <w:rPr>
                <w:b w:val="0"/>
                <w:spacing w:val="1"/>
                <w:lang w:eastAsia="en-AU"/>
              </w:rPr>
            </w:pPr>
            <w:r w:rsidRPr="000B6417">
              <w:rPr>
                <w:b w:val="0"/>
                <w:bCs/>
                <w:lang w:eastAsia="en-AU"/>
              </w:rPr>
              <w:t>Placebo</w:t>
            </w:r>
            <w:r w:rsidR="002E5B56">
              <w:rPr>
                <w:b w:val="0"/>
                <w:bCs/>
                <w:lang w:eastAsia="en-AU"/>
              </w:rPr>
              <w:t xml:space="preserve"> </w:t>
            </w:r>
            <w:r w:rsidRPr="000B6417">
              <w:rPr>
                <w:b w:val="0"/>
                <w:bCs/>
                <w:lang w:eastAsia="en-AU"/>
              </w:rPr>
              <w:t>(N</w:t>
            </w:r>
            <w:r w:rsidRPr="000B6417">
              <w:rPr>
                <w:b w:val="0"/>
                <w:bCs/>
                <w:spacing w:val="-2"/>
                <w:lang w:eastAsia="en-AU"/>
              </w:rPr>
              <w:t xml:space="preserve"> </w:t>
            </w:r>
            <w:r w:rsidRPr="000B6417">
              <w:rPr>
                <w:b w:val="0"/>
                <w:bCs/>
                <w:lang w:eastAsia="en-AU"/>
              </w:rPr>
              <w:t xml:space="preserve">= </w:t>
            </w:r>
            <w:r w:rsidRPr="000B6417">
              <w:rPr>
                <w:b w:val="0"/>
                <w:bCs/>
                <w:spacing w:val="1"/>
                <w:lang w:eastAsia="en-AU"/>
              </w:rPr>
              <w:t>7</w:t>
            </w:r>
            <w:r w:rsidRPr="000B6417">
              <w:rPr>
                <w:b w:val="0"/>
                <w:bCs/>
                <w:lang w:eastAsia="en-AU"/>
              </w:rPr>
              <w:t>)</w:t>
            </w:r>
          </w:p>
        </w:tc>
      </w:tr>
      <w:tr w:rsidR="00C8707C" w:rsidTr="002E5B56">
        <w:trPr>
          <w:trHeight w:val="20"/>
        </w:trPr>
        <w:tc>
          <w:tcPr>
            <w:cnfStyle w:val="001000000000" w:firstRow="0" w:lastRow="0" w:firstColumn="1" w:lastColumn="0" w:oddVBand="0" w:evenVBand="0" w:oddHBand="0" w:evenHBand="0" w:firstRowFirstColumn="0" w:firstRowLastColumn="0" w:lastRowFirstColumn="0" w:lastRowLastColumn="0"/>
            <w:tcW w:w="9039" w:type="dxa"/>
            <w:gridSpan w:val="3"/>
            <w:hideMark/>
          </w:tcPr>
          <w:p w:rsidR="00C8707C" w:rsidRPr="000B6417" w:rsidRDefault="00C8707C" w:rsidP="002E5B56">
            <w:pPr>
              <w:rPr>
                <w:bCs/>
                <w:lang w:eastAsia="en-AU"/>
              </w:rPr>
            </w:pPr>
            <w:r w:rsidRPr="000B6417">
              <w:rPr>
                <w:bCs/>
                <w:spacing w:val="1"/>
                <w:lang w:eastAsia="en-AU"/>
              </w:rPr>
              <w:t>Pri</w:t>
            </w:r>
            <w:r w:rsidRPr="000B6417">
              <w:rPr>
                <w:bCs/>
                <w:spacing w:val="-5"/>
                <w:lang w:eastAsia="en-AU"/>
              </w:rPr>
              <w:t>m</w:t>
            </w:r>
            <w:r w:rsidRPr="000B6417">
              <w:rPr>
                <w:bCs/>
                <w:lang w:eastAsia="en-AU"/>
              </w:rPr>
              <w:t>ary</w:t>
            </w:r>
            <w:r w:rsidRPr="000B6417">
              <w:rPr>
                <w:bCs/>
                <w:spacing w:val="-6"/>
                <w:lang w:eastAsia="en-AU"/>
              </w:rPr>
              <w:t xml:space="preserve"> </w:t>
            </w:r>
            <w:r w:rsidRPr="000B6417">
              <w:rPr>
                <w:bCs/>
                <w:lang w:eastAsia="en-AU"/>
              </w:rPr>
              <w:t>Antiviral</w:t>
            </w:r>
            <w:r w:rsidRPr="000B6417">
              <w:rPr>
                <w:bCs/>
                <w:spacing w:val="-7"/>
                <w:lang w:eastAsia="en-AU"/>
              </w:rPr>
              <w:t xml:space="preserve"> </w:t>
            </w:r>
            <w:r w:rsidRPr="000B6417">
              <w:rPr>
                <w:bCs/>
                <w:lang w:eastAsia="en-AU"/>
              </w:rPr>
              <w:t>Endpoint</w:t>
            </w:r>
          </w:p>
        </w:tc>
      </w:tr>
      <w:tr w:rsidR="00C8707C" w:rsidTr="002E5B56">
        <w:trPr>
          <w:trHeight w:val="20"/>
        </w:trPr>
        <w:tc>
          <w:tcPr>
            <w:cnfStyle w:val="001000000000" w:firstRow="0" w:lastRow="0" w:firstColumn="1" w:lastColumn="0" w:oddVBand="0" w:evenVBand="0" w:oddHBand="0" w:evenHBand="0" w:firstRowFirstColumn="0" w:firstRowLastColumn="0" w:lastRowFirstColumn="0" w:lastRowLastColumn="0"/>
            <w:tcW w:w="3739" w:type="dxa"/>
            <w:hideMark/>
          </w:tcPr>
          <w:p w:rsidR="00C8707C" w:rsidRPr="000B6417" w:rsidRDefault="00C8707C" w:rsidP="002E5B56">
            <w:pPr>
              <w:rPr>
                <w:lang w:eastAsia="en-AU"/>
              </w:rPr>
            </w:pPr>
            <w:proofErr w:type="spellStart"/>
            <w:proofErr w:type="gramStart"/>
            <w:r w:rsidRPr="000B6417">
              <w:rPr>
                <w:lang w:eastAsia="en-AU"/>
              </w:rPr>
              <w:t>eRVR</w:t>
            </w:r>
            <w:proofErr w:type="spellEnd"/>
            <w:proofErr w:type="gramEnd"/>
            <w:r w:rsidRPr="000B6417">
              <w:rPr>
                <w:lang w:eastAsia="en-AU"/>
              </w:rPr>
              <w:t xml:space="preserve"> Responder</w:t>
            </w:r>
            <w:r w:rsidRPr="000B6417">
              <w:rPr>
                <w:spacing w:val="-9"/>
                <w:lang w:eastAsia="en-AU"/>
              </w:rPr>
              <w:t xml:space="preserve"> </w:t>
            </w:r>
            <w:r w:rsidRPr="000B6417">
              <w:rPr>
                <w:lang w:eastAsia="en-AU"/>
              </w:rPr>
              <w:t>(%)</w:t>
            </w:r>
          </w:p>
        </w:tc>
        <w:tc>
          <w:tcPr>
            <w:tcW w:w="28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16/1</w:t>
            </w:r>
            <w:r w:rsidRPr="000B6417">
              <w:rPr>
                <w:lang w:eastAsia="en-AU"/>
              </w:rPr>
              <w:t>8</w:t>
            </w:r>
            <w:r w:rsidRPr="000B6417">
              <w:rPr>
                <w:spacing w:val="-6"/>
                <w:lang w:eastAsia="en-AU"/>
              </w:rPr>
              <w:t xml:space="preserve"> </w:t>
            </w:r>
            <w:r w:rsidRPr="000B6417">
              <w:rPr>
                <w:spacing w:val="1"/>
                <w:lang w:eastAsia="en-AU"/>
              </w:rPr>
              <w:t>(88.9)</w:t>
            </w:r>
          </w:p>
        </w:tc>
        <w:tc>
          <w:tcPr>
            <w:tcW w:w="2467"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0</w:t>
            </w:r>
            <w:r w:rsidRPr="000B6417">
              <w:rPr>
                <w:lang w:eastAsia="en-AU"/>
              </w:rPr>
              <w:t>/7</w:t>
            </w:r>
          </w:p>
        </w:tc>
      </w:tr>
      <w:tr w:rsidR="00C8707C" w:rsidTr="002E5B56">
        <w:trPr>
          <w:trHeight w:val="20"/>
        </w:trPr>
        <w:tc>
          <w:tcPr>
            <w:cnfStyle w:val="001000000000" w:firstRow="0" w:lastRow="0" w:firstColumn="1" w:lastColumn="0" w:oddVBand="0" w:evenVBand="0" w:oddHBand="0" w:evenHBand="0" w:firstRowFirstColumn="0" w:firstRowLastColumn="0" w:lastRowFirstColumn="0" w:lastRowLastColumn="0"/>
            <w:tcW w:w="3739" w:type="dxa"/>
            <w:hideMark/>
          </w:tcPr>
          <w:p w:rsidR="00C8707C" w:rsidRPr="000B6417" w:rsidRDefault="00C8707C" w:rsidP="002E5B56">
            <w:pPr>
              <w:rPr>
                <w:lang w:eastAsia="en-AU"/>
              </w:rPr>
            </w:pPr>
            <w:r w:rsidRPr="000B6417">
              <w:rPr>
                <w:lang w:eastAsia="en-AU"/>
              </w:rPr>
              <w:t>80%</w:t>
            </w:r>
            <w:r w:rsidRPr="000B6417">
              <w:rPr>
                <w:spacing w:val="-3"/>
                <w:lang w:eastAsia="en-AU"/>
              </w:rPr>
              <w:t xml:space="preserve"> </w:t>
            </w:r>
            <w:r w:rsidRPr="000B6417">
              <w:rPr>
                <w:lang w:eastAsia="en-AU"/>
              </w:rPr>
              <w:t>CI</w:t>
            </w:r>
          </w:p>
        </w:tc>
        <w:tc>
          <w:tcPr>
            <w:tcW w:w="28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(79.4</w:t>
            </w:r>
            <w:r w:rsidRPr="000B6417">
              <w:rPr>
                <w:lang w:eastAsia="en-AU"/>
              </w:rPr>
              <w:t>,</w:t>
            </w:r>
            <w:r w:rsidRPr="000B6417">
              <w:rPr>
                <w:spacing w:val="-4"/>
                <w:lang w:eastAsia="en-AU"/>
              </w:rPr>
              <w:t xml:space="preserve"> </w:t>
            </w:r>
            <w:r w:rsidRPr="000B6417">
              <w:rPr>
                <w:spacing w:val="1"/>
                <w:lang w:eastAsia="en-AU"/>
              </w:rPr>
              <w:t>98.4)</w:t>
            </w:r>
          </w:p>
        </w:tc>
        <w:tc>
          <w:tcPr>
            <w:tcW w:w="2467"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(0.0</w:t>
            </w:r>
            <w:r w:rsidRPr="000B6417">
              <w:rPr>
                <w:lang w:eastAsia="en-AU"/>
              </w:rPr>
              <w:t>,</w:t>
            </w:r>
            <w:r w:rsidRPr="000B6417">
              <w:rPr>
                <w:spacing w:val="-3"/>
                <w:lang w:eastAsia="en-AU"/>
              </w:rPr>
              <w:t xml:space="preserve"> </w:t>
            </w:r>
            <w:r w:rsidRPr="000B6417">
              <w:rPr>
                <w:spacing w:val="1"/>
                <w:lang w:eastAsia="en-AU"/>
              </w:rPr>
              <w:t>0.0)</w:t>
            </w:r>
          </w:p>
        </w:tc>
      </w:tr>
      <w:tr w:rsidR="00C8707C" w:rsidTr="002E5B56">
        <w:trPr>
          <w:trHeight w:val="20"/>
        </w:trPr>
        <w:tc>
          <w:tcPr>
            <w:cnfStyle w:val="001000000000" w:firstRow="0" w:lastRow="0" w:firstColumn="1" w:lastColumn="0" w:oddVBand="0" w:evenVBand="0" w:oddHBand="0" w:evenHBand="0" w:firstRowFirstColumn="0" w:firstRowLastColumn="0" w:lastRowFirstColumn="0" w:lastRowLastColumn="0"/>
            <w:tcW w:w="9039" w:type="dxa"/>
            <w:gridSpan w:val="3"/>
            <w:hideMark/>
          </w:tcPr>
          <w:p w:rsidR="00C8707C" w:rsidRPr="000B6417" w:rsidRDefault="00C8707C" w:rsidP="002E5B56">
            <w:pPr>
              <w:rPr>
                <w:spacing w:val="1"/>
                <w:lang w:eastAsia="en-AU"/>
              </w:rPr>
            </w:pPr>
            <w:r w:rsidRPr="000B6417">
              <w:rPr>
                <w:bCs/>
                <w:lang w:eastAsia="en-AU"/>
              </w:rPr>
              <w:t>Secondary</w:t>
            </w:r>
            <w:r w:rsidRPr="000B6417">
              <w:rPr>
                <w:bCs/>
                <w:spacing w:val="-9"/>
                <w:lang w:eastAsia="en-AU"/>
              </w:rPr>
              <w:t xml:space="preserve"> </w:t>
            </w:r>
            <w:r w:rsidRPr="000B6417">
              <w:rPr>
                <w:bCs/>
                <w:lang w:eastAsia="en-AU"/>
              </w:rPr>
              <w:t>Antiviral</w:t>
            </w:r>
            <w:r w:rsidRPr="000B6417">
              <w:rPr>
                <w:bCs/>
                <w:spacing w:val="-8"/>
                <w:lang w:eastAsia="en-AU"/>
              </w:rPr>
              <w:t xml:space="preserve"> </w:t>
            </w:r>
            <w:r w:rsidRPr="000B6417">
              <w:rPr>
                <w:bCs/>
                <w:lang w:eastAsia="en-AU"/>
              </w:rPr>
              <w:t>Endpoint</w:t>
            </w:r>
          </w:p>
        </w:tc>
      </w:tr>
      <w:tr w:rsidR="00C8707C" w:rsidTr="002E5B56">
        <w:trPr>
          <w:trHeight w:val="20"/>
        </w:trPr>
        <w:tc>
          <w:tcPr>
            <w:cnfStyle w:val="001000000000" w:firstRow="0" w:lastRow="0" w:firstColumn="1" w:lastColumn="0" w:oddVBand="0" w:evenVBand="0" w:oddHBand="0" w:evenHBand="0" w:firstRowFirstColumn="0" w:firstRowLastColumn="0" w:lastRowFirstColumn="0" w:lastRowLastColumn="0"/>
            <w:tcW w:w="3739" w:type="dxa"/>
            <w:hideMark/>
          </w:tcPr>
          <w:p w:rsidR="00C8707C" w:rsidRPr="000B6417" w:rsidRDefault="00C8707C" w:rsidP="002E5B56">
            <w:pPr>
              <w:rPr>
                <w:lang w:eastAsia="en-AU"/>
              </w:rPr>
            </w:pPr>
            <w:r w:rsidRPr="000B6417">
              <w:rPr>
                <w:lang w:eastAsia="en-AU"/>
              </w:rPr>
              <w:t>RVR Responder</w:t>
            </w:r>
            <w:r w:rsidRPr="000B6417">
              <w:rPr>
                <w:spacing w:val="-9"/>
                <w:lang w:eastAsia="en-AU"/>
              </w:rPr>
              <w:t xml:space="preserve"> </w:t>
            </w:r>
            <w:r w:rsidRPr="000B6417">
              <w:rPr>
                <w:lang w:eastAsia="en-AU"/>
              </w:rPr>
              <w:t>(%)</w:t>
            </w:r>
          </w:p>
        </w:tc>
        <w:tc>
          <w:tcPr>
            <w:tcW w:w="28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17/1</w:t>
            </w:r>
            <w:r w:rsidRPr="000B6417">
              <w:rPr>
                <w:lang w:eastAsia="en-AU"/>
              </w:rPr>
              <w:t>8</w:t>
            </w:r>
            <w:r w:rsidRPr="000B6417">
              <w:rPr>
                <w:spacing w:val="-6"/>
                <w:lang w:eastAsia="en-AU"/>
              </w:rPr>
              <w:t xml:space="preserve"> </w:t>
            </w:r>
            <w:r w:rsidRPr="000B6417">
              <w:rPr>
                <w:spacing w:val="1"/>
                <w:lang w:eastAsia="en-AU"/>
              </w:rPr>
              <w:t>(94.4</w:t>
            </w:r>
            <w:r w:rsidRPr="000B6417">
              <w:rPr>
                <w:lang w:eastAsia="en-AU"/>
              </w:rPr>
              <w:t>)</w:t>
            </w:r>
          </w:p>
        </w:tc>
        <w:tc>
          <w:tcPr>
            <w:tcW w:w="2467"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1/</w:t>
            </w:r>
            <w:r w:rsidRPr="000B6417">
              <w:rPr>
                <w:lang w:eastAsia="en-AU"/>
              </w:rPr>
              <w:t>7</w:t>
            </w:r>
            <w:r w:rsidRPr="000B6417">
              <w:rPr>
                <w:spacing w:val="-1"/>
                <w:lang w:eastAsia="en-AU"/>
              </w:rPr>
              <w:t xml:space="preserve"> </w:t>
            </w:r>
            <w:r w:rsidRPr="000B6417">
              <w:rPr>
                <w:spacing w:val="1"/>
                <w:lang w:eastAsia="en-AU"/>
              </w:rPr>
              <w:t>(14.3)</w:t>
            </w:r>
          </w:p>
        </w:tc>
      </w:tr>
      <w:tr w:rsidR="00C8707C" w:rsidTr="002E5B56">
        <w:trPr>
          <w:trHeight w:val="20"/>
        </w:trPr>
        <w:tc>
          <w:tcPr>
            <w:cnfStyle w:val="001000000000" w:firstRow="0" w:lastRow="0" w:firstColumn="1" w:lastColumn="0" w:oddVBand="0" w:evenVBand="0" w:oddHBand="0" w:evenHBand="0" w:firstRowFirstColumn="0" w:firstRowLastColumn="0" w:lastRowFirstColumn="0" w:lastRowLastColumn="0"/>
            <w:tcW w:w="3739" w:type="dxa"/>
            <w:hideMark/>
          </w:tcPr>
          <w:p w:rsidR="00C8707C" w:rsidRPr="000B6417" w:rsidRDefault="00C8707C" w:rsidP="002E5B56">
            <w:pPr>
              <w:rPr>
                <w:lang w:eastAsia="en-AU"/>
              </w:rPr>
            </w:pPr>
            <w:r w:rsidRPr="000B6417">
              <w:rPr>
                <w:lang w:eastAsia="en-AU"/>
              </w:rPr>
              <w:t>80%</w:t>
            </w:r>
            <w:r w:rsidRPr="000B6417">
              <w:rPr>
                <w:spacing w:val="-3"/>
                <w:lang w:eastAsia="en-AU"/>
              </w:rPr>
              <w:t xml:space="preserve"> </w:t>
            </w:r>
            <w:r w:rsidRPr="000B6417">
              <w:rPr>
                <w:lang w:eastAsia="en-AU"/>
              </w:rPr>
              <w:t>CI</w:t>
            </w:r>
          </w:p>
        </w:tc>
        <w:tc>
          <w:tcPr>
            <w:tcW w:w="28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(87.5</w:t>
            </w:r>
            <w:r w:rsidRPr="000B6417">
              <w:rPr>
                <w:lang w:eastAsia="en-AU"/>
              </w:rPr>
              <w:t>,</w:t>
            </w:r>
            <w:r w:rsidRPr="000B6417">
              <w:rPr>
                <w:spacing w:val="-4"/>
                <w:lang w:eastAsia="en-AU"/>
              </w:rPr>
              <w:t xml:space="preserve"> </w:t>
            </w:r>
            <w:r w:rsidRPr="000B6417">
              <w:rPr>
                <w:spacing w:val="1"/>
                <w:lang w:eastAsia="en-AU"/>
              </w:rPr>
              <w:t>100.0</w:t>
            </w:r>
            <w:r w:rsidRPr="000B6417">
              <w:rPr>
                <w:lang w:eastAsia="en-AU"/>
              </w:rPr>
              <w:t>)</w:t>
            </w:r>
          </w:p>
        </w:tc>
        <w:tc>
          <w:tcPr>
            <w:tcW w:w="2467"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lang w:eastAsia="en-AU"/>
              </w:rPr>
              <w:t>(0.0,</w:t>
            </w:r>
            <w:r w:rsidRPr="000B6417">
              <w:rPr>
                <w:spacing w:val="-3"/>
                <w:lang w:eastAsia="en-AU"/>
              </w:rPr>
              <w:t xml:space="preserve"> </w:t>
            </w:r>
            <w:r w:rsidRPr="000B6417">
              <w:rPr>
                <w:lang w:eastAsia="en-AU"/>
              </w:rPr>
              <w:t>31.2)</w:t>
            </w:r>
          </w:p>
        </w:tc>
      </w:tr>
      <w:tr w:rsidR="00C8707C" w:rsidTr="002E5B56">
        <w:trPr>
          <w:trHeight w:val="20"/>
        </w:trPr>
        <w:tc>
          <w:tcPr>
            <w:cnfStyle w:val="001000000000" w:firstRow="0" w:lastRow="0" w:firstColumn="1" w:lastColumn="0" w:oddVBand="0" w:evenVBand="0" w:oddHBand="0" w:evenHBand="0" w:firstRowFirstColumn="0" w:firstRowLastColumn="0" w:lastRowFirstColumn="0" w:lastRowLastColumn="0"/>
            <w:tcW w:w="3739" w:type="dxa"/>
            <w:hideMark/>
          </w:tcPr>
          <w:p w:rsidR="00C8707C" w:rsidRPr="000B6417" w:rsidRDefault="00C8707C" w:rsidP="002E5B56">
            <w:pPr>
              <w:rPr>
                <w:lang w:eastAsia="en-AU"/>
              </w:rPr>
            </w:pPr>
            <w:proofErr w:type="spellStart"/>
            <w:proofErr w:type="gramStart"/>
            <w:r w:rsidRPr="000B6417">
              <w:rPr>
                <w:lang w:eastAsia="en-AU"/>
              </w:rPr>
              <w:t>cEVR</w:t>
            </w:r>
            <w:proofErr w:type="spellEnd"/>
            <w:proofErr w:type="gramEnd"/>
            <w:r w:rsidRPr="000B6417">
              <w:rPr>
                <w:lang w:eastAsia="en-AU"/>
              </w:rPr>
              <w:t xml:space="preserve"> Responder</w:t>
            </w:r>
            <w:r w:rsidRPr="000B6417">
              <w:rPr>
                <w:spacing w:val="-9"/>
                <w:lang w:eastAsia="en-AU"/>
              </w:rPr>
              <w:t xml:space="preserve"> </w:t>
            </w:r>
            <w:r w:rsidRPr="000B6417">
              <w:rPr>
                <w:lang w:eastAsia="en-AU"/>
              </w:rPr>
              <w:t>(%)</w:t>
            </w:r>
          </w:p>
        </w:tc>
        <w:tc>
          <w:tcPr>
            <w:tcW w:w="28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17/1</w:t>
            </w:r>
            <w:r w:rsidRPr="000B6417">
              <w:rPr>
                <w:lang w:eastAsia="en-AU"/>
              </w:rPr>
              <w:t>8</w:t>
            </w:r>
            <w:r w:rsidRPr="000B6417">
              <w:rPr>
                <w:spacing w:val="-6"/>
                <w:lang w:eastAsia="en-AU"/>
              </w:rPr>
              <w:t xml:space="preserve"> </w:t>
            </w:r>
            <w:r w:rsidRPr="000B6417">
              <w:rPr>
                <w:spacing w:val="1"/>
                <w:lang w:eastAsia="en-AU"/>
              </w:rPr>
              <w:t>(94.4</w:t>
            </w:r>
            <w:r w:rsidRPr="000B6417">
              <w:rPr>
                <w:lang w:eastAsia="en-AU"/>
              </w:rPr>
              <w:t>)</w:t>
            </w:r>
          </w:p>
        </w:tc>
        <w:tc>
          <w:tcPr>
            <w:tcW w:w="2467"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1/</w:t>
            </w:r>
            <w:r w:rsidRPr="000B6417">
              <w:rPr>
                <w:lang w:eastAsia="en-AU"/>
              </w:rPr>
              <w:t>7</w:t>
            </w:r>
            <w:r w:rsidRPr="000B6417">
              <w:rPr>
                <w:spacing w:val="-1"/>
                <w:lang w:eastAsia="en-AU"/>
              </w:rPr>
              <w:t xml:space="preserve"> </w:t>
            </w:r>
            <w:r w:rsidRPr="000B6417">
              <w:rPr>
                <w:spacing w:val="1"/>
                <w:lang w:eastAsia="en-AU"/>
              </w:rPr>
              <w:t>(14.3)</w:t>
            </w:r>
          </w:p>
        </w:tc>
      </w:tr>
      <w:tr w:rsidR="00C8707C" w:rsidTr="002E5B56">
        <w:trPr>
          <w:trHeight w:val="20"/>
        </w:trPr>
        <w:tc>
          <w:tcPr>
            <w:cnfStyle w:val="001000000000" w:firstRow="0" w:lastRow="0" w:firstColumn="1" w:lastColumn="0" w:oddVBand="0" w:evenVBand="0" w:oddHBand="0" w:evenHBand="0" w:firstRowFirstColumn="0" w:firstRowLastColumn="0" w:lastRowFirstColumn="0" w:lastRowLastColumn="0"/>
            <w:tcW w:w="3739" w:type="dxa"/>
            <w:hideMark/>
          </w:tcPr>
          <w:p w:rsidR="00C8707C" w:rsidRPr="000B6417" w:rsidRDefault="00C8707C" w:rsidP="002E5B56">
            <w:pPr>
              <w:rPr>
                <w:lang w:eastAsia="en-AU"/>
              </w:rPr>
            </w:pPr>
            <w:r w:rsidRPr="000B6417">
              <w:rPr>
                <w:lang w:eastAsia="en-AU"/>
              </w:rPr>
              <w:t>80%</w:t>
            </w:r>
            <w:r w:rsidRPr="000B6417">
              <w:rPr>
                <w:spacing w:val="-3"/>
                <w:lang w:eastAsia="en-AU"/>
              </w:rPr>
              <w:t xml:space="preserve"> </w:t>
            </w:r>
            <w:r w:rsidRPr="000B6417">
              <w:rPr>
                <w:lang w:eastAsia="en-AU"/>
              </w:rPr>
              <w:t>CI</w:t>
            </w:r>
          </w:p>
        </w:tc>
        <w:tc>
          <w:tcPr>
            <w:tcW w:w="28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(87.5</w:t>
            </w:r>
            <w:r w:rsidRPr="000B6417">
              <w:rPr>
                <w:lang w:eastAsia="en-AU"/>
              </w:rPr>
              <w:t>,</w:t>
            </w:r>
            <w:r w:rsidRPr="000B6417">
              <w:rPr>
                <w:spacing w:val="-4"/>
                <w:lang w:eastAsia="en-AU"/>
              </w:rPr>
              <w:t xml:space="preserve"> </w:t>
            </w:r>
            <w:r w:rsidRPr="000B6417">
              <w:rPr>
                <w:spacing w:val="1"/>
                <w:lang w:eastAsia="en-AU"/>
              </w:rPr>
              <w:t>100.0</w:t>
            </w:r>
            <w:r w:rsidRPr="000B6417">
              <w:rPr>
                <w:lang w:eastAsia="en-AU"/>
              </w:rPr>
              <w:t>)</w:t>
            </w:r>
          </w:p>
        </w:tc>
        <w:tc>
          <w:tcPr>
            <w:tcW w:w="2467"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(0.0,</w:t>
            </w:r>
            <w:r w:rsidRPr="000B6417">
              <w:rPr>
                <w:spacing w:val="-3"/>
                <w:lang w:eastAsia="en-AU"/>
              </w:rPr>
              <w:t xml:space="preserve"> </w:t>
            </w:r>
            <w:r w:rsidRPr="000B6417">
              <w:rPr>
                <w:lang w:eastAsia="en-AU"/>
              </w:rPr>
              <w:t>31.</w:t>
            </w:r>
            <w:r w:rsidRPr="000B6417">
              <w:rPr>
                <w:spacing w:val="1"/>
                <w:lang w:eastAsia="en-AU"/>
              </w:rPr>
              <w:t>2</w:t>
            </w:r>
            <w:r w:rsidRPr="000B6417">
              <w:rPr>
                <w:lang w:eastAsia="en-AU"/>
              </w:rPr>
              <w:t>)</w:t>
            </w:r>
          </w:p>
        </w:tc>
      </w:tr>
      <w:tr w:rsidR="00C8707C" w:rsidTr="002E5B56">
        <w:trPr>
          <w:trHeight w:val="20"/>
        </w:trPr>
        <w:tc>
          <w:tcPr>
            <w:cnfStyle w:val="001000000000" w:firstRow="0" w:lastRow="0" w:firstColumn="1" w:lastColumn="0" w:oddVBand="0" w:evenVBand="0" w:oddHBand="0" w:evenHBand="0" w:firstRowFirstColumn="0" w:firstRowLastColumn="0" w:lastRowFirstColumn="0" w:lastRowLastColumn="0"/>
            <w:tcW w:w="3739" w:type="dxa"/>
            <w:hideMark/>
          </w:tcPr>
          <w:p w:rsidR="00C8707C" w:rsidRPr="000B6417" w:rsidRDefault="00C8707C" w:rsidP="002E5B56">
            <w:pPr>
              <w:rPr>
                <w:lang w:eastAsia="en-AU"/>
              </w:rPr>
            </w:pPr>
            <w:r w:rsidRPr="000B6417">
              <w:rPr>
                <w:spacing w:val="1"/>
                <w:lang w:eastAsia="en-AU"/>
              </w:rPr>
              <w:t>PDR</w:t>
            </w:r>
            <w:r w:rsidRPr="000B6417">
              <w:rPr>
                <w:lang w:eastAsia="en-AU"/>
              </w:rPr>
              <w:t xml:space="preserve"> Responder</w:t>
            </w:r>
            <w:r w:rsidRPr="000B6417">
              <w:rPr>
                <w:spacing w:val="-9"/>
                <w:lang w:eastAsia="en-AU"/>
              </w:rPr>
              <w:t xml:space="preserve"> </w:t>
            </w:r>
            <w:r w:rsidRPr="000B6417">
              <w:rPr>
                <w:lang w:eastAsia="en-AU"/>
              </w:rPr>
              <w:t>(%)</w:t>
            </w:r>
          </w:p>
        </w:tc>
        <w:tc>
          <w:tcPr>
            <w:tcW w:w="28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15/18 (83.3)</w:t>
            </w:r>
          </w:p>
        </w:tc>
        <w:tc>
          <w:tcPr>
            <w:tcW w:w="2467"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1/7 (14.3)</w:t>
            </w:r>
          </w:p>
        </w:tc>
      </w:tr>
      <w:tr w:rsidR="00C8707C" w:rsidTr="002E5B56">
        <w:trPr>
          <w:trHeight w:val="20"/>
        </w:trPr>
        <w:tc>
          <w:tcPr>
            <w:cnfStyle w:val="001000000000" w:firstRow="0" w:lastRow="0" w:firstColumn="1" w:lastColumn="0" w:oddVBand="0" w:evenVBand="0" w:oddHBand="0" w:evenHBand="0" w:firstRowFirstColumn="0" w:firstRowLastColumn="0" w:lastRowFirstColumn="0" w:lastRowLastColumn="0"/>
            <w:tcW w:w="3739" w:type="dxa"/>
            <w:hideMark/>
          </w:tcPr>
          <w:p w:rsidR="00C8707C" w:rsidRPr="000B6417" w:rsidRDefault="00C8707C" w:rsidP="002E5B56">
            <w:pPr>
              <w:rPr>
                <w:lang w:eastAsia="en-AU"/>
              </w:rPr>
            </w:pPr>
            <w:r w:rsidRPr="000B6417">
              <w:rPr>
                <w:position w:val="-1"/>
                <w:lang w:eastAsia="en-AU"/>
              </w:rPr>
              <w:t>80%</w:t>
            </w:r>
            <w:r w:rsidRPr="000B6417">
              <w:rPr>
                <w:spacing w:val="-3"/>
                <w:position w:val="-1"/>
                <w:lang w:eastAsia="en-AU"/>
              </w:rPr>
              <w:t xml:space="preserve"> </w:t>
            </w:r>
            <w:r w:rsidRPr="000B6417">
              <w:rPr>
                <w:position w:val="-1"/>
                <w:lang w:eastAsia="en-AU"/>
              </w:rPr>
              <w:t>CI</w:t>
            </w:r>
          </w:p>
        </w:tc>
        <w:tc>
          <w:tcPr>
            <w:tcW w:w="28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(72.1, 94.6)</w:t>
            </w:r>
          </w:p>
        </w:tc>
        <w:tc>
          <w:tcPr>
            <w:tcW w:w="2467"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(0.0, 31.2)</w:t>
            </w:r>
          </w:p>
        </w:tc>
      </w:tr>
      <w:tr w:rsidR="00C8707C" w:rsidTr="002E5B56">
        <w:trPr>
          <w:trHeight w:val="20"/>
        </w:trPr>
        <w:tc>
          <w:tcPr>
            <w:cnfStyle w:val="001000000000" w:firstRow="0" w:lastRow="0" w:firstColumn="1" w:lastColumn="0" w:oddVBand="0" w:evenVBand="0" w:oddHBand="0" w:evenHBand="0" w:firstRowFirstColumn="0" w:firstRowLastColumn="0" w:lastRowFirstColumn="0" w:lastRowLastColumn="0"/>
            <w:tcW w:w="3739" w:type="dxa"/>
            <w:hideMark/>
          </w:tcPr>
          <w:p w:rsidR="00C8707C" w:rsidRPr="000B6417" w:rsidRDefault="00C8707C" w:rsidP="002E5B56">
            <w:pPr>
              <w:rPr>
                <w:lang w:eastAsia="en-AU"/>
              </w:rPr>
            </w:pPr>
            <w:r w:rsidRPr="000B6417">
              <w:rPr>
                <w:spacing w:val="1"/>
                <w:lang w:eastAsia="en-AU"/>
              </w:rPr>
              <w:t>EOTR</w:t>
            </w:r>
            <w:r w:rsidRPr="000B6417">
              <w:rPr>
                <w:lang w:eastAsia="en-AU"/>
              </w:rPr>
              <w:t xml:space="preserve"> Responder</w:t>
            </w:r>
            <w:r w:rsidRPr="000B6417">
              <w:rPr>
                <w:spacing w:val="-9"/>
                <w:lang w:eastAsia="en-AU"/>
              </w:rPr>
              <w:t xml:space="preserve"> </w:t>
            </w:r>
            <w:r w:rsidRPr="000B6417">
              <w:rPr>
                <w:lang w:eastAsia="en-AU"/>
              </w:rPr>
              <w:t>(%)</w:t>
            </w:r>
          </w:p>
        </w:tc>
        <w:tc>
          <w:tcPr>
            <w:tcW w:w="28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16/18 (88.9)</w:t>
            </w:r>
          </w:p>
        </w:tc>
        <w:tc>
          <w:tcPr>
            <w:tcW w:w="2467"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4/7 (57.1)</w:t>
            </w:r>
          </w:p>
        </w:tc>
      </w:tr>
      <w:tr w:rsidR="00C8707C" w:rsidTr="002E5B56">
        <w:trPr>
          <w:trHeight w:val="20"/>
        </w:trPr>
        <w:tc>
          <w:tcPr>
            <w:cnfStyle w:val="001000000000" w:firstRow="0" w:lastRow="0" w:firstColumn="1" w:lastColumn="0" w:oddVBand="0" w:evenVBand="0" w:oddHBand="0" w:evenHBand="0" w:firstRowFirstColumn="0" w:firstRowLastColumn="0" w:lastRowFirstColumn="0" w:lastRowLastColumn="0"/>
            <w:tcW w:w="3739" w:type="dxa"/>
            <w:hideMark/>
          </w:tcPr>
          <w:p w:rsidR="00C8707C" w:rsidRPr="000B6417" w:rsidRDefault="00C8707C" w:rsidP="002E5B56">
            <w:pPr>
              <w:rPr>
                <w:lang w:eastAsia="en-AU"/>
              </w:rPr>
            </w:pPr>
            <w:r w:rsidRPr="000B6417">
              <w:rPr>
                <w:lang w:eastAsia="en-AU"/>
              </w:rPr>
              <w:t>80%</w:t>
            </w:r>
            <w:r w:rsidRPr="000B6417">
              <w:rPr>
                <w:spacing w:val="-3"/>
                <w:lang w:eastAsia="en-AU"/>
              </w:rPr>
              <w:t xml:space="preserve"> </w:t>
            </w:r>
            <w:r w:rsidRPr="000B6417">
              <w:rPr>
                <w:lang w:eastAsia="en-AU"/>
              </w:rPr>
              <w:t>CI</w:t>
            </w:r>
          </w:p>
        </w:tc>
        <w:tc>
          <w:tcPr>
            <w:tcW w:w="28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(79.4, 98.4)</w:t>
            </w:r>
          </w:p>
        </w:tc>
        <w:tc>
          <w:tcPr>
            <w:tcW w:w="2467"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(33.2, 81.1)</w:t>
            </w:r>
          </w:p>
        </w:tc>
      </w:tr>
      <w:tr w:rsidR="00C8707C" w:rsidTr="002E5B56">
        <w:trPr>
          <w:trHeight w:val="20"/>
        </w:trPr>
        <w:tc>
          <w:tcPr>
            <w:cnfStyle w:val="001000000000" w:firstRow="0" w:lastRow="0" w:firstColumn="1" w:lastColumn="0" w:oddVBand="0" w:evenVBand="0" w:oddHBand="0" w:evenHBand="0" w:firstRowFirstColumn="0" w:firstRowLastColumn="0" w:lastRowFirstColumn="0" w:lastRowLastColumn="0"/>
            <w:tcW w:w="3739" w:type="dxa"/>
            <w:hideMark/>
          </w:tcPr>
          <w:p w:rsidR="00C8707C" w:rsidRPr="000B6417" w:rsidRDefault="00C8707C" w:rsidP="002E5B56">
            <w:pPr>
              <w:rPr>
                <w:lang w:eastAsia="en-AU"/>
              </w:rPr>
            </w:pPr>
            <w:r w:rsidRPr="000B6417">
              <w:rPr>
                <w:lang w:eastAsia="en-AU"/>
              </w:rPr>
              <w:t>SVR4Responder</w:t>
            </w:r>
            <w:r w:rsidRPr="000B6417">
              <w:rPr>
                <w:spacing w:val="-9"/>
                <w:lang w:eastAsia="en-AU"/>
              </w:rPr>
              <w:t xml:space="preserve"> </w:t>
            </w:r>
            <w:r w:rsidRPr="000B6417">
              <w:rPr>
                <w:lang w:eastAsia="en-AU"/>
              </w:rPr>
              <w:t>(%)</w:t>
            </w:r>
          </w:p>
        </w:tc>
        <w:tc>
          <w:tcPr>
            <w:tcW w:w="28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15/18 (83.3)</w:t>
            </w:r>
          </w:p>
        </w:tc>
        <w:tc>
          <w:tcPr>
            <w:tcW w:w="2467"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3/7 (42.9)</w:t>
            </w:r>
          </w:p>
        </w:tc>
      </w:tr>
      <w:tr w:rsidR="00C8707C" w:rsidTr="002E5B56">
        <w:trPr>
          <w:trHeight w:val="20"/>
        </w:trPr>
        <w:tc>
          <w:tcPr>
            <w:cnfStyle w:val="001000000000" w:firstRow="0" w:lastRow="0" w:firstColumn="1" w:lastColumn="0" w:oddVBand="0" w:evenVBand="0" w:oddHBand="0" w:evenHBand="0" w:firstRowFirstColumn="0" w:firstRowLastColumn="0" w:lastRowFirstColumn="0" w:lastRowLastColumn="0"/>
            <w:tcW w:w="3739" w:type="dxa"/>
            <w:hideMark/>
          </w:tcPr>
          <w:p w:rsidR="00C8707C" w:rsidRPr="000B6417" w:rsidRDefault="00C8707C" w:rsidP="002E5B56">
            <w:pPr>
              <w:rPr>
                <w:lang w:eastAsia="en-AU"/>
              </w:rPr>
            </w:pPr>
            <w:r w:rsidRPr="000B6417">
              <w:rPr>
                <w:position w:val="-1"/>
                <w:lang w:eastAsia="en-AU"/>
              </w:rPr>
              <w:lastRenderedPageBreak/>
              <w:t>80%</w:t>
            </w:r>
            <w:r w:rsidRPr="000B6417">
              <w:rPr>
                <w:spacing w:val="-3"/>
                <w:position w:val="-1"/>
                <w:lang w:eastAsia="en-AU"/>
              </w:rPr>
              <w:t xml:space="preserve"> </w:t>
            </w:r>
            <w:r w:rsidRPr="000B6417">
              <w:rPr>
                <w:position w:val="-1"/>
                <w:lang w:eastAsia="en-AU"/>
              </w:rPr>
              <w:t>CI</w:t>
            </w:r>
          </w:p>
        </w:tc>
        <w:tc>
          <w:tcPr>
            <w:tcW w:w="28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(72.1, 94.6)</w:t>
            </w:r>
          </w:p>
        </w:tc>
        <w:tc>
          <w:tcPr>
            <w:tcW w:w="2467"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(18.9, 66.8)</w:t>
            </w:r>
          </w:p>
        </w:tc>
      </w:tr>
      <w:tr w:rsidR="00C8707C" w:rsidTr="002E5B56">
        <w:trPr>
          <w:trHeight w:val="20"/>
        </w:trPr>
        <w:tc>
          <w:tcPr>
            <w:cnfStyle w:val="001000000000" w:firstRow="0" w:lastRow="0" w:firstColumn="1" w:lastColumn="0" w:oddVBand="0" w:evenVBand="0" w:oddHBand="0" w:evenHBand="0" w:firstRowFirstColumn="0" w:firstRowLastColumn="0" w:lastRowFirstColumn="0" w:lastRowLastColumn="0"/>
            <w:tcW w:w="3739" w:type="dxa"/>
            <w:hideMark/>
          </w:tcPr>
          <w:p w:rsidR="00C8707C" w:rsidRPr="000B6417" w:rsidRDefault="00C8707C" w:rsidP="002E5B56">
            <w:pPr>
              <w:rPr>
                <w:lang w:eastAsia="en-AU"/>
              </w:rPr>
            </w:pPr>
            <w:r w:rsidRPr="000B6417">
              <w:rPr>
                <w:position w:val="1"/>
                <w:lang w:eastAsia="en-AU"/>
              </w:rPr>
              <w:t xml:space="preserve">SVR12 </w:t>
            </w:r>
            <w:r w:rsidRPr="000B6417">
              <w:rPr>
                <w:position w:val="1"/>
                <w:vertAlign w:val="superscript"/>
                <w:lang w:eastAsia="en-AU"/>
              </w:rPr>
              <w:t>a</w:t>
            </w:r>
            <w:r w:rsidRPr="000B6417">
              <w:rPr>
                <w:lang w:eastAsia="en-AU"/>
              </w:rPr>
              <w:t xml:space="preserve"> Responder</w:t>
            </w:r>
            <w:r w:rsidRPr="000B6417">
              <w:rPr>
                <w:spacing w:val="-9"/>
                <w:lang w:eastAsia="en-AU"/>
              </w:rPr>
              <w:t xml:space="preserve"> </w:t>
            </w:r>
            <w:r w:rsidRPr="000B6417">
              <w:rPr>
                <w:lang w:eastAsia="en-AU"/>
              </w:rPr>
              <w:t>(%)</w:t>
            </w:r>
          </w:p>
        </w:tc>
        <w:tc>
          <w:tcPr>
            <w:tcW w:w="28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14/18 (77.8)</w:t>
            </w:r>
          </w:p>
        </w:tc>
        <w:tc>
          <w:tcPr>
            <w:tcW w:w="2467"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2/7 (28.6)</w:t>
            </w:r>
          </w:p>
        </w:tc>
      </w:tr>
      <w:tr w:rsidR="00C8707C" w:rsidTr="002E5B56">
        <w:trPr>
          <w:trHeight w:val="20"/>
        </w:trPr>
        <w:tc>
          <w:tcPr>
            <w:cnfStyle w:val="001000000000" w:firstRow="0" w:lastRow="0" w:firstColumn="1" w:lastColumn="0" w:oddVBand="0" w:evenVBand="0" w:oddHBand="0" w:evenHBand="0" w:firstRowFirstColumn="0" w:firstRowLastColumn="0" w:lastRowFirstColumn="0" w:lastRowLastColumn="0"/>
            <w:tcW w:w="3739" w:type="dxa"/>
            <w:hideMark/>
          </w:tcPr>
          <w:p w:rsidR="00C8707C" w:rsidRPr="000B6417" w:rsidRDefault="00C8707C" w:rsidP="002E5B56">
            <w:pPr>
              <w:rPr>
                <w:lang w:eastAsia="en-AU"/>
              </w:rPr>
            </w:pPr>
            <w:r w:rsidRPr="000B6417">
              <w:rPr>
                <w:lang w:eastAsia="en-AU"/>
              </w:rPr>
              <w:t>80%</w:t>
            </w:r>
            <w:r w:rsidRPr="000B6417">
              <w:rPr>
                <w:spacing w:val="-3"/>
                <w:lang w:eastAsia="en-AU"/>
              </w:rPr>
              <w:t xml:space="preserve"> </w:t>
            </w:r>
            <w:r w:rsidRPr="000B6417">
              <w:rPr>
                <w:lang w:eastAsia="en-AU"/>
              </w:rPr>
              <w:t>CI</w:t>
            </w:r>
          </w:p>
        </w:tc>
        <w:tc>
          <w:tcPr>
            <w:tcW w:w="28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(65.2, 90.3)</w:t>
            </w:r>
          </w:p>
        </w:tc>
        <w:tc>
          <w:tcPr>
            <w:tcW w:w="2467"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(6.7, 50.5)</w:t>
            </w:r>
          </w:p>
        </w:tc>
      </w:tr>
      <w:tr w:rsidR="00C8707C" w:rsidTr="002E5B56">
        <w:trPr>
          <w:trHeight w:val="20"/>
        </w:trPr>
        <w:tc>
          <w:tcPr>
            <w:cnfStyle w:val="001000000000" w:firstRow="0" w:lastRow="0" w:firstColumn="1" w:lastColumn="0" w:oddVBand="0" w:evenVBand="0" w:oddHBand="0" w:evenHBand="0" w:firstRowFirstColumn="0" w:firstRowLastColumn="0" w:lastRowFirstColumn="0" w:lastRowLastColumn="0"/>
            <w:tcW w:w="3739" w:type="dxa"/>
            <w:hideMark/>
          </w:tcPr>
          <w:p w:rsidR="00C8707C" w:rsidRPr="000B6417" w:rsidRDefault="00C8707C" w:rsidP="002E5B56">
            <w:pPr>
              <w:rPr>
                <w:lang w:eastAsia="en-AU"/>
              </w:rPr>
            </w:pPr>
            <w:r w:rsidRPr="000B6417">
              <w:rPr>
                <w:lang w:eastAsia="en-AU"/>
              </w:rPr>
              <w:t xml:space="preserve">SVR24 </w:t>
            </w:r>
            <w:r w:rsidRPr="000B6417">
              <w:rPr>
                <w:vertAlign w:val="superscript"/>
                <w:lang w:eastAsia="en-AU"/>
              </w:rPr>
              <w:t>b</w:t>
            </w:r>
            <w:r w:rsidRPr="000B6417">
              <w:rPr>
                <w:lang w:eastAsia="en-AU"/>
              </w:rPr>
              <w:t xml:space="preserve"> Responder</w:t>
            </w:r>
            <w:r w:rsidRPr="000B6417">
              <w:rPr>
                <w:spacing w:val="-9"/>
                <w:lang w:eastAsia="en-AU"/>
              </w:rPr>
              <w:t xml:space="preserve"> </w:t>
            </w:r>
            <w:r w:rsidRPr="000B6417">
              <w:rPr>
                <w:lang w:eastAsia="en-AU"/>
              </w:rPr>
              <w:t>(%)</w:t>
            </w:r>
          </w:p>
        </w:tc>
        <w:tc>
          <w:tcPr>
            <w:tcW w:w="28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16/18 (88.9)</w:t>
            </w:r>
          </w:p>
        </w:tc>
        <w:tc>
          <w:tcPr>
            <w:tcW w:w="2467"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3/7 (42.9)</w:t>
            </w:r>
          </w:p>
        </w:tc>
      </w:tr>
      <w:tr w:rsidR="00C8707C" w:rsidTr="002E5B56">
        <w:trPr>
          <w:trHeight w:val="20"/>
        </w:trPr>
        <w:tc>
          <w:tcPr>
            <w:cnfStyle w:val="001000000000" w:firstRow="0" w:lastRow="0" w:firstColumn="1" w:lastColumn="0" w:oddVBand="0" w:evenVBand="0" w:oddHBand="0" w:evenHBand="0" w:firstRowFirstColumn="0" w:firstRowLastColumn="0" w:lastRowFirstColumn="0" w:lastRowLastColumn="0"/>
            <w:tcW w:w="3739" w:type="dxa"/>
            <w:hideMark/>
          </w:tcPr>
          <w:p w:rsidR="00C8707C" w:rsidRPr="000B6417" w:rsidRDefault="00C8707C" w:rsidP="002E5B56">
            <w:pPr>
              <w:rPr>
                <w:lang w:eastAsia="en-AU"/>
              </w:rPr>
            </w:pPr>
            <w:r w:rsidRPr="000B6417">
              <w:rPr>
                <w:lang w:eastAsia="en-AU"/>
              </w:rPr>
              <w:t>80%</w:t>
            </w:r>
            <w:r w:rsidRPr="000B6417">
              <w:rPr>
                <w:spacing w:val="-3"/>
                <w:lang w:eastAsia="en-AU"/>
              </w:rPr>
              <w:t xml:space="preserve"> </w:t>
            </w:r>
            <w:r w:rsidRPr="000B6417">
              <w:rPr>
                <w:lang w:eastAsia="en-AU"/>
              </w:rPr>
              <w:t>CI</w:t>
            </w:r>
          </w:p>
        </w:tc>
        <w:tc>
          <w:tcPr>
            <w:tcW w:w="28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(79.4, 98.4)</w:t>
            </w:r>
          </w:p>
        </w:tc>
        <w:tc>
          <w:tcPr>
            <w:tcW w:w="2467"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(18.9, 66.8)</w:t>
            </w:r>
          </w:p>
        </w:tc>
      </w:tr>
      <w:tr w:rsidR="00C8707C" w:rsidTr="002E5B56">
        <w:trPr>
          <w:trHeight w:val="20"/>
        </w:trPr>
        <w:tc>
          <w:tcPr>
            <w:cnfStyle w:val="001000000000" w:firstRow="0" w:lastRow="0" w:firstColumn="1" w:lastColumn="0" w:oddVBand="0" w:evenVBand="0" w:oddHBand="0" w:evenHBand="0" w:firstRowFirstColumn="0" w:firstRowLastColumn="0" w:lastRowFirstColumn="0" w:lastRowLastColumn="0"/>
            <w:tcW w:w="3739" w:type="dxa"/>
            <w:hideMark/>
          </w:tcPr>
          <w:p w:rsidR="00C8707C" w:rsidRPr="000B6417" w:rsidRDefault="00C8707C" w:rsidP="002E5B56">
            <w:pPr>
              <w:rPr>
                <w:lang w:eastAsia="en-AU"/>
              </w:rPr>
            </w:pPr>
            <w:proofErr w:type="spellStart"/>
            <w:r w:rsidRPr="000B6417">
              <w:rPr>
                <w:bCs/>
                <w:position w:val="1"/>
                <w:lang w:eastAsia="en-AU"/>
              </w:rPr>
              <w:t>Virologic</w:t>
            </w:r>
            <w:proofErr w:type="spellEnd"/>
            <w:r w:rsidRPr="000B6417">
              <w:rPr>
                <w:bCs/>
                <w:spacing w:val="-7"/>
                <w:position w:val="1"/>
                <w:lang w:eastAsia="en-AU"/>
              </w:rPr>
              <w:t xml:space="preserve"> </w:t>
            </w:r>
            <w:r w:rsidRPr="000B6417">
              <w:rPr>
                <w:bCs/>
                <w:position w:val="1"/>
                <w:lang w:eastAsia="en-AU"/>
              </w:rPr>
              <w:t xml:space="preserve">Failure </w:t>
            </w:r>
            <w:r w:rsidRPr="000B6417">
              <w:rPr>
                <w:bCs/>
                <w:position w:val="1"/>
                <w:vertAlign w:val="superscript"/>
                <w:lang w:eastAsia="en-AU"/>
              </w:rPr>
              <w:t>c</w:t>
            </w:r>
            <w:r w:rsidRPr="000B6417">
              <w:rPr>
                <w:bCs/>
                <w:spacing w:val="24"/>
                <w:position w:val="1"/>
                <w:lang w:eastAsia="en-AU"/>
              </w:rPr>
              <w:t xml:space="preserve"> </w:t>
            </w:r>
            <w:r w:rsidRPr="000B6417">
              <w:rPr>
                <w:bCs/>
                <w:position w:val="1"/>
                <w:lang w:eastAsia="en-AU"/>
              </w:rPr>
              <w:t>(Treated</w:t>
            </w:r>
            <w:r w:rsidRPr="000B6417">
              <w:rPr>
                <w:bCs/>
                <w:spacing w:val="-7"/>
                <w:position w:val="1"/>
                <w:lang w:eastAsia="en-AU"/>
              </w:rPr>
              <w:t xml:space="preserve"> </w:t>
            </w:r>
            <w:r w:rsidRPr="000B6417">
              <w:rPr>
                <w:bCs/>
                <w:position w:val="1"/>
                <w:lang w:eastAsia="en-AU"/>
              </w:rPr>
              <w:t>Subjects)</w:t>
            </w:r>
          </w:p>
        </w:tc>
        <w:tc>
          <w:tcPr>
            <w:tcW w:w="28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3 (16.7)</w:t>
            </w:r>
          </w:p>
        </w:tc>
        <w:tc>
          <w:tcPr>
            <w:tcW w:w="2467"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5 (71.4)</w:t>
            </w:r>
          </w:p>
        </w:tc>
      </w:tr>
      <w:tr w:rsidR="00C8707C" w:rsidTr="002E5B56">
        <w:trPr>
          <w:trHeight w:val="20"/>
        </w:trPr>
        <w:tc>
          <w:tcPr>
            <w:cnfStyle w:val="001000000000" w:firstRow="0" w:lastRow="0" w:firstColumn="1" w:lastColumn="0" w:oddVBand="0" w:evenVBand="0" w:oddHBand="0" w:evenHBand="0" w:firstRowFirstColumn="0" w:firstRowLastColumn="0" w:lastRowFirstColumn="0" w:lastRowLastColumn="0"/>
            <w:tcW w:w="3739" w:type="dxa"/>
            <w:hideMark/>
          </w:tcPr>
          <w:p w:rsidR="00C8707C" w:rsidRPr="000B6417" w:rsidRDefault="00C8707C" w:rsidP="002E5B56">
            <w:pPr>
              <w:rPr>
                <w:lang w:eastAsia="en-AU"/>
              </w:rPr>
            </w:pPr>
            <w:proofErr w:type="spellStart"/>
            <w:r w:rsidRPr="000B6417">
              <w:rPr>
                <w:lang w:eastAsia="en-AU"/>
              </w:rPr>
              <w:t>Virologic</w:t>
            </w:r>
            <w:proofErr w:type="spellEnd"/>
            <w:r w:rsidRPr="000B6417">
              <w:rPr>
                <w:spacing w:val="-8"/>
                <w:lang w:eastAsia="en-AU"/>
              </w:rPr>
              <w:t xml:space="preserve"> </w:t>
            </w:r>
            <w:r w:rsidRPr="000B6417">
              <w:rPr>
                <w:lang w:eastAsia="en-AU"/>
              </w:rPr>
              <w:t>failure,</w:t>
            </w:r>
            <w:r w:rsidRPr="000B6417">
              <w:rPr>
                <w:spacing w:val="-5"/>
                <w:lang w:eastAsia="en-AU"/>
              </w:rPr>
              <w:t xml:space="preserve"> </w:t>
            </w:r>
            <w:r w:rsidRPr="000B6417">
              <w:rPr>
                <w:spacing w:val="1"/>
                <w:lang w:eastAsia="en-AU"/>
              </w:rPr>
              <w:t>o</w:t>
            </w:r>
            <w:r w:rsidRPr="000B6417">
              <w:rPr>
                <w:spacing w:val="-1"/>
                <w:lang w:eastAsia="en-AU"/>
              </w:rPr>
              <w:t>n</w:t>
            </w:r>
            <w:r w:rsidRPr="000B6417">
              <w:rPr>
                <w:spacing w:val="1"/>
                <w:lang w:eastAsia="en-AU"/>
              </w:rPr>
              <w:t>-</w:t>
            </w:r>
            <w:r w:rsidRPr="000B6417">
              <w:rPr>
                <w:lang w:eastAsia="en-AU"/>
              </w:rPr>
              <w:t>treatment</w:t>
            </w:r>
          </w:p>
        </w:tc>
        <w:tc>
          <w:tcPr>
            <w:tcW w:w="28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2 (11.1)</w:t>
            </w:r>
          </w:p>
        </w:tc>
        <w:tc>
          <w:tcPr>
            <w:tcW w:w="2467"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4 (57.1)</w:t>
            </w:r>
          </w:p>
        </w:tc>
      </w:tr>
      <w:tr w:rsidR="00C8707C" w:rsidTr="002E5B56">
        <w:trPr>
          <w:trHeight w:val="20"/>
        </w:trPr>
        <w:tc>
          <w:tcPr>
            <w:cnfStyle w:val="001000000000" w:firstRow="0" w:lastRow="0" w:firstColumn="1" w:lastColumn="0" w:oddVBand="0" w:evenVBand="0" w:oddHBand="0" w:evenHBand="0" w:firstRowFirstColumn="0" w:firstRowLastColumn="0" w:lastRowFirstColumn="0" w:lastRowLastColumn="0"/>
            <w:tcW w:w="3739" w:type="dxa"/>
            <w:hideMark/>
          </w:tcPr>
          <w:p w:rsidR="00C8707C" w:rsidRPr="000B6417" w:rsidRDefault="00C8707C" w:rsidP="002E5B56">
            <w:pPr>
              <w:rPr>
                <w:lang w:eastAsia="en-AU"/>
              </w:rPr>
            </w:pPr>
            <w:r w:rsidRPr="000B6417">
              <w:rPr>
                <w:spacing w:val="1"/>
                <w:lang w:eastAsia="en-AU"/>
              </w:rPr>
              <w:t>VBT</w:t>
            </w:r>
          </w:p>
        </w:tc>
        <w:tc>
          <w:tcPr>
            <w:tcW w:w="28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0</w:t>
            </w:r>
          </w:p>
        </w:tc>
        <w:tc>
          <w:tcPr>
            <w:tcW w:w="2467"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1 (14.3)</w:t>
            </w:r>
          </w:p>
        </w:tc>
      </w:tr>
      <w:tr w:rsidR="00C8707C" w:rsidTr="002E5B56">
        <w:trPr>
          <w:trHeight w:val="20"/>
        </w:trPr>
        <w:tc>
          <w:tcPr>
            <w:cnfStyle w:val="001000000000" w:firstRow="0" w:lastRow="0" w:firstColumn="1" w:lastColumn="0" w:oddVBand="0" w:evenVBand="0" w:oddHBand="0" w:evenHBand="0" w:firstRowFirstColumn="0" w:firstRowLastColumn="0" w:lastRowFirstColumn="0" w:lastRowLastColumn="0"/>
            <w:tcW w:w="3739" w:type="dxa"/>
            <w:hideMark/>
          </w:tcPr>
          <w:p w:rsidR="00C8707C" w:rsidRPr="000B6417" w:rsidRDefault="00C8707C" w:rsidP="002E5B56">
            <w:pPr>
              <w:rPr>
                <w:lang w:eastAsia="en-AU"/>
              </w:rPr>
            </w:pPr>
            <w:r w:rsidRPr="000B6417">
              <w:rPr>
                <w:position w:val="1"/>
                <w:lang w:eastAsia="en-AU"/>
              </w:rPr>
              <w:t>Relapse</w:t>
            </w:r>
          </w:p>
        </w:tc>
        <w:tc>
          <w:tcPr>
            <w:tcW w:w="28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1 (5.6)</w:t>
            </w:r>
          </w:p>
        </w:tc>
        <w:tc>
          <w:tcPr>
            <w:tcW w:w="2467"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1 (14.3)</w:t>
            </w:r>
          </w:p>
        </w:tc>
      </w:tr>
      <w:tr w:rsidR="00C8707C" w:rsidTr="002E5B56">
        <w:trPr>
          <w:trHeight w:val="20"/>
        </w:trPr>
        <w:tc>
          <w:tcPr>
            <w:cnfStyle w:val="001000000000" w:firstRow="0" w:lastRow="0" w:firstColumn="1" w:lastColumn="0" w:oddVBand="0" w:evenVBand="0" w:oddHBand="0" w:evenHBand="0" w:firstRowFirstColumn="0" w:firstRowLastColumn="0" w:lastRowFirstColumn="0" w:lastRowLastColumn="0"/>
            <w:tcW w:w="3739" w:type="dxa"/>
            <w:hideMark/>
          </w:tcPr>
          <w:p w:rsidR="00C8707C" w:rsidRPr="000B6417" w:rsidRDefault="00C8707C" w:rsidP="002E5B56">
            <w:pPr>
              <w:rPr>
                <w:lang w:eastAsia="en-AU"/>
              </w:rPr>
            </w:pPr>
            <w:r w:rsidRPr="000B6417">
              <w:rPr>
                <w:position w:val="1"/>
                <w:lang w:eastAsia="en-AU"/>
              </w:rPr>
              <w:t>Relapse</w:t>
            </w:r>
            <w:r w:rsidRPr="000B6417">
              <w:rPr>
                <w:spacing w:val="-6"/>
                <w:position w:val="1"/>
                <w:lang w:eastAsia="en-AU"/>
              </w:rPr>
              <w:t xml:space="preserve"> </w:t>
            </w:r>
            <w:r w:rsidRPr="000B6417">
              <w:rPr>
                <w:position w:val="1"/>
                <w:lang w:eastAsia="en-AU"/>
              </w:rPr>
              <w:t>Rate</w:t>
            </w:r>
          </w:p>
        </w:tc>
        <w:tc>
          <w:tcPr>
            <w:tcW w:w="2833"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1/16 (6.3)</w:t>
            </w:r>
          </w:p>
        </w:tc>
        <w:tc>
          <w:tcPr>
            <w:tcW w:w="2467" w:type="dxa"/>
            <w:hideMark/>
          </w:tcPr>
          <w:p w:rsidR="00C8707C" w:rsidRPr="000B6417" w:rsidRDefault="00C8707C" w:rsidP="002E5B56">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1/4 (25.0)</w:t>
            </w:r>
          </w:p>
        </w:tc>
      </w:tr>
    </w:tbl>
    <w:p w:rsidR="00C8707C" w:rsidRDefault="00C8707C" w:rsidP="002E5B56">
      <w:pPr>
        <w:pStyle w:val="TableDescription"/>
      </w:pPr>
      <w:proofErr w:type="spellStart"/>
      <w:proofErr w:type="gramStart"/>
      <w:r>
        <w:t>a</w:t>
      </w:r>
      <w:proofErr w:type="spellEnd"/>
      <w:proofErr w:type="gramEnd"/>
      <w:r>
        <w:t xml:space="preserve"> The numerator is based on subjects meeting the response criteria; b The numerator is based on subjects meeting the response criteria. The denominator is based on all treated subjects; c </w:t>
      </w:r>
      <w:proofErr w:type="spellStart"/>
      <w:r>
        <w:t>Virologic</w:t>
      </w:r>
      <w:proofErr w:type="spellEnd"/>
      <w:r>
        <w:t xml:space="preserve"> failure is defined as 1) </w:t>
      </w:r>
      <w:proofErr w:type="spellStart"/>
      <w:r>
        <w:t>virologic</w:t>
      </w:r>
      <w:proofErr w:type="spellEnd"/>
      <w:r>
        <w:t xml:space="preserve"> breakthrough, 2) &lt; 1 log10 decrease in HCV.  RNA from baseline at Week 4 of treatment, 3) failure to achieve EVR, 4) detectable HCV RNA at Week 12 and HCV RNA </w:t>
      </w:r>
      <w:r>
        <w:rPr>
          <w:rFonts w:cs="Symbol"/>
        </w:rPr>
        <w:t xml:space="preserve">≥ </w:t>
      </w:r>
      <w:r>
        <w:t xml:space="preserve">LOQ at Week 24 of treatment, 5) detectable HCV RNA at EOT including early discontinuation, or 6) relapse, categorised by the earliest </w:t>
      </w:r>
      <w:proofErr w:type="spellStart"/>
      <w:r>
        <w:t>virologic</w:t>
      </w:r>
      <w:proofErr w:type="spellEnd"/>
      <w:r>
        <w:t xml:space="preserve"> failure event in the study; d Based on all treated subjects (modified ITT approach) as the denominator; e Based on the number of subjects with HCV RNA &lt; LLOQ, TND at EOT as the denominator</w:t>
      </w:r>
    </w:p>
    <w:p w:rsidR="00C8707C" w:rsidRDefault="00C8707C" w:rsidP="00C8707C">
      <w:pPr>
        <w:pStyle w:val="Heading4"/>
        <w:numPr>
          <w:ilvl w:val="2"/>
          <w:numId w:val="5"/>
        </w:numPr>
      </w:pPr>
      <w:bookmarkStart w:id="201" w:name="_Toc401659977"/>
      <w:r>
        <w:t xml:space="preserve">Results for the safety </w:t>
      </w:r>
      <w:r w:rsidRPr="00427904">
        <w:t>outcomes</w:t>
      </w:r>
      <w:bookmarkEnd w:id="201"/>
    </w:p>
    <w:p w:rsidR="00C8707C" w:rsidRDefault="00C8707C" w:rsidP="00C8707C">
      <w:pPr>
        <w:pStyle w:val="Heading5"/>
        <w:numPr>
          <w:ilvl w:val="3"/>
          <w:numId w:val="5"/>
        </w:numPr>
      </w:pPr>
      <w:r>
        <w:t>Stage 1</w:t>
      </w:r>
    </w:p>
    <w:p w:rsidR="00C8707C" w:rsidRDefault="00C8707C" w:rsidP="00C8707C">
      <w:pPr>
        <w:pStyle w:val="Heading6"/>
        <w:numPr>
          <w:ilvl w:val="4"/>
          <w:numId w:val="5"/>
        </w:numPr>
        <w:ind w:left="1702" w:hanging="1418"/>
      </w:pPr>
      <w:r>
        <w:t xml:space="preserve">Adverse </w:t>
      </w:r>
      <w:r w:rsidR="00CF71CF">
        <w:t>e</w:t>
      </w:r>
      <w:r>
        <w:t>vents</w:t>
      </w:r>
    </w:p>
    <w:p w:rsidR="00C8707C" w:rsidRDefault="00C8707C" w:rsidP="00C8707C">
      <w:r>
        <w:t>On-treatment AEs (all grades) were reported in 100% of subjects in each treatment group in Stage 1. The most frequently (≥ 35% in any group) reported AEs in all treatment groups were fatigue, diarrhoea, headache, influenza like illness, nausea, asthenia, dyspnoea, dry skin, alopecia, insomnia, irritability, alopecia, and arthralgia. Most AEs were Grade 1 or 2 in intensity; no Grade 4 AEs were reported in Stage 1.</w:t>
      </w:r>
    </w:p>
    <w:p w:rsidR="00C8707C" w:rsidRDefault="00C8707C" w:rsidP="00C8707C">
      <w:pPr>
        <w:pStyle w:val="Tabletitle"/>
      </w:pPr>
      <w:bookmarkStart w:id="202" w:name="_Toc401831786"/>
      <w:r>
        <w:t>Table 8: Study AI447016: Summary of safety on treatment – Stage 1 – treated subjects</w:t>
      </w:r>
      <w:bookmarkEnd w:id="202"/>
    </w:p>
    <w:tbl>
      <w:tblPr>
        <w:tblStyle w:val="TableTGAblue"/>
        <w:tblW w:w="9165" w:type="dxa"/>
        <w:tblLayout w:type="fixed"/>
        <w:tblLook w:val="04A0" w:firstRow="1" w:lastRow="0" w:firstColumn="1" w:lastColumn="0" w:noHBand="0" w:noVBand="1"/>
      </w:tblPr>
      <w:tblGrid>
        <w:gridCol w:w="3492"/>
        <w:gridCol w:w="1436"/>
        <w:gridCol w:w="1417"/>
        <w:gridCol w:w="1418"/>
        <w:gridCol w:w="1402"/>
      </w:tblGrid>
      <w:tr w:rsidR="00C8707C" w:rsidRPr="00EB26DB" w:rsidTr="00CF71CF">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3492" w:type="dxa"/>
            <w:vMerge w:val="restart"/>
            <w:hideMark/>
          </w:tcPr>
          <w:p w:rsidR="00C8707C" w:rsidRPr="000B6417" w:rsidRDefault="00C8707C" w:rsidP="00CF71CF">
            <w:pPr>
              <w:rPr>
                <w:b w:val="0"/>
                <w:w w:val="99"/>
                <w:lang w:eastAsia="en-AU"/>
              </w:rPr>
            </w:pPr>
            <w:r w:rsidRPr="000B6417">
              <w:rPr>
                <w:b w:val="0"/>
                <w:w w:val="99"/>
                <w:lang w:eastAsia="en-AU"/>
              </w:rPr>
              <w:t>Results</w:t>
            </w:r>
            <w:r w:rsidRPr="000B6417">
              <w:rPr>
                <w:b w:val="0"/>
                <w:spacing w:val="-64"/>
                <w:w w:val="99"/>
                <w:lang w:eastAsia="en-AU"/>
              </w:rPr>
              <w:t xml:space="preserve"> </w:t>
            </w:r>
            <w:r w:rsidRPr="000B6417">
              <w:rPr>
                <w:b w:val="0"/>
                <w:w w:val="99"/>
                <w:lang w:eastAsia="en-AU"/>
              </w:rPr>
              <w:t>Summary</w:t>
            </w:r>
          </w:p>
        </w:tc>
        <w:tc>
          <w:tcPr>
            <w:tcW w:w="5673" w:type="dxa"/>
            <w:gridSpan w:val="4"/>
            <w:hideMark/>
          </w:tcPr>
          <w:p w:rsidR="00C8707C" w:rsidRPr="000B6417" w:rsidRDefault="00C8707C" w:rsidP="00CF71CF">
            <w:pPr>
              <w:cnfStyle w:val="100000000000" w:firstRow="1" w:lastRow="0" w:firstColumn="0" w:lastColumn="0" w:oddVBand="0" w:evenVBand="0" w:oddHBand="0" w:evenHBand="0" w:firstRowFirstColumn="0" w:firstRowLastColumn="0" w:lastRowFirstColumn="0" w:lastRowLastColumn="0"/>
              <w:rPr>
                <w:b w:val="0"/>
                <w:lang w:eastAsia="en-AU"/>
              </w:rPr>
            </w:pPr>
            <w:r w:rsidRPr="000B6417">
              <w:rPr>
                <w:b w:val="0"/>
                <w:lang w:eastAsia="en-AU"/>
              </w:rPr>
              <w:t>Number</w:t>
            </w:r>
            <w:r w:rsidRPr="000B6417">
              <w:rPr>
                <w:b w:val="0"/>
                <w:spacing w:val="-7"/>
                <w:lang w:eastAsia="en-AU"/>
              </w:rPr>
              <w:t xml:space="preserve"> </w:t>
            </w:r>
            <w:r w:rsidRPr="000B6417">
              <w:rPr>
                <w:b w:val="0"/>
                <w:lang w:eastAsia="en-AU"/>
              </w:rPr>
              <w:t>(%)</w:t>
            </w:r>
            <w:r w:rsidRPr="000B6417">
              <w:rPr>
                <w:b w:val="0"/>
                <w:spacing w:val="-2"/>
                <w:lang w:eastAsia="en-AU"/>
              </w:rPr>
              <w:t xml:space="preserve"> </w:t>
            </w:r>
            <w:r w:rsidRPr="000B6417">
              <w:rPr>
                <w:b w:val="0"/>
                <w:lang w:eastAsia="en-AU"/>
              </w:rPr>
              <w:t>of</w:t>
            </w:r>
            <w:r w:rsidRPr="000B6417">
              <w:rPr>
                <w:b w:val="0"/>
                <w:spacing w:val="-2"/>
                <w:lang w:eastAsia="en-AU"/>
              </w:rPr>
              <w:t xml:space="preserve"> </w:t>
            </w:r>
            <w:r w:rsidRPr="000B6417">
              <w:rPr>
                <w:b w:val="0"/>
                <w:lang w:eastAsia="en-AU"/>
              </w:rPr>
              <w:t>Subjects</w:t>
            </w:r>
          </w:p>
        </w:tc>
      </w:tr>
      <w:tr w:rsidR="00C8707C" w:rsidRPr="00EB26DB" w:rsidTr="00CF71CF">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3492" w:type="dxa"/>
            <w:vMerge/>
            <w:hideMark/>
          </w:tcPr>
          <w:p w:rsidR="00C8707C" w:rsidRPr="000B6417" w:rsidRDefault="00C8707C" w:rsidP="00CF71CF">
            <w:pPr>
              <w:rPr>
                <w:b w:val="0"/>
                <w:w w:val="99"/>
                <w:lang w:eastAsia="en-AU"/>
              </w:rPr>
            </w:pPr>
          </w:p>
        </w:tc>
        <w:tc>
          <w:tcPr>
            <w:tcW w:w="1436" w:type="dxa"/>
            <w:hideMark/>
          </w:tcPr>
          <w:p w:rsidR="00C8707C" w:rsidRPr="000B6417" w:rsidRDefault="00C8707C" w:rsidP="00CF71CF">
            <w:pPr>
              <w:cnfStyle w:val="100000000000" w:firstRow="1" w:lastRow="0" w:firstColumn="0" w:lastColumn="0" w:oddVBand="0" w:evenVBand="0" w:oddHBand="0" w:evenHBand="0" w:firstRowFirstColumn="0" w:firstRowLastColumn="0" w:lastRowFirstColumn="0" w:lastRowLastColumn="0"/>
              <w:rPr>
                <w:b w:val="0"/>
                <w:w w:val="99"/>
                <w:lang w:eastAsia="en-AU"/>
              </w:rPr>
            </w:pPr>
            <w:r w:rsidRPr="000B6417">
              <w:rPr>
                <w:b w:val="0"/>
                <w:spacing w:val="1"/>
                <w:lang w:eastAsia="en-AU"/>
              </w:rPr>
              <w:t>200-</w:t>
            </w:r>
            <w:r w:rsidRPr="000B6417">
              <w:rPr>
                <w:b w:val="0"/>
                <w:spacing w:val="-5"/>
                <w:lang w:eastAsia="en-AU"/>
              </w:rPr>
              <w:t>m</w:t>
            </w:r>
            <w:r w:rsidRPr="000B6417">
              <w:rPr>
                <w:b w:val="0"/>
                <w:lang w:eastAsia="en-AU"/>
              </w:rPr>
              <w:t>g</w:t>
            </w:r>
            <w:r w:rsidRPr="000B6417">
              <w:rPr>
                <w:b w:val="0"/>
                <w:spacing w:val="-5"/>
                <w:lang w:eastAsia="en-AU"/>
              </w:rPr>
              <w:t xml:space="preserve"> </w:t>
            </w:r>
            <w:r w:rsidRPr="000B6417">
              <w:rPr>
                <w:b w:val="0"/>
                <w:lang w:eastAsia="en-AU"/>
              </w:rPr>
              <w:t>BD</w:t>
            </w:r>
            <w:r w:rsidRPr="000B6417">
              <w:rPr>
                <w:b w:val="0"/>
                <w:spacing w:val="-4"/>
                <w:lang w:eastAsia="en-AU"/>
              </w:rPr>
              <w:t xml:space="preserve"> </w:t>
            </w:r>
            <w:r w:rsidRPr="000B6417">
              <w:rPr>
                <w:b w:val="0"/>
                <w:lang w:eastAsia="en-AU"/>
              </w:rPr>
              <w:t>ASV</w:t>
            </w:r>
            <w:r w:rsidR="00CF71CF">
              <w:rPr>
                <w:b w:val="0"/>
                <w:lang w:eastAsia="en-AU"/>
              </w:rPr>
              <w:t xml:space="preserve"> </w:t>
            </w:r>
            <w:r w:rsidRPr="000B6417">
              <w:rPr>
                <w:b w:val="0"/>
                <w:spacing w:val="1"/>
                <w:w w:val="99"/>
                <w:lang w:eastAsia="en-AU"/>
              </w:rPr>
              <w:t>(</w:t>
            </w:r>
            <w:r w:rsidRPr="000B6417">
              <w:rPr>
                <w:b w:val="0"/>
                <w:lang w:eastAsia="en-AU"/>
              </w:rPr>
              <w:t>N = 12)</w:t>
            </w:r>
          </w:p>
        </w:tc>
        <w:tc>
          <w:tcPr>
            <w:tcW w:w="1417" w:type="dxa"/>
            <w:hideMark/>
          </w:tcPr>
          <w:p w:rsidR="00C8707C" w:rsidRPr="000B6417" w:rsidRDefault="00C8707C" w:rsidP="00CF71CF">
            <w:pPr>
              <w:cnfStyle w:val="100000000000" w:firstRow="1" w:lastRow="0" w:firstColumn="0" w:lastColumn="0" w:oddVBand="0" w:evenVBand="0" w:oddHBand="0" w:evenHBand="0" w:firstRowFirstColumn="0" w:firstRowLastColumn="0" w:lastRowFirstColumn="0" w:lastRowLastColumn="0"/>
              <w:rPr>
                <w:b w:val="0"/>
                <w:w w:val="99"/>
                <w:lang w:eastAsia="en-AU"/>
              </w:rPr>
            </w:pPr>
            <w:r w:rsidRPr="000B6417">
              <w:rPr>
                <w:b w:val="0"/>
                <w:spacing w:val="1"/>
                <w:lang w:eastAsia="en-AU"/>
              </w:rPr>
              <w:t>600-</w:t>
            </w:r>
            <w:r w:rsidRPr="000B6417">
              <w:rPr>
                <w:b w:val="0"/>
                <w:spacing w:val="-5"/>
                <w:lang w:eastAsia="en-AU"/>
              </w:rPr>
              <w:t>m</w:t>
            </w:r>
            <w:r w:rsidRPr="000B6417">
              <w:rPr>
                <w:b w:val="0"/>
                <w:lang w:eastAsia="en-AU"/>
              </w:rPr>
              <w:t>g</w:t>
            </w:r>
            <w:r w:rsidRPr="000B6417">
              <w:rPr>
                <w:b w:val="0"/>
                <w:spacing w:val="-5"/>
                <w:lang w:eastAsia="en-AU"/>
              </w:rPr>
              <w:t xml:space="preserve"> </w:t>
            </w:r>
            <w:r w:rsidRPr="000B6417">
              <w:rPr>
                <w:b w:val="0"/>
                <w:lang w:eastAsia="en-AU"/>
              </w:rPr>
              <w:t>BD</w:t>
            </w:r>
            <w:r w:rsidRPr="000B6417">
              <w:rPr>
                <w:b w:val="0"/>
                <w:spacing w:val="-4"/>
                <w:lang w:eastAsia="en-AU"/>
              </w:rPr>
              <w:t xml:space="preserve"> </w:t>
            </w:r>
            <w:r w:rsidRPr="000B6417">
              <w:rPr>
                <w:b w:val="0"/>
                <w:lang w:eastAsia="en-AU"/>
              </w:rPr>
              <w:t>ASV</w:t>
            </w:r>
            <w:r w:rsidR="00CF71CF">
              <w:rPr>
                <w:b w:val="0"/>
                <w:lang w:eastAsia="en-AU"/>
              </w:rPr>
              <w:t xml:space="preserve"> </w:t>
            </w:r>
            <w:r w:rsidRPr="000B6417">
              <w:rPr>
                <w:b w:val="0"/>
                <w:spacing w:val="1"/>
                <w:w w:val="99"/>
                <w:lang w:eastAsia="en-AU"/>
              </w:rPr>
              <w:t>(</w:t>
            </w:r>
            <w:r w:rsidRPr="000B6417">
              <w:rPr>
                <w:b w:val="0"/>
                <w:lang w:eastAsia="en-AU"/>
              </w:rPr>
              <w:t>N = 12)</w:t>
            </w:r>
          </w:p>
        </w:tc>
        <w:tc>
          <w:tcPr>
            <w:tcW w:w="1418" w:type="dxa"/>
            <w:hideMark/>
          </w:tcPr>
          <w:p w:rsidR="00C8707C" w:rsidRPr="000B6417" w:rsidRDefault="00C8707C" w:rsidP="00CF71CF">
            <w:pPr>
              <w:cnfStyle w:val="100000000000" w:firstRow="1" w:lastRow="0" w:firstColumn="0" w:lastColumn="0" w:oddVBand="0" w:evenVBand="0" w:oddHBand="0" w:evenHBand="0" w:firstRowFirstColumn="0" w:firstRowLastColumn="0" w:lastRowFirstColumn="0" w:lastRowLastColumn="0"/>
              <w:rPr>
                <w:b w:val="0"/>
                <w:w w:val="99"/>
                <w:lang w:eastAsia="en-AU"/>
              </w:rPr>
            </w:pPr>
            <w:r w:rsidRPr="000B6417">
              <w:rPr>
                <w:b w:val="0"/>
                <w:spacing w:val="1"/>
                <w:lang w:eastAsia="en-AU"/>
              </w:rPr>
              <w:t>600-</w:t>
            </w:r>
            <w:r w:rsidRPr="000B6417">
              <w:rPr>
                <w:b w:val="0"/>
                <w:spacing w:val="-5"/>
                <w:lang w:eastAsia="en-AU"/>
              </w:rPr>
              <w:t>m</w:t>
            </w:r>
            <w:r w:rsidRPr="000B6417">
              <w:rPr>
                <w:b w:val="0"/>
                <w:lang w:eastAsia="en-AU"/>
              </w:rPr>
              <w:t>g</w:t>
            </w:r>
            <w:r w:rsidRPr="000B6417">
              <w:rPr>
                <w:b w:val="0"/>
                <w:spacing w:val="-5"/>
                <w:lang w:eastAsia="en-AU"/>
              </w:rPr>
              <w:t xml:space="preserve"> </w:t>
            </w:r>
            <w:r w:rsidRPr="000B6417">
              <w:rPr>
                <w:b w:val="0"/>
                <w:lang w:eastAsia="en-AU"/>
              </w:rPr>
              <w:t>QD</w:t>
            </w:r>
            <w:r w:rsidRPr="000B6417">
              <w:rPr>
                <w:b w:val="0"/>
                <w:spacing w:val="-3"/>
                <w:lang w:eastAsia="en-AU"/>
              </w:rPr>
              <w:t xml:space="preserve"> </w:t>
            </w:r>
            <w:r w:rsidRPr="000B6417">
              <w:rPr>
                <w:b w:val="0"/>
                <w:lang w:eastAsia="en-AU"/>
              </w:rPr>
              <w:t>ASV</w:t>
            </w:r>
            <w:r w:rsidR="00CF71CF">
              <w:rPr>
                <w:b w:val="0"/>
                <w:lang w:eastAsia="en-AU"/>
              </w:rPr>
              <w:t xml:space="preserve"> </w:t>
            </w:r>
            <w:r w:rsidRPr="000B6417">
              <w:rPr>
                <w:b w:val="0"/>
                <w:lang w:eastAsia="en-AU"/>
              </w:rPr>
              <w:t>(N = 12)</w:t>
            </w:r>
          </w:p>
        </w:tc>
        <w:tc>
          <w:tcPr>
            <w:tcW w:w="1402" w:type="dxa"/>
            <w:hideMark/>
          </w:tcPr>
          <w:p w:rsidR="00C8707C" w:rsidRPr="000B6417" w:rsidRDefault="00C8707C" w:rsidP="00CF71CF">
            <w:pPr>
              <w:cnfStyle w:val="100000000000" w:firstRow="1" w:lastRow="0" w:firstColumn="0" w:lastColumn="0" w:oddVBand="0" w:evenVBand="0" w:oddHBand="0" w:evenHBand="0" w:firstRowFirstColumn="0" w:firstRowLastColumn="0" w:lastRowFirstColumn="0" w:lastRowLastColumn="0"/>
              <w:rPr>
                <w:b w:val="0"/>
                <w:lang w:eastAsia="en-AU"/>
              </w:rPr>
            </w:pPr>
            <w:r w:rsidRPr="000B6417">
              <w:rPr>
                <w:b w:val="0"/>
                <w:lang w:eastAsia="en-AU"/>
              </w:rPr>
              <w:t>Placebo</w:t>
            </w:r>
            <w:r w:rsidR="00CF71CF">
              <w:rPr>
                <w:b w:val="0"/>
                <w:lang w:eastAsia="en-AU"/>
              </w:rPr>
              <w:t xml:space="preserve"> </w:t>
            </w:r>
            <w:r w:rsidRPr="000B6417">
              <w:rPr>
                <w:b w:val="0"/>
                <w:lang w:eastAsia="en-AU"/>
              </w:rPr>
              <w:t>(N = 11)</w:t>
            </w:r>
          </w:p>
        </w:tc>
      </w:tr>
      <w:tr w:rsidR="00C8707C" w:rsidTr="00CF71CF">
        <w:trPr>
          <w:trHeight w:val="20"/>
        </w:trPr>
        <w:tc>
          <w:tcPr>
            <w:cnfStyle w:val="001000000000" w:firstRow="0" w:lastRow="0" w:firstColumn="1" w:lastColumn="0" w:oddVBand="0" w:evenVBand="0" w:oddHBand="0" w:evenHBand="0" w:firstRowFirstColumn="0" w:firstRowLastColumn="0" w:lastRowFirstColumn="0" w:lastRowLastColumn="0"/>
            <w:tcW w:w="3492" w:type="dxa"/>
            <w:hideMark/>
          </w:tcPr>
          <w:p w:rsidR="00C8707C" w:rsidRPr="000B6417" w:rsidRDefault="00C8707C" w:rsidP="00CF71CF">
            <w:pPr>
              <w:rPr>
                <w:lang w:eastAsia="en-AU"/>
              </w:rPr>
            </w:pPr>
            <w:r w:rsidRPr="000B6417">
              <w:rPr>
                <w:lang w:eastAsia="en-AU"/>
              </w:rPr>
              <w:t>Deaths</w:t>
            </w:r>
          </w:p>
        </w:tc>
        <w:tc>
          <w:tcPr>
            <w:tcW w:w="1436"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w w:val="99"/>
                <w:lang w:eastAsia="en-AU"/>
              </w:rPr>
              <w:t>0</w:t>
            </w:r>
          </w:p>
        </w:tc>
        <w:tc>
          <w:tcPr>
            <w:tcW w:w="1417"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w w:val="99"/>
                <w:lang w:eastAsia="en-AU"/>
              </w:rPr>
              <w:t>0</w:t>
            </w:r>
          </w:p>
        </w:tc>
        <w:tc>
          <w:tcPr>
            <w:tcW w:w="1418"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w w:val="99"/>
                <w:lang w:eastAsia="en-AU"/>
              </w:rPr>
              <w:t>0</w:t>
            </w:r>
          </w:p>
        </w:tc>
        <w:tc>
          <w:tcPr>
            <w:tcW w:w="1402"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0</w:t>
            </w:r>
          </w:p>
        </w:tc>
      </w:tr>
      <w:tr w:rsidR="00C8707C" w:rsidTr="00CF71CF">
        <w:trPr>
          <w:trHeight w:val="20"/>
        </w:trPr>
        <w:tc>
          <w:tcPr>
            <w:cnfStyle w:val="001000000000" w:firstRow="0" w:lastRow="0" w:firstColumn="1" w:lastColumn="0" w:oddVBand="0" w:evenVBand="0" w:oddHBand="0" w:evenHBand="0" w:firstRowFirstColumn="0" w:firstRowLastColumn="0" w:lastRowFirstColumn="0" w:lastRowLastColumn="0"/>
            <w:tcW w:w="3492" w:type="dxa"/>
            <w:hideMark/>
          </w:tcPr>
          <w:p w:rsidR="00C8707C" w:rsidRPr="000B6417" w:rsidRDefault="00C8707C" w:rsidP="00CF71CF">
            <w:pPr>
              <w:rPr>
                <w:lang w:eastAsia="en-AU"/>
              </w:rPr>
            </w:pPr>
            <w:r w:rsidRPr="000B6417">
              <w:rPr>
                <w:lang w:eastAsia="en-AU"/>
              </w:rPr>
              <w:lastRenderedPageBreak/>
              <w:t>SAEs</w:t>
            </w:r>
            <w:r w:rsidRPr="000B6417">
              <w:rPr>
                <w:spacing w:val="-5"/>
                <w:lang w:eastAsia="en-AU"/>
              </w:rPr>
              <w:t xml:space="preserve"> </w:t>
            </w:r>
            <w:r w:rsidRPr="000B6417">
              <w:rPr>
                <w:lang w:eastAsia="en-AU"/>
              </w:rPr>
              <w:t>o</w:t>
            </w:r>
            <w:r w:rsidRPr="000B6417">
              <w:rPr>
                <w:spacing w:val="1"/>
                <w:lang w:eastAsia="en-AU"/>
              </w:rPr>
              <w:t>n</w:t>
            </w:r>
            <w:r w:rsidRPr="000B6417">
              <w:rPr>
                <w:spacing w:val="-2"/>
                <w:lang w:eastAsia="en-AU"/>
              </w:rPr>
              <w:t>-</w:t>
            </w:r>
            <w:r w:rsidRPr="000B6417">
              <w:rPr>
                <w:lang w:eastAsia="en-AU"/>
              </w:rPr>
              <w:t>treatment</w:t>
            </w:r>
          </w:p>
        </w:tc>
        <w:tc>
          <w:tcPr>
            <w:tcW w:w="1436"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2 </w:t>
            </w:r>
            <w:r w:rsidRPr="000B6417">
              <w:rPr>
                <w:spacing w:val="1"/>
                <w:lang w:eastAsia="en-AU"/>
              </w:rPr>
              <w:t>(16.7)</w:t>
            </w:r>
          </w:p>
        </w:tc>
        <w:tc>
          <w:tcPr>
            <w:tcW w:w="1417"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w:t>
            </w:r>
            <w:r w:rsidRPr="000B6417">
              <w:rPr>
                <w:spacing w:val="1"/>
                <w:lang w:eastAsia="en-AU"/>
              </w:rPr>
              <w:t xml:space="preserve"> (8</w:t>
            </w:r>
            <w:r w:rsidRPr="000B6417">
              <w:rPr>
                <w:lang w:eastAsia="en-AU"/>
              </w:rPr>
              <w:t>.3)</w:t>
            </w:r>
          </w:p>
        </w:tc>
        <w:tc>
          <w:tcPr>
            <w:tcW w:w="1418"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2 </w:t>
            </w:r>
            <w:r w:rsidRPr="000B6417">
              <w:rPr>
                <w:spacing w:val="1"/>
                <w:lang w:eastAsia="en-AU"/>
              </w:rPr>
              <w:t>(16.7)</w:t>
            </w:r>
          </w:p>
        </w:tc>
        <w:tc>
          <w:tcPr>
            <w:tcW w:w="1402"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0</w:t>
            </w:r>
          </w:p>
        </w:tc>
      </w:tr>
      <w:tr w:rsidR="00C8707C" w:rsidTr="00CF71CF">
        <w:trPr>
          <w:trHeight w:val="20"/>
        </w:trPr>
        <w:tc>
          <w:tcPr>
            <w:cnfStyle w:val="001000000000" w:firstRow="0" w:lastRow="0" w:firstColumn="1" w:lastColumn="0" w:oddVBand="0" w:evenVBand="0" w:oddHBand="0" w:evenHBand="0" w:firstRowFirstColumn="0" w:firstRowLastColumn="0" w:lastRowFirstColumn="0" w:lastRowLastColumn="0"/>
            <w:tcW w:w="3492" w:type="dxa"/>
            <w:hideMark/>
          </w:tcPr>
          <w:p w:rsidR="00C8707C" w:rsidRPr="000B6417" w:rsidRDefault="00C8707C" w:rsidP="00CF71CF">
            <w:pPr>
              <w:rPr>
                <w:lang w:eastAsia="en-AU"/>
              </w:rPr>
            </w:pPr>
            <w:r w:rsidRPr="000B6417">
              <w:rPr>
                <w:spacing w:val="-2"/>
                <w:lang w:eastAsia="en-AU"/>
              </w:rPr>
              <w:t>A</w:t>
            </w:r>
            <w:r w:rsidRPr="000B6417">
              <w:rPr>
                <w:spacing w:val="3"/>
                <w:lang w:eastAsia="en-AU"/>
              </w:rPr>
              <w:t>E</w:t>
            </w:r>
            <w:r w:rsidRPr="000B6417">
              <w:rPr>
                <w:lang w:eastAsia="en-AU"/>
              </w:rPr>
              <w:t>s</w:t>
            </w:r>
            <w:r w:rsidRPr="000B6417">
              <w:rPr>
                <w:spacing w:val="-3"/>
                <w:lang w:eastAsia="en-AU"/>
              </w:rPr>
              <w:t xml:space="preserve"> </w:t>
            </w:r>
            <w:r w:rsidRPr="000B6417">
              <w:rPr>
                <w:lang w:eastAsia="en-AU"/>
              </w:rPr>
              <w:t>leading</w:t>
            </w:r>
            <w:r w:rsidRPr="000B6417">
              <w:rPr>
                <w:spacing w:val="-6"/>
                <w:lang w:eastAsia="en-AU"/>
              </w:rPr>
              <w:t xml:space="preserve"> </w:t>
            </w:r>
            <w:r w:rsidRPr="000B6417">
              <w:rPr>
                <w:lang w:eastAsia="en-AU"/>
              </w:rPr>
              <w:t>to</w:t>
            </w:r>
            <w:r w:rsidRPr="000B6417">
              <w:rPr>
                <w:spacing w:val="-2"/>
                <w:lang w:eastAsia="en-AU"/>
              </w:rPr>
              <w:t xml:space="preserve"> </w:t>
            </w:r>
            <w:r w:rsidRPr="000B6417">
              <w:rPr>
                <w:lang w:eastAsia="en-AU"/>
              </w:rPr>
              <w:t>discontinuation</w:t>
            </w:r>
            <w:r w:rsidRPr="000B6417">
              <w:rPr>
                <w:spacing w:val="-12"/>
                <w:lang w:eastAsia="en-AU"/>
              </w:rPr>
              <w:t xml:space="preserve"> </w:t>
            </w:r>
            <w:r w:rsidRPr="000B6417">
              <w:rPr>
                <w:lang w:eastAsia="en-AU"/>
              </w:rPr>
              <w:t>of</w:t>
            </w:r>
            <w:r w:rsidR="00CF71CF">
              <w:rPr>
                <w:lang w:eastAsia="en-AU"/>
              </w:rPr>
              <w:t xml:space="preserve"> </w:t>
            </w:r>
            <w:r w:rsidRPr="000B6417">
              <w:rPr>
                <w:lang w:eastAsia="en-AU"/>
              </w:rPr>
              <w:t>study</w:t>
            </w:r>
            <w:r w:rsidRPr="000B6417">
              <w:rPr>
                <w:spacing w:val="-4"/>
                <w:lang w:eastAsia="en-AU"/>
              </w:rPr>
              <w:t xml:space="preserve"> </w:t>
            </w:r>
            <w:r w:rsidRPr="000B6417">
              <w:rPr>
                <w:lang w:eastAsia="en-AU"/>
              </w:rPr>
              <w:t>drugs</w:t>
            </w:r>
          </w:p>
        </w:tc>
        <w:tc>
          <w:tcPr>
            <w:tcW w:w="1436"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w w:val="99"/>
                <w:lang w:eastAsia="en-AU"/>
              </w:rPr>
              <w:t>0</w:t>
            </w:r>
          </w:p>
        </w:tc>
        <w:tc>
          <w:tcPr>
            <w:tcW w:w="1417"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1 </w:t>
            </w:r>
            <w:r w:rsidRPr="000B6417">
              <w:rPr>
                <w:spacing w:val="1"/>
                <w:lang w:eastAsia="en-AU"/>
              </w:rPr>
              <w:t>(8.3)</w:t>
            </w:r>
          </w:p>
        </w:tc>
        <w:tc>
          <w:tcPr>
            <w:tcW w:w="1418"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2 </w:t>
            </w:r>
            <w:r w:rsidRPr="000B6417">
              <w:rPr>
                <w:spacing w:val="1"/>
                <w:lang w:eastAsia="en-AU"/>
              </w:rPr>
              <w:t>(16.7)</w:t>
            </w:r>
          </w:p>
        </w:tc>
        <w:tc>
          <w:tcPr>
            <w:tcW w:w="1402"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1 </w:t>
            </w:r>
            <w:r w:rsidRPr="000B6417">
              <w:rPr>
                <w:spacing w:val="1"/>
                <w:lang w:eastAsia="en-AU"/>
              </w:rPr>
              <w:t>(9.1)</w:t>
            </w:r>
          </w:p>
        </w:tc>
      </w:tr>
      <w:tr w:rsidR="00C8707C" w:rsidTr="00CF71CF">
        <w:trPr>
          <w:trHeight w:val="20"/>
        </w:trPr>
        <w:tc>
          <w:tcPr>
            <w:cnfStyle w:val="001000000000" w:firstRow="0" w:lastRow="0" w:firstColumn="1" w:lastColumn="0" w:oddVBand="0" w:evenVBand="0" w:oddHBand="0" w:evenHBand="0" w:firstRowFirstColumn="0" w:firstRowLastColumn="0" w:lastRowFirstColumn="0" w:lastRowLastColumn="0"/>
            <w:tcW w:w="3492" w:type="dxa"/>
            <w:hideMark/>
          </w:tcPr>
          <w:p w:rsidR="00C8707C" w:rsidRPr="000B6417" w:rsidRDefault="00C8707C" w:rsidP="00CF71CF">
            <w:pPr>
              <w:rPr>
                <w:lang w:eastAsia="en-AU"/>
              </w:rPr>
            </w:pPr>
            <w:r w:rsidRPr="000B6417">
              <w:rPr>
                <w:lang w:eastAsia="en-AU"/>
              </w:rPr>
              <w:t>Overall</w:t>
            </w:r>
            <w:r w:rsidRPr="000B6417">
              <w:rPr>
                <w:spacing w:val="-6"/>
                <w:lang w:eastAsia="en-AU"/>
              </w:rPr>
              <w:t xml:space="preserve"> </w:t>
            </w:r>
            <w:r w:rsidRPr="000B6417">
              <w:rPr>
                <w:lang w:eastAsia="en-AU"/>
              </w:rPr>
              <w:t>AEs</w:t>
            </w:r>
            <w:r w:rsidRPr="000B6417">
              <w:rPr>
                <w:spacing w:val="-2"/>
                <w:lang w:eastAsia="en-AU"/>
              </w:rPr>
              <w:t xml:space="preserve"> </w:t>
            </w:r>
            <w:r w:rsidRPr="000B6417">
              <w:rPr>
                <w:spacing w:val="1"/>
                <w:lang w:eastAsia="en-AU"/>
              </w:rPr>
              <w:t>on</w:t>
            </w:r>
            <w:r w:rsidRPr="000B6417">
              <w:rPr>
                <w:spacing w:val="-2"/>
                <w:lang w:eastAsia="en-AU"/>
              </w:rPr>
              <w:t>-</w:t>
            </w:r>
            <w:r w:rsidRPr="000B6417">
              <w:rPr>
                <w:lang w:eastAsia="en-AU"/>
              </w:rPr>
              <w:t>treatment</w:t>
            </w:r>
          </w:p>
        </w:tc>
        <w:tc>
          <w:tcPr>
            <w:tcW w:w="1436"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12</w:t>
            </w:r>
            <w:r w:rsidRPr="000B6417">
              <w:rPr>
                <w:spacing w:val="-1"/>
                <w:lang w:eastAsia="en-AU"/>
              </w:rPr>
              <w:t xml:space="preserve"> </w:t>
            </w:r>
            <w:r w:rsidRPr="000B6417">
              <w:rPr>
                <w:lang w:eastAsia="en-AU"/>
              </w:rPr>
              <w:t>(100.0)</w:t>
            </w:r>
          </w:p>
        </w:tc>
        <w:tc>
          <w:tcPr>
            <w:tcW w:w="1417"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12</w:t>
            </w:r>
            <w:r w:rsidRPr="000B6417">
              <w:rPr>
                <w:spacing w:val="-1"/>
                <w:lang w:eastAsia="en-AU"/>
              </w:rPr>
              <w:t xml:space="preserve"> </w:t>
            </w:r>
            <w:r w:rsidRPr="000B6417">
              <w:rPr>
                <w:lang w:eastAsia="en-AU"/>
              </w:rPr>
              <w:t>(100.0)</w:t>
            </w:r>
          </w:p>
        </w:tc>
        <w:tc>
          <w:tcPr>
            <w:tcW w:w="1418"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12</w:t>
            </w:r>
            <w:r w:rsidRPr="000B6417">
              <w:rPr>
                <w:spacing w:val="-1"/>
                <w:lang w:eastAsia="en-AU"/>
              </w:rPr>
              <w:t xml:space="preserve"> </w:t>
            </w:r>
            <w:r w:rsidRPr="000B6417">
              <w:rPr>
                <w:lang w:eastAsia="en-AU"/>
              </w:rPr>
              <w:t>(100.0)</w:t>
            </w:r>
          </w:p>
        </w:tc>
        <w:tc>
          <w:tcPr>
            <w:tcW w:w="1402"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11</w:t>
            </w:r>
            <w:r w:rsidRPr="000B6417">
              <w:rPr>
                <w:spacing w:val="-1"/>
                <w:lang w:eastAsia="en-AU"/>
              </w:rPr>
              <w:t xml:space="preserve"> </w:t>
            </w:r>
            <w:r w:rsidRPr="000B6417">
              <w:rPr>
                <w:lang w:eastAsia="en-AU"/>
              </w:rPr>
              <w:t>(100.0)</w:t>
            </w:r>
          </w:p>
        </w:tc>
      </w:tr>
      <w:tr w:rsidR="00C8707C" w:rsidTr="00CF71CF">
        <w:trPr>
          <w:trHeight w:val="20"/>
        </w:trPr>
        <w:tc>
          <w:tcPr>
            <w:cnfStyle w:val="001000000000" w:firstRow="0" w:lastRow="0" w:firstColumn="1" w:lastColumn="0" w:oddVBand="0" w:evenVBand="0" w:oddHBand="0" w:evenHBand="0" w:firstRowFirstColumn="0" w:firstRowLastColumn="0" w:lastRowFirstColumn="0" w:lastRowLastColumn="0"/>
            <w:tcW w:w="9165" w:type="dxa"/>
            <w:gridSpan w:val="5"/>
            <w:hideMark/>
          </w:tcPr>
          <w:p w:rsidR="00C8707C" w:rsidRPr="000B6417" w:rsidRDefault="00C8707C" w:rsidP="00CF71CF">
            <w:pPr>
              <w:rPr>
                <w:lang w:eastAsia="en-AU"/>
              </w:rPr>
            </w:pPr>
            <w:r w:rsidRPr="000B6417">
              <w:rPr>
                <w:spacing w:val="-2"/>
                <w:lang w:eastAsia="en-AU"/>
              </w:rPr>
              <w:t>A</w:t>
            </w:r>
            <w:r w:rsidRPr="000B6417">
              <w:rPr>
                <w:spacing w:val="3"/>
                <w:lang w:eastAsia="en-AU"/>
              </w:rPr>
              <w:t>E</w:t>
            </w:r>
            <w:r w:rsidRPr="000B6417">
              <w:rPr>
                <w:lang w:eastAsia="en-AU"/>
              </w:rPr>
              <w:t>s</w:t>
            </w:r>
            <w:r w:rsidRPr="000B6417">
              <w:rPr>
                <w:spacing w:val="-1"/>
                <w:lang w:eastAsia="en-AU"/>
              </w:rPr>
              <w:t xml:space="preserve"> </w:t>
            </w:r>
            <w:r w:rsidRPr="000B6417">
              <w:rPr>
                <w:spacing w:val="-4"/>
                <w:lang w:eastAsia="en-AU"/>
              </w:rPr>
              <w:t>m</w:t>
            </w:r>
            <w:r w:rsidRPr="000B6417">
              <w:rPr>
                <w:lang w:eastAsia="en-AU"/>
              </w:rPr>
              <w:t>ost</w:t>
            </w:r>
            <w:r w:rsidRPr="000B6417">
              <w:rPr>
                <w:spacing w:val="-3"/>
                <w:lang w:eastAsia="en-AU"/>
              </w:rPr>
              <w:t xml:space="preserve"> </w:t>
            </w:r>
            <w:r w:rsidRPr="000B6417">
              <w:rPr>
                <w:lang w:eastAsia="en-AU"/>
              </w:rPr>
              <w:t>frequently</w:t>
            </w:r>
            <w:r w:rsidRPr="000B6417">
              <w:rPr>
                <w:spacing w:val="-7"/>
                <w:lang w:eastAsia="en-AU"/>
              </w:rPr>
              <w:t xml:space="preserve"> </w:t>
            </w:r>
            <w:r w:rsidRPr="000B6417">
              <w:rPr>
                <w:lang w:eastAsia="en-AU"/>
              </w:rPr>
              <w:t xml:space="preserve">reported </w:t>
            </w:r>
            <w:r w:rsidRPr="000B6417">
              <w:rPr>
                <w:spacing w:val="1"/>
                <w:lang w:eastAsia="en-AU"/>
              </w:rPr>
              <w:t>(</w:t>
            </w:r>
            <w:r w:rsidRPr="000B6417">
              <w:rPr>
                <w:rFonts w:cs="Symbol"/>
                <w:lang w:eastAsia="en-AU"/>
              </w:rPr>
              <w:t>≥</w:t>
            </w:r>
            <w:r w:rsidRPr="000B6417">
              <w:rPr>
                <w:spacing w:val="-1"/>
                <w:lang w:eastAsia="en-AU"/>
              </w:rPr>
              <w:t xml:space="preserve"> </w:t>
            </w:r>
            <w:r w:rsidRPr="000B6417">
              <w:rPr>
                <w:spacing w:val="1"/>
                <w:lang w:eastAsia="en-AU"/>
              </w:rPr>
              <w:t xml:space="preserve">35% </w:t>
            </w:r>
            <w:r w:rsidRPr="000B6417">
              <w:rPr>
                <w:lang w:eastAsia="en-AU"/>
              </w:rPr>
              <w:t>in</w:t>
            </w:r>
            <w:r w:rsidRPr="000B6417">
              <w:rPr>
                <w:spacing w:val="-2"/>
                <w:lang w:eastAsia="en-AU"/>
              </w:rPr>
              <w:t xml:space="preserve"> </w:t>
            </w:r>
            <w:r w:rsidRPr="000B6417">
              <w:rPr>
                <w:lang w:eastAsia="en-AU"/>
              </w:rPr>
              <w:t>any</w:t>
            </w:r>
            <w:r w:rsidRPr="000B6417">
              <w:rPr>
                <w:spacing w:val="-3"/>
                <w:lang w:eastAsia="en-AU"/>
              </w:rPr>
              <w:t xml:space="preserve"> </w:t>
            </w:r>
            <w:r w:rsidRPr="000B6417">
              <w:rPr>
                <w:lang w:eastAsia="en-AU"/>
              </w:rPr>
              <w:t>group)</w:t>
            </w:r>
          </w:p>
        </w:tc>
      </w:tr>
      <w:tr w:rsidR="00C8707C" w:rsidTr="00CF71CF">
        <w:trPr>
          <w:trHeight w:val="20"/>
        </w:trPr>
        <w:tc>
          <w:tcPr>
            <w:cnfStyle w:val="001000000000" w:firstRow="0" w:lastRow="0" w:firstColumn="1" w:lastColumn="0" w:oddVBand="0" w:evenVBand="0" w:oddHBand="0" w:evenHBand="0" w:firstRowFirstColumn="0" w:firstRowLastColumn="0" w:lastRowFirstColumn="0" w:lastRowLastColumn="0"/>
            <w:tcW w:w="3492" w:type="dxa"/>
            <w:hideMark/>
          </w:tcPr>
          <w:p w:rsidR="00C8707C" w:rsidRPr="000B6417" w:rsidRDefault="00C8707C" w:rsidP="00CF71CF">
            <w:pPr>
              <w:rPr>
                <w:lang w:eastAsia="en-AU"/>
              </w:rPr>
            </w:pPr>
            <w:r w:rsidRPr="000B6417">
              <w:rPr>
                <w:lang w:eastAsia="en-AU"/>
              </w:rPr>
              <w:t>Fatigue</w:t>
            </w:r>
          </w:p>
        </w:tc>
        <w:tc>
          <w:tcPr>
            <w:tcW w:w="1436"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6 </w:t>
            </w:r>
            <w:r w:rsidRPr="000B6417">
              <w:rPr>
                <w:spacing w:val="1"/>
                <w:lang w:eastAsia="en-AU"/>
              </w:rPr>
              <w:t>(50.0)</w:t>
            </w:r>
          </w:p>
        </w:tc>
        <w:tc>
          <w:tcPr>
            <w:tcW w:w="1417"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5 </w:t>
            </w:r>
            <w:r w:rsidRPr="000B6417">
              <w:rPr>
                <w:spacing w:val="1"/>
                <w:lang w:eastAsia="en-AU"/>
              </w:rPr>
              <w:t>(41.7)</w:t>
            </w:r>
          </w:p>
        </w:tc>
        <w:tc>
          <w:tcPr>
            <w:tcW w:w="1418"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1</w:t>
            </w:r>
            <w:r w:rsidRPr="000B6417">
              <w:rPr>
                <w:lang w:eastAsia="en-AU"/>
              </w:rPr>
              <w:t>0</w:t>
            </w:r>
            <w:r w:rsidRPr="000B6417">
              <w:rPr>
                <w:spacing w:val="-1"/>
                <w:lang w:eastAsia="en-AU"/>
              </w:rPr>
              <w:t xml:space="preserve"> </w:t>
            </w:r>
            <w:r w:rsidRPr="000B6417">
              <w:rPr>
                <w:spacing w:val="1"/>
                <w:lang w:eastAsia="en-AU"/>
              </w:rPr>
              <w:t>(83.3)</w:t>
            </w:r>
          </w:p>
        </w:tc>
        <w:tc>
          <w:tcPr>
            <w:tcW w:w="1402"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5</w:t>
            </w:r>
            <w:r w:rsidRPr="000B6417">
              <w:rPr>
                <w:spacing w:val="1"/>
                <w:lang w:eastAsia="en-AU"/>
              </w:rPr>
              <w:t xml:space="preserve"> (4</w:t>
            </w:r>
            <w:r w:rsidRPr="000B6417">
              <w:rPr>
                <w:spacing w:val="-1"/>
                <w:lang w:eastAsia="en-AU"/>
              </w:rPr>
              <w:t>5</w:t>
            </w:r>
            <w:r w:rsidRPr="000B6417">
              <w:rPr>
                <w:spacing w:val="1"/>
                <w:lang w:eastAsia="en-AU"/>
              </w:rPr>
              <w:t>.5)</w:t>
            </w:r>
          </w:p>
        </w:tc>
      </w:tr>
      <w:tr w:rsidR="00C8707C" w:rsidTr="00CF71CF">
        <w:trPr>
          <w:trHeight w:val="20"/>
        </w:trPr>
        <w:tc>
          <w:tcPr>
            <w:cnfStyle w:val="001000000000" w:firstRow="0" w:lastRow="0" w:firstColumn="1" w:lastColumn="0" w:oddVBand="0" w:evenVBand="0" w:oddHBand="0" w:evenHBand="0" w:firstRowFirstColumn="0" w:firstRowLastColumn="0" w:lastRowFirstColumn="0" w:lastRowLastColumn="0"/>
            <w:tcW w:w="3492" w:type="dxa"/>
            <w:hideMark/>
          </w:tcPr>
          <w:p w:rsidR="00C8707C" w:rsidRPr="000B6417" w:rsidRDefault="00C8707C" w:rsidP="00CF71CF">
            <w:pPr>
              <w:rPr>
                <w:lang w:eastAsia="en-AU"/>
              </w:rPr>
            </w:pPr>
            <w:r w:rsidRPr="000B6417">
              <w:rPr>
                <w:lang w:eastAsia="en-AU"/>
              </w:rPr>
              <w:t>Diarrhoea</w:t>
            </w:r>
          </w:p>
        </w:tc>
        <w:tc>
          <w:tcPr>
            <w:tcW w:w="1436"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6 </w:t>
            </w:r>
            <w:r w:rsidRPr="000B6417">
              <w:rPr>
                <w:spacing w:val="1"/>
                <w:lang w:eastAsia="en-AU"/>
              </w:rPr>
              <w:t>(50.0)</w:t>
            </w:r>
          </w:p>
        </w:tc>
        <w:tc>
          <w:tcPr>
            <w:tcW w:w="1417"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6 </w:t>
            </w:r>
            <w:r w:rsidRPr="000B6417">
              <w:rPr>
                <w:spacing w:val="1"/>
                <w:lang w:eastAsia="en-AU"/>
              </w:rPr>
              <w:t>(50.0)</w:t>
            </w:r>
          </w:p>
        </w:tc>
        <w:tc>
          <w:tcPr>
            <w:tcW w:w="1418"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6 </w:t>
            </w:r>
            <w:r w:rsidRPr="000B6417">
              <w:rPr>
                <w:spacing w:val="1"/>
                <w:lang w:eastAsia="en-AU"/>
              </w:rPr>
              <w:t>(50.0)</w:t>
            </w:r>
          </w:p>
        </w:tc>
        <w:tc>
          <w:tcPr>
            <w:tcW w:w="1402"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1 </w:t>
            </w:r>
            <w:r w:rsidRPr="000B6417">
              <w:rPr>
                <w:spacing w:val="1"/>
                <w:lang w:eastAsia="en-AU"/>
              </w:rPr>
              <w:t>(9.1)</w:t>
            </w:r>
          </w:p>
        </w:tc>
      </w:tr>
      <w:tr w:rsidR="00C8707C" w:rsidTr="00CF71CF">
        <w:trPr>
          <w:trHeight w:val="20"/>
        </w:trPr>
        <w:tc>
          <w:tcPr>
            <w:cnfStyle w:val="001000000000" w:firstRow="0" w:lastRow="0" w:firstColumn="1" w:lastColumn="0" w:oddVBand="0" w:evenVBand="0" w:oddHBand="0" w:evenHBand="0" w:firstRowFirstColumn="0" w:firstRowLastColumn="0" w:lastRowFirstColumn="0" w:lastRowLastColumn="0"/>
            <w:tcW w:w="3492" w:type="dxa"/>
            <w:hideMark/>
          </w:tcPr>
          <w:p w:rsidR="00C8707C" w:rsidRPr="000B6417" w:rsidRDefault="00C8707C" w:rsidP="00CF71CF">
            <w:pPr>
              <w:rPr>
                <w:lang w:eastAsia="en-AU"/>
              </w:rPr>
            </w:pPr>
            <w:r w:rsidRPr="000B6417">
              <w:rPr>
                <w:lang w:eastAsia="en-AU"/>
              </w:rPr>
              <w:t>Headache</w:t>
            </w:r>
          </w:p>
        </w:tc>
        <w:tc>
          <w:tcPr>
            <w:tcW w:w="1436"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5 </w:t>
            </w:r>
            <w:r w:rsidRPr="000B6417">
              <w:rPr>
                <w:spacing w:val="1"/>
                <w:lang w:eastAsia="en-AU"/>
              </w:rPr>
              <w:t>(41.7)</w:t>
            </w:r>
          </w:p>
        </w:tc>
        <w:tc>
          <w:tcPr>
            <w:tcW w:w="1417"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3 </w:t>
            </w:r>
            <w:r w:rsidRPr="000B6417">
              <w:rPr>
                <w:spacing w:val="1"/>
                <w:lang w:eastAsia="en-AU"/>
              </w:rPr>
              <w:t>(25.0)</w:t>
            </w:r>
          </w:p>
        </w:tc>
        <w:tc>
          <w:tcPr>
            <w:tcW w:w="1418"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5 </w:t>
            </w:r>
            <w:r w:rsidRPr="000B6417">
              <w:rPr>
                <w:spacing w:val="1"/>
                <w:lang w:eastAsia="en-AU"/>
              </w:rPr>
              <w:t>(41.7)</w:t>
            </w:r>
          </w:p>
        </w:tc>
        <w:tc>
          <w:tcPr>
            <w:tcW w:w="1402"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6 </w:t>
            </w:r>
            <w:r w:rsidRPr="000B6417">
              <w:rPr>
                <w:spacing w:val="1"/>
                <w:lang w:eastAsia="en-AU"/>
              </w:rPr>
              <w:t>(54.5)</w:t>
            </w:r>
          </w:p>
        </w:tc>
      </w:tr>
      <w:tr w:rsidR="00C8707C" w:rsidTr="00CF71CF">
        <w:trPr>
          <w:trHeight w:val="20"/>
        </w:trPr>
        <w:tc>
          <w:tcPr>
            <w:cnfStyle w:val="001000000000" w:firstRow="0" w:lastRow="0" w:firstColumn="1" w:lastColumn="0" w:oddVBand="0" w:evenVBand="0" w:oddHBand="0" w:evenHBand="0" w:firstRowFirstColumn="0" w:firstRowLastColumn="0" w:lastRowFirstColumn="0" w:lastRowLastColumn="0"/>
            <w:tcW w:w="3492" w:type="dxa"/>
            <w:hideMark/>
          </w:tcPr>
          <w:p w:rsidR="00C8707C" w:rsidRPr="000B6417" w:rsidRDefault="00C8707C" w:rsidP="00CF71CF">
            <w:pPr>
              <w:rPr>
                <w:lang w:eastAsia="en-AU"/>
              </w:rPr>
            </w:pPr>
            <w:r w:rsidRPr="000B6417">
              <w:rPr>
                <w:lang w:eastAsia="en-AU"/>
              </w:rPr>
              <w:t>Influenza</w:t>
            </w:r>
            <w:r w:rsidRPr="000B6417">
              <w:rPr>
                <w:spacing w:val="-8"/>
                <w:lang w:eastAsia="en-AU"/>
              </w:rPr>
              <w:t xml:space="preserve"> </w:t>
            </w:r>
            <w:r w:rsidRPr="000B6417">
              <w:rPr>
                <w:lang w:eastAsia="en-AU"/>
              </w:rPr>
              <w:t>Like</w:t>
            </w:r>
            <w:r w:rsidRPr="000B6417">
              <w:rPr>
                <w:spacing w:val="-4"/>
                <w:lang w:eastAsia="en-AU"/>
              </w:rPr>
              <w:t xml:space="preserve"> </w:t>
            </w:r>
            <w:r w:rsidRPr="000B6417">
              <w:rPr>
                <w:lang w:eastAsia="en-AU"/>
              </w:rPr>
              <w:t>Illness</w:t>
            </w:r>
          </w:p>
        </w:tc>
        <w:tc>
          <w:tcPr>
            <w:tcW w:w="1436"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4 </w:t>
            </w:r>
            <w:r w:rsidRPr="000B6417">
              <w:rPr>
                <w:spacing w:val="1"/>
                <w:lang w:eastAsia="en-AU"/>
              </w:rPr>
              <w:t>(33.3)</w:t>
            </w:r>
          </w:p>
        </w:tc>
        <w:tc>
          <w:tcPr>
            <w:tcW w:w="1417"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3 </w:t>
            </w:r>
            <w:r w:rsidRPr="000B6417">
              <w:rPr>
                <w:spacing w:val="1"/>
                <w:lang w:eastAsia="en-AU"/>
              </w:rPr>
              <w:t>(25.0)</w:t>
            </w:r>
          </w:p>
        </w:tc>
        <w:tc>
          <w:tcPr>
            <w:tcW w:w="1418"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7 </w:t>
            </w:r>
            <w:r w:rsidRPr="000B6417">
              <w:rPr>
                <w:spacing w:val="1"/>
                <w:lang w:eastAsia="en-AU"/>
              </w:rPr>
              <w:t>(58.3)</w:t>
            </w:r>
          </w:p>
        </w:tc>
        <w:tc>
          <w:tcPr>
            <w:tcW w:w="1402"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5 </w:t>
            </w:r>
            <w:r w:rsidRPr="000B6417">
              <w:rPr>
                <w:spacing w:val="1"/>
                <w:lang w:eastAsia="en-AU"/>
              </w:rPr>
              <w:t>(45.5)</w:t>
            </w:r>
          </w:p>
        </w:tc>
      </w:tr>
      <w:tr w:rsidR="00C8707C" w:rsidTr="00CF71CF">
        <w:trPr>
          <w:trHeight w:val="20"/>
        </w:trPr>
        <w:tc>
          <w:tcPr>
            <w:cnfStyle w:val="001000000000" w:firstRow="0" w:lastRow="0" w:firstColumn="1" w:lastColumn="0" w:oddVBand="0" w:evenVBand="0" w:oddHBand="0" w:evenHBand="0" w:firstRowFirstColumn="0" w:firstRowLastColumn="0" w:lastRowFirstColumn="0" w:lastRowLastColumn="0"/>
            <w:tcW w:w="3492" w:type="dxa"/>
            <w:hideMark/>
          </w:tcPr>
          <w:p w:rsidR="00C8707C" w:rsidRPr="000B6417" w:rsidRDefault="00C8707C" w:rsidP="00CF71CF">
            <w:pPr>
              <w:rPr>
                <w:lang w:eastAsia="en-AU"/>
              </w:rPr>
            </w:pPr>
            <w:r w:rsidRPr="000B6417">
              <w:rPr>
                <w:lang w:eastAsia="en-AU"/>
              </w:rPr>
              <w:t>Nausea</w:t>
            </w:r>
          </w:p>
        </w:tc>
        <w:tc>
          <w:tcPr>
            <w:tcW w:w="1436"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3 </w:t>
            </w:r>
            <w:r w:rsidRPr="000B6417">
              <w:rPr>
                <w:spacing w:val="1"/>
                <w:lang w:eastAsia="en-AU"/>
              </w:rPr>
              <w:t>(25.0)</w:t>
            </w:r>
          </w:p>
        </w:tc>
        <w:tc>
          <w:tcPr>
            <w:tcW w:w="1417"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6 </w:t>
            </w:r>
            <w:r w:rsidRPr="000B6417">
              <w:rPr>
                <w:spacing w:val="1"/>
                <w:lang w:eastAsia="en-AU"/>
              </w:rPr>
              <w:t>(50.0)</w:t>
            </w:r>
          </w:p>
        </w:tc>
        <w:tc>
          <w:tcPr>
            <w:tcW w:w="1418"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4 </w:t>
            </w:r>
            <w:r w:rsidRPr="000B6417">
              <w:rPr>
                <w:spacing w:val="1"/>
                <w:lang w:eastAsia="en-AU"/>
              </w:rPr>
              <w:t>(33.3)</w:t>
            </w:r>
          </w:p>
        </w:tc>
        <w:tc>
          <w:tcPr>
            <w:tcW w:w="1402"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2 </w:t>
            </w:r>
            <w:r w:rsidRPr="000B6417">
              <w:rPr>
                <w:spacing w:val="1"/>
                <w:lang w:eastAsia="en-AU"/>
              </w:rPr>
              <w:t>(18.2)</w:t>
            </w:r>
          </w:p>
        </w:tc>
      </w:tr>
      <w:tr w:rsidR="00C8707C" w:rsidTr="00CF71CF">
        <w:trPr>
          <w:trHeight w:val="20"/>
        </w:trPr>
        <w:tc>
          <w:tcPr>
            <w:cnfStyle w:val="001000000000" w:firstRow="0" w:lastRow="0" w:firstColumn="1" w:lastColumn="0" w:oddVBand="0" w:evenVBand="0" w:oddHBand="0" w:evenHBand="0" w:firstRowFirstColumn="0" w:firstRowLastColumn="0" w:lastRowFirstColumn="0" w:lastRowLastColumn="0"/>
            <w:tcW w:w="3492" w:type="dxa"/>
            <w:hideMark/>
          </w:tcPr>
          <w:p w:rsidR="00C8707C" w:rsidRPr="000B6417" w:rsidRDefault="00C8707C" w:rsidP="00CF71CF">
            <w:pPr>
              <w:rPr>
                <w:lang w:eastAsia="en-AU"/>
              </w:rPr>
            </w:pPr>
            <w:r w:rsidRPr="000B6417">
              <w:rPr>
                <w:lang w:eastAsia="en-AU"/>
              </w:rPr>
              <w:t>Asthenia</w:t>
            </w:r>
          </w:p>
        </w:tc>
        <w:tc>
          <w:tcPr>
            <w:tcW w:w="1436"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5 </w:t>
            </w:r>
            <w:r w:rsidRPr="000B6417">
              <w:rPr>
                <w:spacing w:val="1"/>
                <w:lang w:eastAsia="en-AU"/>
              </w:rPr>
              <w:t>(41.7)</w:t>
            </w:r>
          </w:p>
        </w:tc>
        <w:tc>
          <w:tcPr>
            <w:tcW w:w="1417"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4 </w:t>
            </w:r>
            <w:r w:rsidRPr="000B6417">
              <w:rPr>
                <w:spacing w:val="1"/>
                <w:lang w:eastAsia="en-AU"/>
              </w:rPr>
              <w:t>(33.3)</w:t>
            </w:r>
          </w:p>
        </w:tc>
        <w:tc>
          <w:tcPr>
            <w:tcW w:w="1418"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1 </w:t>
            </w:r>
            <w:r w:rsidRPr="000B6417">
              <w:rPr>
                <w:spacing w:val="1"/>
                <w:lang w:eastAsia="en-AU"/>
              </w:rPr>
              <w:t>(8.3)</w:t>
            </w:r>
          </w:p>
        </w:tc>
        <w:tc>
          <w:tcPr>
            <w:tcW w:w="1402"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4 </w:t>
            </w:r>
            <w:r w:rsidRPr="000B6417">
              <w:rPr>
                <w:spacing w:val="1"/>
                <w:lang w:eastAsia="en-AU"/>
              </w:rPr>
              <w:t>(36.4)</w:t>
            </w:r>
          </w:p>
        </w:tc>
      </w:tr>
      <w:tr w:rsidR="00C8707C" w:rsidTr="00CF71CF">
        <w:trPr>
          <w:trHeight w:val="20"/>
        </w:trPr>
        <w:tc>
          <w:tcPr>
            <w:cnfStyle w:val="001000000000" w:firstRow="0" w:lastRow="0" w:firstColumn="1" w:lastColumn="0" w:oddVBand="0" w:evenVBand="0" w:oddHBand="0" w:evenHBand="0" w:firstRowFirstColumn="0" w:firstRowLastColumn="0" w:lastRowFirstColumn="0" w:lastRowLastColumn="0"/>
            <w:tcW w:w="3492" w:type="dxa"/>
            <w:hideMark/>
          </w:tcPr>
          <w:p w:rsidR="00C8707C" w:rsidRPr="000B6417" w:rsidRDefault="00C8707C" w:rsidP="00CF71CF">
            <w:pPr>
              <w:rPr>
                <w:lang w:eastAsia="en-AU"/>
              </w:rPr>
            </w:pPr>
            <w:r w:rsidRPr="000B6417">
              <w:rPr>
                <w:spacing w:val="2"/>
                <w:lang w:eastAsia="en-AU"/>
              </w:rPr>
              <w:t>Dr</w:t>
            </w:r>
            <w:r w:rsidRPr="000B6417">
              <w:rPr>
                <w:lang w:eastAsia="en-AU"/>
              </w:rPr>
              <w:t>y</w:t>
            </w:r>
            <w:r w:rsidRPr="000B6417">
              <w:rPr>
                <w:spacing w:val="-6"/>
                <w:lang w:eastAsia="en-AU"/>
              </w:rPr>
              <w:t xml:space="preserve"> </w:t>
            </w:r>
            <w:r w:rsidRPr="000B6417">
              <w:rPr>
                <w:lang w:eastAsia="en-AU"/>
              </w:rPr>
              <w:t>Skin</w:t>
            </w:r>
          </w:p>
        </w:tc>
        <w:tc>
          <w:tcPr>
            <w:tcW w:w="1436"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4 </w:t>
            </w:r>
            <w:r w:rsidRPr="000B6417">
              <w:rPr>
                <w:spacing w:val="1"/>
                <w:lang w:eastAsia="en-AU"/>
              </w:rPr>
              <w:t>(33.3)</w:t>
            </w:r>
          </w:p>
        </w:tc>
        <w:tc>
          <w:tcPr>
            <w:tcW w:w="1417"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2 </w:t>
            </w:r>
            <w:r w:rsidRPr="000B6417">
              <w:rPr>
                <w:spacing w:val="1"/>
                <w:lang w:eastAsia="en-AU"/>
              </w:rPr>
              <w:t>(16.7)</w:t>
            </w:r>
          </w:p>
        </w:tc>
        <w:tc>
          <w:tcPr>
            <w:tcW w:w="1418"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6 </w:t>
            </w:r>
            <w:r w:rsidRPr="000B6417">
              <w:rPr>
                <w:spacing w:val="1"/>
                <w:lang w:eastAsia="en-AU"/>
              </w:rPr>
              <w:t>(50.0)</w:t>
            </w:r>
          </w:p>
        </w:tc>
        <w:tc>
          <w:tcPr>
            <w:tcW w:w="1402"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1 </w:t>
            </w:r>
            <w:r w:rsidRPr="000B6417">
              <w:rPr>
                <w:spacing w:val="1"/>
                <w:lang w:eastAsia="en-AU"/>
              </w:rPr>
              <w:t>(9.1)</w:t>
            </w:r>
          </w:p>
        </w:tc>
      </w:tr>
      <w:tr w:rsidR="00C8707C" w:rsidTr="00CF71CF">
        <w:trPr>
          <w:trHeight w:val="20"/>
        </w:trPr>
        <w:tc>
          <w:tcPr>
            <w:cnfStyle w:val="001000000000" w:firstRow="0" w:lastRow="0" w:firstColumn="1" w:lastColumn="0" w:oddVBand="0" w:evenVBand="0" w:oddHBand="0" w:evenHBand="0" w:firstRowFirstColumn="0" w:firstRowLastColumn="0" w:lastRowFirstColumn="0" w:lastRowLastColumn="0"/>
            <w:tcW w:w="3492" w:type="dxa"/>
            <w:hideMark/>
          </w:tcPr>
          <w:p w:rsidR="00C8707C" w:rsidRPr="000B6417" w:rsidRDefault="00C8707C" w:rsidP="00CF71CF">
            <w:pPr>
              <w:rPr>
                <w:lang w:eastAsia="en-AU"/>
              </w:rPr>
            </w:pPr>
            <w:r w:rsidRPr="000B6417">
              <w:rPr>
                <w:spacing w:val="3"/>
                <w:lang w:eastAsia="en-AU"/>
              </w:rPr>
              <w:t>D</w:t>
            </w:r>
            <w:r w:rsidRPr="000B6417">
              <w:rPr>
                <w:spacing w:val="-4"/>
                <w:lang w:eastAsia="en-AU"/>
              </w:rPr>
              <w:t>y</w:t>
            </w:r>
            <w:r w:rsidRPr="000B6417">
              <w:rPr>
                <w:spacing w:val="1"/>
                <w:lang w:eastAsia="en-AU"/>
              </w:rPr>
              <w:t>spnoea</w:t>
            </w:r>
          </w:p>
        </w:tc>
        <w:tc>
          <w:tcPr>
            <w:tcW w:w="1436"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4 </w:t>
            </w:r>
            <w:r w:rsidRPr="000B6417">
              <w:rPr>
                <w:spacing w:val="1"/>
                <w:lang w:eastAsia="en-AU"/>
              </w:rPr>
              <w:t>(33.3)</w:t>
            </w:r>
          </w:p>
        </w:tc>
        <w:tc>
          <w:tcPr>
            <w:tcW w:w="1417"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1 </w:t>
            </w:r>
            <w:r w:rsidRPr="000B6417">
              <w:rPr>
                <w:spacing w:val="1"/>
                <w:lang w:eastAsia="en-AU"/>
              </w:rPr>
              <w:t>(8.3)</w:t>
            </w:r>
          </w:p>
        </w:tc>
        <w:tc>
          <w:tcPr>
            <w:tcW w:w="1418"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5 </w:t>
            </w:r>
            <w:r w:rsidRPr="000B6417">
              <w:rPr>
                <w:spacing w:val="1"/>
                <w:lang w:eastAsia="en-AU"/>
              </w:rPr>
              <w:t>(41.7)</w:t>
            </w:r>
          </w:p>
        </w:tc>
        <w:tc>
          <w:tcPr>
            <w:tcW w:w="1402"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3 </w:t>
            </w:r>
            <w:r w:rsidRPr="000B6417">
              <w:rPr>
                <w:spacing w:val="1"/>
                <w:lang w:eastAsia="en-AU"/>
              </w:rPr>
              <w:t>(27.3)</w:t>
            </w:r>
          </w:p>
        </w:tc>
      </w:tr>
      <w:tr w:rsidR="00C8707C" w:rsidTr="00CF71CF">
        <w:trPr>
          <w:trHeight w:val="20"/>
        </w:trPr>
        <w:tc>
          <w:tcPr>
            <w:cnfStyle w:val="001000000000" w:firstRow="0" w:lastRow="0" w:firstColumn="1" w:lastColumn="0" w:oddVBand="0" w:evenVBand="0" w:oddHBand="0" w:evenHBand="0" w:firstRowFirstColumn="0" w:firstRowLastColumn="0" w:lastRowFirstColumn="0" w:lastRowLastColumn="0"/>
            <w:tcW w:w="3492" w:type="dxa"/>
            <w:hideMark/>
          </w:tcPr>
          <w:p w:rsidR="00C8707C" w:rsidRPr="000B6417" w:rsidRDefault="00C8707C" w:rsidP="00CF71CF">
            <w:pPr>
              <w:rPr>
                <w:lang w:eastAsia="en-AU"/>
              </w:rPr>
            </w:pPr>
            <w:r w:rsidRPr="000B6417">
              <w:rPr>
                <w:lang w:eastAsia="en-AU"/>
              </w:rPr>
              <w:t>Insomnia</w:t>
            </w:r>
          </w:p>
        </w:tc>
        <w:tc>
          <w:tcPr>
            <w:tcW w:w="1436"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7 </w:t>
            </w:r>
            <w:r w:rsidRPr="000B6417">
              <w:rPr>
                <w:spacing w:val="1"/>
                <w:lang w:eastAsia="en-AU"/>
              </w:rPr>
              <w:t>(58.3)</w:t>
            </w:r>
          </w:p>
        </w:tc>
        <w:tc>
          <w:tcPr>
            <w:tcW w:w="1417"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2 </w:t>
            </w:r>
            <w:r w:rsidRPr="000B6417">
              <w:rPr>
                <w:spacing w:val="1"/>
                <w:lang w:eastAsia="en-AU"/>
              </w:rPr>
              <w:t>(16.7)</w:t>
            </w:r>
          </w:p>
        </w:tc>
        <w:tc>
          <w:tcPr>
            <w:tcW w:w="1418"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1 </w:t>
            </w:r>
            <w:r w:rsidRPr="000B6417">
              <w:rPr>
                <w:spacing w:val="1"/>
                <w:lang w:eastAsia="en-AU"/>
              </w:rPr>
              <w:t>(8.3)</w:t>
            </w:r>
          </w:p>
        </w:tc>
        <w:tc>
          <w:tcPr>
            <w:tcW w:w="1402"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1 </w:t>
            </w:r>
            <w:r w:rsidRPr="000B6417">
              <w:rPr>
                <w:spacing w:val="1"/>
                <w:lang w:eastAsia="en-AU"/>
              </w:rPr>
              <w:t>(9.1)</w:t>
            </w:r>
          </w:p>
        </w:tc>
      </w:tr>
      <w:tr w:rsidR="00C8707C" w:rsidTr="00CF71CF">
        <w:trPr>
          <w:trHeight w:val="20"/>
        </w:trPr>
        <w:tc>
          <w:tcPr>
            <w:cnfStyle w:val="001000000000" w:firstRow="0" w:lastRow="0" w:firstColumn="1" w:lastColumn="0" w:oddVBand="0" w:evenVBand="0" w:oddHBand="0" w:evenHBand="0" w:firstRowFirstColumn="0" w:firstRowLastColumn="0" w:lastRowFirstColumn="0" w:lastRowLastColumn="0"/>
            <w:tcW w:w="3492" w:type="dxa"/>
            <w:hideMark/>
          </w:tcPr>
          <w:p w:rsidR="00C8707C" w:rsidRPr="000B6417" w:rsidRDefault="00C8707C" w:rsidP="00CF71CF">
            <w:pPr>
              <w:rPr>
                <w:lang w:eastAsia="en-AU"/>
              </w:rPr>
            </w:pPr>
            <w:r w:rsidRPr="000B6417">
              <w:rPr>
                <w:spacing w:val="1"/>
                <w:lang w:eastAsia="en-AU"/>
              </w:rPr>
              <w:t>Irritability</w:t>
            </w:r>
          </w:p>
        </w:tc>
        <w:tc>
          <w:tcPr>
            <w:tcW w:w="1436"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4 </w:t>
            </w:r>
            <w:r w:rsidRPr="000B6417">
              <w:rPr>
                <w:spacing w:val="1"/>
                <w:lang w:eastAsia="en-AU"/>
              </w:rPr>
              <w:t>(33.3)</w:t>
            </w:r>
          </w:p>
        </w:tc>
        <w:tc>
          <w:tcPr>
            <w:tcW w:w="1417"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1 </w:t>
            </w:r>
            <w:r w:rsidRPr="000B6417">
              <w:rPr>
                <w:spacing w:val="1"/>
                <w:lang w:eastAsia="en-AU"/>
              </w:rPr>
              <w:t>(8.3)</w:t>
            </w:r>
          </w:p>
        </w:tc>
        <w:tc>
          <w:tcPr>
            <w:tcW w:w="1418"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2 </w:t>
            </w:r>
            <w:r w:rsidRPr="000B6417">
              <w:rPr>
                <w:spacing w:val="1"/>
                <w:lang w:eastAsia="en-AU"/>
              </w:rPr>
              <w:t>(16.7)</w:t>
            </w:r>
          </w:p>
        </w:tc>
        <w:tc>
          <w:tcPr>
            <w:tcW w:w="1402"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4 </w:t>
            </w:r>
            <w:r w:rsidRPr="000B6417">
              <w:rPr>
                <w:spacing w:val="1"/>
                <w:lang w:eastAsia="en-AU"/>
              </w:rPr>
              <w:t>(36.4)</w:t>
            </w:r>
          </w:p>
        </w:tc>
      </w:tr>
      <w:tr w:rsidR="00C8707C" w:rsidTr="00CF71CF">
        <w:trPr>
          <w:trHeight w:val="20"/>
        </w:trPr>
        <w:tc>
          <w:tcPr>
            <w:cnfStyle w:val="001000000000" w:firstRow="0" w:lastRow="0" w:firstColumn="1" w:lastColumn="0" w:oddVBand="0" w:evenVBand="0" w:oddHBand="0" w:evenHBand="0" w:firstRowFirstColumn="0" w:firstRowLastColumn="0" w:lastRowFirstColumn="0" w:lastRowLastColumn="0"/>
            <w:tcW w:w="3492" w:type="dxa"/>
            <w:hideMark/>
          </w:tcPr>
          <w:p w:rsidR="00C8707C" w:rsidRPr="000B6417" w:rsidRDefault="00C8707C" w:rsidP="00CF71CF">
            <w:pPr>
              <w:rPr>
                <w:lang w:eastAsia="en-AU"/>
              </w:rPr>
            </w:pPr>
            <w:r w:rsidRPr="000B6417">
              <w:rPr>
                <w:lang w:eastAsia="en-AU"/>
              </w:rPr>
              <w:t>Alopecia</w:t>
            </w:r>
          </w:p>
        </w:tc>
        <w:tc>
          <w:tcPr>
            <w:tcW w:w="1436"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5 </w:t>
            </w:r>
            <w:r w:rsidRPr="000B6417">
              <w:rPr>
                <w:spacing w:val="1"/>
                <w:lang w:eastAsia="en-AU"/>
              </w:rPr>
              <w:t>(41.7)</w:t>
            </w:r>
          </w:p>
        </w:tc>
        <w:tc>
          <w:tcPr>
            <w:tcW w:w="1417"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2 </w:t>
            </w:r>
            <w:r w:rsidRPr="000B6417">
              <w:rPr>
                <w:spacing w:val="1"/>
                <w:lang w:eastAsia="en-AU"/>
              </w:rPr>
              <w:t>(16.7)</w:t>
            </w:r>
          </w:p>
        </w:tc>
        <w:tc>
          <w:tcPr>
            <w:tcW w:w="1418"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w w:val="99"/>
                <w:lang w:eastAsia="en-AU"/>
              </w:rPr>
              <w:t>0</w:t>
            </w:r>
          </w:p>
        </w:tc>
        <w:tc>
          <w:tcPr>
            <w:tcW w:w="1402"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3 </w:t>
            </w:r>
            <w:r w:rsidRPr="000B6417">
              <w:rPr>
                <w:spacing w:val="1"/>
                <w:lang w:eastAsia="en-AU"/>
              </w:rPr>
              <w:t>(27.3)</w:t>
            </w:r>
          </w:p>
        </w:tc>
      </w:tr>
      <w:tr w:rsidR="00C8707C" w:rsidTr="00CF71CF">
        <w:trPr>
          <w:trHeight w:val="20"/>
        </w:trPr>
        <w:tc>
          <w:tcPr>
            <w:cnfStyle w:val="001000000000" w:firstRow="0" w:lastRow="0" w:firstColumn="1" w:lastColumn="0" w:oddVBand="0" w:evenVBand="0" w:oddHBand="0" w:evenHBand="0" w:firstRowFirstColumn="0" w:firstRowLastColumn="0" w:lastRowFirstColumn="0" w:lastRowLastColumn="0"/>
            <w:tcW w:w="3492" w:type="dxa"/>
            <w:hideMark/>
          </w:tcPr>
          <w:p w:rsidR="00C8707C" w:rsidRPr="000B6417" w:rsidRDefault="00C8707C" w:rsidP="00CF71CF">
            <w:pPr>
              <w:rPr>
                <w:lang w:eastAsia="en-AU"/>
              </w:rPr>
            </w:pPr>
            <w:r w:rsidRPr="000B6417">
              <w:rPr>
                <w:lang w:eastAsia="en-AU"/>
              </w:rPr>
              <w:t>Arthralgia</w:t>
            </w:r>
          </w:p>
        </w:tc>
        <w:tc>
          <w:tcPr>
            <w:tcW w:w="1436"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2 </w:t>
            </w:r>
            <w:r w:rsidRPr="000B6417">
              <w:rPr>
                <w:spacing w:val="1"/>
                <w:lang w:eastAsia="en-AU"/>
              </w:rPr>
              <w:t>(16.7)</w:t>
            </w:r>
          </w:p>
        </w:tc>
        <w:tc>
          <w:tcPr>
            <w:tcW w:w="1417"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1 </w:t>
            </w:r>
            <w:r w:rsidRPr="000B6417">
              <w:rPr>
                <w:spacing w:val="1"/>
                <w:lang w:eastAsia="en-AU"/>
              </w:rPr>
              <w:t>(8.3)</w:t>
            </w:r>
          </w:p>
        </w:tc>
        <w:tc>
          <w:tcPr>
            <w:tcW w:w="1418"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1 </w:t>
            </w:r>
            <w:r w:rsidRPr="000B6417">
              <w:rPr>
                <w:spacing w:val="1"/>
                <w:lang w:eastAsia="en-AU"/>
              </w:rPr>
              <w:t>(8.3)</w:t>
            </w:r>
          </w:p>
        </w:tc>
        <w:tc>
          <w:tcPr>
            <w:tcW w:w="1402"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4</w:t>
            </w:r>
            <w:r w:rsidRPr="000B6417">
              <w:rPr>
                <w:spacing w:val="1"/>
                <w:lang w:eastAsia="en-AU"/>
              </w:rPr>
              <w:t xml:space="preserve"> (36.4)</w:t>
            </w:r>
          </w:p>
        </w:tc>
      </w:tr>
      <w:tr w:rsidR="00C8707C" w:rsidTr="00CF71CF">
        <w:trPr>
          <w:trHeight w:val="20"/>
        </w:trPr>
        <w:tc>
          <w:tcPr>
            <w:cnfStyle w:val="001000000000" w:firstRow="0" w:lastRow="0" w:firstColumn="1" w:lastColumn="0" w:oddVBand="0" w:evenVBand="0" w:oddHBand="0" w:evenHBand="0" w:firstRowFirstColumn="0" w:firstRowLastColumn="0" w:lastRowFirstColumn="0" w:lastRowLastColumn="0"/>
            <w:tcW w:w="3492" w:type="dxa"/>
            <w:hideMark/>
          </w:tcPr>
          <w:p w:rsidR="00C8707C" w:rsidRPr="000B6417" w:rsidRDefault="00C8707C" w:rsidP="00CF71CF">
            <w:pPr>
              <w:rPr>
                <w:lang w:eastAsia="en-AU"/>
              </w:rPr>
            </w:pPr>
            <w:r w:rsidRPr="000B6417">
              <w:rPr>
                <w:spacing w:val="-2"/>
                <w:lang w:eastAsia="en-AU"/>
              </w:rPr>
              <w:t>A</w:t>
            </w:r>
            <w:r w:rsidRPr="000B6417">
              <w:rPr>
                <w:spacing w:val="3"/>
                <w:lang w:eastAsia="en-AU"/>
              </w:rPr>
              <w:t>E</w:t>
            </w:r>
            <w:r w:rsidRPr="000B6417">
              <w:rPr>
                <w:lang w:eastAsia="en-AU"/>
              </w:rPr>
              <w:t>s;</w:t>
            </w:r>
            <w:r w:rsidRPr="000B6417">
              <w:rPr>
                <w:spacing w:val="-3"/>
                <w:lang w:eastAsia="en-AU"/>
              </w:rPr>
              <w:t xml:space="preserve"> </w:t>
            </w:r>
            <w:r w:rsidRPr="000B6417">
              <w:rPr>
                <w:lang w:eastAsia="en-AU"/>
              </w:rPr>
              <w:t>Grade</w:t>
            </w:r>
            <w:r w:rsidRPr="000B6417">
              <w:rPr>
                <w:spacing w:val="-4"/>
                <w:lang w:eastAsia="en-AU"/>
              </w:rPr>
              <w:t xml:space="preserve"> </w:t>
            </w:r>
            <w:r w:rsidRPr="000B6417">
              <w:rPr>
                <w:lang w:eastAsia="en-AU"/>
              </w:rPr>
              <w:t>3 to</w:t>
            </w:r>
            <w:r w:rsidRPr="000B6417">
              <w:rPr>
                <w:spacing w:val="-1"/>
                <w:lang w:eastAsia="en-AU"/>
              </w:rPr>
              <w:t xml:space="preserve"> </w:t>
            </w:r>
            <w:r w:rsidRPr="000B6417">
              <w:rPr>
                <w:lang w:eastAsia="en-AU"/>
              </w:rPr>
              <w:t>4</w:t>
            </w:r>
          </w:p>
        </w:tc>
        <w:tc>
          <w:tcPr>
            <w:tcW w:w="1436"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1 </w:t>
            </w:r>
            <w:r w:rsidRPr="000B6417">
              <w:rPr>
                <w:spacing w:val="1"/>
                <w:lang w:eastAsia="en-AU"/>
              </w:rPr>
              <w:t>(8.3)</w:t>
            </w:r>
          </w:p>
        </w:tc>
        <w:tc>
          <w:tcPr>
            <w:tcW w:w="1417"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2 </w:t>
            </w:r>
            <w:r w:rsidRPr="000B6417">
              <w:rPr>
                <w:spacing w:val="1"/>
                <w:lang w:eastAsia="en-AU"/>
              </w:rPr>
              <w:t>(16.7)</w:t>
            </w:r>
          </w:p>
        </w:tc>
        <w:tc>
          <w:tcPr>
            <w:tcW w:w="1418"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4 </w:t>
            </w:r>
            <w:r w:rsidRPr="000B6417">
              <w:rPr>
                <w:spacing w:val="1"/>
                <w:lang w:eastAsia="en-AU"/>
              </w:rPr>
              <w:t>(33.3)</w:t>
            </w:r>
          </w:p>
        </w:tc>
        <w:tc>
          <w:tcPr>
            <w:tcW w:w="1402"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3 </w:t>
            </w:r>
            <w:r w:rsidRPr="000B6417">
              <w:rPr>
                <w:spacing w:val="1"/>
                <w:lang w:eastAsia="en-AU"/>
              </w:rPr>
              <w:t>(27.3)</w:t>
            </w:r>
          </w:p>
        </w:tc>
      </w:tr>
      <w:tr w:rsidR="00C8707C" w:rsidTr="00CF71CF">
        <w:trPr>
          <w:trHeight w:val="20"/>
        </w:trPr>
        <w:tc>
          <w:tcPr>
            <w:cnfStyle w:val="001000000000" w:firstRow="0" w:lastRow="0" w:firstColumn="1" w:lastColumn="0" w:oddVBand="0" w:evenVBand="0" w:oddHBand="0" w:evenHBand="0" w:firstRowFirstColumn="0" w:firstRowLastColumn="0" w:lastRowFirstColumn="0" w:lastRowLastColumn="0"/>
            <w:tcW w:w="9165" w:type="dxa"/>
            <w:gridSpan w:val="5"/>
            <w:hideMark/>
          </w:tcPr>
          <w:p w:rsidR="00C8707C" w:rsidRPr="000B6417" w:rsidRDefault="00C8707C" w:rsidP="00CF71CF">
            <w:pPr>
              <w:rPr>
                <w:lang w:eastAsia="en-AU"/>
              </w:rPr>
            </w:pPr>
            <w:r w:rsidRPr="000B6417">
              <w:rPr>
                <w:lang w:eastAsia="en-AU"/>
              </w:rPr>
              <w:t>Laboratory</w:t>
            </w:r>
            <w:r w:rsidRPr="000B6417">
              <w:rPr>
                <w:spacing w:val="-9"/>
                <w:lang w:eastAsia="en-AU"/>
              </w:rPr>
              <w:t xml:space="preserve"> </w:t>
            </w:r>
            <w:r w:rsidRPr="000B6417">
              <w:rPr>
                <w:lang w:eastAsia="en-AU"/>
              </w:rPr>
              <w:t>abnormalities,</w:t>
            </w:r>
            <w:r w:rsidRPr="000B6417">
              <w:rPr>
                <w:spacing w:val="-11"/>
                <w:lang w:eastAsia="en-AU"/>
              </w:rPr>
              <w:t xml:space="preserve"> </w:t>
            </w:r>
            <w:r w:rsidRPr="000B6417">
              <w:rPr>
                <w:lang w:eastAsia="en-AU"/>
              </w:rPr>
              <w:t>Grade</w:t>
            </w:r>
            <w:r w:rsidRPr="000B6417">
              <w:rPr>
                <w:spacing w:val="-4"/>
                <w:lang w:eastAsia="en-AU"/>
              </w:rPr>
              <w:t xml:space="preserve"> </w:t>
            </w:r>
            <w:r w:rsidRPr="000B6417">
              <w:rPr>
                <w:lang w:eastAsia="en-AU"/>
              </w:rPr>
              <w:t>3</w:t>
            </w:r>
            <w:r w:rsidRPr="000B6417">
              <w:rPr>
                <w:spacing w:val="1"/>
                <w:lang w:eastAsia="en-AU"/>
              </w:rPr>
              <w:t xml:space="preserve"> </w:t>
            </w:r>
            <w:r w:rsidRPr="000B6417">
              <w:rPr>
                <w:lang w:eastAsia="en-AU"/>
              </w:rPr>
              <w:t>to</w:t>
            </w:r>
            <w:r w:rsidRPr="000B6417">
              <w:rPr>
                <w:spacing w:val="-3"/>
                <w:lang w:eastAsia="en-AU"/>
              </w:rPr>
              <w:t xml:space="preserve"> </w:t>
            </w:r>
            <w:r w:rsidRPr="000B6417">
              <w:rPr>
                <w:lang w:eastAsia="en-AU"/>
              </w:rPr>
              <w:t>4</w:t>
            </w:r>
          </w:p>
        </w:tc>
      </w:tr>
      <w:tr w:rsidR="00C8707C" w:rsidTr="00CF71CF">
        <w:trPr>
          <w:trHeight w:val="20"/>
        </w:trPr>
        <w:tc>
          <w:tcPr>
            <w:cnfStyle w:val="001000000000" w:firstRow="0" w:lastRow="0" w:firstColumn="1" w:lastColumn="0" w:oddVBand="0" w:evenVBand="0" w:oddHBand="0" w:evenHBand="0" w:firstRowFirstColumn="0" w:firstRowLastColumn="0" w:lastRowFirstColumn="0" w:lastRowLastColumn="0"/>
            <w:tcW w:w="3492" w:type="dxa"/>
            <w:hideMark/>
          </w:tcPr>
          <w:p w:rsidR="00C8707C" w:rsidRPr="000B6417" w:rsidRDefault="00C8707C" w:rsidP="00CF71CF">
            <w:pPr>
              <w:rPr>
                <w:lang w:eastAsia="en-AU"/>
              </w:rPr>
            </w:pPr>
            <w:r w:rsidRPr="000B6417">
              <w:rPr>
                <w:lang w:eastAsia="en-AU"/>
              </w:rPr>
              <w:t>Neutrophils</w:t>
            </w:r>
            <w:r w:rsidRPr="000B6417">
              <w:rPr>
                <w:spacing w:val="-9"/>
                <w:lang w:eastAsia="en-AU"/>
              </w:rPr>
              <w:t xml:space="preserve"> </w:t>
            </w:r>
            <w:r w:rsidRPr="000B6417">
              <w:rPr>
                <w:lang w:eastAsia="en-AU"/>
              </w:rPr>
              <w:t>+</w:t>
            </w:r>
            <w:r w:rsidRPr="000B6417">
              <w:rPr>
                <w:spacing w:val="-1"/>
                <w:lang w:eastAsia="en-AU"/>
              </w:rPr>
              <w:t xml:space="preserve"> </w:t>
            </w:r>
            <w:r w:rsidRPr="000B6417">
              <w:rPr>
                <w:lang w:eastAsia="en-AU"/>
              </w:rPr>
              <w:t>bands</w:t>
            </w:r>
          </w:p>
        </w:tc>
        <w:tc>
          <w:tcPr>
            <w:tcW w:w="1436"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3 </w:t>
            </w:r>
            <w:r w:rsidRPr="000B6417">
              <w:rPr>
                <w:spacing w:val="1"/>
                <w:lang w:eastAsia="en-AU"/>
              </w:rPr>
              <w:t>(25.0)</w:t>
            </w:r>
          </w:p>
        </w:tc>
        <w:tc>
          <w:tcPr>
            <w:tcW w:w="1417"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4 </w:t>
            </w:r>
            <w:r w:rsidRPr="000B6417">
              <w:rPr>
                <w:spacing w:val="1"/>
                <w:lang w:eastAsia="en-AU"/>
              </w:rPr>
              <w:t>(33.3)</w:t>
            </w:r>
          </w:p>
        </w:tc>
        <w:tc>
          <w:tcPr>
            <w:tcW w:w="1418"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4 </w:t>
            </w:r>
            <w:r w:rsidRPr="000B6417">
              <w:rPr>
                <w:spacing w:val="1"/>
                <w:lang w:eastAsia="en-AU"/>
              </w:rPr>
              <w:t>(33.3)</w:t>
            </w:r>
          </w:p>
        </w:tc>
        <w:tc>
          <w:tcPr>
            <w:tcW w:w="1402"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2 </w:t>
            </w:r>
            <w:r w:rsidRPr="000B6417">
              <w:rPr>
                <w:spacing w:val="1"/>
                <w:lang w:eastAsia="en-AU"/>
              </w:rPr>
              <w:t>(18.2)</w:t>
            </w:r>
          </w:p>
        </w:tc>
      </w:tr>
      <w:tr w:rsidR="00C8707C" w:rsidTr="00CF71CF">
        <w:trPr>
          <w:trHeight w:val="20"/>
        </w:trPr>
        <w:tc>
          <w:tcPr>
            <w:cnfStyle w:val="001000000000" w:firstRow="0" w:lastRow="0" w:firstColumn="1" w:lastColumn="0" w:oddVBand="0" w:evenVBand="0" w:oddHBand="0" w:evenHBand="0" w:firstRowFirstColumn="0" w:firstRowLastColumn="0" w:lastRowFirstColumn="0" w:lastRowLastColumn="0"/>
            <w:tcW w:w="3492" w:type="dxa"/>
            <w:hideMark/>
          </w:tcPr>
          <w:p w:rsidR="00C8707C" w:rsidRPr="000B6417" w:rsidRDefault="00C8707C" w:rsidP="00CF71CF">
            <w:pPr>
              <w:rPr>
                <w:lang w:eastAsia="en-AU"/>
              </w:rPr>
            </w:pPr>
            <w:r w:rsidRPr="000B6417">
              <w:rPr>
                <w:spacing w:val="1"/>
                <w:lang w:eastAsia="en-AU"/>
              </w:rPr>
              <w:t>WBC</w:t>
            </w:r>
          </w:p>
        </w:tc>
        <w:tc>
          <w:tcPr>
            <w:tcW w:w="1436"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w w:val="99"/>
                <w:lang w:eastAsia="en-AU"/>
              </w:rPr>
              <w:t>0</w:t>
            </w:r>
          </w:p>
        </w:tc>
        <w:tc>
          <w:tcPr>
            <w:tcW w:w="1417"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2 </w:t>
            </w:r>
            <w:r w:rsidRPr="000B6417">
              <w:rPr>
                <w:spacing w:val="1"/>
                <w:lang w:eastAsia="en-AU"/>
              </w:rPr>
              <w:t>(16.7)</w:t>
            </w:r>
          </w:p>
        </w:tc>
        <w:tc>
          <w:tcPr>
            <w:tcW w:w="1418"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3 </w:t>
            </w:r>
            <w:r w:rsidRPr="000B6417">
              <w:rPr>
                <w:spacing w:val="1"/>
                <w:lang w:eastAsia="en-AU"/>
              </w:rPr>
              <w:t>(25.0)</w:t>
            </w:r>
          </w:p>
        </w:tc>
        <w:tc>
          <w:tcPr>
            <w:tcW w:w="1402"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1 </w:t>
            </w:r>
            <w:r w:rsidRPr="000B6417">
              <w:rPr>
                <w:spacing w:val="1"/>
                <w:lang w:eastAsia="en-AU"/>
              </w:rPr>
              <w:t>(9.1)</w:t>
            </w:r>
          </w:p>
        </w:tc>
      </w:tr>
      <w:tr w:rsidR="00C8707C" w:rsidTr="00CF71CF">
        <w:trPr>
          <w:trHeight w:val="20"/>
        </w:trPr>
        <w:tc>
          <w:tcPr>
            <w:cnfStyle w:val="001000000000" w:firstRow="0" w:lastRow="0" w:firstColumn="1" w:lastColumn="0" w:oddVBand="0" w:evenVBand="0" w:oddHBand="0" w:evenHBand="0" w:firstRowFirstColumn="0" w:firstRowLastColumn="0" w:lastRowFirstColumn="0" w:lastRowLastColumn="0"/>
            <w:tcW w:w="3492" w:type="dxa"/>
            <w:hideMark/>
          </w:tcPr>
          <w:p w:rsidR="00C8707C" w:rsidRPr="000B6417" w:rsidRDefault="00C8707C" w:rsidP="00CF71CF">
            <w:pPr>
              <w:rPr>
                <w:spacing w:val="1"/>
                <w:lang w:eastAsia="en-AU"/>
              </w:rPr>
            </w:pPr>
            <w:r w:rsidRPr="000B6417">
              <w:rPr>
                <w:w w:val="99"/>
                <w:lang w:eastAsia="en-AU"/>
              </w:rPr>
              <w:t>Lymphocytes</w:t>
            </w:r>
          </w:p>
        </w:tc>
        <w:tc>
          <w:tcPr>
            <w:tcW w:w="1436"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w w:val="99"/>
                <w:lang w:eastAsia="en-AU"/>
              </w:rPr>
            </w:pPr>
            <w:r w:rsidRPr="000B6417">
              <w:rPr>
                <w:w w:val="99"/>
                <w:lang w:eastAsia="en-AU"/>
              </w:rPr>
              <w:t>1</w:t>
            </w:r>
            <w:r w:rsidRPr="000B6417">
              <w:rPr>
                <w:spacing w:val="-61"/>
                <w:w w:val="99"/>
                <w:lang w:eastAsia="en-AU"/>
              </w:rPr>
              <w:t xml:space="preserve"> </w:t>
            </w:r>
            <w:r w:rsidRPr="000B6417">
              <w:rPr>
                <w:spacing w:val="1"/>
                <w:w w:val="99"/>
                <w:lang w:eastAsia="en-AU"/>
              </w:rPr>
              <w:t>(8.3)</w:t>
            </w:r>
          </w:p>
        </w:tc>
        <w:tc>
          <w:tcPr>
            <w:tcW w:w="1417"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w w:val="99"/>
                <w:lang w:eastAsia="en-AU"/>
              </w:rPr>
              <w:t>1</w:t>
            </w:r>
            <w:r w:rsidRPr="000B6417">
              <w:rPr>
                <w:spacing w:val="-61"/>
                <w:w w:val="99"/>
                <w:lang w:eastAsia="en-AU"/>
              </w:rPr>
              <w:t xml:space="preserve"> </w:t>
            </w:r>
            <w:r w:rsidRPr="000B6417">
              <w:rPr>
                <w:spacing w:val="1"/>
                <w:w w:val="99"/>
                <w:lang w:eastAsia="en-AU"/>
              </w:rPr>
              <w:t>(8.3)</w:t>
            </w:r>
          </w:p>
        </w:tc>
        <w:tc>
          <w:tcPr>
            <w:tcW w:w="1418"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w w:val="99"/>
                <w:lang w:eastAsia="en-AU"/>
              </w:rPr>
              <w:t>3</w:t>
            </w:r>
            <w:r w:rsidRPr="000B6417">
              <w:rPr>
                <w:spacing w:val="-61"/>
                <w:w w:val="99"/>
                <w:lang w:eastAsia="en-AU"/>
              </w:rPr>
              <w:t xml:space="preserve"> </w:t>
            </w:r>
            <w:r w:rsidRPr="000B6417">
              <w:rPr>
                <w:spacing w:val="1"/>
                <w:w w:val="99"/>
                <w:lang w:eastAsia="en-AU"/>
              </w:rPr>
              <w:t>(25.0)</w:t>
            </w:r>
          </w:p>
        </w:tc>
        <w:tc>
          <w:tcPr>
            <w:tcW w:w="1402"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w w:val="99"/>
                <w:lang w:eastAsia="en-AU"/>
              </w:rPr>
              <w:t>0</w:t>
            </w:r>
          </w:p>
        </w:tc>
      </w:tr>
      <w:tr w:rsidR="00C8707C" w:rsidTr="00CF71CF">
        <w:trPr>
          <w:trHeight w:val="20"/>
        </w:trPr>
        <w:tc>
          <w:tcPr>
            <w:cnfStyle w:val="001000000000" w:firstRow="0" w:lastRow="0" w:firstColumn="1" w:lastColumn="0" w:oddVBand="0" w:evenVBand="0" w:oddHBand="0" w:evenHBand="0" w:firstRowFirstColumn="0" w:firstRowLastColumn="0" w:lastRowFirstColumn="0" w:lastRowLastColumn="0"/>
            <w:tcW w:w="3492" w:type="dxa"/>
            <w:hideMark/>
          </w:tcPr>
          <w:p w:rsidR="00C8707C" w:rsidRPr="000B6417" w:rsidRDefault="00C8707C" w:rsidP="00CF71CF">
            <w:pPr>
              <w:rPr>
                <w:lang w:eastAsia="en-AU"/>
              </w:rPr>
            </w:pPr>
            <w:r w:rsidRPr="000B6417">
              <w:rPr>
                <w:spacing w:val="-1"/>
                <w:lang w:eastAsia="en-AU"/>
              </w:rPr>
              <w:t>ALT</w:t>
            </w:r>
          </w:p>
        </w:tc>
        <w:tc>
          <w:tcPr>
            <w:tcW w:w="1436"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spacing w:val="1"/>
                <w:w w:val="99"/>
                <w:lang w:eastAsia="en-AU"/>
              </w:rPr>
            </w:pPr>
            <w:r w:rsidRPr="000B6417">
              <w:rPr>
                <w:spacing w:val="1"/>
                <w:w w:val="99"/>
                <w:lang w:eastAsia="en-AU"/>
              </w:rPr>
              <w:t>0</w:t>
            </w:r>
          </w:p>
        </w:tc>
        <w:tc>
          <w:tcPr>
            <w:tcW w:w="1417"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spacing w:val="1"/>
                <w:w w:val="99"/>
                <w:lang w:eastAsia="en-AU"/>
              </w:rPr>
            </w:pPr>
            <w:r w:rsidRPr="000B6417">
              <w:rPr>
                <w:spacing w:val="1"/>
                <w:w w:val="99"/>
                <w:lang w:eastAsia="en-AU"/>
              </w:rPr>
              <w:t>1 (8.3)</w:t>
            </w:r>
          </w:p>
        </w:tc>
        <w:tc>
          <w:tcPr>
            <w:tcW w:w="1418"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spacing w:val="1"/>
                <w:w w:val="99"/>
                <w:lang w:eastAsia="en-AU"/>
              </w:rPr>
            </w:pPr>
            <w:r w:rsidRPr="000B6417">
              <w:rPr>
                <w:spacing w:val="1"/>
                <w:w w:val="99"/>
                <w:lang w:eastAsia="en-AU"/>
              </w:rPr>
              <w:t>2 (16.7)</w:t>
            </w:r>
          </w:p>
        </w:tc>
        <w:tc>
          <w:tcPr>
            <w:tcW w:w="1402"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spacing w:val="1"/>
                <w:w w:val="99"/>
                <w:lang w:eastAsia="en-AU"/>
              </w:rPr>
            </w:pPr>
            <w:r w:rsidRPr="000B6417">
              <w:rPr>
                <w:spacing w:val="1"/>
                <w:w w:val="99"/>
                <w:lang w:eastAsia="en-AU"/>
              </w:rPr>
              <w:t>0</w:t>
            </w:r>
          </w:p>
        </w:tc>
      </w:tr>
      <w:tr w:rsidR="00C8707C" w:rsidTr="00CF71CF">
        <w:trPr>
          <w:trHeight w:val="20"/>
        </w:trPr>
        <w:tc>
          <w:tcPr>
            <w:cnfStyle w:val="001000000000" w:firstRow="0" w:lastRow="0" w:firstColumn="1" w:lastColumn="0" w:oddVBand="0" w:evenVBand="0" w:oddHBand="0" w:evenHBand="0" w:firstRowFirstColumn="0" w:firstRowLastColumn="0" w:lastRowFirstColumn="0" w:lastRowLastColumn="0"/>
            <w:tcW w:w="3492" w:type="dxa"/>
            <w:hideMark/>
          </w:tcPr>
          <w:p w:rsidR="00C8707C" w:rsidRPr="000B6417" w:rsidRDefault="00C8707C" w:rsidP="00CF71CF">
            <w:pPr>
              <w:rPr>
                <w:lang w:eastAsia="en-AU"/>
              </w:rPr>
            </w:pPr>
            <w:r w:rsidRPr="000B6417">
              <w:rPr>
                <w:lang w:eastAsia="en-AU"/>
              </w:rPr>
              <w:lastRenderedPageBreak/>
              <w:t>AST</w:t>
            </w:r>
          </w:p>
        </w:tc>
        <w:tc>
          <w:tcPr>
            <w:tcW w:w="1436"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spacing w:val="1"/>
                <w:w w:val="99"/>
                <w:lang w:eastAsia="en-AU"/>
              </w:rPr>
            </w:pPr>
            <w:r w:rsidRPr="000B6417">
              <w:rPr>
                <w:spacing w:val="1"/>
                <w:w w:val="99"/>
                <w:lang w:eastAsia="en-AU"/>
              </w:rPr>
              <w:t>0</w:t>
            </w:r>
          </w:p>
        </w:tc>
        <w:tc>
          <w:tcPr>
            <w:tcW w:w="1417"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spacing w:val="1"/>
                <w:w w:val="99"/>
                <w:lang w:eastAsia="en-AU"/>
              </w:rPr>
            </w:pPr>
            <w:r w:rsidRPr="000B6417">
              <w:rPr>
                <w:spacing w:val="1"/>
                <w:w w:val="99"/>
                <w:lang w:eastAsia="en-AU"/>
              </w:rPr>
              <w:t>1 (8.3)</w:t>
            </w:r>
          </w:p>
        </w:tc>
        <w:tc>
          <w:tcPr>
            <w:tcW w:w="1418"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spacing w:val="1"/>
                <w:w w:val="99"/>
                <w:lang w:eastAsia="en-AU"/>
              </w:rPr>
            </w:pPr>
            <w:r w:rsidRPr="000B6417">
              <w:rPr>
                <w:spacing w:val="1"/>
                <w:w w:val="99"/>
                <w:lang w:eastAsia="en-AU"/>
              </w:rPr>
              <w:t>2 (16.7)</w:t>
            </w:r>
          </w:p>
        </w:tc>
        <w:tc>
          <w:tcPr>
            <w:tcW w:w="1402"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spacing w:val="1"/>
                <w:w w:val="99"/>
                <w:lang w:eastAsia="en-AU"/>
              </w:rPr>
            </w:pPr>
            <w:r w:rsidRPr="000B6417">
              <w:rPr>
                <w:spacing w:val="1"/>
                <w:w w:val="99"/>
                <w:lang w:eastAsia="en-AU"/>
              </w:rPr>
              <w:t>0</w:t>
            </w:r>
          </w:p>
        </w:tc>
      </w:tr>
      <w:tr w:rsidR="00C8707C" w:rsidTr="00CF71CF">
        <w:trPr>
          <w:trHeight w:val="20"/>
        </w:trPr>
        <w:tc>
          <w:tcPr>
            <w:cnfStyle w:val="001000000000" w:firstRow="0" w:lastRow="0" w:firstColumn="1" w:lastColumn="0" w:oddVBand="0" w:evenVBand="0" w:oddHBand="0" w:evenHBand="0" w:firstRowFirstColumn="0" w:firstRowLastColumn="0" w:lastRowFirstColumn="0" w:lastRowLastColumn="0"/>
            <w:tcW w:w="3492" w:type="dxa"/>
            <w:hideMark/>
          </w:tcPr>
          <w:p w:rsidR="00C8707C" w:rsidRPr="000B6417" w:rsidRDefault="00C8707C" w:rsidP="00CF71CF">
            <w:pPr>
              <w:rPr>
                <w:lang w:eastAsia="en-AU"/>
              </w:rPr>
            </w:pPr>
            <w:r w:rsidRPr="000B6417">
              <w:rPr>
                <w:spacing w:val="1"/>
                <w:lang w:eastAsia="en-AU"/>
              </w:rPr>
              <w:t>Hae</w:t>
            </w:r>
            <w:r w:rsidRPr="000B6417">
              <w:rPr>
                <w:spacing w:val="-4"/>
                <w:lang w:eastAsia="en-AU"/>
              </w:rPr>
              <w:t>m</w:t>
            </w:r>
            <w:r w:rsidRPr="000B6417">
              <w:rPr>
                <w:spacing w:val="1"/>
                <w:lang w:eastAsia="en-AU"/>
              </w:rPr>
              <w:t>oglobin</w:t>
            </w:r>
          </w:p>
        </w:tc>
        <w:tc>
          <w:tcPr>
            <w:tcW w:w="1436"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spacing w:val="1"/>
                <w:w w:val="99"/>
                <w:lang w:eastAsia="en-AU"/>
              </w:rPr>
            </w:pPr>
            <w:r w:rsidRPr="000B6417">
              <w:rPr>
                <w:spacing w:val="1"/>
                <w:w w:val="99"/>
                <w:lang w:eastAsia="en-AU"/>
              </w:rPr>
              <w:t>0</w:t>
            </w:r>
          </w:p>
        </w:tc>
        <w:tc>
          <w:tcPr>
            <w:tcW w:w="1417"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spacing w:val="1"/>
                <w:w w:val="99"/>
                <w:lang w:eastAsia="en-AU"/>
              </w:rPr>
            </w:pPr>
            <w:r w:rsidRPr="000B6417">
              <w:rPr>
                <w:spacing w:val="1"/>
                <w:w w:val="99"/>
                <w:lang w:eastAsia="en-AU"/>
              </w:rPr>
              <w:t>0</w:t>
            </w:r>
          </w:p>
        </w:tc>
        <w:tc>
          <w:tcPr>
            <w:tcW w:w="1418"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spacing w:val="1"/>
                <w:w w:val="99"/>
                <w:lang w:eastAsia="en-AU"/>
              </w:rPr>
            </w:pPr>
            <w:r w:rsidRPr="000B6417">
              <w:rPr>
                <w:spacing w:val="1"/>
                <w:w w:val="99"/>
                <w:lang w:eastAsia="en-AU"/>
              </w:rPr>
              <w:t>2 (16.7)</w:t>
            </w:r>
          </w:p>
        </w:tc>
        <w:tc>
          <w:tcPr>
            <w:tcW w:w="1402"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spacing w:val="1"/>
                <w:w w:val="99"/>
                <w:lang w:eastAsia="en-AU"/>
              </w:rPr>
            </w:pPr>
            <w:r w:rsidRPr="000B6417">
              <w:rPr>
                <w:spacing w:val="1"/>
                <w:w w:val="99"/>
                <w:lang w:eastAsia="en-AU"/>
              </w:rPr>
              <w:t>1 (9.1)</w:t>
            </w:r>
          </w:p>
        </w:tc>
      </w:tr>
      <w:tr w:rsidR="00C8707C" w:rsidTr="00CF71CF">
        <w:trPr>
          <w:trHeight w:val="20"/>
        </w:trPr>
        <w:tc>
          <w:tcPr>
            <w:cnfStyle w:val="001000000000" w:firstRow="0" w:lastRow="0" w:firstColumn="1" w:lastColumn="0" w:oddVBand="0" w:evenVBand="0" w:oddHBand="0" w:evenHBand="0" w:firstRowFirstColumn="0" w:firstRowLastColumn="0" w:lastRowFirstColumn="0" w:lastRowLastColumn="0"/>
            <w:tcW w:w="3492" w:type="dxa"/>
            <w:hideMark/>
          </w:tcPr>
          <w:p w:rsidR="00C8707C" w:rsidRPr="000B6417" w:rsidRDefault="00C8707C" w:rsidP="00CF71CF">
            <w:pPr>
              <w:rPr>
                <w:lang w:eastAsia="en-AU"/>
              </w:rPr>
            </w:pPr>
            <w:r w:rsidRPr="000B6417">
              <w:rPr>
                <w:spacing w:val="1"/>
                <w:lang w:eastAsia="en-AU"/>
              </w:rPr>
              <w:t>TBIL</w:t>
            </w:r>
          </w:p>
        </w:tc>
        <w:tc>
          <w:tcPr>
            <w:tcW w:w="1436"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spacing w:val="1"/>
                <w:w w:val="99"/>
                <w:lang w:eastAsia="en-AU"/>
              </w:rPr>
            </w:pPr>
            <w:r w:rsidRPr="000B6417">
              <w:rPr>
                <w:spacing w:val="1"/>
                <w:w w:val="99"/>
                <w:lang w:eastAsia="en-AU"/>
              </w:rPr>
              <w:t>1 (8.3)</w:t>
            </w:r>
          </w:p>
        </w:tc>
        <w:tc>
          <w:tcPr>
            <w:tcW w:w="1417"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spacing w:val="1"/>
                <w:w w:val="99"/>
                <w:lang w:eastAsia="en-AU"/>
              </w:rPr>
            </w:pPr>
            <w:r w:rsidRPr="000B6417">
              <w:rPr>
                <w:spacing w:val="1"/>
                <w:w w:val="99"/>
                <w:lang w:eastAsia="en-AU"/>
              </w:rPr>
              <w:t>1 (8.3)</w:t>
            </w:r>
          </w:p>
        </w:tc>
        <w:tc>
          <w:tcPr>
            <w:tcW w:w="1418"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spacing w:val="1"/>
                <w:w w:val="99"/>
                <w:lang w:eastAsia="en-AU"/>
              </w:rPr>
            </w:pPr>
            <w:r w:rsidRPr="000B6417">
              <w:rPr>
                <w:spacing w:val="1"/>
                <w:w w:val="99"/>
                <w:lang w:eastAsia="en-AU"/>
              </w:rPr>
              <w:t>1 (8.3)</w:t>
            </w:r>
          </w:p>
        </w:tc>
        <w:tc>
          <w:tcPr>
            <w:tcW w:w="1402"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spacing w:val="1"/>
                <w:w w:val="99"/>
                <w:lang w:eastAsia="en-AU"/>
              </w:rPr>
            </w:pPr>
            <w:r w:rsidRPr="000B6417">
              <w:rPr>
                <w:spacing w:val="1"/>
                <w:w w:val="99"/>
                <w:lang w:eastAsia="en-AU"/>
              </w:rPr>
              <w:t>0</w:t>
            </w:r>
          </w:p>
        </w:tc>
      </w:tr>
      <w:tr w:rsidR="00C8707C" w:rsidTr="00CF71CF">
        <w:trPr>
          <w:trHeight w:val="20"/>
        </w:trPr>
        <w:tc>
          <w:tcPr>
            <w:cnfStyle w:val="001000000000" w:firstRow="0" w:lastRow="0" w:firstColumn="1" w:lastColumn="0" w:oddVBand="0" w:evenVBand="0" w:oddHBand="0" w:evenHBand="0" w:firstRowFirstColumn="0" w:firstRowLastColumn="0" w:lastRowFirstColumn="0" w:lastRowLastColumn="0"/>
            <w:tcW w:w="3492" w:type="dxa"/>
            <w:hideMark/>
          </w:tcPr>
          <w:p w:rsidR="00C8707C" w:rsidRPr="000B6417" w:rsidRDefault="00C8707C" w:rsidP="00CF71CF">
            <w:pPr>
              <w:rPr>
                <w:lang w:eastAsia="en-AU"/>
              </w:rPr>
            </w:pPr>
            <w:r w:rsidRPr="000B6417">
              <w:rPr>
                <w:lang w:eastAsia="en-AU"/>
              </w:rPr>
              <w:t>Lipase</w:t>
            </w:r>
          </w:p>
        </w:tc>
        <w:tc>
          <w:tcPr>
            <w:tcW w:w="1436"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spacing w:val="1"/>
                <w:w w:val="99"/>
                <w:lang w:eastAsia="en-AU"/>
              </w:rPr>
            </w:pPr>
            <w:r w:rsidRPr="000B6417">
              <w:rPr>
                <w:spacing w:val="1"/>
                <w:w w:val="99"/>
                <w:lang w:eastAsia="en-AU"/>
              </w:rPr>
              <w:t>0</w:t>
            </w:r>
          </w:p>
        </w:tc>
        <w:tc>
          <w:tcPr>
            <w:tcW w:w="1417"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spacing w:val="1"/>
                <w:w w:val="99"/>
                <w:lang w:eastAsia="en-AU"/>
              </w:rPr>
            </w:pPr>
            <w:r w:rsidRPr="000B6417">
              <w:rPr>
                <w:spacing w:val="1"/>
                <w:w w:val="99"/>
                <w:lang w:eastAsia="en-AU"/>
              </w:rPr>
              <w:t>1 ( 8.3)</w:t>
            </w:r>
          </w:p>
        </w:tc>
        <w:tc>
          <w:tcPr>
            <w:tcW w:w="1418"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spacing w:val="1"/>
                <w:w w:val="99"/>
                <w:lang w:eastAsia="en-AU"/>
              </w:rPr>
            </w:pPr>
            <w:r w:rsidRPr="000B6417">
              <w:rPr>
                <w:spacing w:val="1"/>
                <w:w w:val="99"/>
                <w:lang w:eastAsia="en-AU"/>
              </w:rPr>
              <w:t>0</w:t>
            </w:r>
          </w:p>
        </w:tc>
        <w:tc>
          <w:tcPr>
            <w:tcW w:w="1402"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spacing w:val="1"/>
                <w:w w:val="99"/>
                <w:lang w:eastAsia="en-AU"/>
              </w:rPr>
            </w:pPr>
            <w:r w:rsidRPr="000B6417">
              <w:rPr>
                <w:spacing w:val="1"/>
                <w:w w:val="99"/>
                <w:lang w:eastAsia="en-AU"/>
              </w:rPr>
              <w:t>0</w:t>
            </w:r>
          </w:p>
        </w:tc>
      </w:tr>
      <w:tr w:rsidR="00C8707C" w:rsidTr="00CF71CF">
        <w:trPr>
          <w:trHeight w:val="20"/>
        </w:trPr>
        <w:tc>
          <w:tcPr>
            <w:cnfStyle w:val="001000000000" w:firstRow="0" w:lastRow="0" w:firstColumn="1" w:lastColumn="0" w:oddVBand="0" w:evenVBand="0" w:oddHBand="0" w:evenHBand="0" w:firstRowFirstColumn="0" w:firstRowLastColumn="0" w:lastRowFirstColumn="0" w:lastRowLastColumn="0"/>
            <w:tcW w:w="3492" w:type="dxa"/>
            <w:hideMark/>
          </w:tcPr>
          <w:p w:rsidR="00C8707C" w:rsidRPr="000B6417" w:rsidRDefault="00C8707C" w:rsidP="00CF71CF">
            <w:pPr>
              <w:rPr>
                <w:lang w:eastAsia="en-AU"/>
              </w:rPr>
            </w:pPr>
            <w:r w:rsidRPr="000B6417">
              <w:rPr>
                <w:lang w:eastAsia="en-AU"/>
              </w:rPr>
              <w:t>Platelets</w:t>
            </w:r>
          </w:p>
        </w:tc>
        <w:tc>
          <w:tcPr>
            <w:tcW w:w="1436"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spacing w:val="1"/>
                <w:w w:val="99"/>
                <w:lang w:eastAsia="en-AU"/>
              </w:rPr>
            </w:pPr>
            <w:r w:rsidRPr="000B6417">
              <w:rPr>
                <w:spacing w:val="1"/>
                <w:w w:val="99"/>
                <w:lang w:eastAsia="en-AU"/>
              </w:rPr>
              <w:t>0</w:t>
            </w:r>
          </w:p>
        </w:tc>
        <w:tc>
          <w:tcPr>
            <w:tcW w:w="1417"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spacing w:val="1"/>
                <w:w w:val="99"/>
                <w:lang w:eastAsia="en-AU"/>
              </w:rPr>
            </w:pPr>
            <w:r w:rsidRPr="000B6417">
              <w:rPr>
                <w:spacing w:val="1"/>
                <w:w w:val="99"/>
                <w:lang w:eastAsia="en-AU"/>
              </w:rPr>
              <w:t>0</w:t>
            </w:r>
          </w:p>
        </w:tc>
        <w:tc>
          <w:tcPr>
            <w:tcW w:w="1418"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spacing w:val="1"/>
                <w:w w:val="99"/>
                <w:lang w:eastAsia="en-AU"/>
              </w:rPr>
            </w:pPr>
            <w:r w:rsidRPr="000B6417">
              <w:rPr>
                <w:spacing w:val="1"/>
                <w:w w:val="99"/>
                <w:lang w:eastAsia="en-AU"/>
              </w:rPr>
              <w:t>1 (8.3)</w:t>
            </w:r>
          </w:p>
        </w:tc>
        <w:tc>
          <w:tcPr>
            <w:tcW w:w="1402"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spacing w:val="1"/>
                <w:w w:val="99"/>
                <w:lang w:eastAsia="en-AU"/>
              </w:rPr>
            </w:pPr>
            <w:r w:rsidRPr="000B6417">
              <w:rPr>
                <w:spacing w:val="1"/>
                <w:w w:val="99"/>
                <w:lang w:eastAsia="en-AU"/>
              </w:rPr>
              <w:t>0</w:t>
            </w:r>
          </w:p>
        </w:tc>
      </w:tr>
    </w:tbl>
    <w:p w:rsidR="002C4CAD" w:rsidRDefault="00C8707C" w:rsidP="00CF71CF">
      <w:pPr>
        <w:pStyle w:val="TableDescription"/>
      </w:pPr>
      <w:proofErr w:type="gramStart"/>
      <w:r>
        <w:t>ALT, alanine aminotransferase; AST, aspartate aminotransferase; TBIL, total bilirubin; WBC, white blood cell.</w:t>
      </w:r>
      <w:proofErr w:type="gramEnd"/>
    </w:p>
    <w:p w:rsidR="00C8707C" w:rsidRDefault="00C8707C" w:rsidP="00C8707C">
      <w:pPr>
        <w:pStyle w:val="Heading6"/>
        <w:numPr>
          <w:ilvl w:val="4"/>
          <w:numId w:val="5"/>
        </w:numPr>
        <w:ind w:left="1702" w:hanging="1418"/>
      </w:pPr>
      <w:r>
        <w:t xml:space="preserve">Serious </w:t>
      </w:r>
      <w:r w:rsidR="00CF71CF">
        <w:t>a</w:t>
      </w:r>
      <w:r>
        <w:t xml:space="preserve">dverse </w:t>
      </w:r>
      <w:r w:rsidR="00CF71CF">
        <w:t>e</w:t>
      </w:r>
      <w:r>
        <w:t>vents</w:t>
      </w:r>
    </w:p>
    <w:p w:rsidR="00C8707C" w:rsidRDefault="00C8707C" w:rsidP="00C8707C">
      <w:pPr>
        <w:pStyle w:val="ListBullet"/>
        <w:numPr>
          <w:ilvl w:val="0"/>
          <w:numId w:val="1"/>
        </w:numPr>
        <w:rPr>
          <w:b/>
        </w:rPr>
      </w:pPr>
      <w:r>
        <w:t>Deaths:</w:t>
      </w:r>
      <w:r>
        <w:rPr>
          <w:b/>
        </w:rPr>
        <w:t xml:space="preserve"> </w:t>
      </w:r>
      <w:r>
        <w:t>There were no deaths reported in Stage 1.</w:t>
      </w:r>
    </w:p>
    <w:p w:rsidR="00C8707C" w:rsidRDefault="00C8707C" w:rsidP="00C8707C">
      <w:pPr>
        <w:pStyle w:val="ListBullet"/>
        <w:numPr>
          <w:ilvl w:val="0"/>
          <w:numId w:val="1"/>
        </w:numPr>
        <w:rPr>
          <w:b/>
          <w:i/>
        </w:rPr>
      </w:pPr>
      <w:r>
        <w:t>Other SAEs:</w:t>
      </w:r>
      <w:r>
        <w:rPr>
          <w:b/>
          <w:i/>
        </w:rPr>
        <w:t xml:space="preserve"> </w:t>
      </w:r>
      <w:r>
        <w:t>5 subjects reported SAEs, 2 (16.7%) subjects each in the ASV 200 mg BD and ASV 600 mg QD groups and 1 in the ASV 600 mg BD group. No SAEs led to discontinuation of study therapy.</w:t>
      </w:r>
    </w:p>
    <w:p w:rsidR="00C8707C" w:rsidRDefault="00C8707C" w:rsidP="00C8707C">
      <w:pPr>
        <w:pStyle w:val="Tabletitle"/>
      </w:pPr>
      <w:bookmarkStart w:id="203" w:name="_Toc401831787"/>
      <w:r>
        <w:t>Table 9: Study AI447016: Other serious adverse events. Stage 1 – enrolled subjects</w:t>
      </w:r>
      <w:bookmarkEnd w:id="203"/>
    </w:p>
    <w:tbl>
      <w:tblPr>
        <w:tblStyle w:val="TableTGAblue"/>
        <w:tblW w:w="9039" w:type="dxa"/>
        <w:tblLayout w:type="fixed"/>
        <w:tblLook w:val="04A0" w:firstRow="1" w:lastRow="0" w:firstColumn="1" w:lastColumn="0" w:noHBand="0" w:noVBand="1"/>
      </w:tblPr>
      <w:tblGrid>
        <w:gridCol w:w="1809"/>
        <w:gridCol w:w="50"/>
        <w:gridCol w:w="1702"/>
        <w:gridCol w:w="233"/>
        <w:gridCol w:w="1417"/>
        <w:gridCol w:w="12"/>
        <w:gridCol w:w="1831"/>
        <w:gridCol w:w="501"/>
        <w:gridCol w:w="1484"/>
      </w:tblGrid>
      <w:tr w:rsidR="00C8707C" w:rsidTr="00CF71CF">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859" w:type="dxa"/>
            <w:gridSpan w:val="2"/>
          </w:tcPr>
          <w:p w:rsidR="00C8707C" w:rsidRPr="000B6417" w:rsidRDefault="00C8707C" w:rsidP="00CF71CF">
            <w:pPr>
              <w:rPr>
                <w:b w:val="0"/>
                <w:lang w:eastAsia="en-AU"/>
              </w:rPr>
            </w:pPr>
            <w:r w:rsidRPr="000B6417">
              <w:rPr>
                <w:b w:val="0"/>
                <w:lang w:eastAsia="en-AU"/>
              </w:rPr>
              <w:t>Treat</w:t>
            </w:r>
            <w:r w:rsidRPr="000B6417">
              <w:rPr>
                <w:b w:val="0"/>
                <w:spacing w:val="-5"/>
                <w:lang w:eastAsia="en-AU"/>
              </w:rPr>
              <w:t>m</w:t>
            </w:r>
            <w:r w:rsidRPr="000B6417">
              <w:rPr>
                <w:b w:val="0"/>
                <w:lang w:eastAsia="en-AU"/>
              </w:rPr>
              <w:t>ent</w:t>
            </w:r>
            <w:r w:rsidRPr="000B6417">
              <w:rPr>
                <w:b w:val="0"/>
                <w:spacing w:val="-8"/>
                <w:lang w:eastAsia="en-AU"/>
              </w:rPr>
              <w:t xml:space="preserve"> </w:t>
            </w:r>
            <w:r w:rsidRPr="000B6417">
              <w:rPr>
                <w:b w:val="0"/>
                <w:lang w:eastAsia="en-AU"/>
              </w:rPr>
              <w:t>Group</w:t>
            </w:r>
          </w:p>
        </w:tc>
        <w:tc>
          <w:tcPr>
            <w:tcW w:w="1702" w:type="dxa"/>
            <w:hideMark/>
          </w:tcPr>
          <w:p w:rsidR="00C8707C" w:rsidRPr="000B6417" w:rsidRDefault="00C8707C" w:rsidP="00CF71CF">
            <w:pPr>
              <w:cnfStyle w:val="100000000000" w:firstRow="1" w:lastRow="0" w:firstColumn="0" w:lastColumn="0" w:oddVBand="0" w:evenVBand="0" w:oddHBand="0" w:evenHBand="0" w:firstRowFirstColumn="0" w:firstRowLastColumn="0" w:lastRowFirstColumn="0" w:lastRowLastColumn="0"/>
              <w:rPr>
                <w:b w:val="0"/>
                <w:lang w:eastAsia="en-AU"/>
              </w:rPr>
            </w:pPr>
            <w:r w:rsidRPr="000B6417">
              <w:rPr>
                <w:b w:val="0"/>
                <w:lang w:eastAsia="en-AU"/>
              </w:rPr>
              <w:t>Preferred Term/Intensity</w:t>
            </w:r>
          </w:p>
        </w:tc>
        <w:tc>
          <w:tcPr>
            <w:tcW w:w="1662" w:type="dxa"/>
            <w:gridSpan w:val="3"/>
            <w:hideMark/>
          </w:tcPr>
          <w:p w:rsidR="00C8707C" w:rsidRPr="000B6417" w:rsidRDefault="00C8707C" w:rsidP="00CF71CF">
            <w:pPr>
              <w:cnfStyle w:val="100000000000" w:firstRow="1" w:lastRow="0" w:firstColumn="0" w:lastColumn="0" w:oddVBand="0" w:evenVBand="0" w:oddHBand="0" w:evenHBand="0" w:firstRowFirstColumn="0" w:firstRowLastColumn="0" w:lastRowFirstColumn="0" w:lastRowLastColumn="0"/>
              <w:rPr>
                <w:b w:val="0"/>
                <w:lang w:eastAsia="en-AU"/>
              </w:rPr>
            </w:pPr>
            <w:r w:rsidRPr="000B6417">
              <w:rPr>
                <w:b w:val="0"/>
                <w:lang w:eastAsia="en-AU"/>
              </w:rPr>
              <w:t>Relationship to Study</w:t>
            </w:r>
            <w:r w:rsidRPr="000B6417">
              <w:rPr>
                <w:b w:val="0"/>
                <w:spacing w:val="-5"/>
                <w:lang w:eastAsia="en-AU"/>
              </w:rPr>
              <w:t xml:space="preserve"> </w:t>
            </w:r>
            <w:r w:rsidRPr="000B6417">
              <w:rPr>
                <w:b w:val="0"/>
                <w:lang w:eastAsia="en-AU"/>
              </w:rPr>
              <w:t xml:space="preserve">Therapy </w:t>
            </w:r>
            <w:r w:rsidRPr="000B6417">
              <w:rPr>
                <w:b w:val="0"/>
                <w:vertAlign w:val="superscript"/>
                <w:lang w:eastAsia="en-AU"/>
              </w:rPr>
              <w:t>a</w:t>
            </w:r>
            <w:r w:rsidRPr="000B6417">
              <w:rPr>
                <w:b w:val="0"/>
                <w:lang w:eastAsia="en-AU"/>
              </w:rPr>
              <w:t xml:space="preserve"> </w:t>
            </w:r>
          </w:p>
        </w:tc>
        <w:tc>
          <w:tcPr>
            <w:tcW w:w="2332" w:type="dxa"/>
            <w:gridSpan w:val="2"/>
            <w:hideMark/>
          </w:tcPr>
          <w:p w:rsidR="00C8707C" w:rsidRPr="000B6417" w:rsidRDefault="00C8707C" w:rsidP="00CF71CF">
            <w:pPr>
              <w:cnfStyle w:val="100000000000" w:firstRow="1" w:lastRow="0" w:firstColumn="0" w:lastColumn="0" w:oddVBand="0" w:evenVBand="0" w:oddHBand="0" w:evenHBand="0" w:firstRowFirstColumn="0" w:firstRowLastColumn="0" w:lastRowFirstColumn="0" w:lastRowLastColumn="0"/>
              <w:rPr>
                <w:b w:val="0"/>
                <w:lang w:eastAsia="en-AU"/>
              </w:rPr>
            </w:pPr>
            <w:r w:rsidRPr="000B6417">
              <w:rPr>
                <w:b w:val="0"/>
                <w:lang w:eastAsia="en-AU"/>
              </w:rPr>
              <w:t>Onset</w:t>
            </w:r>
            <w:r w:rsidRPr="000B6417">
              <w:rPr>
                <w:b w:val="0"/>
                <w:spacing w:val="-5"/>
                <w:lang w:eastAsia="en-AU"/>
              </w:rPr>
              <w:t xml:space="preserve"> </w:t>
            </w:r>
            <w:r w:rsidRPr="000B6417">
              <w:rPr>
                <w:b w:val="0"/>
                <w:lang w:eastAsia="en-AU"/>
              </w:rPr>
              <w:t>and</w:t>
            </w:r>
            <w:r w:rsidRPr="000B6417">
              <w:rPr>
                <w:b w:val="0"/>
                <w:spacing w:val="-3"/>
                <w:lang w:eastAsia="en-AU"/>
              </w:rPr>
              <w:t xml:space="preserve"> </w:t>
            </w:r>
            <w:r w:rsidRPr="000B6417">
              <w:rPr>
                <w:b w:val="0"/>
                <w:lang w:eastAsia="en-AU"/>
              </w:rPr>
              <w:t>Duration</w:t>
            </w:r>
          </w:p>
        </w:tc>
        <w:tc>
          <w:tcPr>
            <w:tcW w:w="1484" w:type="dxa"/>
            <w:hideMark/>
          </w:tcPr>
          <w:p w:rsidR="00C8707C" w:rsidRPr="000B6417" w:rsidRDefault="00C8707C" w:rsidP="00CF71CF">
            <w:pPr>
              <w:cnfStyle w:val="100000000000" w:firstRow="1" w:lastRow="0" w:firstColumn="0" w:lastColumn="0" w:oddVBand="0" w:evenVBand="0" w:oddHBand="0" w:evenHBand="0" w:firstRowFirstColumn="0" w:firstRowLastColumn="0" w:lastRowFirstColumn="0" w:lastRowLastColumn="0"/>
              <w:rPr>
                <w:b w:val="0"/>
                <w:lang w:eastAsia="en-AU"/>
              </w:rPr>
            </w:pPr>
          </w:p>
        </w:tc>
      </w:tr>
      <w:tr w:rsidR="00C8707C" w:rsidTr="00CF71CF">
        <w:trPr>
          <w:trHeight w:val="20"/>
        </w:trPr>
        <w:tc>
          <w:tcPr>
            <w:cnfStyle w:val="001000000000" w:firstRow="0" w:lastRow="0" w:firstColumn="1" w:lastColumn="0" w:oddVBand="0" w:evenVBand="0" w:oddHBand="0" w:evenHBand="0" w:firstRowFirstColumn="0" w:firstRowLastColumn="0" w:lastRowFirstColumn="0" w:lastRowLastColumn="0"/>
            <w:tcW w:w="1809" w:type="dxa"/>
            <w:hideMark/>
          </w:tcPr>
          <w:p w:rsidR="002C4CAD" w:rsidRDefault="00C8707C" w:rsidP="00CF71CF">
            <w:pPr>
              <w:rPr>
                <w:lang w:eastAsia="en-AU"/>
              </w:rPr>
            </w:pPr>
            <w:r w:rsidRPr="000B6417">
              <w:rPr>
                <w:lang w:eastAsia="en-AU"/>
              </w:rPr>
              <w:t>200-</w:t>
            </w:r>
            <w:r w:rsidRPr="000B6417">
              <w:rPr>
                <w:spacing w:val="-5"/>
                <w:lang w:eastAsia="en-AU"/>
              </w:rPr>
              <w:t>m</w:t>
            </w:r>
            <w:r w:rsidRPr="000B6417">
              <w:rPr>
                <w:lang w:eastAsia="en-AU"/>
              </w:rPr>
              <w:t>g</w:t>
            </w:r>
            <w:r w:rsidRPr="000B6417">
              <w:rPr>
                <w:spacing w:val="-5"/>
                <w:lang w:eastAsia="en-AU"/>
              </w:rPr>
              <w:t xml:space="preserve"> </w:t>
            </w:r>
            <w:r w:rsidRPr="000B6417">
              <w:rPr>
                <w:lang w:eastAsia="en-AU"/>
              </w:rPr>
              <w:t>BD</w:t>
            </w:r>
            <w:r w:rsidRPr="000B6417">
              <w:rPr>
                <w:spacing w:val="-4"/>
                <w:lang w:eastAsia="en-AU"/>
              </w:rPr>
              <w:t xml:space="preserve"> </w:t>
            </w:r>
            <w:r w:rsidRPr="000B6417">
              <w:rPr>
                <w:lang w:eastAsia="en-AU"/>
              </w:rPr>
              <w:t>ASV</w:t>
            </w:r>
          </w:p>
          <w:p w:rsidR="00C8707C" w:rsidRPr="000B6417" w:rsidRDefault="00C8707C" w:rsidP="00CF71CF">
            <w:pPr>
              <w:rPr>
                <w:lang w:eastAsia="en-AU"/>
              </w:rPr>
            </w:pPr>
            <w:r w:rsidRPr="000B6417">
              <w:rPr>
                <w:lang w:eastAsia="en-AU"/>
              </w:rPr>
              <w:t xml:space="preserve">54 </w:t>
            </w:r>
            <w:r w:rsidRPr="000B6417">
              <w:rPr>
                <w:spacing w:val="-1"/>
                <w:lang w:eastAsia="en-AU"/>
              </w:rPr>
              <w:t>yea</w:t>
            </w:r>
            <w:r w:rsidRPr="000B6417">
              <w:rPr>
                <w:lang w:eastAsia="en-AU"/>
              </w:rPr>
              <w:t>r old</w:t>
            </w:r>
            <w:r w:rsidRPr="000B6417">
              <w:rPr>
                <w:spacing w:val="-8"/>
                <w:lang w:eastAsia="en-AU"/>
              </w:rPr>
              <w:t xml:space="preserve"> W</w:t>
            </w:r>
            <w:r w:rsidRPr="000B6417">
              <w:rPr>
                <w:lang w:eastAsia="en-AU"/>
              </w:rPr>
              <w:t>hite</w:t>
            </w:r>
            <w:r w:rsidRPr="000B6417">
              <w:rPr>
                <w:spacing w:val="-5"/>
                <w:lang w:eastAsia="en-AU"/>
              </w:rPr>
              <w:t xml:space="preserve"> </w:t>
            </w:r>
            <w:r w:rsidRPr="000B6417">
              <w:rPr>
                <w:lang w:eastAsia="en-AU"/>
              </w:rPr>
              <w:t>male</w:t>
            </w:r>
          </w:p>
        </w:tc>
        <w:tc>
          <w:tcPr>
            <w:tcW w:w="1985" w:type="dxa"/>
            <w:gridSpan w:val="3"/>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Adenocarcinoma/ </w:t>
            </w:r>
            <w:r w:rsidRPr="000B6417">
              <w:rPr>
                <w:position w:val="1"/>
                <w:lang w:eastAsia="en-AU"/>
              </w:rPr>
              <w:t>Grade</w:t>
            </w:r>
            <w:r w:rsidRPr="000B6417">
              <w:rPr>
                <w:spacing w:val="-4"/>
                <w:position w:val="1"/>
                <w:lang w:eastAsia="en-AU"/>
              </w:rPr>
              <w:t xml:space="preserve"> </w:t>
            </w:r>
            <w:r w:rsidRPr="000B6417">
              <w:rPr>
                <w:position w:val="1"/>
                <w:lang w:eastAsia="en-AU"/>
              </w:rPr>
              <w:t>3</w:t>
            </w:r>
          </w:p>
        </w:tc>
        <w:tc>
          <w:tcPr>
            <w:tcW w:w="1417"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Not</w:t>
            </w:r>
            <w:r w:rsidRPr="000B6417">
              <w:rPr>
                <w:spacing w:val="-3"/>
                <w:lang w:eastAsia="en-AU"/>
              </w:rPr>
              <w:t xml:space="preserve"> </w:t>
            </w:r>
            <w:r w:rsidRPr="000B6417">
              <w:rPr>
                <w:lang w:eastAsia="en-AU"/>
              </w:rPr>
              <w:t>related</w:t>
            </w:r>
          </w:p>
        </w:tc>
        <w:tc>
          <w:tcPr>
            <w:tcW w:w="1843" w:type="dxa"/>
            <w:gridSpan w:val="2"/>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Onset:</w:t>
            </w:r>
            <w:r w:rsidRPr="000B6417">
              <w:rPr>
                <w:spacing w:val="-4"/>
                <w:lang w:eastAsia="en-AU"/>
              </w:rPr>
              <w:t xml:space="preserve"> </w:t>
            </w:r>
            <w:r w:rsidRPr="000B6417">
              <w:rPr>
                <w:lang w:eastAsia="en-AU"/>
              </w:rPr>
              <w:t>OT</w:t>
            </w:r>
            <w:r w:rsidRPr="000B6417">
              <w:rPr>
                <w:spacing w:val="-2"/>
                <w:lang w:eastAsia="en-AU"/>
              </w:rPr>
              <w:t xml:space="preserve"> </w:t>
            </w:r>
            <w:r w:rsidRPr="000B6417">
              <w:rPr>
                <w:lang w:eastAsia="en-AU"/>
              </w:rPr>
              <w:t>Week</w:t>
            </w:r>
            <w:r w:rsidRPr="000B6417">
              <w:rPr>
                <w:spacing w:val="-6"/>
                <w:lang w:eastAsia="en-AU"/>
              </w:rPr>
              <w:t xml:space="preserve"> </w:t>
            </w:r>
            <w:r w:rsidRPr="000B6417">
              <w:rPr>
                <w:lang w:eastAsia="en-AU"/>
              </w:rPr>
              <w:t>32</w:t>
            </w:r>
          </w:p>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Duration:</w:t>
            </w:r>
            <w:r w:rsidRPr="000B6417">
              <w:rPr>
                <w:spacing w:val="-8"/>
                <w:lang w:eastAsia="en-AU"/>
              </w:rPr>
              <w:t xml:space="preserve"> </w:t>
            </w:r>
            <w:r w:rsidRPr="000B6417">
              <w:rPr>
                <w:lang w:eastAsia="en-AU"/>
              </w:rPr>
              <w:t>266</w:t>
            </w:r>
            <w:r w:rsidRPr="000B6417">
              <w:rPr>
                <w:spacing w:val="-3"/>
                <w:lang w:eastAsia="en-AU"/>
              </w:rPr>
              <w:t xml:space="preserve"> </w:t>
            </w:r>
            <w:r w:rsidRPr="000B6417">
              <w:rPr>
                <w:lang w:eastAsia="en-AU"/>
              </w:rPr>
              <w:t>days</w:t>
            </w:r>
          </w:p>
        </w:tc>
        <w:tc>
          <w:tcPr>
            <w:tcW w:w="1985" w:type="dxa"/>
            <w:gridSpan w:val="2"/>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Study</w:t>
            </w:r>
            <w:r w:rsidRPr="000B6417">
              <w:rPr>
                <w:spacing w:val="-5"/>
                <w:lang w:eastAsia="en-AU"/>
              </w:rPr>
              <w:t xml:space="preserve"> </w:t>
            </w:r>
            <w:r w:rsidRPr="000B6417">
              <w:rPr>
                <w:lang w:eastAsia="en-AU"/>
              </w:rPr>
              <w:t>drug</w:t>
            </w:r>
            <w:r w:rsidRPr="000B6417">
              <w:rPr>
                <w:spacing w:val="-1"/>
                <w:lang w:eastAsia="en-AU"/>
              </w:rPr>
              <w:t xml:space="preserve"> </w:t>
            </w:r>
            <w:r w:rsidRPr="000B6417">
              <w:rPr>
                <w:lang w:eastAsia="en-AU"/>
              </w:rPr>
              <w:t xml:space="preserve">not </w:t>
            </w:r>
            <w:r w:rsidRPr="000B6417">
              <w:rPr>
                <w:position w:val="1"/>
                <w:lang w:eastAsia="en-AU"/>
              </w:rPr>
              <w:t>interrupted,</w:t>
            </w:r>
            <w:r w:rsidRPr="000B6417">
              <w:rPr>
                <w:spacing w:val="-9"/>
                <w:position w:val="1"/>
                <w:lang w:eastAsia="en-AU"/>
              </w:rPr>
              <w:t xml:space="preserve"> </w:t>
            </w:r>
            <w:r w:rsidRPr="000B6417">
              <w:rPr>
                <w:w w:val="99"/>
                <w:position w:val="1"/>
                <w:lang w:eastAsia="en-AU"/>
              </w:rPr>
              <w:t xml:space="preserve">treatment </w:t>
            </w:r>
            <w:r w:rsidRPr="000B6417">
              <w:rPr>
                <w:w w:val="99"/>
                <w:lang w:eastAsia="en-AU"/>
              </w:rPr>
              <w:t>required</w:t>
            </w:r>
          </w:p>
        </w:tc>
      </w:tr>
      <w:tr w:rsidR="00C8707C" w:rsidTr="00CF71CF">
        <w:trPr>
          <w:trHeight w:val="20"/>
        </w:trPr>
        <w:tc>
          <w:tcPr>
            <w:cnfStyle w:val="001000000000" w:firstRow="0" w:lastRow="0" w:firstColumn="1" w:lastColumn="0" w:oddVBand="0" w:evenVBand="0" w:oddHBand="0" w:evenHBand="0" w:firstRowFirstColumn="0" w:firstRowLastColumn="0" w:lastRowFirstColumn="0" w:lastRowLastColumn="0"/>
            <w:tcW w:w="1809" w:type="dxa"/>
            <w:hideMark/>
          </w:tcPr>
          <w:p w:rsidR="00C8707C" w:rsidRPr="000B6417" w:rsidRDefault="00C8707C" w:rsidP="00CF71CF">
            <w:pPr>
              <w:rPr>
                <w:lang w:eastAsia="en-AU"/>
              </w:rPr>
            </w:pPr>
            <w:r w:rsidRPr="000B6417">
              <w:rPr>
                <w:lang w:eastAsia="en-AU"/>
              </w:rPr>
              <w:t xml:space="preserve">50 </w:t>
            </w:r>
            <w:r w:rsidRPr="000B6417">
              <w:rPr>
                <w:spacing w:val="-1"/>
                <w:lang w:eastAsia="en-AU"/>
              </w:rPr>
              <w:t>yea</w:t>
            </w:r>
            <w:r w:rsidRPr="000B6417">
              <w:rPr>
                <w:lang w:eastAsia="en-AU"/>
              </w:rPr>
              <w:t>r old</w:t>
            </w:r>
            <w:r w:rsidRPr="000B6417">
              <w:rPr>
                <w:spacing w:val="-8"/>
                <w:lang w:eastAsia="en-AU"/>
              </w:rPr>
              <w:t xml:space="preserve"> W</w:t>
            </w:r>
            <w:r w:rsidRPr="000B6417">
              <w:rPr>
                <w:lang w:eastAsia="en-AU"/>
              </w:rPr>
              <w:t>hite</w:t>
            </w:r>
            <w:r w:rsidRPr="000B6417">
              <w:rPr>
                <w:spacing w:val="-5"/>
                <w:lang w:eastAsia="en-AU"/>
              </w:rPr>
              <w:t xml:space="preserve"> </w:t>
            </w:r>
            <w:r w:rsidRPr="000B6417">
              <w:rPr>
                <w:lang w:eastAsia="en-AU"/>
              </w:rPr>
              <w:t>male</w:t>
            </w:r>
          </w:p>
        </w:tc>
        <w:tc>
          <w:tcPr>
            <w:tcW w:w="1985" w:type="dxa"/>
            <w:gridSpan w:val="3"/>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Abdominal</w:t>
            </w:r>
            <w:r w:rsidRPr="000B6417">
              <w:rPr>
                <w:spacing w:val="-9"/>
                <w:lang w:eastAsia="en-AU"/>
              </w:rPr>
              <w:t xml:space="preserve"> </w:t>
            </w:r>
            <w:r w:rsidRPr="000B6417">
              <w:rPr>
                <w:lang w:eastAsia="en-AU"/>
              </w:rPr>
              <w:t>Pain/</w:t>
            </w:r>
            <w:r w:rsidR="00CF71CF">
              <w:rPr>
                <w:lang w:eastAsia="en-AU"/>
              </w:rPr>
              <w:t>G</w:t>
            </w:r>
            <w:proofErr w:type="spellStart"/>
            <w:r w:rsidRPr="000B6417">
              <w:rPr>
                <w:position w:val="1"/>
                <w:lang w:eastAsia="en-AU"/>
              </w:rPr>
              <w:t>rade</w:t>
            </w:r>
            <w:proofErr w:type="spellEnd"/>
            <w:r w:rsidRPr="000B6417">
              <w:rPr>
                <w:spacing w:val="-4"/>
                <w:position w:val="1"/>
                <w:lang w:eastAsia="en-AU"/>
              </w:rPr>
              <w:t xml:space="preserve"> </w:t>
            </w:r>
            <w:r w:rsidRPr="000B6417">
              <w:rPr>
                <w:position w:val="1"/>
                <w:lang w:eastAsia="en-AU"/>
              </w:rPr>
              <w:t>2</w:t>
            </w:r>
          </w:p>
        </w:tc>
        <w:tc>
          <w:tcPr>
            <w:tcW w:w="1417"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Not</w:t>
            </w:r>
            <w:r w:rsidRPr="000B6417">
              <w:rPr>
                <w:spacing w:val="-3"/>
                <w:lang w:eastAsia="en-AU"/>
              </w:rPr>
              <w:t xml:space="preserve"> </w:t>
            </w:r>
            <w:r w:rsidRPr="000B6417">
              <w:rPr>
                <w:lang w:eastAsia="en-AU"/>
              </w:rPr>
              <w:t>related</w:t>
            </w:r>
          </w:p>
        </w:tc>
        <w:tc>
          <w:tcPr>
            <w:tcW w:w="1843" w:type="dxa"/>
            <w:gridSpan w:val="2"/>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Onset:</w:t>
            </w:r>
            <w:r w:rsidRPr="000B6417">
              <w:rPr>
                <w:spacing w:val="-4"/>
                <w:lang w:eastAsia="en-AU"/>
              </w:rPr>
              <w:t xml:space="preserve"> </w:t>
            </w:r>
            <w:r w:rsidRPr="000B6417">
              <w:rPr>
                <w:lang w:eastAsia="en-AU"/>
              </w:rPr>
              <w:t>OT</w:t>
            </w:r>
            <w:r w:rsidRPr="000B6417">
              <w:rPr>
                <w:spacing w:val="-2"/>
                <w:lang w:eastAsia="en-AU"/>
              </w:rPr>
              <w:t xml:space="preserve"> </w:t>
            </w:r>
            <w:r w:rsidRPr="000B6417">
              <w:rPr>
                <w:lang w:eastAsia="en-AU"/>
              </w:rPr>
              <w:t>Week</w:t>
            </w:r>
            <w:r w:rsidRPr="000B6417">
              <w:rPr>
                <w:spacing w:val="-6"/>
                <w:lang w:eastAsia="en-AU"/>
              </w:rPr>
              <w:t xml:space="preserve"> </w:t>
            </w:r>
            <w:r w:rsidRPr="000B6417">
              <w:rPr>
                <w:lang w:eastAsia="en-AU"/>
              </w:rPr>
              <w:t>1</w:t>
            </w:r>
          </w:p>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Duration:</w:t>
            </w:r>
            <w:r w:rsidRPr="000B6417">
              <w:rPr>
                <w:spacing w:val="-8"/>
                <w:lang w:eastAsia="en-AU"/>
              </w:rPr>
              <w:t xml:space="preserve"> </w:t>
            </w:r>
            <w:r w:rsidRPr="000B6417">
              <w:rPr>
                <w:lang w:eastAsia="en-AU"/>
              </w:rPr>
              <w:t>8</w:t>
            </w:r>
            <w:r w:rsidRPr="000B6417">
              <w:rPr>
                <w:spacing w:val="-1"/>
                <w:lang w:eastAsia="en-AU"/>
              </w:rPr>
              <w:t xml:space="preserve"> </w:t>
            </w:r>
            <w:r w:rsidRPr="000B6417">
              <w:rPr>
                <w:lang w:eastAsia="en-AU"/>
              </w:rPr>
              <w:t>days</w:t>
            </w:r>
          </w:p>
        </w:tc>
        <w:tc>
          <w:tcPr>
            <w:tcW w:w="1985" w:type="dxa"/>
            <w:gridSpan w:val="2"/>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Study</w:t>
            </w:r>
            <w:r w:rsidRPr="000B6417">
              <w:rPr>
                <w:spacing w:val="-5"/>
                <w:lang w:eastAsia="en-AU"/>
              </w:rPr>
              <w:t xml:space="preserve"> </w:t>
            </w:r>
            <w:r w:rsidRPr="000B6417">
              <w:rPr>
                <w:lang w:eastAsia="en-AU"/>
              </w:rPr>
              <w:t>drug</w:t>
            </w:r>
            <w:r w:rsidRPr="000B6417">
              <w:rPr>
                <w:spacing w:val="-1"/>
                <w:lang w:eastAsia="en-AU"/>
              </w:rPr>
              <w:t xml:space="preserve"> </w:t>
            </w:r>
            <w:r w:rsidRPr="000B6417">
              <w:rPr>
                <w:lang w:eastAsia="en-AU"/>
              </w:rPr>
              <w:t xml:space="preserve">not </w:t>
            </w:r>
            <w:r w:rsidRPr="000B6417">
              <w:rPr>
                <w:position w:val="1"/>
                <w:lang w:eastAsia="en-AU"/>
              </w:rPr>
              <w:t>interrupted,</w:t>
            </w:r>
            <w:r w:rsidRPr="000B6417">
              <w:rPr>
                <w:spacing w:val="-9"/>
                <w:position w:val="1"/>
                <w:lang w:eastAsia="en-AU"/>
              </w:rPr>
              <w:t xml:space="preserve"> </w:t>
            </w:r>
            <w:r w:rsidRPr="000B6417">
              <w:rPr>
                <w:w w:val="99"/>
                <w:position w:val="1"/>
                <w:lang w:eastAsia="en-AU"/>
              </w:rPr>
              <w:t xml:space="preserve">treatment </w:t>
            </w:r>
            <w:r w:rsidRPr="000B6417">
              <w:rPr>
                <w:w w:val="99"/>
                <w:lang w:eastAsia="en-AU"/>
              </w:rPr>
              <w:t>required</w:t>
            </w:r>
          </w:p>
        </w:tc>
      </w:tr>
      <w:tr w:rsidR="00C8707C" w:rsidTr="00CF71CF">
        <w:trPr>
          <w:trHeight w:val="20"/>
        </w:trPr>
        <w:tc>
          <w:tcPr>
            <w:cnfStyle w:val="001000000000" w:firstRow="0" w:lastRow="0" w:firstColumn="1" w:lastColumn="0" w:oddVBand="0" w:evenVBand="0" w:oddHBand="0" w:evenHBand="0" w:firstRowFirstColumn="0" w:firstRowLastColumn="0" w:lastRowFirstColumn="0" w:lastRowLastColumn="0"/>
            <w:tcW w:w="1809" w:type="dxa"/>
            <w:hideMark/>
          </w:tcPr>
          <w:p w:rsidR="002C4CAD" w:rsidRDefault="00C8707C" w:rsidP="00CF71CF">
            <w:pPr>
              <w:rPr>
                <w:lang w:eastAsia="en-AU"/>
              </w:rPr>
            </w:pPr>
            <w:r w:rsidRPr="000B6417">
              <w:rPr>
                <w:lang w:eastAsia="en-AU"/>
              </w:rPr>
              <w:t>600-</w:t>
            </w:r>
            <w:r w:rsidRPr="000B6417">
              <w:rPr>
                <w:spacing w:val="-5"/>
                <w:lang w:eastAsia="en-AU"/>
              </w:rPr>
              <w:t>m</w:t>
            </w:r>
            <w:r w:rsidRPr="000B6417">
              <w:rPr>
                <w:lang w:eastAsia="en-AU"/>
              </w:rPr>
              <w:t>g</w:t>
            </w:r>
            <w:r w:rsidRPr="000B6417">
              <w:rPr>
                <w:spacing w:val="-5"/>
                <w:lang w:eastAsia="en-AU"/>
              </w:rPr>
              <w:t xml:space="preserve"> </w:t>
            </w:r>
            <w:r w:rsidRPr="000B6417">
              <w:rPr>
                <w:lang w:eastAsia="en-AU"/>
              </w:rPr>
              <w:t>BD</w:t>
            </w:r>
            <w:r w:rsidRPr="000B6417">
              <w:rPr>
                <w:spacing w:val="-4"/>
                <w:lang w:eastAsia="en-AU"/>
              </w:rPr>
              <w:t xml:space="preserve"> </w:t>
            </w:r>
            <w:r w:rsidRPr="000B6417">
              <w:rPr>
                <w:lang w:eastAsia="en-AU"/>
              </w:rPr>
              <w:t>ASV</w:t>
            </w:r>
          </w:p>
          <w:p w:rsidR="00C8707C" w:rsidRPr="000B6417" w:rsidRDefault="00C8707C" w:rsidP="00CF71CF">
            <w:pPr>
              <w:rPr>
                <w:lang w:eastAsia="en-AU"/>
              </w:rPr>
            </w:pPr>
            <w:r w:rsidRPr="000B6417">
              <w:rPr>
                <w:lang w:eastAsia="en-AU"/>
              </w:rPr>
              <w:t xml:space="preserve">54 </w:t>
            </w:r>
            <w:r w:rsidRPr="000B6417">
              <w:rPr>
                <w:spacing w:val="-1"/>
                <w:lang w:eastAsia="en-AU"/>
              </w:rPr>
              <w:t>yea</w:t>
            </w:r>
            <w:r w:rsidRPr="000B6417">
              <w:rPr>
                <w:lang w:eastAsia="en-AU"/>
              </w:rPr>
              <w:t>r old</w:t>
            </w:r>
            <w:r w:rsidRPr="000B6417">
              <w:rPr>
                <w:spacing w:val="-8"/>
                <w:lang w:eastAsia="en-AU"/>
              </w:rPr>
              <w:t xml:space="preserve"> B</w:t>
            </w:r>
            <w:r w:rsidRPr="000B6417">
              <w:rPr>
                <w:lang w:eastAsia="en-AU"/>
              </w:rPr>
              <w:t>lack</w:t>
            </w:r>
            <w:r w:rsidRPr="000B6417">
              <w:rPr>
                <w:spacing w:val="-5"/>
                <w:lang w:eastAsia="en-AU"/>
              </w:rPr>
              <w:t xml:space="preserve"> </w:t>
            </w:r>
            <w:r w:rsidRPr="000B6417">
              <w:rPr>
                <w:lang w:eastAsia="en-AU"/>
              </w:rPr>
              <w:t>female</w:t>
            </w:r>
          </w:p>
        </w:tc>
        <w:tc>
          <w:tcPr>
            <w:tcW w:w="1985" w:type="dxa"/>
            <w:gridSpan w:val="3"/>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Goitre/</w:t>
            </w:r>
            <w:r w:rsidRPr="000B6417">
              <w:rPr>
                <w:position w:val="1"/>
                <w:lang w:eastAsia="en-AU"/>
              </w:rPr>
              <w:t>Grade</w:t>
            </w:r>
            <w:r w:rsidRPr="000B6417">
              <w:rPr>
                <w:spacing w:val="-4"/>
                <w:position w:val="1"/>
                <w:lang w:eastAsia="en-AU"/>
              </w:rPr>
              <w:t xml:space="preserve"> </w:t>
            </w:r>
            <w:r w:rsidRPr="000B6417">
              <w:rPr>
                <w:position w:val="1"/>
                <w:lang w:eastAsia="en-AU"/>
              </w:rPr>
              <w:t>2</w:t>
            </w:r>
          </w:p>
        </w:tc>
        <w:tc>
          <w:tcPr>
            <w:tcW w:w="1417"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Not</w:t>
            </w:r>
            <w:r w:rsidRPr="000B6417">
              <w:rPr>
                <w:spacing w:val="-3"/>
                <w:lang w:eastAsia="en-AU"/>
              </w:rPr>
              <w:t xml:space="preserve"> </w:t>
            </w:r>
            <w:r w:rsidRPr="000B6417">
              <w:rPr>
                <w:lang w:eastAsia="en-AU"/>
              </w:rPr>
              <w:t>related</w:t>
            </w:r>
          </w:p>
        </w:tc>
        <w:tc>
          <w:tcPr>
            <w:tcW w:w="1843" w:type="dxa"/>
            <w:gridSpan w:val="2"/>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Onset:</w:t>
            </w:r>
            <w:r w:rsidRPr="000B6417">
              <w:rPr>
                <w:spacing w:val="-4"/>
                <w:lang w:eastAsia="en-AU"/>
              </w:rPr>
              <w:t xml:space="preserve"> </w:t>
            </w:r>
            <w:r w:rsidRPr="000B6417">
              <w:rPr>
                <w:lang w:eastAsia="en-AU"/>
              </w:rPr>
              <w:t>OT</w:t>
            </w:r>
            <w:r w:rsidRPr="000B6417">
              <w:rPr>
                <w:spacing w:val="-2"/>
                <w:lang w:eastAsia="en-AU"/>
              </w:rPr>
              <w:t xml:space="preserve"> </w:t>
            </w:r>
            <w:r w:rsidRPr="000B6417">
              <w:rPr>
                <w:lang w:eastAsia="en-AU"/>
              </w:rPr>
              <w:t>Week</w:t>
            </w:r>
            <w:r w:rsidRPr="000B6417">
              <w:rPr>
                <w:spacing w:val="-6"/>
                <w:lang w:eastAsia="en-AU"/>
              </w:rPr>
              <w:t xml:space="preserve"> </w:t>
            </w:r>
            <w:r w:rsidRPr="000B6417">
              <w:rPr>
                <w:lang w:eastAsia="en-AU"/>
              </w:rPr>
              <w:t>48</w:t>
            </w:r>
          </w:p>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Duration:</w:t>
            </w:r>
            <w:r w:rsidRPr="000B6417">
              <w:rPr>
                <w:spacing w:val="-8"/>
                <w:lang w:eastAsia="en-AU"/>
              </w:rPr>
              <w:t xml:space="preserve"> </w:t>
            </w:r>
            <w:r w:rsidRPr="000B6417">
              <w:rPr>
                <w:lang w:eastAsia="en-AU"/>
              </w:rPr>
              <w:t>56</w:t>
            </w:r>
            <w:r w:rsidRPr="000B6417">
              <w:rPr>
                <w:spacing w:val="-2"/>
                <w:lang w:eastAsia="en-AU"/>
              </w:rPr>
              <w:t xml:space="preserve"> </w:t>
            </w:r>
            <w:r w:rsidRPr="000B6417">
              <w:rPr>
                <w:lang w:eastAsia="en-AU"/>
              </w:rPr>
              <w:t>days</w:t>
            </w:r>
          </w:p>
        </w:tc>
        <w:tc>
          <w:tcPr>
            <w:tcW w:w="1985" w:type="dxa"/>
            <w:gridSpan w:val="2"/>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Study</w:t>
            </w:r>
            <w:r w:rsidRPr="000B6417">
              <w:rPr>
                <w:spacing w:val="-5"/>
                <w:lang w:eastAsia="en-AU"/>
              </w:rPr>
              <w:t xml:space="preserve"> </w:t>
            </w:r>
            <w:r w:rsidRPr="000B6417">
              <w:rPr>
                <w:lang w:eastAsia="en-AU"/>
              </w:rPr>
              <w:t>drug</w:t>
            </w:r>
            <w:r w:rsidRPr="000B6417">
              <w:rPr>
                <w:spacing w:val="-1"/>
                <w:lang w:eastAsia="en-AU"/>
              </w:rPr>
              <w:t xml:space="preserve"> </w:t>
            </w:r>
            <w:r w:rsidRPr="000B6417">
              <w:rPr>
                <w:lang w:eastAsia="en-AU"/>
              </w:rPr>
              <w:t xml:space="preserve">not </w:t>
            </w:r>
            <w:r w:rsidRPr="000B6417">
              <w:rPr>
                <w:position w:val="1"/>
                <w:lang w:eastAsia="en-AU"/>
              </w:rPr>
              <w:t>interrupted,</w:t>
            </w:r>
            <w:r w:rsidRPr="000B6417">
              <w:rPr>
                <w:spacing w:val="-9"/>
                <w:position w:val="1"/>
                <w:lang w:eastAsia="en-AU"/>
              </w:rPr>
              <w:t xml:space="preserve"> </w:t>
            </w:r>
            <w:r w:rsidRPr="000B6417">
              <w:rPr>
                <w:w w:val="99"/>
                <w:position w:val="1"/>
                <w:lang w:eastAsia="en-AU"/>
              </w:rPr>
              <w:t xml:space="preserve">treatment </w:t>
            </w:r>
            <w:r w:rsidRPr="000B6417">
              <w:rPr>
                <w:w w:val="99"/>
                <w:lang w:eastAsia="en-AU"/>
              </w:rPr>
              <w:t>required</w:t>
            </w:r>
          </w:p>
        </w:tc>
      </w:tr>
      <w:tr w:rsidR="00C8707C" w:rsidTr="00CF71CF">
        <w:trPr>
          <w:trHeight w:val="20"/>
        </w:trPr>
        <w:tc>
          <w:tcPr>
            <w:cnfStyle w:val="001000000000" w:firstRow="0" w:lastRow="0" w:firstColumn="1" w:lastColumn="0" w:oddVBand="0" w:evenVBand="0" w:oddHBand="0" w:evenHBand="0" w:firstRowFirstColumn="0" w:firstRowLastColumn="0" w:lastRowFirstColumn="0" w:lastRowLastColumn="0"/>
            <w:tcW w:w="1809" w:type="dxa"/>
            <w:hideMark/>
          </w:tcPr>
          <w:p w:rsidR="002C4CAD" w:rsidRDefault="00C8707C" w:rsidP="00CF71CF">
            <w:pPr>
              <w:rPr>
                <w:lang w:eastAsia="en-AU"/>
              </w:rPr>
            </w:pPr>
            <w:r w:rsidRPr="000B6417">
              <w:rPr>
                <w:lang w:eastAsia="en-AU"/>
              </w:rPr>
              <w:t>600-</w:t>
            </w:r>
            <w:r w:rsidRPr="000B6417">
              <w:rPr>
                <w:spacing w:val="-5"/>
                <w:lang w:eastAsia="en-AU"/>
              </w:rPr>
              <w:t>m</w:t>
            </w:r>
            <w:r w:rsidRPr="000B6417">
              <w:rPr>
                <w:lang w:eastAsia="en-AU"/>
              </w:rPr>
              <w:t>g</w:t>
            </w:r>
            <w:r w:rsidRPr="000B6417">
              <w:rPr>
                <w:spacing w:val="-5"/>
                <w:lang w:eastAsia="en-AU"/>
              </w:rPr>
              <w:t xml:space="preserve"> </w:t>
            </w:r>
            <w:r w:rsidRPr="000B6417">
              <w:rPr>
                <w:lang w:eastAsia="en-AU"/>
              </w:rPr>
              <w:t>QD</w:t>
            </w:r>
            <w:r w:rsidRPr="000B6417">
              <w:rPr>
                <w:spacing w:val="-3"/>
                <w:lang w:eastAsia="en-AU"/>
              </w:rPr>
              <w:t xml:space="preserve"> </w:t>
            </w:r>
            <w:r w:rsidRPr="000B6417">
              <w:rPr>
                <w:lang w:eastAsia="en-AU"/>
              </w:rPr>
              <w:t>ASV</w:t>
            </w:r>
          </w:p>
          <w:p w:rsidR="00C8707C" w:rsidRPr="000B6417" w:rsidRDefault="00C8707C" w:rsidP="00CF71CF">
            <w:pPr>
              <w:rPr>
                <w:lang w:eastAsia="en-AU"/>
              </w:rPr>
            </w:pPr>
            <w:r w:rsidRPr="000B6417">
              <w:rPr>
                <w:lang w:eastAsia="en-AU"/>
              </w:rPr>
              <w:t xml:space="preserve">69 </w:t>
            </w:r>
            <w:r w:rsidRPr="000B6417">
              <w:rPr>
                <w:spacing w:val="-1"/>
                <w:lang w:eastAsia="en-AU"/>
              </w:rPr>
              <w:t>yea</w:t>
            </w:r>
            <w:r w:rsidRPr="000B6417">
              <w:rPr>
                <w:lang w:eastAsia="en-AU"/>
              </w:rPr>
              <w:t>r old</w:t>
            </w:r>
            <w:r w:rsidRPr="000B6417">
              <w:rPr>
                <w:spacing w:val="-5"/>
                <w:lang w:eastAsia="en-AU"/>
              </w:rPr>
              <w:t xml:space="preserve"> W</w:t>
            </w:r>
            <w:r w:rsidRPr="000B6417">
              <w:rPr>
                <w:lang w:eastAsia="en-AU"/>
              </w:rPr>
              <w:t>hite</w:t>
            </w:r>
            <w:r w:rsidRPr="000B6417">
              <w:rPr>
                <w:spacing w:val="-5"/>
                <w:lang w:eastAsia="en-AU"/>
              </w:rPr>
              <w:t xml:space="preserve"> </w:t>
            </w:r>
            <w:r w:rsidRPr="000B6417">
              <w:rPr>
                <w:lang w:eastAsia="en-AU"/>
              </w:rPr>
              <w:t>male</w:t>
            </w:r>
          </w:p>
        </w:tc>
        <w:tc>
          <w:tcPr>
            <w:tcW w:w="1985" w:type="dxa"/>
            <w:gridSpan w:val="3"/>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Hepatocellular injury/Grade 3</w:t>
            </w:r>
          </w:p>
        </w:tc>
        <w:tc>
          <w:tcPr>
            <w:tcW w:w="1417"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Related</w:t>
            </w:r>
          </w:p>
        </w:tc>
        <w:tc>
          <w:tcPr>
            <w:tcW w:w="1843" w:type="dxa"/>
            <w:gridSpan w:val="2"/>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Onset:</w:t>
            </w:r>
            <w:r w:rsidRPr="000B6417">
              <w:rPr>
                <w:spacing w:val="-5"/>
                <w:lang w:eastAsia="en-AU"/>
              </w:rPr>
              <w:t xml:space="preserve"> </w:t>
            </w:r>
            <w:r w:rsidRPr="000B6417">
              <w:rPr>
                <w:lang w:eastAsia="en-AU"/>
              </w:rPr>
              <w:t>OT</w:t>
            </w:r>
            <w:r w:rsidRPr="000B6417">
              <w:rPr>
                <w:spacing w:val="-1"/>
                <w:lang w:eastAsia="en-AU"/>
              </w:rPr>
              <w:t xml:space="preserve"> </w:t>
            </w:r>
            <w:r w:rsidRPr="000B6417">
              <w:rPr>
                <w:lang w:eastAsia="en-AU"/>
              </w:rPr>
              <w:t>Week</w:t>
            </w:r>
            <w:r w:rsidRPr="000B6417">
              <w:rPr>
                <w:spacing w:val="-6"/>
                <w:lang w:eastAsia="en-AU"/>
              </w:rPr>
              <w:t xml:space="preserve"> </w:t>
            </w:r>
            <w:r w:rsidRPr="000B6417">
              <w:rPr>
                <w:lang w:eastAsia="en-AU"/>
              </w:rPr>
              <w:t>6</w:t>
            </w:r>
          </w:p>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Duration:</w:t>
            </w:r>
            <w:r w:rsidRPr="000B6417">
              <w:rPr>
                <w:spacing w:val="-8"/>
                <w:lang w:eastAsia="en-AU"/>
              </w:rPr>
              <w:t xml:space="preserve"> </w:t>
            </w:r>
            <w:r w:rsidRPr="000B6417">
              <w:rPr>
                <w:lang w:eastAsia="en-AU"/>
              </w:rPr>
              <w:t>42</w:t>
            </w:r>
            <w:r w:rsidRPr="000B6417">
              <w:rPr>
                <w:spacing w:val="-2"/>
                <w:lang w:eastAsia="en-AU"/>
              </w:rPr>
              <w:t xml:space="preserve"> </w:t>
            </w:r>
            <w:r w:rsidRPr="000B6417">
              <w:rPr>
                <w:lang w:eastAsia="en-AU"/>
              </w:rPr>
              <w:t>days</w:t>
            </w:r>
          </w:p>
        </w:tc>
        <w:tc>
          <w:tcPr>
            <w:tcW w:w="1985" w:type="dxa"/>
            <w:gridSpan w:val="2"/>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Study</w:t>
            </w:r>
            <w:r w:rsidRPr="000B6417">
              <w:rPr>
                <w:spacing w:val="-5"/>
                <w:lang w:eastAsia="en-AU"/>
              </w:rPr>
              <w:t xml:space="preserve"> </w:t>
            </w:r>
            <w:r w:rsidRPr="000B6417">
              <w:rPr>
                <w:lang w:eastAsia="en-AU"/>
              </w:rPr>
              <w:t>drug</w:t>
            </w:r>
            <w:r w:rsidRPr="000B6417">
              <w:rPr>
                <w:spacing w:val="-1"/>
                <w:lang w:eastAsia="en-AU"/>
              </w:rPr>
              <w:t xml:space="preserve"> </w:t>
            </w:r>
            <w:r w:rsidRPr="000B6417">
              <w:rPr>
                <w:lang w:eastAsia="en-AU"/>
              </w:rPr>
              <w:t>not</w:t>
            </w:r>
            <w:r w:rsidRPr="000B6417">
              <w:rPr>
                <w:spacing w:val="-3"/>
                <w:lang w:eastAsia="en-AU"/>
              </w:rPr>
              <w:t xml:space="preserve"> </w:t>
            </w:r>
            <w:r w:rsidRPr="000B6417">
              <w:rPr>
                <w:lang w:eastAsia="en-AU"/>
              </w:rPr>
              <w:t>interrupted,</w:t>
            </w:r>
            <w:r w:rsidRPr="000B6417">
              <w:rPr>
                <w:spacing w:val="-9"/>
                <w:lang w:eastAsia="en-AU"/>
              </w:rPr>
              <w:t xml:space="preserve"> </w:t>
            </w:r>
            <w:r w:rsidRPr="000B6417">
              <w:rPr>
                <w:lang w:eastAsia="en-AU"/>
              </w:rPr>
              <w:t>treatment</w:t>
            </w:r>
            <w:r w:rsidRPr="000B6417">
              <w:rPr>
                <w:spacing w:val="-8"/>
                <w:lang w:eastAsia="en-AU"/>
              </w:rPr>
              <w:t xml:space="preserve"> </w:t>
            </w:r>
            <w:r w:rsidRPr="000B6417">
              <w:rPr>
                <w:lang w:eastAsia="en-AU"/>
              </w:rPr>
              <w:t>not</w:t>
            </w:r>
            <w:r w:rsidRPr="000B6417">
              <w:rPr>
                <w:spacing w:val="-3"/>
                <w:lang w:eastAsia="en-AU"/>
              </w:rPr>
              <w:t xml:space="preserve"> </w:t>
            </w:r>
            <w:r w:rsidRPr="000B6417">
              <w:rPr>
                <w:lang w:eastAsia="en-AU"/>
              </w:rPr>
              <w:t>required</w:t>
            </w:r>
          </w:p>
        </w:tc>
      </w:tr>
      <w:tr w:rsidR="00C8707C" w:rsidTr="00CF71CF">
        <w:trPr>
          <w:trHeight w:val="20"/>
        </w:trPr>
        <w:tc>
          <w:tcPr>
            <w:cnfStyle w:val="001000000000" w:firstRow="0" w:lastRow="0" w:firstColumn="1" w:lastColumn="0" w:oddVBand="0" w:evenVBand="0" w:oddHBand="0" w:evenHBand="0" w:firstRowFirstColumn="0" w:firstRowLastColumn="0" w:lastRowFirstColumn="0" w:lastRowLastColumn="0"/>
            <w:tcW w:w="1809" w:type="dxa"/>
            <w:hideMark/>
          </w:tcPr>
          <w:p w:rsidR="00C8707C" w:rsidRPr="000B6417" w:rsidRDefault="00C8707C" w:rsidP="00CF71CF">
            <w:pPr>
              <w:rPr>
                <w:lang w:eastAsia="en-AU"/>
              </w:rPr>
            </w:pPr>
            <w:r w:rsidRPr="000B6417">
              <w:rPr>
                <w:lang w:eastAsia="en-AU"/>
              </w:rPr>
              <w:lastRenderedPageBreak/>
              <w:t xml:space="preserve">31 </w:t>
            </w:r>
            <w:r w:rsidRPr="000B6417">
              <w:rPr>
                <w:spacing w:val="-1"/>
                <w:lang w:eastAsia="en-AU"/>
              </w:rPr>
              <w:t>yea</w:t>
            </w:r>
            <w:r w:rsidRPr="000B6417">
              <w:rPr>
                <w:lang w:eastAsia="en-AU"/>
              </w:rPr>
              <w:t>r old</w:t>
            </w:r>
            <w:r w:rsidRPr="000B6417">
              <w:rPr>
                <w:spacing w:val="-8"/>
                <w:lang w:eastAsia="en-AU"/>
              </w:rPr>
              <w:t xml:space="preserve"> B</w:t>
            </w:r>
            <w:r w:rsidRPr="000B6417">
              <w:rPr>
                <w:lang w:eastAsia="en-AU"/>
              </w:rPr>
              <w:t>lack</w:t>
            </w:r>
            <w:r w:rsidRPr="000B6417">
              <w:rPr>
                <w:spacing w:val="-5"/>
                <w:lang w:eastAsia="en-AU"/>
              </w:rPr>
              <w:t xml:space="preserve"> </w:t>
            </w:r>
            <w:r w:rsidRPr="000B6417">
              <w:rPr>
                <w:lang w:eastAsia="en-AU"/>
              </w:rPr>
              <w:t>male</w:t>
            </w:r>
          </w:p>
        </w:tc>
        <w:tc>
          <w:tcPr>
            <w:tcW w:w="1985" w:type="dxa"/>
            <w:gridSpan w:val="3"/>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Appendicitis/</w:t>
            </w:r>
            <w:r w:rsidR="00CF71CF">
              <w:rPr>
                <w:lang w:eastAsia="en-AU"/>
              </w:rPr>
              <w:t xml:space="preserve"> </w:t>
            </w:r>
            <w:r w:rsidRPr="000B6417">
              <w:rPr>
                <w:lang w:eastAsia="en-AU"/>
              </w:rPr>
              <w:t>Grade</w:t>
            </w:r>
            <w:r w:rsidRPr="000B6417">
              <w:rPr>
                <w:spacing w:val="-4"/>
                <w:lang w:eastAsia="en-AU"/>
              </w:rPr>
              <w:t xml:space="preserve"> </w:t>
            </w:r>
            <w:r w:rsidRPr="000B6417">
              <w:rPr>
                <w:lang w:eastAsia="en-AU"/>
              </w:rPr>
              <w:t>3</w:t>
            </w:r>
          </w:p>
        </w:tc>
        <w:tc>
          <w:tcPr>
            <w:tcW w:w="1417"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Not</w:t>
            </w:r>
            <w:r w:rsidRPr="000B6417">
              <w:rPr>
                <w:spacing w:val="-3"/>
                <w:lang w:eastAsia="en-AU"/>
              </w:rPr>
              <w:t xml:space="preserve"> </w:t>
            </w:r>
            <w:r w:rsidRPr="000B6417">
              <w:rPr>
                <w:lang w:eastAsia="en-AU"/>
              </w:rPr>
              <w:t>related</w:t>
            </w:r>
          </w:p>
        </w:tc>
        <w:tc>
          <w:tcPr>
            <w:tcW w:w="1843" w:type="dxa"/>
            <w:gridSpan w:val="2"/>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Onset:</w:t>
            </w:r>
            <w:r w:rsidRPr="000B6417">
              <w:rPr>
                <w:spacing w:val="-4"/>
                <w:lang w:eastAsia="en-AU"/>
              </w:rPr>
              <w:t xml:space="preserve"> </w:t>
            </w:r>
            <w:r w:rsidRPr="000B6417">
              <w:rPr>
                <w:lang w:eastAsia="en-AU"/>
              </w:rPr>
              <w:t>OT</w:t>
            </w:r>
            <w:r w:rsidRPr="000B6417">
              <w:rPr>
                <w:spacing w:val="-2"/>
                <w:lang w:eastAsia="en-AU"/>
              </w:rPr>
              <w:t xml:space="preserve"> </w:t>
            </w:r>
            <w:r w:rsidRPr="000B6417">
              <w:rPr>
                <w:lang w:eastAsia="en-AU"/>
              </w:rPr>
              <w:t>Week</w:t>
            </w:r>
            <w:r w:rsidRPr="000B6417">
              <w:rPr>
                <w:spacing w:val="-6"/>
                <w:lang w:eastAsia="en-AU"/>
              </w:rPr>
              <w:t xml:space="preserve"> </w:t>
            </w:r>
            <w:r w:rsidRPr="000B6417">
              <w:rPr>
                <w:lang w:eastAsia="en-AU"/>
              </w:rPr>
              <w:t>24</w:t>
            </w:r>
          </w:p>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Duration:</w:t>
            </w:r>
            <w:r w:rsidRPr="000B6417">
              <w:rPr>
                <w:spacing w:val="-8"/>
                <w:lang w:eastAsia="en-AU"/>
              </w:rPr>
              <w:t xml:space="preserve"> </w:t>
            </w:r>
            <w:r w:rsidRPr="000B6417">
              <w:rPr>
                <w:lang w:eastAsia="en-AU"/>
              </w:rPr>
              <w:t>6</w:t>
            </w:r>
            <w:r w:rsidRPr="000B6417">
              <w:rPr>
                <w:spacing w:val="-1"/>
                <w:lang w:eastAsia="en-AU"/>
              </w:rPr>
              <w:t xml:space="preserve"> </w:t>
            </w:r>
            <w:r w:rsidRPr="000B6417">
              <w:rPr>
                <w:lang w:eastAsia="en-AU"/>
              </w:rPr>
              <w:t>days</w:t>
            </w:r>
          </w:p>
        </w:tc>
        <w:tc>
          <w:tcPr>
            <w:tcW w:w="1985" w:type="dxa"/>
            <w:gridSpan w:val="2"/>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Study</w:t>
            </w:r>
            <w:r w:rsidRPr="000B6417">
              <w:rPr>
                <w:spacing w:val="-5"/>
                <w:lang w:eastAsia="en-AU"/>
              </w:rPr>
              <w:t xml:space="preserve"> </w:t>
            </w:r>
            <w:r w:rsidRPr="000B6417">
              <w:rPr>
                <w:lang w:eastAsia="en-AU"/>
              </w:rPr>
              <w:t>drug</w:t>
            </w:r>
            <w:r w:rsidRPr="000B6417">
              <w:rPr>
                <w:spacing w:val="-4"/>
                <w:lang w:eastAsia="en-AU"/>
              </w:rPr>
              <w:t xml:space="preserve"> </w:t>
            </w:r>
            <w:r w:rsidRPr="000B6417">
              <w:rPr>
                <w:lang w:eastAsia="en-AU"/>
              </w:rPr>
              <w:t>interrupted,</w:t>
            </w:r>
            <w:r w:rsidRPr="000B6417">
              <w:rPr>
                <w:spacing w:val="-10"/>
                <w:lang w:eastAsia="en-AU"/>
              </w:rPr>
              <w:t xml:space="preserve"> </w:t>
            </w:r>
            <w:r w:rsidRPr="000B6417">
              <w:rPr>
                <w:lang w:eastAsia="en-AU"/>
              </w:rPr>
              <w:t>treatment</w:t>
            </w:r>
            <w:r w:rsidRPr="000B6417">
              <w:rPr>
                <w:spacing w:val="-8"/>
                <w:lang w:eastAsia="en-AU"/>
              </w:rPr>
              <w:t xml:space="preserve"> </w:t>
            </w:r>
            <w:r w:rsidRPr="000B6417">
              <w:rPr>
                <w:lang w:eastAsia="en-AU"/>
              </w:rPr>
              <w:t>required</w:t>
            </w:r>
          </w:p>
        </w:tc>
      </w:tr>
    </w:tbl>
    <w:p w:rsidR="00C8707C" w:rsidRDefault="00C8707C" w:rsidP="00CF71CF">
      <w:pPr>
        <w:pStyle w:val="TableDescription"/>
        <w:rPr>
          <w:rFonts w:cs="TimesNewRomanPSMT"/>
        </w:rPr>
      </w:pPr>
      <w:proofErr w:type="spellStart"/>
      <w:proofErr w:type="gramStart"/>
      <w:r>
        <w:t>a</w:t>
      </w:r>
      <w:proofErr w:type="spellEnd"/>
      <w:proofErr w:type="gramEnd"/>
      <w:r>
        <w:t xml:space="preserve"> </w:t>
      </w:r>
      <w:proofErr w:type="spellStart"/>
      <w:r>
        <w:t>A</w:t>
      </w:r>
      <w:proofErr w:type="spellEnd"/>
      <w:r>
        <w:t xml:space="preserve"> determination of relatedness indicates that at least 1 of the 3 drugs (ASV, </w:t>
      </w:r>
      <w:proofErr w:type="spellStart"/>
      <w:r>
        <w:t>pegIFN</w:t>
      </w:r>
      <w:proofErr w:type="spellEnd"/>
      <w:r>
        <w:t xml:space="preserve">α, or RBV) was considered </w:t>
      </w:r>
      <w:r>
        <w:rPr>
          <w:rFonts w:cs="TimesNewRomanPSMT"/>
        </w:rPr>
        <w:t>related to the event; relationship to study therapy as judged by the investigator</w:t>
      </w:r>
    </w:p>
    <w:p w:rsidR="00C8707C" w:rsidRDefault="00C8707C" w:rsidP="00C8707C">
      <w:pPr>
        <w:pStyle w:val="Heading6"/>
        <w:numPr>
          <w:ilvl w:val="4"/>
          <w:numId w:val="5"/>
        </w:numPr>
        <w:ind w:left="1702" w:hanging="1418"/>
      </w:pPr>
      <w:r>
        <w:t>Discontinuations due to AEs</w:t>
      </w:r>
    </w:p>
    <w:p w:rsidR="00C8707C" w:rsidRDefault="00C8707C" w:rsidP="00C8707C">
      <w:pPr>
        <w:tabs>
          <w:tab w:val="left" w:pos="720"/>
        </w:tabs>
        <w:autoSpaceDE w:val="0"/>
        <w:autoSpaceDN w:val="0"/>
        <w:adjustRightInd w:val="0"/>
      </w:pPr>
      <w:r>
        <w:rPr>
          <w:rFonts w:eastAsia="TimesNewRoman" w:cs="TimesNewRoman"/>
          <w:color w:val="000000"/>
        </w:rPr>
        <w:t xml:space="preserve">Four subjects discontinued all study drugs (ASV/placebo, </w:t>
      </w:r>
      <w:proofErr w:type="spellStart"/>
      <w:r>
        <w:rPr>
          <w:rFonts w:eastAsia="TimesNewRoman" w:cs="TimesNewRoman"/>
          <w:color w:val="000000"/>
        </w:rPr>
        <w:t>pegIFN</w:t>
      </w:r>
      <w:proofErr w:type="spellEnd"/>
      <w:r>
        <w:rPr>
          <w:rFonts w:eastAsia="TimesNewRoman" w:cs="Symbol"/>
          <w:color w:val="000000"/>
        </w:rPr>
        <w:t>α</w:t>
      </w:r>
      <w:r>
        <w:rPr>
          <w:rFonts w:eastAsia="TimesNewRoman" w:cs="TimesNewRoman"/>
          <w:color w:val="000000"/>
        </w:rPr>
        <w:t>, and RBV) due to influenza like illness (1 subject in the 600-mg BD ASV group</w:t>
      </w:r>
      <w:r>
        <w:rPr>
          <w:rFonts w:eastAsia="TimesNewRoman" w:cs="TimesNewRomanPSMT"/>
          <w:color w:val="000000"/>
        </w:rPr>
        <w:t xml:space="preserve">), </w:t>
      </w:r>
      <w:r>
        <w:rPr>
          <w:rFonts w:eastAsia="TimesNewRoman" w:cs="TimesNewRoman"/>
          <w:color w:val="000000"/>
        </w:rPr>
        <w:t xml:space="preserve">asthenia (1 subject in the placebo group), hepatic enzyme increased (1 subject in the 600-mg QD ASV group), and </w:t>
      </w:r>
      <w:proofErr w:type="spellStart"/>
      <w:r>
        <w:rPr>
          <w:rFonts w:eastAsia="TimesNewRoman" w:cs="TimesNewRoman"/>
          <w:color w:val="000000"/>
        </w:rPr>
        <w:t>VII</w:t>
      </w:r>
      <w:r>
        <w:rPr>
          <w:rFonts w:eastAsia="TimesNewRoman" w:cs="TimesNewRoman"/>
          <w:color w:val="000000"/>
          <w:vertAlign w:val="superscript"/>
        </w:rPr>
        <w:t>th</w:t>
      </w:r>
      <w:proofErr w:type="spellEnd"/>
      <w:r>
        <w:rPr>
          <w:rFonts w:eastAsia="TimesNewRoman" w:cs="TimesNewRoman"/>
          <w:color w:val="000000"/>
        </w:rPr>
        <w:t xml:space="preserve"> nerve paralysis (1 subject in the 600-mg QD ASV group).</w:t>
      </w:r>
    </w:p>
    <w:p w:rsidR="00C8707C" w:rsidRDefault="00C8707C" w:rsidP="00C8707C">
      <w:pPr>
        <w:pStyle w:val="Heading6"/>
        <w:numPr>
          <w:ilvl w:val="4"/>
          <w:numId w:val="5"/>
        </w:numPr>
        <w:ind w:left="1702" w:hanging="1418"/>
      </w:pPr>
      <w:r>
        <w:t xml:space="preserve">Laboratory </w:t>
      </w:r>
      <w:r w:rsidR="00CF71CF">
        <w:t>t</w:t>
      </w:r>
      <w:r>
        <w:t xml:space="preserve">est </w:t>
      </w:r>
      <w:r w:rsidR="00CF71CF">
        <w:t>a</w:t>
      </w:r>
      <w:r>
        <w:t>bnormalities</w:t>
      </w:r>
    </w:p>
    <w:p w:rsidR="00C8707C" w:rsidRDefault="00C8707C" w:rsidP="00C8707C">
      <w:pPr>
        <w:tabs>
          <w:tab w:val="left" w:pos="720"/>
        </w:tabs>
        <w:autoSpaceDE w:val="0"/>
        <w:autoSpaceDN w:val="0"/>
        <w:adjustRightInd w:val="0"/>
        <w:rPr>
          <w:rFonts w:eastAsia="TimesNewRoman" w:cs="TimesNewRoman"/>
          <w:color w:val="000000"/>
        </w:rPr>
      </w:pPr>
      <w:r>
        <w:rPr>
          <w:rFonts w:eastAsia="TimesNewRoman" w:cs="TimesNewRoman"/>
          <w:color w:val="000000"/>
        </w:rPr>
        <w:t>The most frequent on-treatment (regardless of baseline or end of treatment toxicity grade) laboratory abnormalities were hematologic and hepatic abnormalities. Grade 3 to 4 anaemia was not reported in any subjects in the 200-mg BD ASV and 600-mg BD ASV groups and in 2 (16.7%), and 1 (9.1%) subjects in the 600-mg QD ASV groups, and placebo group, respectively. No subject in Stage 1 discontinued study drugs due to an anaemia event.</w:t>
      </w:r>
    </w:p>
    <w:p w:rsidR="00C8707C" w:rsidRDefault="00C8707C" w:rsidP="00C8707C">
      <w:pPr>
        <w:tabs>
          <w:tab w:val="left" w:pos="720"/>
        </w:tabs>
        <w:autoSpaceDE w:val="0"/>
        <w:autoSpaceDN w:val="0"/>
        <w:adjustRightInd w:val="0"/>
        <w:rPr>
          <w:rFonts w:eastAsia="TimesNewRoman" w:cs="TimesNewRoman"/>
          <w:color w:val="000000"/>
        </w:rPr>
      </w:pPr>
      <w:r>
        <w:rPr>
          <w:rFonts w:eastAsia="TimesNewRoman" w:cs="TimesNewRoman"/>
          <w:color w:val="000000"/>
        </w:rPr>
        <w:t xml:space="preserve">Elevations of </w:t>
      </w:r>
      <w:r>
        <w:rPr>
          <w:rFonts w:eastAsia="TimesNewRoman" w:cs="TimesNewRoman"/>
        </w:rPr>
        <w:t>alanine aminotransferase</w:t>
      </w:r>
      <w:r>
        <w:rPr>
          <w:rFonts w:eastAsia="TimesNewRoman" w:cs="TimesNewRoman"/>
          <w:color w:val="000000"/>
        </w:rPr>
        <w:t xml:space="preserve"> (ALT) and total bilirubin (TBIL) were observed in Stage 1 of this study.</w:t>
      </w:r>
    </w:p>
    <w:p w:rsidR="00C8707C" w:rsidRDefault="00C8707C" w:rsidP="00C8707C">
      <w:pPr>
        <w:pStyle w:val="ListBullet"/>
        <w:numPr>
          <w:ilvl w:val="0"/>
          <w:numId w:val="1"/>
        </w:numPr>
      </w:pPr>
      <w:r>
        <w:t>ALT elevations were observed more frequently in the ASV regimen compared with placebo. Overall, Grade 3 to 4 ALT abnormalities through Week 12 were reported for 3 subjects: 1 in the 600-mg BD ASV and 2 in the 600-mg QD ASV groups.</w:t>
      </w:r>
    </w:p>
    <w:p w:rsidR="00C8707C" w:rsidRDefault="00C8707C" w:rsidP="00C8707C">
      <w:pPr>
        <w:pStyle w:val="ListBullet"/>
        <w:numPr>
          <w:ilvl w:val="0"/>
          <w:numId w:val="1"/>
        </w:numPr>
      </w:pPr>
      <w:r>
        <w:t>Grade 3 to 4 TBIL was reported for 1 subject each in the 3 ASV treatment groups (200-mg BD, 600-mg BD, and 600-mg QD).</w:t>
      </w:r>
    </w:p>
    <w:p w:rsidR="00C8707C" w:rsidRDefault="00C8707C" w:rsidP="00C8707C">
      <w:pPr>
        <w:pStyle w:val="ListBullet"/>
        <w:numPr>
          <w:ilvl w:val="0"/>
          <w:numId w:val="1"/>
        </w:numPr>
      </w:pPr>
      <w:r>
        <w:t xml:space="preserve">After discontinuing therapy, liver function test (LFT) abnormalities returned to normal. In subjects who did not complete the full duration of assigned ASV/placebo dosing, elevated LFTs returned to normal despite continued dosing with </w:t>
      </w:r>
      <w:proofErr w:type="spellStart"/>
      <w:r>
        <w:t>pegIFN</w:t>
      </w:r>
      <w:proofErr w:type="spellEnd"/>
      <w:r>
        <w:t>α/RBV. Subjects that discontinued all study medications also returned to normal.</w:t>
      </w:r>
    </w:p>
    <w:p w:rsidR="00C8707C" w:rsidRDefault="00C8707C" w:rsidP="00C8707C">
      <w:pPr>
        <w:pStyle w:val="Heading5"/>
        <w:numPr>
          <w:ilvl w:val="3"/>
          <w:numId w:val="5"/>
        </w:numPr>
      </w:pPr>
      <w:r>
        <w:t>Stage 2</w:t>
      </w:r>
    </w:p>
    <w:p w:rsidR="00C8707C" w:rsidRDefault="00C8707C" w:rsidP="00C8707C">
      <w:pPr>
        <w:pStyle w:val="Heading6"/>
        <w:numPr>
          <w:ilvl w:val="4"/>
          <w:numId w:val="5"/>
        </w:numPr>
        <w:ind w:left="1702" w:hanging="1418"/>
      </w:pPr>
      <w:r>
        <w:t xml:space="preserve">Adverse </w:t>
      </w:r>
      <w:r w:rsidR="00CF71CF">
        <w:t>e</w:t>
      </w:r>
      <w:r>
        <w:t>vents</w:t>
      </w:r>
    </w:p>
    <w:p w:rsidR="00C8707C" w:rsidRDefault="00C8707C" w:rsidP="00C8707C">
      <w:r>
        <w:t>The most frequently (≥ 35% in any group) reported AEs in all treatment groups were headache, fatigue, asthenia, decreased appetite, and influenza like illness. In the small subgroup with baseline cirrhosis, the frequencies of SAEs, AEs leading to discontinuation, and Grade 3 to 4 AEs were slightly higher compared with the large subgroup of subjects without baseline cirrhosis.</w:t>
      </w:r>
    </w:p>
    <w:p w:rsidR="00C8707C" w:rsidRDefault="00C8707C" w:rsidP="00CF71CF">
      <w:pPr>
        <w:pStyle w:val="Tabletitle"/>
        <w:pageBreakBefore/>
        <w:rPr>
          <w:rFonts w:eastAsia="TimesNewRoman" w:cs="TimesNewRoman"/>
        </w:rPr>
      </w:pPr>
      <w:bookmarkStart w:id="204" w:name="_Toc401831788"/>
      <w:r>
        <w:lastRenderedPageBreak/>
        <w:t xml:space="preserve">Table </w:t>
      </w:r>
      <w:fldSimple w:instr=" SEQ Table \* ARABIC ">
        <w:r w:rsidR="00CF355B">
          <w:rPr>
            <w:noProof/>
          </w:rPr>
          <w:t>3</w:t>
        </w:r>
      </w:fldSimple>
      <w:r>
        <w:t>: Study AI447016: Summary of safety on treatment – Stage 2 – treated subjects</w:t>
      </w:r>
      <w:bookmarkEnd w:id="204"/>
    </w:p>
    <w:tbl>
      <w:tblPr>
        <w:tblStyle w:val="TableTGAblue"/>
        <w:tblW w:w="0" w:type="auto"/>
        <w:tblLayout w:type="fixed"/>
        <w:tblLook w:val="04A0" w:firstRow="1" w:lastRow="0" w:firstColumn="1" w:lastColumn="0" w:noHBand="0" w:noVBand="1"/>
      </w:tblPr>
      <w:tblGrid>
        <w:gridCol w:w="4405"/>
        <w:gridCol w:w="2126"/>
        <w:gridCol w:w="2370"/>
      </w:tblGrid>
      <w:tr w:rsidR="00C8707C" w:rsidRPr="00B77CC0" w:rsidTr="00CF71CF">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4405" w:type="dxa"/>
            <w:vMerge w:val="restart"/>
            <w:hideMark/>
          </w:tcPr>
          <w:p w:rsidR="00C8707C" w:rsidRPr="000B6417" w:rsidRDefault="00C8707C" w:rsidP="00CF71CF">
            <w:pPr>
              <w:rPr>
                <w:b w:val="0"/>
                <w:lang w:eastAsia="en-AU"/>
              </w:rPr>
            </w:pPr>
            <w:r w:rsidRPr="000B6417">
              <w:rPr>
                <w:b w:val="0"/>
                <w:lang w:eastAsia="en-AU"/>
              </w:rPr>
              <w:t>Results Summary</w:t>
            </w:r>
          </w:p>
        </w:tc>
        <w:tc>
          <w:tcPr>
            <w:tcW w:w="4496" w:type="dxa"/>
            <w:gridSpan w:val="2"/>
            <w:hideMark/>
          </w:tcPr>
          <w:p w:rsidR="00C8707C" w:rsidRPr="000B6417" w:rsidRDefault="00C8707C" w:rsidP="00CF71CF">
            <w:pPr>
              <w:cnfStyle w:val="100000000000" w:firstRow="1" w:lastRow="0" w:firstColumn="0" w:lastColumn="0" w:oddVBand="0" w:evenVBand="0" w:oddHBand="0" w:evenHBand="0" w:firstRowFirstColumn="0" w:firstRowLastColumn="0" w:lastRowFirstColumn="0" w:lastRowLastColumn="0"/>
              <w:rPr>
                <w:b w:val="0"/>
                <w:lang w:eastAsia="en-AU"/>
              </w:rPr>
            </w:pPr>
            <w:r w:rsidRPr="000B6417">
              <w:rPr>
                <w:b w:val="0"/>
                <w:lang w:eastAsia="en-AU"/>
              </w:rPr>
              <w:t>Number</w:t>
            </w:r>
            <w:r w:rsidRPr="000B6417">
              <w:rPr>
                <w:b w:val="0"/>
                <w:spacing w:val="-7"/>
                <w:lang w:eastAsia="en-AU"/>
              </w:rPr>
              <w:t xml:space="preserve"> </w:t>
            </w:r>
            <w:r w:rsidRPr="000B6417">
              <w:rPr>
                <w:b w:val="0"/>
                <w:lang w:eastAsia="en-AU"/>
              </w:rPr>
              <w:t>(%)</w:t>
            </w:r>
            <w:r w:rsidRPr="000B6417">
              <w:rPr>
                <w:b w:val="0"/>
                <w:spacing w:val="-2"/>
                <w:lang w:eastAsia="en-AU"/>
              </w:rPr>
              <w:t xml:space="preserve"> </w:t>
            </w:r>
            <w:r w:rsidRPr="000B6417">
              <w:rPr>
                <w:b w:val="0"/>
                <w:lang w:eastAsia="en-AU"/>
              </w:rPr>
              <w:t>of</w:t>
            </w:r>
            <w:r w:rsidRPr="000B6417">
              <w:rPr>
                <w:b w:val="0"/>
                <w:spacing w:val="-2"/>
                <w:lang w:eastAsia="en-AU"/>
              </w:rPr>
              <w:t xml:space="preserve"> </w:t>
            </w:r>
            <w:r w:rsidRPr="000B6417">
              <w:rPr>
                <w:b w:val="0"/>
                <w:lang w:eastAsia="en-AU"/>
              </w:rPr>
              <w:t>Subjects</w:t>
            </w:r>
          </w:p>
        </w:tc>
      </w:tr>
      <w:tr w:rsidR="00C8707C" w:rsidRPr="00B77CC0" w:rsidTr="00CF71CF">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8901" w:type="dxa"/>
            <w:vMerge/>
            <w:hideMark/>
          </w:tcPr>
          <w:p w:rsidR="00C8707C" w:rsidRPr="000B6417" w:rsidRDefault="00C8707C" w:rsidP="00CF71CF">
            <w:pPr>
              <w:rPr>
                <w:b w:val="0"/>
                <w:lang w:eastAsia="en-AU"/>
              </w:rPr>
            </w:pPr>
          </w:p>
        </w:tc>
        <w:tc>
          <w:tcPr>
            <w:tcW w:w="2126" w:type="dxa"/>
            <w:hideMark/>
          </w:tcPr>
          <w:p w:rsidR="00C8707C" w:rsidRPr="000B6417" w:rsidRDefault="00C8707C" w:rsidP="00CF71CF">
            <w:pPr>
              <w:cnfStyle w:val="100000000000" w:firstRow="1" w:lastRow="0" w:firstColumn="0" w:lastColumn="0" w:oddVBand="0" w:evenVBand="0" w:oddHBand="0" w:evenHBand="0" w:firstRowFirstColumn="0" w:firstRowLastColumn="0" w:lastRowFirstColumn="0" w:lastRowLastColumn="0"/>
              <w:rPr>
                <w:rFonts w:eastAsia="TimesNewRoman" w:cs="TimesNewRoman"/>
                <w:b w:val="0"/>
                <w:lang w:eastAsia="en-AU"/>
              </w:rPr>
            </w:pPr>
            <w:r w:rsidRPr="000B6417">
              <w:rPr>
                <w:b w:val="0"/>
                <w:spacing w:val="1"/>
                <w:lang w:eastAsia="en-AU"/>
              </w:rPr>
              <w:t>20</w:t>
            </w:r>
            <w:r w:rsidRPr="000B6417">
              <w:rPr>
                <w:b w:val="0"/>
                <w:lang w:eastAsia="en-AU"/>
              </w:rPr>
              <w:t>0</w:t>
            </w:r>
            <w:r w:rsidRPr="000B6417">
              <w:rPr>
                <w:b w:val="0"/>
                <w:spacing w:val="-2"/>
                <w:lang w:eastAsia="en-AU"/>
              </w:rPr>
              <w:t xml:space="preserve"> </w:t>
            </w:r>
            <w:r w:rsidRPr="000B6417">
              <w:rPr>
                <w:b w:val="0"/>
                <w:spacing w:val="1"/>
                <w:lang w:eastAsia="en-AU"/>
              </w:rPr>
              <w:t>ASV</w:t>
            </w:r>
            <w:r w:rsidRPr="000B6417">
              <w:rPr>
                <w:rFonts w:eastAsia="TimesNewRoman" w:cs="TimesNewRoman"/>
                <w:b w:val="0"/>
                <w:lang w:eastAsia="en-AU"/>
              </w:rPr>
              <w:t xml:space="preserve"> (N = 176)</w:t>
            </w:r>
          </w:p>
        </w:tc>
        <w:tc>
          <w:tcPr>
            <w:tcW w:w="2370" w:type="dxa"/>
            <w:hideMark/>
          </w:tcPr>
          <w:p w:rsidR="00C8707C" w:rsidRPr="000B6417" w:rsidRDefault="00C8707C" w:rsidP="00CF71CF">
            <w:pPr>
              <w:cnfStyle w:val="100000000000" w:firstRow="1" w:lastRow="0" w:firstColumn="0" w:lastColumn="0" w:oddVBand="0" w:evenVBand="0" w:oddHBand="0" w:evenHBand="0" w:firstRowFirstColumn="0" w:firstRowLastColumn="0" w:lastRowFirstColumn="0" w:lastRowLastColumn="0"/>
              <w:rPr>
                <w:rFonts w:eastAsia="TimesNewRoman" w:cs="TimesNewRoman"/>
                <w:b w:val="0"/>
                <w:lang w:eastAsia="en-AU"/>
              </w:rPr>
            </w:pPr>
            <w:r w:rsidRPr="000B6417">
              <w:rPr>
                <w:b w:val="0"/>
                <w:lang w:eastAsia="en-AU"/>
              </w:rPr>
              <w:t>Placebo</w:t>
            </w:r>
            <w:r w:rsidRPr="000B6417">
              <w:rPr>
                <w:rFonts w:eastAsia="TimesNewRoman" w:cs="TimesNewRoman"/>
                <w:b w:val="0"/>
                <w:lang w:eastAsia="en-AU"/>
              </w:rPr>
              <w:t xml:space="preserve"> (N = 61)</w:t>
            </w:r>
          </w:p>
        </w:tc>
      </w:tr>
      <w:tr w:rsidR="00C8707C" w:rsidTr="00CF71CF">
        <w:trPr>
          <w:trHeight w:val="20"/>
        </w:trPr>
        <w:tc>
          <w:tcPr>
            <w:cnfStyle w:val="001000000000" w:firstRow="0" w:lastRow="0" w:firstColumn="1" w:lastColumn="0" w:oddVBand="0" w:evenVBand="0" w:oddHBand="0" w:evenHBand="0" w:firstRowFirstColumn="0" w:firstRowLastColumn="0" w:lastRowFirstColumn="0" w:lastRowLastColumn="0"/>
            <w:tcW w:w="4405" w:type="dxa"/>
            <w:hideMark/>
          </w:tcPr>
          <w:p w:rsidR="00C8707C" w:rsidRPr="000B6417" w:rsidRDefault="00C8707C" w:rsidP="00CF71CF">
            <w:pPr>
              <w:rPr>
                <w:lang w:eastAsia="en-AU"/>
              </w:rPr>
            </w:pPr>
            <w:r w:rsidRPr="000B6417">
              <w:rPr>
                <w:lang w:eastAsia="en-AU"/>
              </w:rPr>
              <w:t>Deaths</w:t>
            </w:r>
          </w:p>
        </w:tc>
        <w:tc>
          <w:tcPr>
            <w:tcW w:w="2126"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w w:val="99"/>
                <w:lang w:eastAsia="en-AU"/>
              </w:rPr>
              <w:t>2</w:t>
            </w:r>
          </w:p>
        </w:tc>
        <w:tc>
          <w:tcPr>
            <w:tcW w:w="2370"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w w:val="99"/>
                <w:lang w:eastAsia="en-AU"/>
              </w:rPr>
              <w:t>0</w:t>
            </w:r>
          </w:p>
        </w:tc>
      </w:tr>
      <w:tr w:rsidR="00C8707C" w:rsidTr="00CF71CF">
        <w:trPr>
          <w:trHeight w:val="20"/>
        </w:trPr>
        <w:tc>
          <w:tcPr>
            <w:cnfStyle w:val="001000000000" w:firstRow="0" w:lastRow="0" w:firstColumn="1" w:lastColumn="0" w:oddVBand="0" w:evenVBand="0" w:oddHBand="0" w:evenHBand="0" w:firstRowFirstColumn="0" w:firstRowLastColumn="0" w:lastRowFirstColumn="0" w:lastRowLastColumn="0"/>
            <w:tcW w:w="4405" w:type="dxa"/>
            <w:hideMark/>
          </w:tcPr>
          <w:p w:rsidR="00C8707C" w:rsidRPr="000B6417" w:rsidRDefault="00C8707C" w:rsidP="00CF71CF">
            <w:pPr>
              <w:rPr>
                <w:lang w:eastAsia="en-AU"/>
              </w:rPr>
            </w:pPr>
            <w:r w:rsidRPr="000B6417">
              <w:rPr>
                <w:lang w:eastAsia="en-AU"/>
              </w:rPr>
              <w:t>SAEs</w:t>
            </w:r>
            <w:r w:rsidRPr="000B6417">
              <w:rPr>
                <w:spacing w:val="-5"/>
                <w:lang w:eastAsia="en-AU"/>
              </w:rPr>
              <w:t xml:space="preserve"> </w:t>
            </w:r>
            <w:r w:rsidRPr="000B6417">
              <w:rPr>
                <w:spacing w:val="1"/>
                <w:lang w:eastAsia="en-AU"/>
              </w:rPr>
              <w:t>on</w:t>
            </w:r>
            <w:r w:rsidRPr="000B6417">
              <w:rPr>
                <w:spacing w:val="-2"/>
                <w:lang w:eastAsia="en-AU"/>
              </w:rPr>
              <w:t>-</w:t>
            </w:r>
            <w:r w:rsidRPr="000B6417">
              <w:rPr>
                <w:lang w:eastAsia="en-AU"/>
              </w:rPr>
              <w:t>treatment</w:t>
            </w:r>
          </w:p>
        </w:tc>
        <w:tc>
          <w:tcPr>
            <w:tcW w:w="2126"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1</w:t>
            </w:r>
            <w:r w:rsidRPr="000B6417">
              <w:rPr>
                <w:lang w:eastAsia="en-AU"/>
              </w:rPr>
              <w:t xml:space="preserve">4 </w:t>
            </w:r>
            <w:r w:rsidRPr="000B6417">
              <w:rPr>
                <w:spacing w:val="1"/>
                <w:lang w:eastAsia="en-AU"/>
              </w:rPr>
              <w:t>(</w:t>
            </w:r>
            <w:r w:rsidRPr="000B6417">
              <w:rPr>
                <w:lang w:eastAsia="en-AU"/>
              </w:rPr>
              <w:t>7.9)</w:t>
            </w:r>
          </w:p>
        </w:tc>
        <w:tc>
          <w:tcPr>
            <w:tcW w:w="2370"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3</w:t>
            </w:r>
            <w:r w:rsidRPr="000B6417">
              <w:rPr>
                <w:spacing w:val="1"/>
                <w:lang w:eastAsia="en-AU"/>
              </w:rPr>
              <w:t xml:space="preserve"> </w:t>
            </w:r>
            <w:r w:rsidRPr="000B6417">
              <w:rPr>
                <w:spacing w:val="1"/>
                <w:w w:val="99"/>
                <w:lang w:eastAsia="en-AU"/>
              </w:rPr>
              <w:t>(</w:t>
            </w:r>
            <w:r w:rsidRPr="000B6417">
              <w:rPr>
                <w:w w:val="99"/>
                <w:lang w:eastAsia="en-AU"/>
              </w:rPr>
              <w:t>4.9)</w:t>
            </w:r>
          </w:p>
        </w:tc>
      </w:tr>
      <w:tr w:rsidR="00C8707C" w:rsidTr="00CF71CF">
        <w:trPr>
          <w:trHeight w:val="20"/>
        </w:trPr>
        <w:tc>
          <w:tcPr>
            <w:cnfStyle w:val="001000000000" w:firstRow="0" w:lastRow="0" w:firstColumn="1" w:lastColumn="0" w:oddVBand="0" w:evenVBand="0" w:oddHBand="0" w:evenHBand="0" w:firstRowFirstColumn="0" w:firstRowLastColumn="0" w:lastRowFirstColumn="0" w:lastRowLastColumn="0"/>
            <w:tcW w:w="4405" w:type="dxa"/>
            <w:hideMark/>
          </w:tcPr>
          <w:p w:rsidR="00C8707C" w:rsidRPr="000B6417" w:rsidRDefault="00C8707C" w:rsidP="00CF71CF">
            <w:pPr>
              <w:rPr>
                <w:lang w:eastAsia="en-AU"/>
              </w:rPr>
            </w:pPr>
            <w:r w:rsidRPr="000B6417">
              <w:rPr>
                <w:spacing w:val="-2"/>
                <w:lang w:eastAsia="en-AU"/>
              </w:rPr>
              <w:t>A</w:t>
            </w:r>
            <w:r w:rsidRPr="000B6417">
              <w:rPr>
                <w:spacing w:val="3"/>
                <w:lang w:eastAsia="en-AU"/>
              </w:rPr>
              <w:t>E</w:t>
            </w:r>
            <w:r w:rsidRPr="000B6417">
              <w:rPr>
                <w:lang w:eastAsia="en-AU"/>
              </w:rPr>
              <w:t>s</w:t>
            </w:r>
            <w:r w:rsidRPr="000B6417">
              <w:rPr>
                <w:spacing w:val="-3"/>
                <w:lang w:eastAsia="en-AU"/>
              </w:rPr>
              <w:t xml:space="preserve"> </w:t>
            </w:r>
            <w:r w:rsidRPr="000B6417">
              <w:rPr>
                <w:lang w:eastAsia="en-AU"/>
              </w:rPr>
              <w:t>leading</w:t>
            </w:r>
            <w:r w:rsidRPr="000B6417">
              <w:rPr>
                <w:spacing w:val="-6"/>
                <w:lang w:eastAsia="en-AU"/>
              </w:rPr>
              <w:t xml:space="preserve"> </w:t>
            </w:r>
            <w:r w:rsidRPr="000B6417">
              <w:rPr>
                <w:lang w:eastAsia="en-AU"/>
              </w:rPr>
              <w:t>to</w:t>
            </w:r>
            <w:r w:rsidRPr="000B6417">
              <w:rPr>
                <w:spacing w:val="-2"/>
                <w:lang w:eastAsia="en-AU"/>
              </w:rPr>
              <w:t xml:space="preserve"> </w:t>
            </w:r>
            <w:r w:rsidRPr="000B6417">
              <w:rPr>
                <w:lang w:eastAsia="en-AU"/>
              </w:rPr>
              <w:t>discontinuation</w:t>
            </w:r>
            <w:r w:rsidRPr="000B6417">
              <w:rPr>
                <w:spacing w:val="-12"/>
                <w:lang w:eastAsia="en-AU"/>
              </w:rPr>
              <w:t xml:space="preserve"> </w:t>
            </w:r>
            <w:r w:rsidRPr="000B6417">
              <w:rPr>
                <w:lang w:eastAsia="en-AU"/>
              </w:rPr>
              <w:t>of study drugs</w:t>
            </w:r>
          </w:p>
        </w:tc>
        <w:tc>
          <w:tcPr>
            <w:tcW w:w="2126"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1</w:t>
            </w:r>
            <w:r w:rsidRPr="000B6417">
              <w:rPr>
                <w:lang w:eastAsia="en-AU"/>
              </w:rPr>
              <w:t xml:space="preserve">0 </w:t>
            </w:r>
            <w:r w:rsidRPr="000B6417">
              <w:rPr>
                <w:spacing w:val="1"/>
                <w:lang w:eastAsia="en-AU"/>
              </w:rPr>
              <w:t>(</w:t>
            </w:r>
            <w:r w:rsidRPr="000B6417">
              <w:rPr>
                <w:lang w:eastAsia="en-AU"/>
              </w:rPr>
              <w:t>5.6)</w:t>
            </w:r>
          </w:p>
        </w:tc>
        <w:tc>
          <w:tcPr>
            <w:tcW w:w="2370"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3</w:t>
            </w:r>
            <w:r w:rsidRPr="000B6417">
              <w:rPr>
                <w:spacing w:val="1"/>
                <w:lang w:eastAsia="en-AU"/>
              </w:rPr>
              <w:t xml:space="preserve"> </w:t>
            </w:r>
            <w:r w:rsidRPr="000B6417">
              <w:rPr>
                <w:spacing w:val="1"/>
                <w:w w:val="99"/>
                <w:lang w:eastAsia="en-AU"/>
              </w:rPr>
              <w:t>(</w:t>
            </w:r>
            <w:r w:rsidRPr="000B6417">
              <w:rPr>
                <w:w w:val="99"/>
                <w:lang w:eastAsia="en-AU"/>
              </w:rPr>
              <w:t>4.9)</w:t>
            </w:r>
          </w:p>
        </w:tc>
      </w:tr>
      <w:tr w:rsidR="00C8707C" w:rsidTr="00CF71CF">
        <w:trPr>
          <w:trHeight w:val="20"/>
        </w:trPr>
        <w:tc>
          <w:tcPr>
            <w:cnfStyle w:val="001000000000" w:firstRow="0" w:lastRow="0" w:firstColumn="1" w:lastColumn="0" w:oddVBand="0" w:evenVBand="0" w:oddHBand="0" w:evenHBand="0" w:firstRowFirstColumn="0" w:firstRowLastColumn="0" w:lastRowFirstColumn="0" w:lastRowLastColumn="0"/>
            <w:tcW w:w="4405" w:type="dxa"/>
            <w:hideMark/>
          </w:tcPr>
          <w:p w:rsidR="00C8707C" w:rsidRPr="000B6417" w:rsidRDefault="00C8707C" w:rsidP="00CF71CF">
            <w:pPr>
              <w:rPr>
                <w:lang w:eastAsia="en-AU"/>
              </w:rPr>
            </w:pPr>
            <w:r w:rsidRPr="000B6417">
              <w:rPr>
                <w:lang w:eastAsia="en-AU"/>
              </w:rPr>
              <w:t>Overall</w:t>
            </w:r>
            <w:r w:rsidRPr="000B6417">
              <w:rPr>
                <w:spacing w:val="-6"/>
                <w:lang w:eastAsia="en-AU"/>
              </w:rPr>
              <w:t xml:space="preserve"> </w:t>
            </w:r>
            <w:r w:rsidRPr="000B6417">
              <w:rPr>
                <w:lang w:eastAsia="en-AU"/>
              </w:rPr>
              <w:t>AEs</w:t>
            </w:r>
            <w:r w:rsidRPr="000B6417">
              <w:rPr>
                <w:spacing w:val="-2"/>
                <w:lang w:eastAsia="en-AU"/>
              </w:rPr>
              <w:t xml:space="preserve"> </w:t>
            </w:r>
            <w:r w:rsidRPr="000B6417">
              <w:rPr>
                <w:spacing w:val="1"/>
                <w:lang w:eastAsia="en-AU"/>
              </w:rPr>
              <w:t>on</w:t>
            </w:r>
            <w:r w:rsidRPr="000B6417">
              <w:rPr>
                <w:spacing w:val="-2"/>
                <w:lang w:eastAsia="en-AU"/>
              </w:rPr>
              <w:t>-</w:t>
            </w:r>
            <w:r w:rsidRPr="000B6417">
              <w:rPr>
                <w:lang w:eastAsia="en-AU"/>
              </w:rPr>
              <w:t>treatment</w:t>
            </w:r>
          </w:p>
        </w:tc>
        <w:tc>
          <w:tcPr>
            <w:tcW w:w="2126"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17</w:t>
            </w:r>
            <w:r w:rsidRPr="000B6417">
              <w:rPr>
                <w:lang w:eastAsia="en-AU"/>
              </w:rPr>
              <w:t>3</w:t>
            </w:r>
            <w:r w:rsidRPr="000B6417">
              <w:rPr>
                <w:spacing w:val="-1"/>
                <w:lang w:eastAsia="en-AU"/>
              </w:rPr>
              <w:t xml:space="preserve"> </w:t>
            </w:r>
            <w:r w:rsidRPr="000B6417">
              <w:rPr>
                <w:spacing w:val="-2"/>
                <w:lang w:eastAsia="en-AU"/>
              </w:rPr>
              <w:t>(</w:t>
            </w:r>
            <w:r w:rsidRPr="000B6417">
              <w:rPr>
                <w:lang w:eastAsia="en-AU"/>
              </w:rPr>
              <w:t>97.7)</w:t>
            </w:r>
          </w:p>
        </w:tc>
        <w:tc>
          <w:tcPr>
            <w:tcW w:w="2370"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5</w:t>
            </w:r>
            <w:r w:rsidRPr="000B6417">
              <w:rPr>
                <w:lang w:eastAsia="en-AU"/>
              </w:rPr>
              <w:t xml:space="preserve">7 </w:t>
            </w:r>
            <w:r w:rsidRPr="000B6417">
              <w:rPr>
                <w:spacing w:val="1"/>
                <w:lang w:eastAsia="en-AU"/>
              </w:rPr>
              <w:t>(</w:t>
            </w:r>
            <w:r w:rsidRPr="000B6417">
              <w:rPr>
                <w:lang w:eastAsia="en-AU"/>
              </w:rPr>
              <w:t>93.4)</w:t>
            </w:r>
          </w:p>
        </w:tc>
      </w:tr>
      <w:tr w:rsidR="00C8707C" w:rsidTr="00CF71CF">
        <w:trPr>
          <w:trHeight w:val="20"/>
        </w:trPr>
        <w:tc>
          <w:tcPr>
            <w:cnfStyle w:val="001000000000" w:firstRow="0" w:lastRow="0" w:firstColumn="1" w:lastColumn="0" w:oddVBand="0" w:evenVBand="0" w:oddHBand="0" w:evenHBand="0" w:firstRowFirstColumn="0" w:firstRowLastColumn="0" w:lastRowFirstColumn="0" w:lastRowLastColumn="0"/>
            <w:tcW w:w="8901" w:type="dxa"/>
            <w:gridSpan w:val="3"/>
            <w:hideMark/>
          </w:tcPr>
          <w:p w:rsidR="00C8707C" w:rsidRPr="000B6417" w:rsidRDefault="00C8707C" w:rsidP="00CF71CF">
            <w:pPr>
              <w:rPr>
                <w:lang w:eastAsia="en-AU"/>
              </w:rPr>
            </w:pPr>
            <w:r w:rsidRPr="000B6417">
              <w:rPr>
                <w:spacing w:val="-2"/>
                <w:lang w:eastAsia="en-AU"/>
              </w:rPr>
              <w:t>A</w:t>
            </w:r>
            <w:r w:rsidRPr="000B6417">
              <w:rPr>
                <w:spacing w:val="3"/>
                <w:lang w:eastAsia="en-AU"/>
              </w:rPr>
              <w:t>E</w:t>
            </w:r>
            <w:r w:rsidRPr="000B6417">
              <w:rPr>
                <w:lang w:eastAsia="en-AU"/>
              </w:rPr>
              <w:t>s</w:t>
            </w:r>
            <w:r w:rsidRPr="000B6417">
              <w:rPr>
                <w:spacing w:val="-1"/>
                <w:lang w:eastAsia="en-AU"/>
              </w:rPr>
              <w:t xml:space="preserve"> </w:t>
            </w:r>
            <w:r w:rsidRPr="000B6417">
              <w:rPr>
                <w:spacing w:val="-4"/>
                <w:lang w:eastAsia="en-AU"/>
              </w:rPr>
              <w:t>m</w:t>
            </w:r>
            <w:r w:rsidRPr="000B6417">
              <w:rPr>
                <w:lang w:eastAsia="en-AU"/>
              </w:rPr>
              <w:t>ost</w:t>
            </w:r>
            <w:r w:rsidRPr="000B6417">
              <w:rPr>
                <w:spacing w:val="-3"/>
                <w:lang w:eastAsia="en-AU"/>
              </w:rPr>
              <w:t xml:space="preserve"> </w:t>
            </w:r>
            <w:r w:rsidRPr="000B6417">
              <w:rPr>
                <w:lang w:eastAsia="en-AU"/>
              </w:rPr>
              <w:t>frequently</w:t>
            </w:r>
            <w:r w:rsidRPr="000B6417">
              <w:rPr>
                <w:spacing w:val="-7"/>
                <w:lang w:eastAsia="en-AU"/>
              </w:rPr>
              <w:t xml:space="preserve"> </w:t>
            </w:r>
            <w:r w:rsidRPr="000B6417">
              <w:rPr>
                <w:lang w:eastAsia="en-AU"/>
              </w:rPr>
              <w:t>reported</w:t>
            </w:r>
            <w:r w:rsidRPr="000B6417">
              <w:rPr>
                <w:spacing w:val="-6"/>
                <w:lang w:eastAsia="en-AU"/>
              </w:rPr>
              <w:t xml:space="preserve"> </w:t>
            </w:r>
            <w:r w:rsidRPr="000B6417">
              <w:rPr>
                <w:spacing w:val="1"/>
                <w:lang w:eastAsia="en-AU"/>
              </w:rPr>
              <w:t>(</w:t>
            </w:r>
            <w:r w:rsidRPr="000B6417">
              <w:rPr>
                <w:rFonts w:cs="Symbol"/>
                <w:lang w:eastAsia="en-AU"/>
              </w:rPr>
              <w:t>≥</w:t>
            </w:r>
            <w:r w:rsidRPr="000B6417">
              <w:rPr>
                <w:spacing w:val="-1"/>
                <w:lang w:eastAsia="en-AU"/>
              </w:rPr>
              <w:t xml:space="preserve"> </w:t>
            </w:r>
            <w:r w:rsidRPr="000B6417">
              <w:rPr>
                <w:spacing w:val="1"/>
                <w:lang w:eastAsia="en-AU"/>
              </w:rPr>
              <w:t>3</w:t>
            </w:r>
            <w:r w:rsidRPr="000B6417">
              <w:rPr>
                <w:lang w:eastAsia="en-AU"/>
              </w:rPr>
              <w:t>5% in</w:t>
            </w:r>
            <w:r w:rsidRPr="000B6417">
              <w:rPr>
                <w:spacing w:val="-2"/>
                <w:lang w:eastAsia="en-AU"/>
              </w:rPr>
              <w:t xml:space="preserve"> </w:t>
            </w:r>
            <w:r w:rsidRPr="000B6417">
              <w:rPr>
                <w:lang w:eastAsia="en-AU"/>
              </w:rPr>
              <w:t>any</w:t>
            </w:r>
            <w:r w:rsidRPr="000B6417">
              <w:rPr>
                <w:spacing w:val="-3"/>
                <w:lang w:eastAsia="en-AU"/>
              </w:rPr>
              <w:t xml:space="preserve"> </w:t>
            </w:r>
            <w:r w:rsidRPr="000B6417">
              <w:rPr>
                <w:lang w:eastAsia="en-AU"/>
              </w:rPr>
              <w:t>group)</w:t>
            </w:r>
          </w:p>
        </w:tc>
      </w:tr>
      <w:tr w:rsidR="00C8707C" w:rsidTr="00CF71CF">
        <w:trPr>
          <w:trHeight w:val="20"/>
        </w:trPr>
        <w:tc>
          <w:tcPr>
            <w:cnfStyle w:val="001000000000" w:firstRow="0" w:lastRow="0" w:firstColumn="1" w:lastColumn="0" w:oddVBand="0" w:evenVBand="0" w:oddHBand="0" w:evenHBand="0" w:firstRowFirstColumn="0" w:firstRowLastColumn="0" w:lastRowFirstColumn="0" w:lastRowLastColumn="0"/>
            <w:tcW w:w="4405" w:type="dxa"/>
            <w:hideMark/>
          </w:tcPr>
          <w:p w:rsidR="00C8707C" w:rsidRPr="000B6417" w:rsidRDefault="00C8707C" w:rsidP="00CF71CF">
            <w:pPr>
              <w:rPr>
                <w:lang w:eastAsia="en-AU"/>
              </w:rPr>
            </w:pPr>
            <w:r w:rsidRPr="000B6417">
              <w:rPr>
                <w:lang w:eastAsia="en-AU"/>
              </w:rPr>
              <w:t>Headache</w:t>
            </w:r>
          </w:p>
        </w:tc>
        <w:tc>
          <w:tcPr>
            <w:tcW w:w="2126"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6</w:t>
            </w:r>
            <w:r w:rsidRPr="000B6417">
              <w:rPr>
                <w:lang w:eastAsia="en-AU"/>
              </w:rPr>
              <w:t>6</w:t>
            </w:r>
            <w:r w:rsidRPr="000B6417">
              <w:rPr>
                <w:spacing w:val="-1"/>
                <w:lang w:eastAsia="en-AU"/>
              </w:rPr>
              <w:t xml:space="preserve"> </w:t>
            </w:r>
            <w:r w:rsidRPr="000B6417">
              <w:rPr>
                <w:spacing w:val="1"/>
                <w:lang w:eastAsia="en-AU"/>
              </w:rPr>
              <w:t>(37.3)</w:t>
            </w:r>
          </w:p>
        </w:tc>
        <w:tc>
          <w:tcPr>
            <w:tcW w:w="2370"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2</w:t>
            </w:r>
            <w:r w:rsidRPr="000B6417">
              <w:rPr>
                <w:lang w:eastAsia="en-AU"/>
              </w:rPr>
              <w:t>6</w:t>
            </w:r>
            <w:r w:rsidRPr="000B6417">
              <w:rPr>
                <w:spacing w:val="-1"/>
                <w:lang w:eastAsia="en-AU"/>
              </w:rPr>
              <w:t xml:space="preserve"> </w:t>
            </w:r>
            <w:r w:rsidRPr="000B6417">
              <w:rPr>
                <w:spacing w:val="1"/>
                <w:lang w:eastAsia="en-AU"/>
              </w:rPr>
              <w:t>(42.6)</w:t>
            </w:r>
          </w:p>
        </w:tc>
      </w:tr>
      <w:tr w:rsidR="00C8707C" w:rsidTr="00CF71CF">
        <w:trPr>
          <w:trHeight w:val="20"/>
        </w:trPr>
        <w:tc>
          <w:tcPr>
            <w:cnfStyle w:val="001000000000" w:firstRow="0" w:lastRow="0" w:firstColumn="1" w:lastColumn="0" w:oddVBand="0" w:evenVBand="0" w:oddHBand="0" w:evenHBand="0" w:firstRowFirstColumn="0" w:firstRowLastColumn="0" w:lastRowFirstColumn="0" w:lastRowLastColumn="0"/>
            <w:tcW w:w="4405" w:type="dxa"/>
            <w:hideMark/>
          </w:tcPr>
          <w:p w:rsidR="00C8707C" w:rsidRPr="000B6417" w:rsidRDefault="00C8707C" w:rsidP="00CF71CF">
            <w:pPr>
              <w:rPr>
                <w:lang w:eastAsia="en-AU"/>
              </w:rPr>
            </w:pPr>
            <w:r w:rsidRPr="000B6417">
              <w:rPr>
                <w:lang w:eastAsia="en-AU"/>
              </w:rPr>
              <w:t>Fatigue</w:t>
            </w:r>
          </w:p>
        </w:tc>
        <w:tc>
          <w:tcPr>
            <w:tcW w:w="2126"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6</w:t>
            </w:r>
            <w:r w:rsidRPr="000B6417">
              <w:rPr>
                <w:lang w:eastAsia="en-AU"/>
              </w:rPr>
              <w:t>2</w:t>
            </w:r>
            <w:r w:rsidRPr="000B6417">
              <w:rPr>
                <w:spacing w:val="-1"/>
                <w:lang w:eastAsia="en-AU"/>
              </w:rPr>
              <w:t xml:space="preserve"> </w:t>
            </w:r>
            <w:r w:rsidRPr="000B6417">
              <w:rPr>
                <w:spacing w:val="1"/>
                <w:lang w:eastAsia="en-AU"/>
              </w:rPr>
              <w:t>(35.0)</w:t>
            </w:r>
          </w:p>
        </w:tc>
        <w:tc>
          <w:tcPr>
            <w:tcW w:w="2370"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2</w:t>
            </w:r>
            <w:r w:rsidRPr="000B6417">
              <w:rPr>
                <w:lang w:eastAsia="en-AU"/>
              </w:rPr>
              <w:t>6</w:t>
            </w:r>
            <w:r w:rsidRPr="000B6417">
              <w:rPr>
                <w:spacing w:val="-1"/>
                <w:lang w:eastAsia="en-AU"/>
              </w:rPr>
              <w:t xml:space="preserve"> </w:t>
            </w:r>
            <w:r w:rsidRPr="000B6417">
              <w:rPr>
                <w:spacing w:val="1"/>
                <w:lang w:eastAsia="en-AU"/>
              </w:rPr>
              <w:t>(42.6)</w:t>
            </w:r>
          </w:p>
        </w:tc>
      </w:tr>
      <w:tr w:rsidR="00C8707C" w:rsidTr="00CF71CF">
        <w:trPr>
          <w:trHeight w:val="20"/>
        </w:trPr>
        <w:tc>
          <w:tcPr>
            <w:cnfStyle w:val="001000000000" w:firstRow="0" w:lastRow="0" w:firstColumn="1" w:lastColumn="0" w:oddVBand="0" w:evenVBand="0" w:oddHBand="0" w:evenHBand="0" w:firstRowFirstColumn="0" w:firstRowLastColumn="0" w:lastRowFirstColumn="0" w:lastRowLastColumn="0"/>
            <w:tcW w:w="4405" w:type="dxa"/>
            <w:hideMark/>
          </w:tcPr>
          <w:p w:rsidR="00C8707C" w:rsidRPr="000B6417" w:rsidRDefault="00C8707C" w:rsidP="00CF71CF">
            <w:pPr>
              <w:rPr>
                <w:lang w:eastAsia="en-AU"/>
              </w:rPr>
            </w:pPr>
            <w:r w:rsidRPr="000B6417">
              <w:rPr>
                <w:lang w:eastAsia="en-AU"/>
              </w:rPr>
              <w:t>Asthenia</w:t>
            </w:r>
          </w:p>
        </w:tc>
        <w:tc>
          <w:tcPr>
            <w:tcW w:w="2126"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6</w:t>
            </w:r>
            <w:r w:rsidRPr="000B6417">
              <w:rPr>
                <w:lang w:eastAsia="en-AU"/>
              </w:rPr>
              <w:t>3</w:t>
            </w:r>
            <w:r w:rsidRPr="000B6417">
              <w:rPr>
                <w:spacing w:val="-1"/>
                <w:lang w:eastAsia="en-AU"/>
              </w:rPr>
              <w:t xml:space="preserve"> </w:t>
            </w:r>
            <w:r w:rsidRPr="000B6417">
              <w:rPr>
                <w:spacing w:val="1"/>
                <w:lang w:eastAsia="en-AU"/>
              </w:rPr>
              <w:t>(35.6)</w:t>
            </w:r>
          </w:p>
        </w:tc>
        <w:tc>
          <w:tcPr>
            <w:tcW w:w="2370"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1</w:t>
            </w:r>
            <w:r w:rsidRPr="000B6417">
              <w:rPr>
                <w:lang w:eastAsia="en-AU"/>
              </w:rPr>
              <w:t>7</w:t>
            </w:r>
            <w:r w:rsidRPr="000B6417">
              <w:rPr>
                <w:spacing w:val="-1"/>
                <w:lang w:eastAsia="en-AU"/>
              </w:rPr>
              <w:t xml:space="preserve"> </w:t>
            </w:r>
            <w:r w:rsidRPr="000B6417">
              <w:rPr>
                <w:spacing w:val="1"/>
                <w:lang w:eastAsia="en-AU"/>
              </w:rPr>
              <w:t>(27.9)</w:t>
            </w:r>
          </w:p>
        </w:tc>
      </w:tr>
      <w:tr w:rsidR="00C8707C" w:rsidTr="00CF71CF">
        <w:trPr>
          <w:trHeight w:val="20"/>
        </w:trPr>
        <w:tc>
          <w:tcPr>
            <w:cnfStyle w:val="001000000000" w:firstRow="0" w:lastRow="0" w:firstColumn="1" w:lastColumn="0" w:oddVBand="0" w:evenVBand="0" w:oddHBand="0" w:evenHBand="0" w:firstRowFirstColumn="0" w:firstRowLastColumn="0" w:lastRowFirstColumn="0" w:lastRowLastColumn="0"/>
            <w:tcW w:w="4405" w:type="dxa"/>
            <w:hideMark/>
          </w:tcPr>
          <w:p w:rsidR="00C8707C" w:rsidRPr="000B6417" w:rsidRDefault="00C8707C" w:rsidP="00CF71CF">
            <w:pPr>
              <w:rPr>
                <w:lang w:eastAsia="en-AU"/>
              </w:rPr>
            </w:pPr>
            <w:r w:rsidRPr="000B6417">
              <w:rPr>
                <w:lang w:eastAsia="en-AU"/>
              </w:rPr>
              <w:t>Decreased</w:t>
            </w:r>
            <w:r w:rsidRPr="000B6417">
              <w:rPr>
                <w:spacing w:val="-6"/>
                <w:lang w:eastAsia="en-AU"/>
              </w:rPr>
              <w:t xml:space="preserve"> </w:t>
            </w:r>
            <w:r w:rsidRPr="000B6417">
              <w:rPr>
                <w:lang w:eastAsia="en-AU"/>
              </w:rPr>
              <w:t>Appetite</w:t>
            </w:r>
          </w:p>
        </w:tc>
        <w:tc>
          <w:tcPr>
            <w:tcW w:w="2126"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4</w:t>
            </w:r>
            <w:r w:rsidRPr="000B6417">
              <w:rPr>
                <w:lang w:eastAsia="en-AU"/>
              </w:rPr>
              <w:t>3</w:t>
            </w:r>
            <w:r w:rsidRPr="000B6417">
              <w:rPr>
                <w:spacing w:val="-1"/>
                <w:lang w:eastAsia="en-AU"/>
              </w:rPr>
              <w:t xml:space="preserve"> </w:t>
            </w:r>
            <w:r w:rsidRPr="000B6417">
              <w:rPr>
                <w:spacing w:val="1"/>
                <w:lang w:eastAsia="en-AU"/>
              </w:rPr>
              <w:t>(24.3)</w:t>
            </w:r>
          </w:p>
        </w:tc>
        <w:tc>
          <w:tcPr>
            <w:tcW w:w="2370"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2</w:t>
            </w:r>
            <w:r w:rsidRPr="000B6417">
              <w:rPr>
                <w:lang w:eastAsia="en-AU"/>
              </w:rPr>
              <w:t>2</w:t>
            </w:r>
            <w:r w:rsidRPr="000B6417">
              <w:rPr>
                <w:spacing w:val="-1"/>
                <w:lang w:eastAsia="en-AU"/>
              </w:rPr>
              <w:t xml:space="preserve"> </w:t>
            </w:r>
            <w:r w:rsidRPr="000B6417">
              <w:rPr>
                <w:spacing w:val="1"/>
                <w:lang w:eastAsia="en-AU"/>
              </w:rPr>
              <w:t>(36.1)</w:t>
            </w:r>
          </w:p>
        </w:tc>
      </w:tr>
      <w:tr w:rsidR="00C8707C" w:rsidTr="00CF71CF">
        <w:trPr>
          <w:trHeight w:val="20"/>
        </w:trPr>
        <w:tc>
          <w:tcPr>
            <w:cnfStyle w:val="001000000000" w:firstRow="0" w:lastRow="0" w:firstColumn="1" w:lastColumn="0" w:oddVBand="0" w:evenVBand="0" w:oddHBand="0" w:evenHBand="0" w:firstRowFirstColumn="0" w:firstRowLastColumn="0" w:lastRowFirstColumn="0" w:lastRowLastColumn="0"/>
            <w:tcW w:w="4405" w:type="dxa"/>
            <w:hideMark/>
          </w:tcPr>
          <w:p w:rsidR="00C8707C" w:rsidRPr="000B6417" w:rsidRDefault="00C8707C" w:rsidP="00CF71CF">
            <w:pPr>
              <w:rPr>
                <w:lang w:eastAsia="en-AU"/>
              </w:rPr>
            </w:pPr>
            <w:r w:rsidRPr="000B6417">
              <w:rPr>
                <w:lang w:eastAsia="en-AU"/>
              </w:rPr>
              <w:t>Influenza</w:t>
            </w:r>
            <w:r w:rsidRPr="000B6417">
              <w:rPr>
                <w:spacing w:val="-8"/>
                <w:lang w:eastAsia="en-AU"/>
              </w:rPr>
              <w:t xml:space="preserve"> </w:t>
            </w:r>
            <w:r w:rsidRPr="000B6417">
              <w:rPr>
                <w:lang w:eastAsia="en-AU"/>
              </w:rPr>
              <w:t>Like</w:t>
            </w:r>
            <w:r w:rsidRPr="000B6417">
              <w:rPr>
                <w:spacing w:val="-4"/>
                <w:lang w:eastAsia="en-AU"/>
              </w:rPr>
              <w:t xml:space="preserve"> </w:t>
            </w:r>
            <w:r w:rsidRPr="000B6417">
              <w:rPr>
                <w:lang w:eastAsia="en-AU"/>
              </w:rPr>
              <w:t>Illness</w:t>
            </w:r>
          </w:p>
        </w:tc>
        <w:tc>
          <w:tcPr>
            <w:tcW w:w="2126"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3</w:t>
            </w:r>
            <w:r w:rsidRPr="000B6417">
              <w:rPr>
                <w:lang w:eastAsia="en-AU"/>
              </w:rPr>
              <w:t>7</w:t>
            </w:r>
            <w:r w:rsidRPr="000B6417">
              <w:rPr>
                <w:spacing w:val="-1"/>
                <w:lang w:eastAsia="en-AU"/>
              </w:rPr>
              <w:t xml:space="preserve"> </w:t>
            </w:r>
            <w:r w:rsidRPr="000B6417">
              <w:rPr>
                <w:spacing w:val="1"/>
                <w:lang w:eastAsia="en-AU"/>
              </w:rPr>
              <w:t>(20.9)</w:t>
            </w:r>
          </w:p>
        </w:tc>
        <w:tc>
          <w:tcPr>
            <w:tcW w:w="2370"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2</w:t>
            </w:r>
            <w:r w:rsidRPr="000B6417">
              <w:rPr>
                <w:lang w:eastAsia="en-AU"/>
              </w:rPr>
              <w:t>3</w:t>
            </w:r>
            <w:r w:rsidRPr="000B6417">
              <w:rPr>
                <w:spacing w:val="-1"/>
                <w:lang w:eastAsia="en-AU"/>
              </w:rPr>
              <w:t xml:space="preserve"> </w:t>
            </w:r>
            <w:r w:rsidRPr="000B6417">
              <w:rPr>
                <w:spacing w:val="1"/>
                <w:lang w:eastAsia="en-AU"/>
              </w:rPr>
              <w:t>(37.7)</w:t>
            </w:r>
          </w:p>
        </w:tc>
      </w:tr>
      <w:tr w:rsidR="00C8707C" w:rsidTr="00CF71CF">
        <w:trPr>
          <w:trHeight w:val="20"/>
        </w:trPr>
        <w:tc>
          <w:tcPr>
            <w:cnfStyle w:val="001000000000" w:firstRow="0" w:lastRow="0" w:firstColumn="1" w:lastColumn="0" w:oddVBand="0" w:evenVBand="0" w:oddHBand="0" w:evenHBand="0" w:firstRowFirstColumn="0" w:firstRowLastColumn="0" w:lastRowFirstColumn="0" w:lastRowLastColumn="0"/>
            <w:tcW w:w="4405" w:type="dxa"/>
            <w:hideMark/>
          </w:tcPr>
          <w:p w:rsidR="00C8707C" w:rsidRPr="000B6417" w:rsidRDefault="00C8707C" w:rsidP="00CF71CF">
            <w:pPr>
              <w:rPr>
                <w:lang w:eastAsia="en-AU"/>
              </w:rPr>
            </w:pPr>
            <w:r w:rsidRPr="000B6417">
              <w:rPr>
                <w:spacing w:val="-2"/>
                <w:lang w:eastAsia="en-AU"/>
              </w:rPr>
              <w:t>A</w:t>
            </w:r>
            <w:r w:rsidRPr="000B6417">
              <w:rPr>
                <w:spacing w:val="3"/>
                <w:lang w:eastAsia="en-AU"/>
              </w:rPr>
              <w:t>E</w:t>
            </w:r>
            <w:r w:rsidRPr="000B6417">
              <w:rPr>
                <w:lang w:eastAsia="en-AU"/>
              </w:rPr>
              <w:t>s:</w:t>
            </w:r>
            <w:r w:rsidRPr="000B6417">
              <w:rPr>
                <w:spacing w:val="-3"/>
                <w:lang w:eastAsia="en-AU"/>
              </w:rPr>
              <w:t xml:space="preserve"> </w:t>
            </w:r>
            <w:r w:rsidRPr="000B6417">
              <w:rPr>
                <w:lang w:eastAsia="en-AU"/>
              </w:rPr>
              <w:t>Grade</w:t>
            </w:r>
            <w:r w:rsidRPr="000B6417">
              <w:rPr>
                <w:spacing w:val="-4"/>
                <w:lang w:eastAsia="en-AU"/>
              </w:rPr>
              <w:t xml:space="preserve"> </w:t>
            </w:r>
            <w:r w:rsidRPr="000B6417">
              <w:rPr>
                <w:lang w:eastAsia="en-AU"/>
              </w:rPr>
              <w:t>3 to</w:t>
            </w:r>
            <w:r w:rsidRPr="000B6417">
              <w:rPr>
                <w:spacing w:val="-1"/>
                <w:lang w:eastAsia="en-AU"/>
              </w:rPr>
              <w:t xml:space="preserve"> </w:t>
            </w:r>
            <w:r w:rsidRPr="000B6417">
              <w:rPr>
                <w:lang w:eastAsia="en-AU"/>
              </w:rPr>
              <w:t>4</w:t>
            </w:r>
          </w:p>
        </w:tc>
        <w:tc>
          <w:tcPr>
            <w:tcW w:w="2126"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4</w:t>
            </w:r>
            <w:r w:rsidRPr="000B6417">
              <w:rPr>
                <w:lang w:eastAsia="en-AU"/>
              </w:rPr>
              <w:t>6</w:t>
            </w:r>
            <w:r w:rsidRPr="000B6417">
              <w:rPr>
                <w:spacing w:val="-1"/>
                <w:lang w:eastAsia="en-AU"/>
              </w:rPr>
              <w:t xml:space="preserve"> </w:t>
            </w:r>
            <w:r w:rsidRPr="000B6417">
              <w:rPr>
                <w:spacing w:val="1"/>
                <w:lang w:eastAsia="en-AU"/>
              </w:rPr>
              <w:t>(26.0)</w:t>
            </w:r>
          </w:p>
        </w:tc>
        <w:tc>
          <w:tcPr>
            <w:tcW w:w="2370"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1</w:t>
            </w:r>
            <w:r w:rsidRPr="000B6417">
              <w:rPr>
                <w:lang w:eastAsia="en-AU"/>
              </w:rPr>
              <w:t>5</w:t>
            </w:r>
            <w:r w:rsidRPr="000B6417">
              <w:rPr>
                <w:spacing w:val="-1"/>
                <w:lang w:eastAsia="en-AU"/>
              </w:rPr>
              <w:t xml:space="preserve"> </w:t>
            </w:r>
            <w:r w:rsidRPr="000B6417">
              <w:rPr>
                <w:spacing w:val="1"/>
                <w:lang w:eastAsia="en-AU"/>
              </w:rPr>
              <w:t>(24.6)</w:t>
            </w:r>
          </w:p>
        </w:tc>
      </w:tr>
      <w:tr w:rsidR="00C8707C" w:rsidTr="00CF71CF">
        <w:trPr>
          <w:trHeight w:val="20"/>
        </w:trPr>
        <w:tc>
          <w:tcPr>
            <w:cnfStyle w:val="001000000000" w:firstRow="0" w:lastRow="0" w:firstColumn="1" w:lastColumn="0" w:oddVBand="0" w:evenVBand="0" w:oddHBand="0" w:evenHBand="0" w:firstRowFirstColumn="0" w:firstRowLastColumn="0" w:lastRowFirstColumn="0" w:lastRowLastColumn="0"/>
            <w:tcW w:w="4405" w:type="dxa"/>
            <w:hideMark/>
          </w:tcPr>
          <w:p w:rsidR="00C8707C" w:rsidRPr="000B6417" w:rsidRDefault="00C8707C" w:rsidP="00CF71CF">
            <w:pPr>
              <w:rPr>
                <w:lang w:eastAsia="en-AU"/>
              </w:rPr>
            </w:pPr>
            <w:r w:rsidRPr="000B6417">
              <w:rPr>
                <w:lang w:eastAsia="en-AU"/>
              </w:rPr>
              <w:t>Laboratory</w:t>
            </w:r>
            <w:r w:rsidRPr="000B6417">
              <w:rPr>
                <w:spacing w:val="-9"/>
                <w:lang w:eastAsia="en-AU"/>
              </w:rPr>
              <w:t xml:space="preserve"> </w:t>
            </w:r>
            <w:r w:rsidRPr="000B6417">
              <w:rPr>
                <w:lang w:eastAsia="en-AU"/>
              </w:rPr>
              <w:t>abnormalities:</w:t>
            </w:r>
            <w:r w:rsidRPr="000B6417">
              <w:rPr>
                <w:spacing w:val="-11"/>
                <w:lang w:eastAsia="en-AU"/>
              </w:rPr>
              <w:t xml:space="preserve"> </w:t>
            </w:r>
            <w:r w:rsidRPr="000B6417">
              <w:rPr>
                <w:lang w:eastAsia="en-AU"/>
              </w:rPr>
              <w:t>Grade</w:t>
            </w:r>
            <w:r w:rsidRPr="000B6417">
              <w:rPr>
                <w:spacing w:val="-4"/>
                <w:lang w:eastAsia="en-AU"/>
              </w:rPr>
              <w:t xml:space="preserve"> </w:t>
            </w:r>
            <w:r w:rsidRPr="000B6417">
              <w:rPr>
                <w:lang w:eastAsia="en-AU"/>
              </w:rPr>
              <w:t>3</w:t>
            </w:r>
            <w:r w:rsidRPr="000B6417">
              <w:rPr>
                <w:spacing w:val="1"/>
                <w:lang w:eastAsia="en-AU"/>
              </w:rPr>
              <w:t xml:space="preserve"> </w:t>
            </w:r>
            <w:r w:rsidRPr="000B6417">
              <w:rPr>
                <w:lang w:eastAsia="en-AU"/>
              </w:rPr>
              <w:t>to</w:t>
            </w:r>
            <w:r w:rsidRPr="000B6417">
              <w:rPr>
                <w:spacing w:val="-3"/>
                <w:lang w:eastAsia="en-AU"/>
              </w:rPr>
              <w:t xml:space="preserve"> </w:t>
            </w:r>
            <w:r w:rsidRPr="000B6417">
              <w:rPr>
                <w:lang w:eastAsia="en-AU"/>
              </w:rPr>
              <w:t>4</w:t>
            </w:r>
          </w:p>
        </w:tc>
        <w:tc>
          <w:tcPr>
            <w:tcW w:w="2126" w:type="dxa"/>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p>
        </w:tc>
        <w:tc>
          <w:tcPr>
            <w:tcW w:w="2370" w:type="dxa"/>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p>
        </w:tc>
      </w:tr>
      <w:tr w:rsidR="00C8707C" w:rsidTr="00CF71CF">
        <w:trPr>
          <w:trHeight w:val="20"/>
        </w:trPr>
        <w:tc>
          <w:tcPr>
            <w:cnfStyle w:val="001000000000" w:firstRow="0" w:lastRow="0" w:firstColumn="1" w:lastColumn="0" w:oddVBand="0" w:evenVBand="0" w:oddHBand="0" w:evenHBand="0" w:firstRowFirstColumn="0" w:firstRowLastColumn="0" w:lastRowFirstColumn="0" w:lastRowLastColumn="0"/>
            <w:tcW w:w="4405" w:type="dxa"/>
            <w:hideMark/>
          </w:tcPr>
          <w:p w:rsidR="00C8707C" w:rsidRPr="000B6417" w:rsidRDefault="00C8707C" w:rsidP="00CF71CF">
            <w:pPr>
              <w:rPr>
                <w:lang w:eastAsia="en-AU"/>
              </w:rPr>
            </w:pPr>
            <w:r w:rsidRPr="000B6417">
              <w:rPr>
                <w:lang w:eastAsia="en-AU"/>
              </w:rPr>
              <w:t>Neutrophils</w:t>
            </w:r>
            <w:r w:rsidRPr="000B6417">
              <w:rPr>
                <w:spacing w:val="-9"/>
                <w:lang w:eastAsia="en-AU"/>
              </w:rPr>
              <w:t xml:space="preserve"> </w:t>
            </w:r>
            <w:r w:rsidRPr="000B6417">
              <w:rPr>
                <w:lang w:eastAsia="en-AU"/>
              </w:rPr>
              <w:t>+</w:t>
            </w:r>
            <w:r w:rsidRPr="000B6417">
              <w:rPr>
                <w:spacing w:val="-1"/>
                <w:lang w:eastAsia="en-AU"/>
              </w:rPr>
              <w:t xml:space="preserve"> </w:t>
            </w:r>
            <w:r w:rsidRPr="000B6417">
              <w:rPr>
                <w:lang w:eastAsia="en-AU"/>
              </w:rPr>
              <w:t>bands</w:t>
            </w:r>
          </w:p>
        </w:tc>
        <w:tc>
          <w:tcPr>
            <w:tcW w:w="2126"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5</w:t>
            </w:r>
            <w:r w:rsidRPr="000B6417">
              <w:rPr>
                <w:lang w:eastAsia="en-AU"/>
              </w:rPr>
              <w:t>0</w:t>
            </w:r>
            <w:r w:rsidRPr="000B6417">
              <w:rPr>
                <w:spacing w:val="-1"/>
                <w:lang w:eastAsia="en-AU"/>
              </w:rPr>
              <w:t xml:space="preserve"> </w:t>
            </w:r>
            <w:r w:rsidRPr="000B6417">
              <w:rPr>
                <w:spacing w:val="1"/>
                <w:lang w:eastAsia="en-AU"/>
              </w:rPr>
              <w:t>(28.4)</w:t>
            </w:r>
          </w:p>
        </w:tc>
        <w:tc>
          <w:tcPr>
            <w:tcW w:w="2370"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1</w:t>
            </w:r>
            <w:r w:rsidRPr="000B6417">
              <w:rPr>
                <w:lang w:eastAsia="en-AU"/>
              </w:rPr>
              <w:t>8</w:t>
            </w:r>
            <w:r w:rsidRPr="000B6417">
              <w:rPr>
                <w:spacing w:val="-1"/>
                <w:lang w:eastAsia="en-AU"/>
              </w:rPr>
              <w:t xml:space="preserve"> </w:t>
            </w:r>
            <w:r w:rsidRPr="000B6417">
              <w:rPr>
                <w:spacing w:val="1"/>
                <w:lang w:eastAsia="en-AU"/>
              </w:rPr>
              <w:t>(29.5)</w:t>
            </w:r>
          </w:p>
        </w:tc>
      </w:tr>
      <w:tr w:rsidR="00C8707C" w:rsidTr="00CF71CF">
        <w:trPr>
          <w:trHeight w:val="20"/>
        </w:trPr>
        <w:tc>
          <w:tcPr>
            <w:cnfStyle w:val="001000000000" w:firstRow="0" w:lastRow="0" w:firstColumn="1" w:lastColumn="0" w:oddVBand="0" w:evenVBand="0" w:oddHBand="0" w:evenHBand="0" w:firstRowFirstColumn="0" w:firstRowLastColumn="0" w:lastRowFirstColumn="0" w:lastRowLastColumn="0"/>
            <w:tcW w:w="4405" w:type="dxa"/>
            <w:hideMark/>
          </w:tcPr>
          <w:p w:rsidR="00C8707C" w:rsidRPr="000B6417" w:rsidRDefault="00C8707C" w:rsidP="00CF71CF">
            <w:pPr>
              <w:rPr>
                <w:lang w:eastAsia="en-AU"/>
              </w:rPr>
            </w:pPr>
            <w:r w:rsidRPr="000B6417">
              <w:rPr>
                <w:spacing w:val="1"/>
                <w:lang w:eastAsia="en-AU"/>
              </w:rPr>
              <w:t>WBC</w:t>
            </w:r>
          </w:p>
        </w:tc>
        <w:tc>
          <w:tcPr>
            <w:tcW w:w="2126"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1</w:t>
            </w:r>
            <w:r w:rsidRPr="000B6417">
              <w:rPr>
                <w:lang w:eastAsia="en-AU"/>
              </w:rPr>
              <w:t>6</w:t>
            </w:r>
            <w:r w:rsidRPr="000B6417">
              <w:rPr>
                <w:spacing w:val="-1"/>
                <w:lang w:eastAsia="en-AU"/>
              </w:rPr>
              <w:t xml:space="preserve"> </w:t>
            </w:r>
            <w:r w:rsidRPr="000B6417">
              <w:rPr>
                <w:spacing w:val="1"/>
                <w:lang w:eastAsia="en-AU"/>
              </w:rPr>
              <w:t>(9.1)</w:t>
            </w:r>
          </w:p>
        </w:tc>
        <w:tc>
          <w:tcPr>
            <w:tcW w:w="2370"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9 </w:t>
            </w:r>
            <w:r w:rsidRPr="000B6417">
              <w:rPr>
                <w:spacing w:val="1"/>
                <w:lang w:eastAsia="en-AU"/>
              </w:rPr>
              <w:t>(14.8)</w:t>
            </w:r>
          </w:p>
        </w:tc>
      </w:tr>
      <w:tr w:rsidR="00C8707C" w:rsidTr="00CF71CF">
        <w:trPr>
          <w:trHeight w:val="20"/>
        </w:trPr>
        <w:tc>
          <w:tcPr>
            <w:cnfStyle w:val="001000000000" w:firstRow="0" w:lastRow="0" w:firstColumn="1" w:lastColumn="0" w:oddVBand="0" w:evenVBand="0" w:oddHBand="0" w:evenHBand="0" w:firstRowFirstColumn="0" w:firstRowLastColumn="0" w:lastRowFirstColumn="0" w:lastRowLastColumn="0"/>
            <w:tcW w:w="4405" w:type="dxa"/>
            <w:hideMark/>
          </w:tcPr>
          <w:p w:rsidR="00C8707C" w:rsidRPr="000B6417" w:rsidRDefault="00C8707C" w:rsidP="00CF71CF">
            <w:pPr>
              <w:rPr>
                <w:lang w:eastAsia="en-AU"/>
              </w:rPr>
            </w:pPr>
            <w:r w:rsidRPr="000B6417">
              <w:rPr>
                <w:lang w:eastAsia="en-AU"/>
              </w:rPr>
              <w:t>AST</w:t>
            </w:r>
          </w:p>
        </w:tc>
        <w:tc>
          <w:tcPr>
            <w:tcW w:w="2126"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1</w:t>
            </w:r>
            <w:r w:rsidRPr="000B6417">
              <w:rPr>
                <w:lang w:eastAsia="en-AU"/>
              </w:rPr>
              <w:t>9</w:t>
            </w:r>
            <w:r w:rsidRPr="000B6417">
              <w:rPr>
                <w:spacing w:val="-1"/>
                <w:lang w:eastAsia="en-AU"/>
              </w:rPr>
              <w:t xml:space="preserve"> </w:t>
            </w:r>
            <w:r w:rsidRPr="000B6417">
              <w:rPr>
                <w:spacing w:val="1"/>
                <w:lang w:eastAsia="en-AU"/>
              </w:rPr>
              <w:t>(10.8)</w:t>
            </w:r>
          </w:p>
        </w:tc>
        <w:tc>
          <w:tcPr>
            <w:tcW w:w="2370"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1 </w:t>
            </w:r>
            <w:r w:rsidRPr="000B6417">
              <w:rPr>
                <w:spacing w:val="1"/>
                <w:lang w:eastAsia="en-AU"/>
              </w:rPr>
              <w:t>(1.6)</w:t>
            </w:r>
          </w:p>
        </w:tc>
      </w:tr>
      <w:tr w:rsidR="00C8707C" w:rsidTr="00CF71CF">
        <w:trPr>
          <w:trHeight w:val="20"/>
        </w:trPr>
        <w:tc>
          <w:tcPr>
            <w:cnfStyle w:val="001000000000" w:firstRow="0" w:lastRow="0" w:firstColumn="1" w:lastColumn="0" w:oddVBand="0" w:evenVBand="0" w:oddHBand="0" w:evenHBand="0" w:firstRowFirstColumn="0" w:firstRowLastColumn="0" w:lastRowFirstColumn="0" w:lastRowLastColumn="0"/>
            <w:tcW w:w="4405" w:type="dxa"/>
            <w:hideMark/>
          </w:tcPr>
          <w:p w:rsidR="00C8707C" w:rsidRPr="000B6417" w:rsidRDefault="00C8707C" w:rsidP="00CF71CF">
            <w:pPr>
              <w:rPr>
                <w:lang w:eastAsia="en-AU"/>
              </w:rPr>
            </w:pPr>
            <w:r w:rsidRPr="000B6417">
              <w:rPr>
                <w:spacing w:val="-1"/>
                <w:lang w:eastAsia="en-AU"/>
              </w:rPr>
              <w:t>ALT</w:t>
            </w:r>
          </w:p>
        </w:tc>
        <w:tc>
          <w:tcPr>
            <w:tcW w:w="2126"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1</w:t>
            </w:r>
            <w:r w:rsidRPr="000B6417">
              <w:rPr>
                <w:lang w:eastAsia="en-AU"/>
              </w:rPr>
              <w:t>7</w:t>
            </w:r>
            <w:r w:rsidRPr="000B6417">
              <w:rPr>
                <w:spacing w:val="-1"/>
                <w:lang w:eastAsia="en-AU"/>
              </w:rPr>
              <w:t xml:space="preserve"> </w:t>
            </w:r>
            <w:r w:rsidRPr="000B6417">
              <w:rPr>
                <w:spacing w:val="1"/>
                <w:lang w:eastAsia="en-AU"/>
              </w:rPr>
              <w:t>(9.7)</w:t>
            </w:r>
          </w:p>
        </w:tc>
        <w:tc>
          <w:tcPr>
            <w:tcW w:w="2370"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1 </w:t>
            </w:r>
            <w:r w:rsidRPr="000B6417">
              <w:rPr>
                <w:spacing w:val="1"/>
                <w:lang w:eastAsia="en-AU"/>
              </w:rPr>
              <w:t>(1.6)</w:t>
            </w:r>
          </w:p>
        </w:tc>
      </w:tr>
      <w:tr w:rsidR="00C8707C" w:rsidTr="00CF71CF">
        <w:trPr>
          <w:trHeight w:val="20"/>
        </w:trPr>
        <w:tc>
          <w:tcPr>
            <w:cnfStyle w:val="001000000000" w:firstRow="0" w:lastRow="0" w:firstColumn="1" w:lastColumn="0" w:oddVBand="0" w:evenVBand="0" w:oddHBand="0" w:evenHBand="0" w:firstRowFirstColumn="0" w:firstRowLastColumn="0" w:lastRowFirstColumn="0" w:lastRowLastColumn="0"/>
            <w:tcW w:w="4405" w:type="dxa"/>
            <w:hideMark/>
          </w:tcPr>
          <w:p w:rsidR="00C8707C" w:rsidRPr="000B6417" w:rsidRDefault="00C8707C" w:rsidP="00CF71CF">
            <w:pPr>
              <w:rPr>
                <w:lang w:eastAsia="en-AU"/>
              </w:rPr>
            </w:pPr>
            <w:r w:rsidRPr="000B6417">
              <w:rPr>
                <w:lang w:eastAsia="en-AU"/>
              </w:rPr>
              <w:t>Lymphocytes</w:t>
            </w:r>
          </w:p>
        </w:tc>
        <w:tc>
          <w:tcPr>
            <w:tcW w:w="2126"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1</w:t>
            </w:r>
            <w:r w:rsidRPr="000B6417">
              <w:rPr>
                <w:lang w:eastAsia="en-AU"/>
              </w:rPr>
              <w:t>6</w:t>
            </w:r>
            <w:r w:rsidRPr="000B6417">
              <w:rPr>
                <w:spacing w:val="-1"/>
                <w:lang w:eastAsia="en-AU"/>
              </w:rPr>
              <w:t xml:space="preserve"> </w:t>
            </w:r>
            <w:r w:rsidRPr="000B6417">
              <w:rPr>
                <w:spacing w:val="1"/>
                <w:lang w:eastAsia="en-AU"/>
              </w:rPr>
              <w:t>(9.1)</w:t>
            </w:r>
          </w:p>
        </w:tc>
        <w:tc>
          <w:tcPr>
            <w:tcW w:w="2370"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5 </w:t>
            </w:r>
            <w:r w:rsidRPr="000B6417">
              <w:rPr>
                <w:spacing w:val="1"/>
                <w:lang w:eastAsia="en-AU"/>
              </w:rPr>
              <w:t>(8.2)</w:t>
            </w:r>
          </w:p>
        </w:tc>
      </w:tr>
      <w:tr w:rsidR="00C8707C" w:rsidTr="00CF71CF">
        <w:trPr>
          <w:trHeight w:val="20"/>
        </w:trPr>
        <w:tc>
          <w:tcPr>
            <w:cnfStyle w:val="001000000000" w:firstRow="0" w:lastRow="0" w:firstColumn="1" w:lastColumn="0" w:oddVBand="0" w:evenVBand="0" w:oddHBand="0" w:evenHBand="0" w:firstRowFirstColumn="0" w:firstRowLastColumn="0" w:lastRowFirstColumn="0" w:lastRowLastColumn="0"/>
            <w:tcW w:w="4405" w:type="dxa"/>
            <w:hideMark/>
          </w:tcPr>
          <w:p w:rsidR="00C8707C" w:rsidRPr="000B6417" w:rsidRDefault="00C8707C" w:rsidP="00CF71CF">
            <w:pPr>
              <w:rPr>
                <w:lang w:eastAsia="en-AU"/>
              </w:rPr>
            </w:pPr>
            <w:r w:rsidRPr="000B6417">
              <w:rPr>
                <w:spacing w:val="1"/>
                <w:lang w:eastAsia="en-AU"/>
              </w:rPr>
              <w:t>Ha</w:t>
            </w:r>
            <w:r w:rsidRPr="000B6417">
              <w:rPr>
                <w:spacing w:val="-4"/>
                <w:lang w:eastAsia="en-AU"/>
              </w:rPr>
              <w:t>e</w:t>
            </w:r>
            <w:r w:rsidRPr="000B6417">
              <w:rPr>
                <w:spacing w:val="1"/>
                <w:lang w:eastAsia="en-AU"/>
              </w:rPr>
              <w:t>moglobin</w:t>
            </w:r>
          </w:p>
        </w:tc>
        <w:tc>
          <w:tcPr>
            <w:tcW w:w="2126"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8 </w:t>
            </w:r>
            <w:r w:rsidRPr="000B6417">
              <w:rPr>
                <w:spacing w:val="1"/>
                <w:lang w:eastAsia="en-AU"/>
              </w:rPr>
              <w:t>(4.5)</w:t>
            </w:r>
          </w:p>
        </w:tc>
        <w:tc>
          <w:tcPr>
            <w:tcW w:w="2370"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3 </w:t>
            </w:r>
            <w:r w:rsidRPr="000B6417">
              <w:rPr>
                <w:spacing w:val="1"/>
                <w:lang w:eastAsia="en-AU"/>
              </w:rPr>
              <w:t>(4.9)</w:t>
            </w:r>
          </w:p>
        </w:tc>
      </w:tr>
      <w:tr w:rsidR="00C8707C" w:rsidTr="00CF71CF">
        <w:trPr>
          <w:trHeight w:val="20"/>
        </w:trPr>
        <w:tc>
          <w:tcPr>
            <w:cnfStyle w:val="001000000000" w:firstRow="0" w:lastRow="0" w:firstColumn="1" w:lastColumn="0" w:oddVBand="0" w:evenVBand="0" w:oddHBand="0" w:evenHBand="0" w:firstRowFirstColumn="0" w:firstRowLastColumn="0" w:lastRowFirstColumn="0" w:lastRowLastColumn="0"/>
            <w:tcW w:w="4405" w:type="dxa"/>
            <w:hideMark/>
          </w:tcPr>
          <w:p w:rsidR="00C8707C" w:rsidRPr="000B6417" w:rsidRDefault="00C8707C" w:rsidP="00CF71CF">
            <w:pPr>
              <w:rPr>
                <w:lang w:eastAsia="en-AU"/>
              </w:rPr>
            </w:pPr>
            <w:r w:rsidRPr="000B6417">
              <w:rPr>
                <w:lang w:eastAsia="en-AU"/>
              </w:rPr>
              <w:t>Platelets</w:t>
            </w:r>
          </w:p>
        </w:tc>
        <w:tc>
          <w:tcPr>
            <w:tcW w:w="2126"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6</w:t>
            </w:r>
            <w:r w:rsidRPr="000B6417">
              <w:rPr>
                <w:spacing w:val="1"/>
                <w:lang w:eastAsia="en-AU"/>
              </w:rPr>
              <w:t xml:space="preserve"> (</w:t>
            </w:r>
            <w:r w:rsidRPr="000B6417">
              <w:rPr>
                <w:lang w:eastAsia="en-AU"/>
              </w:rPr>
              <w:t>3.4)</w:t>
            </w:r>
          </w:p>
        </w:tc>
        <w:tc>
          <w:tcPr>
            <w:tcW w:w="2370"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3</w:t>
            </w:r>
            <w:r w:rsidRPr="000B6417">
              <w:rPr>
                <w:spacing w:val="1"/>
                <w:lang w:eastAsia="en-AU"/>
              </w:rPr>
              <w:t xml:space="preserve"> (</w:t>
            </w:r>
            <w:r w:rsidRPr="000B6417">
              <w:rPr>
                <w:lang w:eastAsia="en-AU"/>
              </w:rPr>
              <w:t>4.9)</w:t>
            </w:r>
          </w:p>
        </w:tc>
      </w:tr>
      <w:tr w:rsidR="00C8707C" w:rsidTr="00CF71CF">
        <w:trPr>
          <w:trHeight w:val="20"/>
        </w:trPr>
        <w:tc>
          <w:tcPr>
            <w:cnfStyle w:val="001000000000" w:firstRow="0" w:lastRow="0" w:firstColumn="1" w:lastColumn="0" w:oddVBand="0" w:evenVBand="0" w:oddHBand="0" w:evenHBand="0" w:firstRowFirstColumn="0" w:firstRowLastColumn="0" w:lastRowFirstColumn="0" w:lastRowLastColumn="0"/>
            <w:tcW w:w="4405" w:type="dxa"/>
            <w:hideMark/>
          </w:tcPr>
          <w:p w:rsidR="00C8707C" w:rsidRPr="000B6417" w:rsidRDefault="00C8707C" w:rsidP="00CF71CF">
            <w:pPr>
              <w:rPr>
                <w:lang w:eastAsia="en-AU"/>
              </w:rPr>
            </w:pPr>
            <w:r w:rsidRPr="000B6417">
              <w:rPr>
                <w:lang w:eastAsia="en-AU"/>
              </w:rPr>
              <w:t>Lipase</w:t>
            </w:r>
          </w:p>
        </w:tc>
        <w:tc>
          <w:tcPr>
            <w:tcW w:w="2126"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5</w:t>
            </w:r>
            <w:r w:rsidRPr="000B6417">
              <w:rPr>
                <w:spacing w:val="1"/>
                <w:lang w:eastAsia="en-AU"/>
              </w:rPr>
              <w:t xml:space="preserve"> (</w:t>
            </w:r>
            <w:r w:rsidRPr="000B6417">
              <w:rPr>
                <w:lang w:eastAsia="en-AU"/>
              </w:rPr>
              <w:t>2.8)</w:t>
            </w:r>
          </w:p>
        </w:tc>
        <w:tc>
          <w:tcPr>
            <w:tcW w:w="2370"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w w:val="99"/>
                <w:lang w:eastAsia="en-AU"/>
              </w:rPr>
              <w:t>0</w:t>
            </w:r>
          </w:p>
        </w:tc>
      </w:tr>
      <w:tr w:rsidR="00C8707C" w:rsidTr="00CF71CF">
        <w:trPr>
          <w:trHeight w:val="20"/>
        </w:trPr>
        <w:tc>
          <w:tcPr>
            <w:cnfStyle w:val="001000000000" w:firstRow="0" w:lastRow="0" w:firstColumn="1" w:lastColumn="0" w:oddVBand="0" w:evenVBand="0" w:oddHBand="0" w:evenHBand="0" w:firstRowFirstColumn="0" w:firstRowLastColumn="0" w:lastRowFirstColumn="0" w:lastRowLastColumn="0"/>
            <w:tcW w:w="4405" w:type="dxa"/>
            <w:hideMark/>
          </w:tcPr>
          <w:p w:rsidR="00C8707C" w:rsidRPr="000B6417" w:rsidRDefault="00C8707C" w:rsidP="00CF71CF">
            <w:pPr>
              <w:rPr>
                <w:lang w:eastAsia="en-AU"/>
              </w:rPr>
            </w:pPr>
            <w:r w:rsidRPr="000B6417">
              <w:rPr>
                <w:spacing w:val="1"/>
                <w:lang w:eastAsia="en-AU"/>
              </w:rPr>
              <w:t>TBIL</w:t>
            </w:r>
          </w:p>
        </w:tc>
        <w:tc>
          <w:tcPr>
            <w:tcW w:w="2126"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2</w:t>
            </w:r>
            <w:r w:rsidRPr="000B6417">
              <w:rPr>
                <w:spacing w:val="1"/>
                <w:lang w:eastAsia="en-AU"/>
              </w:rPr>
              <w:t xml:space="preserve"> (</w:t>
            </w:r>
            <w:r w:rsidRPr="000B6417">
              <w:rPr>
                <w:lang w:eastAsia="en-AU"/>
              </w:rPr>
              <w:t>1.1)</w:t>
            </w:r>
          </w:p>
        </w:tc>
        <w:tc>
          <w:tcPr>
            <w:tcW w:w="2370"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2</w:t>
            </w:r>
            <w:r w:rsidRPr="000B6417">
              <w:rPr>
                <w:spacing w:val="1"/>
                <w:lang w:eastAsia="en-AU"/>
              </w:rPr>
              <w:t xml:space="preserve"> (</w:t>
            </w:r>
            <w:r w:rsidRPr="000B6417">
              <w:rPr>
                <w:lang w:eastAsia="en-AU"/>
              </w:rPr>
              <w:t>3.3)</w:t>
            </w:r>
          </w:p>
        </w:tc>
      </w:tr>
    </w:tbl>
    <w:p w:rsidR="00C8707C" w:rsidRDefault="00C8707C" w:rsidP="00C8707C">
      <w:pPr>
        <w:pStyle w:val="Heading6"/>
        <w:numPr>
          <w:ilvl w:val="4"/>
          <w:numId w:val="5"/>
        </w:numPr>
        <w:ind w:left="1702" w:hanging="1418"/>
        <w:rPr>
          <w:kern w:val="16"/>
          <w:szCs w:val="24"/>
        </w:rPr>
      </w:pPr>
      <w:r>
        <w:lastRenderedPageBreak/>
        <w:t xml:space="preserve">Serious </w:t>
      </w:r>
      <w:r w:rsidR="00CF71CF">
        <w:t>a</w:t>
      </w:r>
      <w:r>
        <w:t xml:space="preserve">dverse </w:t>
      </w:r>
      <w:r w:rsidR="00CF71CF">
        <w:t>e</w:t>
      </w:r>
      <w:r>
        <w:t>vents</w:t>
      </w:r>
    </w:p>
    <w:p w:rsidR="00C8707C" w:rsidRDefault="00C8707C" w:rsidP="00C8707C">
      <w:pPr>
        <w:rPr>
          <w:rFonts w:eastAsia="TimesNewRoman" w:cs="TimesNewRoman"/>
        </w:rPr>
      </w:pPr>
      <w:r>
        <w:rPr>
          <w:i/>
        </w:rPr>
        <w:t>Deaths:</w:t>
      </w:r>
      <w:r>
        <w:rPr>
          <w:b/>
        </w:rPr>
        <w:t xml:space="preserve"> </w:t>
      </w:r>
      <w:r>
        <w:rPr>
          <w:rFonts w:eastAsia="TimesNewRoman" w:cs="TimesNewRoman"/>
        </w:rPr>
        <w:t>2 subjects died in the ASV 200 mg BD group, 1 subject on Day 177 on-treatment and 1 subject on Day 254 during follow-up. Both events were not judged by the investigators as related to study therapy:</w:t>
      </w:r>
    </w:p>
    <w:p w:rsidR="00C8707C" w:rsidRDefault="00C8707C" w:rsidP="00C8707C">
      <w:pPr>
        <w:pStyle w:val="ListBullet"/>
        <w:numPr>
          <w:ilvl w:val="0"/>
          <w:numId w:val="1"/>
        </w:numPr>
      </w:pPr>
      <w:r>
        <w:t>A 53 year old White female without baseline cirrhosis treated with ASV 200 mg/</w:t>
      </w:r>
      <w:proofErr w:type="spellStart"/>
      <w:r>
        <w:t>pegIFN</w:t>
      </w:r>
      <w:proofErr w:type="spellEnd"/>
      <w:r>
        <w:rPr>
          <w:rFonts w:cs="Symbol"/>
        </w:rPr>
        <w:t>α</w:t>
      </w:r>
      <w:r>
        <w:t>/RBV died on Day 177 on-treatment from an event of septic shock associated to Staphylococcus bacteraemia at Day 169 on therapy</w:t>
      </w:r>
    </w:p>
    <w:p w:rsidR="00C8707C" w:rsidRDefault="00C8707C" w:rsidP="00C8707C">
      <w:pPr>
        <w:pStyle w:val="ListBullet"/>
        <w:numPr>
          <w:ilvl w:val="0"/>
          <w:numId w:val="1"/>
        </w:numPr>
      </w:pPr>
      <w:r>
        <w:t>A 41 year old White male without baseline cirrhosis treated with ASV 200 mg/</w:t>
      </w:r>
      <w:proofErr w:type="spellStart"/>
      <w:r>
        <w:t>pegIFN</w:t>
      </w:r>
      <w:proofErr w:type="spellEnd"/>
      <w:r>
        <w:t xml:space="preserve">α/RBV died on Day 254 during follow-up from </w:t>
      </w:r>
      <w:proofErr w:type="spellStart"/>
      <w:r>
        <w:t>multiorgan</w:t>
      </w:r>
      <w:proofErr w:type="spellEnd"/>
      <w:r>
        <w:t xml:space="preserve"> failure of unknown cause. Past history included cholecystectomy, gastritis and </w:t>
      </w:r>
      <w:proofErr w:type="spellStart"/>
      <w:r>
        <w:t>gastroesophagic</w:t>
      </w:r>
      <w:proofErr w:type="spellEnd"/>
      <w:r>
        <w:t xml:space="preserve"> reflux, and hiatal hernia</w:t>
      </w:r>
    </w:p>
    <w:p w:rsidR="00C8707C" w:rsidRDefault="00C8707C" w:rsidP="00C8707C">
      <w:pPr>
        <w:autoSpaceDE w:val="0"/>
        <w:autoSpaceDN w:val="0"/>
        <w:adjustRightInd w:val="0"/>
        <w:rPr>
          <w:rFonts w:eastAsia="Times New Roman"/>
          <w:b/>
          <w:kern w:val="16"/>
          <w:szCs w:val="24"/>
        </w:rPr>
      </w:pPr>
      <w:r>
        <w:rPr>
          <w:i/>
        </w:rPr>
        <w:t>Other SAEs:</w:t>
      </w:r>
      <w:r>
        <w:rPr>
          <w:b/>
        </w:rPr>
        <w:t xml:space="preserve"> </w:t>
      </w:r>
      <w:r>
        <w:rPr>
          <w:rFonts w:eastAsia="TimesNewRoman" w:cs="TimesNewRoman"/>
        </w:rPr>
        <w:t>14 subjects in the 200 ASV group and 3 subjects in the placebo group reported SAEs.</w:t>
      </w:r>
    </w:p>
    <w:p w:rsidR="00C8707C" w:rsidRDefault="00C8707C" w:rsidP="00C8707C">
      <w:pPr>
        <w:pStyle w:val="Tabletitle"/>
        <w:rPr>
          <w:rFonts w:eastAsia="TimesNewRoman" w:cs="TimesNewRoman"/>
        </w:rPr>
      </w:pPr>
      <w:bookmarkStart w:id="205" w:name="_Toc401831789"/>
      <w:r>
        <w:t>Table 11: Study AI447016: Other SAEs, on treatment period, Stage 2 – enrolled subjects</w:t>
      </w:r>
      <w:bookmarkEnd w:id="205"/>
    </w:p>
    <w:tbl>
      <w:tblPr>
        <w:tblStyle w:val="TableTGAblue"/>
        <w:tblW w:w="9510" w:type="dxa"/>
        <w:tblLayout w:type="fixed"/>
        <w:tblLook w:val="04A0" w:firstRow="1" w:lastRow="0" w:firstColumn="1" w:lastColumn="0" w:noHBand="0" w:noVBand="1"/>
      </w:tblPr>
      <w:tblGrid>
        <w:gridCol w:w="1809"/>
        <w:gridCol w:w="2410"/>
        <w:gridCol w:w="1418"/>
        <w:gridCol w:w="1842"/>
        <w:gridCol w:w="2031"/>
      </w:tblGrid>
      <w:tr w:rsidR="00C8707C" w:rsidRPr="00B77CC0" w:rsidTr="00CF71C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09" w:type="dxa"/>
            <w:hideMark/>
          </w:tcPr>
          <w:p w:rsidR="00C8707C" w:rsidRPr="000B6417" w:rsidRDefault="00C8707C" w:rsidP="00CF71CF">
            <w:pPr>
              <w:rPr>
                <w:b w:val="0"/>
                <w:lang w:eastAsia="en-AU"/>
              </w:rPr>
            </w:pPr>
            <w:r w:rsidRPr="000B6417">
              <w:rPr>
                <w:b w:val="0"/>
                <w:lang w:eastAsia="en-AU"/>
              </w:rPr>
              <w:t>Subject</w:t>
            </w:r>
            <w:r w:rsidRPr="000B6417">
              <w:rPr>
                <w:b w:val="0"/>
                <w:spacing w:val="-5"/>
                <w:lang w:eastAsia="en-AU"/>
              </w:rPr>
              <w:t xml:space="preserve"> </w:t>
            </w:r>
            <w:r w:rsidRPr="000B6417">
              <w:rPr>
                <w:b w:val="0"/>
                <w:lang w:eastAsia="en-AU"/>
              </w:rPr>
              <w:t>Age/Race/</w:t>
            </w:r>
            <w:r w:rsidR="00CF71CF">
              <w:rPr>
                <w:b w:val="0"/>
                <w:lang w:eastAsia="en-AU"/>
              </w:rPr>
              <w:t xml:space="preserve"> </w:t>
            </w:r>
            <w:r w:rsidRPr="000B6417">
              <w:rPr>
                <w:b w:val="0"/>
                <w:lang w:eastAsia="en-AU"/>
              </w:rPr>
              <w:t>Gender</w:t>
            </w:r>
          </w:p>
        </w:tc>
        <w:tc>
          <w:tcPr>
            <w:tcW w:w="2410" w:type="dxa"/>
            <w:hideMark/>
          </w:tcPr>
          <w:p w:rsidR="00C8707C" w:rsidRPr="000B6417" w:rsidRDefault="00C8707C" w:rsidP="00CF71CF">
            <w:pPr>
              <w:cnfStyle w:val="100000000000" w:firstRow="1" w:lastRow="0" w:firstColumn="0" w:lastColumn="0" w:oddVBand="0" w:evenVBand="0" w:oddHBand="0" w:evenHBand="0" w:firstRowFirstColumn="0" w:firstRowLastColumn="0" w:lastRowFirstColumn="0" w:lastRowLastColumn="0"/>
              <w:rPr>
                <w:b w:val="0"/>
                <w:lang w:eastAsia="en-AU"/>
              </w:rPr>
            </w:pPr>
            <w:r w:rsidRPr="000B6417">
              <w:rPr>
                <w:b w:val="0"/>
                <w:lang w:eastAsia="en-AU"/>
              </w:rPr>
              <w:t>Pre</w:t>
            </w:r>
            <w:r w:rsidRPr="000B6417">
              <w:rPr>
                <w:b w:val="0"/>
                <w:spacing w:val="1"/>
                <w:lang w:eastAsia="en-AU"/>
              </w:rPr>
              <w:t>f</w:t>
            </w:r>
            <w:r w:rsidRPr="000B6417">
              <w:rPr>
                <w:b w:val="0"/>
                <w:lang w:eastAsia="en-AU"/>
              </w:rPr>
              <w:t>erred</w:t>
            </w:r>
            <w:r w:rsidRPr="000B6417">
              <w:rPr>
                <w:b w:val="0"/>
                <w:spacing w:val="-8"/>
                <w:lang w:eastAsia="en-AU"/>
              </w:rPr>
              <w:t xml:space="preserve"> </w:t>
            </w:r>
            <w:r w:rsidRPr="000B6417">
              <w:rPr>
                <w:b w:val="0"/>
                <w:lang w:eastAsia="en-AU"/>
              </w:rPr>
              <w:t>Term/Intensity</w:t>
            </w:r>
          </w:p>
        </w:tc>
        <w:tc>
          <w:tcPr>
            <w:tcW w:w="1418" w:type="dxa"/>
            <w:hideMark/>
          </w:tcPr>
          <w:p w:rsidR="00C8707C" w:rsidRPr="000B6417" w:rsidRDefault="00C8707C" w:rsidP="00CF71CF">
            <w:pPr>
              <w:cnfStyle w:val="100000000000" w:firstRow="1" w:lastRow="0" w:firstColumn="0" w:lastColumn="0" w:oddVBand="0" w:evenVBand="0" w:oddHBand="0" w:evenHBand="0" w:firstRowFirstColumn="0" w:firstRowLastColumn="0" w:lastRowFirstColumn="0" w:lastRowLastColumn="0"/>
              <w:rPr>
                <w:b w:val="0"/>
                <w:lang w:eastAsia="en-AU"/>
              </w:rPr>
            </w:pPr>
            <w:r w:rsidRPr="000B6417">
              <w:rPr>
                <w:b w:val="0"/>
                <w:position w:val="-1"/>
                <w:lang w:eastAsia="en-AU"/>
              </w:rPr>
              <w:t>Relation-ship</w:t>
            </w:r>
            <w:r w:rsidRPr="000B6417">
              <w:rPr>
                <w:b w:val="0"/>
                <w:spacing w:val="-11"/>
                <w:position w:val="-1"/>
                <w:lang w:eastAsia="en-AU"/>
              </w:rPr>
              <w:t xml:space="preserve"> </w:t>
            </w:r>
            <w:r w:rsidRPr="000B6417">
              <w:rPr>
                <w:b w:val="0"/>
                <w:w w:val="99"/>
                <w:position w:val="-1"/>
                <w:lang w:eastAsia="en-AU"/>
              </w:rPr>
              <w:t>to</w:t>
            </w:r>
            <w:r w:rsidRPr="000B6417">
              <w:rPr>
                <w:b w:val="0"/>
                <w:position w:val="1"/>
                <w:lang w:eastAsia="en-AU"/>
              </w:rPr>
              <w:t xml:space="preserve"> Study</w:t>
            </w:r>
            <w:r w:rsidRPr="000B6417">
              <w:rPr>
                <w:b w:val="0"/>
                <w:spacing w:val="-5"/>
                <w:position w:val="1"/>
                <w:lang w:eastAsia="en-AU"/>
              </w:rPr>
              <w:t xml:space="preserve"> </w:t>
            </w:r>
            <w:r w:rsidRPr="000B6417">
              <w:rPr>
                <w:b w:val="0"/>
                <w:w w:val="99"/>
                <w:position w:val="1"/>
                <w:lang w:eastAsia="en-AU"/>
              </w:rPr>
              <w:t xml:space="preserve">Therapy </w:t>
            </w:r>
            <w:r w:rsidRPr="000B6417">
              <w:rPr>
                <w:b w:val="0"/>
                <w:w w:val="99"/>
                <w:position w:val="1"/>
                <w:vertAlign w:val="superscript"/>
                <w:lang w:eastAsia="en-AU"/>
              </w:rPr>
              <w:t>a</w:t>
            </w:r>
          </w:p>
        </w:tc>
        <w:tc>
          <w:tcPr>
            <w:tcW w:w="1842" w:type="dxa"/>
            <w:hideMark/>
          </w:tcPr>
          <w:p w:rsidR="00C8707C" w:rsidRPr="000B6417" w:rsidRDefault="00C8707C" w:rsidP="00CF71CF">
            <w:pPr>
              <w:cnfStyle w:val="100000000000" w:firstRow="1" w:lastRow="0" w:firstColumn="0" w:lastColumn="0" w:oddVBand="0" w:evenVBand="0" w:oddHBand="0" w:evenHBand="0" w:firstRowFirstColumn="0" w:firstRowLastColumn="0" w:lastRowFirstColumn="0" w:lastRowLastColumn="0"/>
              <w:rPr>
                <w:b w:val="0"/>
                <w:lang w:eastAsia="en-AU"/>
              </w:rPr>
            </w:pPr>
            <w:r w:rsidRPr="000B6417">
              <w:rPr>
                <w:b w:val="0"/>
                <w:lang w:eastAsia="en-AU"/>
              </w:rPr>
              <w:t>Onset</w:t>
            </w:r>
            <w:r w:rsidRPr="000B6417">
              <w:rPr>
                <w:b w:val="0"/>
                <w:spacing w:val="-5"/>
                <w:lang w:eastAsia="en-AU"/>
              </w:rPr>
              <w:t xml:space="preserve"> </w:t>
            </w:r>
            <w:r w:rsidRPr="000B6417">
              <w:rPr>
                <w:b w:val="0"/>
                <w:lang w:eastAsia="en-AU"/>
              </w:rPr>
              <w:t>and Duration</w:t>
            </w:r>
          </w:p>
        </w:tc>
        <w:tc>
          <w:tcPr>
            <w:tcW w:w="2031" w:type="dxa"/>
            <w:hideMark/>
          </w:tcPr>
          <w:p w:rsidR="00C8707C" w:rsidRPr="000B6417" w:rsidRDefault="00C8707C" w:rsidP="00CF71CF">
            <w:pPr>
              <w:cnfStyle w:val="100000000000" w:firstRow="1" w:lastRow="0" w:firstColumn="0" w:lastColumn="0" w:oddVBand="0" w:evenVBand="0" w:oddHBand="0" w:evenHBand="0" w:firstRowFirstColumn="0" w:firstRowLastColumn="0" w:lastRowFirstColumn="0" w:lastRowLastColumn="0"/>
              <w:rPr>
                <w:b w:val="0"/>
                <w:lang w:eastAsia="en-AU"/>
              </w:rPr>
            </w:pPr>
            <w:r w:rsidRPr="000B6417">
              <w:rPr>
                <w:b w:val="0"/>
                <w:spacing w:val="1"/>
                <w:lang w:eastAsia="en-AU"/>
              </w:rPr>
              <w:t>Notes</w:t>
            </w:r>
          </w:p>
        </w:tc>
      </w:tr>
      <w:tr w:rsidR="00C8707C" w:rsidTr="00CF71CF">
        <w:tc>
          <w:tcPr>
            <w:cnfStyle w:val="001000000000" w:firstRow="0" w:lastRow="0" w:firstColumn="1" w:lastColumn="0" w:oddVBand="0" w:evenVBand="0" w:oddHBand="0" w:evenHBand="0" w:firstRowFirstColumn="0" w:firstRowLastColumn="0" w:lastRowFirstColumn="0" w:lastRowLastColumn="0"/>
            <w:tcW w:w="1809" w:type="dxa"/>
            <w:hideMark/>
          </w:tcPr>
          <w:p w:rsidR="00C8707C" w:rsidRPr="000B6417" w:rsidRDefault="00C8707C" w:rsidP="00CF71CF">
            <w:pPr>
              <w:rPr>
                <w:lang w:eastAsia="en-AU"/>
              </w:rPr>
            </w:pPr>
            <w:r w:rsidRPr="000B6417">
              <w:rPr>
                <w:spacing w:val="1"/>
                <w:lang w:eastAsia="en-AU"/>
              </w:rPr>
              <w:t>20</w:t>
            </w:r>
            <w:r w:rsidRPr="000B6417">
              <w:rPr>
                <w:lang w:eastAsia="en-AU"/>
              </w:rPr>
              <w:t>0</w:t>
            </w:r>
            <w:r w:rsidRPr="000B6417">
              <w:rPr>
                <w:spacing w:val="-2"/>
                <w:lang w:eastAsia="en-AU"/>
              </w:rPr>
              <w:t xml:space="preserve"> </w:t>
            </w:r>
            <w:r w:rsidRPr="000B6417">
              <w:rPr>
                <w:spacing w:val="1"/>
                <w:lang w:eastAsia="en-AU"/>
              </w:rPr>
              <w:t>AS</w:t>
            </w:r>
            <w:r w:rsidRPr="000B6417">
              <w:rPr>
                <w:lang w:eastAsia="en-AU"/>
              </w:rPr>
              <w:t>V</w:t>
            </w:r>
            <w:r w:rsidRPr="000B6417">
              <w:rPr>
                <w:spacing w:val="-3"/>
                <w:lang w:eastAsia="en-AU"/>
              </w:rPr>
              <w:t xml:space="preserve"> </w:t>
            </w:r>
            <w:r w:rsidRPr="000B6417">
              <w:rPr>
                <w:lang w:eastAsia="en-AU"/>
              </w:rPr>
              <w:t>Group</w:t>
            </w:r>
          </w:p>
        </w:tc>
        <w:tc>
          <w:tcPr>
            <w:tcW w:w="2410" w:type="dxa"/>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p>
        </w:tc>
        <w:tc>
          <w:tcPr>
            <w:tcW w:w="1418" w:type="dxa"/>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p>
        </w:tc>
        <w:tc>
          <w:tcPr>
            <w:tcW w:w="1842" w:type="dxa"/>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p>
        </w:tc>
        <w:tc>
          <w:tcPr>
            <w:tcW w:w="2031" w:type="dxa"/>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p>
        </w:tc>
      </w:tr>
      <w:tr w:rsidR="00C8707C" w:rsidTr="00CF71CF">
        <w:tc>
          <w:tcPr>
            <w:cnfStyle w:val="001000000000" w:firstRow="0" w:lastRow="0" w:firstColumn="1" w:lastColumn="0" w:oddVBand="0" w:evenVBand="0" w:oddHBand="0" w:evenHBand="0" w:firstRowFirstColumn="0" w:firstRowLastColumn="0" w:lastRowFirstColumn="0" w:lastRowLastColumn="0"/>
            <w:tcW w:w="1809" w:type="dxa"/>
            <w:vMerge w:val="restart"/>
            <w:hideMark/>
          </w:tcPr>
          <w:p w:rsidR="00C8707C" w:rsidRPr="000B6417" w:rsidRDefault="00C8707C" w:rsidP="00CF71CF">
            <w:pPr>
              <w:rPr>
                <w:lang w:eastAsia="en-AU"/>
              </w:rPr>
            </w:pPr>
            <w:r w:rsidRPr="000B6417">
              <w:rPr>
                <w:spacing w:val="1"/>
                <w:lang w:eastAsia="en-AU"/>
              </w:rPr>
              <w:t xml:space="preserve">51 </w:t>
            </w:r>
            <w:r w:rsidRPr="000B6417">
              <w:rPr>
                <w:spacing w:val="-1"/>
                <w:lang w:eastAsia="en-AU"/>
              </w:rPr>
              <w:t>yea</w:t>
            </w:r>
            <w:r w:rsidRPr="000B6417">
              <w:rPr>
                <w:spacing w:val="1"/>
                <w:lang w:eastAsia="en-AU"/>
              </w:rPr>
              <w:t xml:space="preserve">r </w:t>
            </w:r>
            <w:r w:rsidRPr="000B6417">
              <w:rPr>
                <w:lang w:eastAsia="en-AU"/>
              </w:rPr>
              <w:t>old</w:t>
            </w:r>
            <w:r w:rsidRPr="000B6417">
              <w:rPr>
                <w:spacing w:val="-8"/>
                <w:lang w:eastAsia="en-AU"/>
              </w:rPr>
              <w:t xml:space="preserve"> W</w:t>
            </w:r>
            <w:r w:rsidRPr="000B6417">
              <w:rPr>
                <w:lang w:eastAsia="en-AU"/>
              </w:rPr>
              <w:t>hite</w:t>
            </w:r>
            <w:r w:rsidRPr="000B6417">
              <w:rPr>
                <w:spacing w:val="-5"/>
                <w:lang w:eastAsia="en-AU"/>
              </w:rPr>
              <w:t xml:space="preserve"> </w:t>
            </w:r>
            <w:r w:rsidRPr="000B6417">
              <w:rPr>
                <w:lang w:eastAsia="en-AU"/>
              </w:rPr>
              <w:t>male</w:t>
            </w:r>
          </w:p>
        </w:tc>
        <w:tc>
          <w:tcPr>
            <w:tcW w:w="2410" w:type="dxa"/>
            <w:hideMark/>
          </w:tcPr>
          <w:p w:rsidR="002C4CAD"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proofErr w:type="spellStart"/>
            <w:r w:rsidRPr="000B6417">
              <w:rPr>
                <w:spacing w:val="1"/>
                <w:lang w:eastAsia="en-AU"/>
              </w:rPr>
              <w:t>Hae</w:t>
            </w:r>
            <w:r w:rsidRPr="000B6417">
              <w:rPr>
                <w:spacing w:val="-4"/>
                <w:lang w:eastAsia="en-AU"/>
              </w:rPr>
              <w:t>m</w:t>
            </w:r>
            <w:r w:rsidRPr="000B6417">
              <w:rPr>
                <w:lang w:eastAsia="en-AU"/>
              </w:rPr>
              <w:t>atemesis</w:t>
            </w:r>
            <w:proofErr w:type="spellEnd"/>
            <w:r w:rsidRPr="000B6417">
              <w:rPr>
                <w:lang w:eastAsia="en-AU"/>
              </w:rPr>
              <w:t>/</w:t>
            </w:r>
            <w:r w:rsidRPr="000B6417">
              <w:rPr>
                <w:spacing w:val="1"/>
                <w:lang w:eastAsia="en-AU"/>
              </w:rPr>
              <w:t>Grad</w:t>
            </w:r>
            <w:r w:rsidRPr="000B6417">
              <w:rPr>
                <w:lang w:eastAsia="en-AU"/>
              </w:rPr>
              <w:t>e</w:t>
            </w:r>
            <w:r w:rsidRPr="000B6417">
              <w:rPr>
                <w:spacing w:val="-4"/>
                <w:lang w:eastAsia="en-AU"/>
              </w:rPr>
              <w:t xml:space="preserve"> </w:t>
            </w:r>
            <w:r w:rsidRPr="000B6417">
              <w:rPr>
                <w:lang w:eastAsia="en-AU"/>
              </w:rPr>
              <w:t>4</w:t>
            </w:r>
          </w:p>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proofErr w:type="spellStart"/>
            <w:r w:rsidRPr="000B6417">
              <w:rPr>
                <w:lang w:eastAsia="en-AU"/>
              </w:rPr>
              <w:t>Melaena</w:t>
            </w:r>
            <w:proofErr w:type="spellEnd"/>
            <w:r w:rsidRPr="000B6417">
              <w:rPr>
                <w:lang w:eastAsia="en-AU"/>
              </w:rPr>
              <w:t>/</w:t>
            </w:r>
            <w:r w:rsidRPr="000B6417">
              <w:rPr>
                <w:spacing w:val="1"/>
                <w:lang w:eastAsia="en-AU"/>
              </w:rPr>
              <w:t>Grad</w:t>
            </w:r>
            <w:r w:rsidRPr="000B6417">
              <w:rPr>
                <w:lang w:eastAsia="en-AU"/>
              </w:rPr>
              <w:t>e</w:t>
            </w:r>
            <w:r w:rsidRPr="000B6417">
              <w:rPr>
                <w:spacing w:val="-4"/>
                <w:lang w:eastAsia="en-AU"/>
              </w:rPr>
              <w:t xml:space="preserve"> </w:t>
            </w:r>
            <w:r w:rsidRPr="000B6417">
              <w:rPr>
                <w:lang w:eastAsia="en-AU"/>
              </w:rPr>
              <w:t>4</w:t>
            </w:r>
          </w:p>
        </w:tc>
        <w:tc>
          <w:tcPr>
            <w:tcW w:w="1418"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Not</w:t>
            </w:r>
            <w:r w:rsidRPr="000B6417">
              <w:rPr>
                <w:spacing w:val="-3"/>
                <w:lang w:eastAsia="en-AU"/>
              </w:rPr>
              <w:t xml:space="preserve"> </w:t>
            </w:r>
            <w:r w:rsidRPr="000B6417">
              <w:rPr>
                <w:lang w:eastAsia="en-AU"/>
              </w:rPr>
              <w:t>related</w:t>
            </w:r>
          </w:p>
        </w:tc>
        <w:tc>
          <w:tcPr>
            <w:tcW w:w="1842"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lang w:eastAsia="en-AU"/>
              </w:rPr>
              <w:t>Onset:</w:t>
            </w:r>
            <w:r w:rsidRPr="000B6417">
              <w:rPr>
                <w:spacing w:val="-5"/>
                <w:lang w:eastAsia="en-AU"/>
              </w:rPr>
              <w:t xml:space="preserve"> </w:t>
            </w:r>
            <w:r w:rsidRPr="000B6417">
              <w:rPr>
                <w:spacing w:val="1"/>
                <w:lang w:eastAsia="en-AU"/>
              </w:rPr>
              <w:t>O</w:t>
            </w:r>
            <w:r w:rsidRPr="000B6417">
              <w:rPr>
                <w:lang w:eastAsia="en-AU"/>
              </w:rPr>
              <w:t>T</w:t>
            </w:r>
            <w:r w:rsidRPr="000B6417">
              <w:rPr>
                <w:spacing w:val="-2"/>
                <w:lang w:eastAsia="en-AU"/>
              </w:rPr>
              <w:t xml:space="preserve"> </w:t>
            </w:r>
            <w:r w:rsidRPr="000B6417">
              <w:rPr>
                <w:spacing w:val="1"/>
                <w:lang w:eastAsia="en-AU"/>
              </w:rPr>
              <w:t>Wee</w:t>
            </w:r>
            <w:r w:rsidRPr="000B6417">
              <w:rPr>
                <w:lang w:eastAsia="en-AU"/>
              </w:rPr>
              <w:t>k</w:t>
            </w:r>
            <w:r w:rsidRPr="000B6417">
              <w:rPr>
                <w:spacing w:val="-4"/>
                <w:lang w:eastAsia="en-AU"/>
              </w:rPr>
              <w:t xml:space="preserve"> </w:t>
            </w:r>
            <w:r w:rsidRPr="000B6417">
              <w:rPr>
                <w:spacing w:val="1"/>
                <w:lang w:eastAsia="en-AU"/>
              </w:rPr>
              <w:t>10</w:t>
            </w:r>
          </w:p>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Duration:</w:t>
            </w:r>
            <w:r w:rsidRPr="000B6417">
              <w:rPr>
                <w:spacing w:val="-8"/>
                <w:lang w:eastAsia="en-AU"/>
              </w:rPr>
              <w:t xml:space="preserve"> </w:t>
            </w:r>
            <w:r w:rsidRPr="000B6417">
              <w:rPr>
                <w:spacing w:val="1"/>
                <w:lang w:eastAsia="en-AU"/>
              </w:rPr>
              <w:t>3</w:t>
            </w:r>
            <w:r w:rsidRPr="000B6417">
              <w:rPr>
                <w:lang w:eastAsia="en-AU"/>
              </w:rPr>
              <w:t>8</w:t>
            </w:r>
            <w:r w:rsidRPr="000B6417">
              <w:rPr>
                <w:spacing w:val="-1"/>
                <w:lang w:eastAsia="en-AU"/>
              </w:rPr>
              <w:t xml:space="preserve"> </w:t>
            </w:r>
            <w:r w:rsidRPr="000B6417">
              <w:rPr>
                <w:spacing w:val="1"/>
                <w:lang w:eastAsia="en-AU"/>
              </w:rPr>
              <w:t>hours</w:t>
            </w:r>
          </w:p>
        </w:tc>
        <w:tc>
          <w:tcPr>
            <w:tcW w:w="203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Study</w:t>
            </w:r>
            <w:r w:rsidRPr="000B6417">
              <w:rPr>
                <w:spacing w:val="-5"/>
                <w:lang w:eastAsia="en-AU"/>
              </w:rPr>
              <w:t xml:space="preserve"> </w:t>
            </w:r>
            <w:r w:rsidRPr="000B6417">
              <w:rPr>
                <w:lang w:eastAsia="en-AU"/>
              </w:rPr>
              <w:t>drug</w:t>
            </w:r>
            <w:r w:rsidRPr="000B6417">
              <w:rPr>
                <w:spacing w:val="-4"/>
                <w:lang w:eastAsia="en-AU"/>
              </w:rPr>
              <w:t xml:space="preserve"> </w:t>
            </w:r>
            <w:r w:rsidRPr="000B6417">
              <w:rPr>
                <w:lang w:eastAsia="en-AU"/>
              </w:rPr>
              <w:t>interrupted,</w:t>
            </w:r>
            <w:r w:rsidRPr="000B6417">
              <w:rPr>
                <w:spacing w:val="-10"/>
                <w:lang w:eastAsia="en-AU"/>
              </w:rPr>
              <w:t xml:space="preserve"> </w:t>
            </w:r>
            <w:r w:rsidRPr="000B6417">
              <w:rPr>
                <w:lang w:eastAsia="en-AU"/>
              </w:rPr>
              <w:t>treatment</w:t>
            </w:r>
            <w:r w:rsidRPr="000B6417">
              <w:rPr>
                <w:spacing w:val="-8"/>
                <w:lang w:eastAsia="en-AU"/>
              </w:rPr>
              <w:t xml:space="preserve"> </w:t>
            </w:r>
            <w:r w:rsidRPr="000B6417">
              <w:rPr>
                <w:lang w:eastAsia="en-AU"/>
              </w:rPr>
              <w:t>required</w:t>
            </w:r>
          </w:p>
        </w:tc>
      </w:tr>
      <w:tr w:rsidR="00C8707C" w:rsidTr="00CF71CF">
        <w:tc>
          <w:tcPr>
            <w:cnfStyle w:val="001000000000" w:firstRow="0" w:lastRow="0" w:firstColumn="1" w:lastColumn="0" w:oddVBand="0" w:evenVBand="0" w:oddHBand="0" w:evenHBand="0" w:firstRowFirstColumn="0" w:firstRowLastColumn="0" w:lastRowFirstColumn="0" w:lastRowLastColumn="0"/>
            <w:tcW w:w="1809" w:type="dxa"/>
            <w:vMerge/>
            <w:hideMark/>
          </w:tcPr>
          <w:p w:rsidR="00C8707C" w:rsidRPr="000B6417" w:rsidRDefault="00C8707C" w:rsidP="00CF71CF">
            <w:pPr>
              <w:rPr>
                <w:lang w:eastAsia="en-AU"/>
              </w:rPr>
            </w:pPr>
          </w:p>
        </w:tc>
        <w:tc>
          <w:tcPr>
            <w:tcW w:w="2410"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Upper</w:t>
            </w:r>
            <w:r w:rsidRPr="000B6417">
              <w:rPr>
                <w:spacing w:val="-5"/>
                <w:lang w:eastAsia="en-AU"/>
              </w:rPr>
              <w:t xml:space="preserve"> </w:t>
            </w:r>
            <w:r w:rsidRPr="000B6417">
              <w:rPr>
                <w:lang w:eastAsia="en-AU"/>
              </w:rPr>
              <w:t>Gastrointestinal</w:t>
            </w:r>
            <w:r w:rsidRPr="000B6417">
              <w:rPr>
                <w:spacing w:val="-13"/>
                <w:lang w:eastAsia="en-AU"/>
              </w:rPr>
              <w:t xml:space="preserve"> </w:t>
            </w:r>
            <w:r w:rsidRPr="000B6417">
              <w:rPr>
                <w:spacing w:val="1"/>
                <w:lang w:eastAsia="en-AU"/>
              </w:rPr>
              <w:t>Hae</w:t>
            </w:r>
            <w:r w:rsidRPr="000B6417">
              <w:rPr>
                <w:spacing w:val="-4"/>
                <w:lang w:eastAsia="en-AU"/>
              </w:rPr>
              <w:t>m</w:t>
            </w:r>
            <w:r w:rsidRPr="000B6417">
              <w:rPr>
                <w:lang w:eastAsia="en-AU"/>
              </w:rPr>
              <w:t>orrhag</w:t>
            </w:r>
            <w:r w:rsidRPr="000B6417">
              <w:rPr>
                <w:spacing w:val="3"/>
                <w:lang w:eastAsia="en-AU"/>
              </w:rPr>
              <w:t>e</w:t>
            </w:r>
            <w:r w:rsidRPr="000B6417">
              <w:rPr>
                <w:lang w:eastAsia="en-AU"/>
              </w:rPr>
              <w:t>/</w:t>
            </w:r>
            <w:r w:rsidRPr="000B6417">
              <w:rPr>
                <w:spacing w:val="1"/>
                <w:lang w:eastAsia="en-AU"/>
              </w:rPr>
              <w:t>Grad</w:t>
            </w:r>
            <w:r w:rsidRPr="000B6417">
              <w:rPr>
                <w:lang w:eastAsia="en-AU"/>
              </w:rPr>
              <w:t>e</w:t>
            </w:r>
            <w:r w:rsidRPr="000B6417">
              <w:rPr>
                <w:spacing w:val="-4"/>
                <w:lang w:eastAsia="en-AU"/>
              </w:rPr>
              <w:t xml:space="preserve"> </w:t>
            </w:r>
            <w:r w:rsidRPr="000B6417">
              <w:rPr>
                <w:lang w:eastAsia="en-AU"/>
              </w:rPr>
              <w:t>4</w:t>
            </w:r>
          </w:p>
        </w:tc>
        <w:tc>
          <w:tcPr>
            <w:tcW w:w="1418"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Not</w:t>
            </w:r>
            <w:r w:rsidRPr="000B6417">
              <w:rPr>
                <w:spacing w:val="-3"/>
                <w:lang w:eastAsia="en-AU"/>
              </w:rPr>
              <w:t xml:space="preserve"> </w:t>
            </w:r>
            <w:r w:rsidRPr="000B6417">
              <w:rPr>
                <w:lang w:eastAsia="en-AU"/>
              </w:rPr>
              <w:t>related</w:t>
            </w:r>
          </w:p>
        </w:tc>
        <w:tc>
          <w:tcPr>
            <w:tcW w:w="1842"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Onset</w:t>
            </w:r>
            <w:r w:rsidRPr="000B6417">
              <w:rPr>
                <w:lang w:eastAsia="en-AU"/>
              </w:rPr>
              <w:t>:</w:t>
            </w:r>
            <w:r w:rsidRPr="000B6417">
              <w:rPr>
                <w:spacing w:val="-4"/>
                <w:lang w:eastAsia="en-AU"/>
              </w:rPr>
              <w:t xml:space="preserve"> </w:t>
            </w:r>
            <w:r w:rsidRPr="000B6417">
              <w:rPr>
                <w:spacing w:val="1"/>
                <w:lang w:eastAsia="en-AU"/>
              </w:rPr>
              <w:t>O</w:t>
            </w:r>
            <w:r w:rsidRPr="000B6417">
              <w:rPr>
                <w:lang w:eastAsia="en-AU"/>
              </w:rPr>
              <w:t>T</w:t>
            </w:r>
            <w:r w:rsidRPr="000B6417">
              <w:rPr>
                <w:spacing w:val="-2"/>
                <w:lang w:eastAsia="en-AU"/>
              </w:rPr>
              <w:t xml:space="preserve"> </w:t>
            </w:r>
            <w:r w:rsidRPr="000B6417">
              <w:rPr>
                <w:spacing w:val="1"/>
                <w:lang w:eastAsia="en-AU"/>
              </w:rPr>
              <w:t>Wee</w:t>
            </w:r>
            <w:r w:rsidRPr="000B6417">
              <w:rPr>
                <w:lang w:eastAsia="en-AU"/>
              </w:rPr>
              <w:t>k</w:t>
            </w:r>
            <w:r w:rsidRPr="000B6417">
              <w:rPr>
                <w:spacing w:val="-4"/>
                <w:lang w:eastAsia="en-AU"/>
              </w:rPr>
              <w:t xml:space="preserve"> </w:t>
            </w:r>
            <w:r w:rsidRPr="000B6417">
              <w:rPr>
                <w:spacing w:val="1"/>
                <w:lang w:eastAsia="en-AU"/>
              </w:rPr>
              <w:t>10</w:t>
            </w:r>
          </w:p>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Duration:</w:t>
            </w:r>
            <w:r w:rsidRPr="000B6417">
              <w:rPr>
                <w:spacing w:val="-7"/>
                <w:lang w:eastAsia="en-AU"/>
              </w:rPr>
              <w:t xml:space="preserve"> </w:t>
            </w:r>
            <w:r w:rsidRPr="000B6417">
              <w:rPr>
                <w:lang w:eastAsia="en-AU"/>
              </w:rPr>
              <w:t>5 days</w:t>
            </w:r>
          </w:p>
        </w:tc>
        <w:tc>
          <w:tcPr>
            <w:tcW w:w="203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Study</w:t>
            </w:r>
            <w:r w:rsidRPr="000B6417">
              <w:rPr>
                <w:spacing w:val="-5"/>
                <w:lang w:eastAsia="en-AU"/>
              </w:rPr>
              <w:t xml:space="preserve"> </w:t>
            </w:r>
            <w:r w:rsidRPr="000B6417">
              <w:rPr>
                <w:lang w:eastAsia="en-AU"/>
              </w:rPr>
              <w:t>drug</w:t>
            </w:r>
            <w:r w:rsidRPr="000B6417">
              <w:rPr>
                <w:spacing w:val="-4"/>
                <w:lang w:eastAsia="en-AU"/>
              </w:rPr>
              <w:t xml:space="preserve"> </w:t>
            </w:r>
            <w:r w:rsidRPr="000B6417">
              <w:rPr>
                <w:lang w:eastAsia="en-AU"/>
              </w:rPr>
              <w:t>interrupted,</w:t>
            </w:r>
            <w:r w:rsidRPr="000B6417">
              <w:rPr>
                <w:spacing w:val="-10"/>
                <w:lang w:eastAsia="en-AU"/>
              </w:rPr>
              <w:t xml:space="preserve"> </w:t>
            </w:r>
            <w:r w:rsidRPr="000B6417">
              <w:rPr>
                <w:lang w:eastAsia="en-AU"/>
              </w:rPr>
              <w:t>treatment</w:t>
            </w:r>
            <w:r w:rsidRPr="000B6417">
              <w:rPr>
                <w:spacing w:val="-8"/>
                <w:lang w:eastAsia="en-AU"/>
              </w:rPr>
              <w:t xml:space="preserve"> </w:t>
            </w:r>
            <w:r w:rsidRPr="000B6417">
              <w:rPr>
                <w:lang w:eastAsia="en-AU"/>
              </w:rPr>
              <w:t>required</w:t>
            </w:r>
          </w:p>
        </w:tc>
      </w:tr>
      <w:tr w:rsidR="00C8707C" w:rsidTr="00CF71CF">
        <w:tc>
          <w:tcPr>
            <w:cnfStyle w:val="001000000000" w:firstRow="0" w:lastRow="0" w:firstColumn="1" w:lastColumn="0" w:oddVBand="0" w:evenVBand="0" w:oddHBand="0" w:evenHBand="0" w:firstRowFirstColumn="0" w:firstRowLastColumn="0" w:lastRowFirstColumn="0" w:lastRowLastColumn="0"/>
            <w:tcW w:w="1809" w:type="dxa"/>
            <w:hideMark/>
          </w:tcPr>
          <w:p w:rsidR="00C8707C" w:rsidRPr="000B6417" w:rsidRDefault="00C8707C" w:rsidP="00CF71CF">
            <w:pPr>
              <w:rPr>
                <w:lang w:eastAsia="en-AU"/>
              </w:rPr>
            </w:pPr>
            <w:r w:rsidRPr="000B6417">
              <w:rPr>
                <w:spacing w:val="1"/>
                <w:lang w:eastAsia="en-AU"/>
              </w:rPr>
              <w:t xml:space="preserve">29 </w:t>
            </w:r>
            <w:r w:rsidRPr="000B6417">
              <w:rPr>
                <w:spacing w:val="-1"/>
                <w:lang w:eastAsia="en-AU"/>
              </w:rPr>
              <w:t>yea</w:t>
            </w:r>
            <w:r w:rsidRPr="000B6417">
              <w:rPr>
                <w:spacing w:val="1"/>
                <w:lang w:eastAsia="en-AU"/>
              </w:rPr>
              <w:t xml:space="preserve">r </w:t>
            </w:r>
            <w:r w:rsidRPr="000B6417">
              <w:rPr>
                <w:lang w:eastAsia="en-AU"/>
              </w:rPr>
              <w:t>old</w:t>
            </w:r>
            <w:r w:rsidRPr="000B6417">
              <w:rPr>
                <w:spacing w:val="-8"/>
                <w:lang w:eastAsia="en-AU"/>
              </w:rPr>
              <w:t xml:space="preserve"> W</w:t>
            </w:r>
            <w:r w:rsidRPr="000B6417">
              <w:rPr>
                <w:lang w:eastAsia="en-AU"/>
              </w:rPr>
              <w:t>hite</w:t>
            </w:r>
            <w:r w:rsidRPr="000B6417">
              <w:rPr>
                <w:spacing w:val="-5"/>
                <w:lang w:eastAsia="en-AU"/>
              </w:rPr>
              <w:t xml:space="preserve"> </w:t>
            </w:r>
            <w:r w:rsidRPr="000B6417">
              <w:rPr>
                <w:lang w:eastAsia="en-AU"/>
              </w:rPr>
              <w:t>male</w:t>
            </w:r>
          </w:p>
        </w:tc>
        <w:tc>
          <w:tcPr>
            <w:tcW w:w="2410"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AL</w:t>
            </w:r>
            <w:r w:rsidRPr="000B6417">
              <w:rPr>
                <w:lang w:eastAsia="en-AU"/>
              </w:rPr>
              <w:t>T</w:t>
            </w:r>
            <w:r w:rsidRPr="000B6417">
              <w:rPr>
                <w:spacing w:val="-1"/>
                <w:lang w:eastAsia="en-AU"/>
              </w:rPr>
              <w:t xml:space="preserve"> </w:t>
            </w:r>
            <w:r w:rsidRPr="000B6417">
              <w:rPr>
                <w:lang w:eastAsia="en-AU"/>
              </w:rPr>
              <w:t>Increased/</w:t>
            </w:r>
            <w:r w:rsidRPr="000B6417">
              <w:rPr>
                <w:spacing w:val="1"/>
                <w:lang w:eastAsia="en-AU"/>
              </w:rPr>
              <w:t>Grad</w:t>
            </w:r>
            <w:r w:rsidRPr="000B6417">
              <w:rPr>
                <w:lang w:eastAsia="en-AU"/>
              </w:rPr>
              <w:t>e</w:t>
            </w:r>
            <w:r w:rsidRPr="000B6417">
              <w:rPr>
                <w:spacing w:val="-4"/>
                <w:lang w:eastAsia="en-AU"/>
              </w:rPr>
              <w:t xml:space="preserve"> </w:t>
            </w:r>
            <w:r w:rsidRPr="000B6417">
              <w:rPr>
                <w:lang w:eastAsia="en-AU"/>
              </w:rPr>
              <w:t>4</w:t>
            </w:r>
          </w:p>
        </w:tc>
        <w:tc>
          <w:tcPr>
            <w:tcW w:w="1418"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Related</w:t>
            </w:r>
          </w:p>
        </w:tc>
        <w:tc>
          <w:tcPr>
            <w:tcW w:w="1842"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Onset</w:t>
            </w:r>
            <w:r w:rsidRPr="000B6417">
              <w:rPr>
                <w:lang w:eastAsia="en-AU"/>
              </w:rPr>
              <w:t>:</w:t>
            </w:r>
            <w:r w:rsidRPr="000B6417">
              <w:rPr>
                <w:spacing w:val="-4"/>
                <w:lang w:eastAsia="en-AU"/>
              </w:rPr>
              <w:t xml:space="preserve"> </w:t>
            </w:r>
            <w:r w:rsidRPr="000B6417">
              <w:rPr>
                <w:spacing w:val="1"/>
                <w:lang w:eastAsia="en-AU"/>
              </w:rPr>
              <w:t>O</w:t>
            </w:r>
            <w:r w:rsidRPr="000B6417">
              <w:rPr>
                <w:lang w:eastAsia="en-AU"/>
              </w:rPr>
              <w:t>T</w:t>
            </w:r>
            <w:r w:rsidRPr="000B6417">
              <w:rPr>
                <w:spacing w:val="-2"/>
                <w:lang w:eastAsia="en-AU"/>
              </w:rPr>
              <w:t xml:space="preserve"> </w:t>
            </w:r>
            <w:r w:rsidRPr="000B6417">
              <w:rPr>
                <w:spacing w:val="1"/>
                <w:lang w:eastAsia="en-AU"/>
              </w:rPr>
              <w:t>Wee</w:t>
            </w:r>
            <w:r w:rsidRPr="000B6417">
              <w:rPr>
                <w:lang w:eastAsia="en-AU"/>
              </w:rPr>
              <w:t>k</w:t>
            </w:r>
            <w:r w:rsidRPr="000B6417">
              <w:rPr>
                <w:spacing w:val="-4"/>
                <w:lang w:eastAsia="en-AU"/>
              </w:rPr>
              <w:t xml:space="preserve"> </w:t>
            </w:r>
            <w:r w:rsidRPr="000B6417">
              <w:rPr>
                <w:spacing w:val="1"/>
                <w:lang w:eastAsia="en-AU"/>
              </w:rPr>
              <w:t>10</w:t>
            </w:r>
          </w:p>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Duration:</w:t>
            </w:r>
            <w:r w:rsidRPr="000B6417">
              <w:rPr>
                <w:spacing w:val="-8"/>
                <w:lang w:eastAsia="en-AU"/>
              </w:rPr>
              <w:t xml:space="preserve"> </w:t>
            </w:r>
            <w:r w:rsidRPr="000B6417">
              <w:rPr>
                <w:lang w:eastAsia="en-AU"/>
              </w:rPr>
              <w:t>70</w:t>
            </w:r>
            <w:r w:rsidRPr="000B6417">
              <w:rPr>
                <w:spacing w:val="-2"/>
                <w:lang w:eastAsia="en-AU"/>
              </w:rPr>
              <w:t xml:space="preserve"> </w:t>
            </w:r>
            <w:r w:rsidRPr="000B6417">
              <w:rPr>
                <w:lang w:eastAsia="en-AU"/>
              </w:rPr>
              <w:t>days</w:t>
            </w:r>
          </w:p>
        </w:tc>
        <w:tc>
          <w:tcPr>
            <w:tcW w:w="203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peg/RBV</w:t>
            </w:r>
            <w:r w:rsidRPr="000B6417">
              <w:rPr>
                <w:spacing w:val="-7"/>
                <w:lang w:eastAsia="en-AU"/>
              </w:rPr>
              <w:t xml:space="preserve"> </w:t>
            </w:r>
            <w:r w:rsidRPr="000B6417">
              <w:rPr>
                <w:lang w:eastAsia="en-AU"/>
              </w:rPr>
              <w:t>continued,</w:t>
            </w:r>
            <w:r w:rsidRPr="000B6417">
              <w:rPr>
                <w:spacing w:val="-7"/>
                <w:lang w:eastAsia="en-AU"/>
              </w:rPr>
              <w:t xml:space="preserve"> </w:t>
            </w:r>
            <w:r w:rsidRPr="000B6417">
              <w:rPr>
                <w:lang w:eastAsia="en-AU"/>
              </w:rPr>
              <w:t>ASV</w:t>
            </w:r>
            <w:r w:rsidRPr="000B6417">
              <w:rPr>
                <w:spacing w:val="-4"/>
                <w:lang w:eastAsia="en-AU"/>
              </w:rPr>
              <w:t xml:space="preserve"> </w:t>
            </w:r>
            <w:r w:rsidRPr="000B6417">
              <w:rPr>
                <w:lang w:eastAsia="en-AU"/>
              </w:rPr>
              <w:t>discontinued,</w:t>
            </w:r>
            <w:r w:rsidRPr="000B6417">
              <w:rPr>
                <w:spacing w:val="-10"/>
                <w:lang w:eastAsia="en-AU"/>
              </w:rPr>
              <w:t xml:space="preserve"> </w:t>
            </w:r>
            <w:r w:rsidRPr="000B6417">
              <w:rPr>
                <w:lang w:eastAsia="en-AU"/>
              </w:rPr>
              <w:t>treatment</w:t>
            </w:r>
            <w:r w:rsidRPr="000B6417">
              <w:rPr>
                <w:spacing w:val="-8"/>
                <w:lang w:eastAsia="en-AU"/>
              </w:rPr>
              <w:t xml:space="preserve"> </w:t>
            </w:r>
            <w:r w:rsidRPr="000B6417">
              <w:rPr>
                <w:lang w:eastAsia="en-AU"/>
              </w:rPr>
              <w:t>required</w:t>
            </w:r>
          </w:p>
        </w:tc>
      </w:tr>
      <w:tr w:rsidR="00C8707C" w:rsidTr="00CF71CF">
        <w:tc>
          <w:tcPr>
            <w:cnfStyle w:val="001000000000" w:firstRow="0" w:lastRow="0" w:firstColumn="1" w:lastColumn="0" w:oddVBand="0" w:evenVBand="0" w:oddHBand="0" w:evenHBand="0" w:firstRowFirstColumn="0" w:firstRowLastColumn="0" w:lastRowFirstColumn="0" w:lastRowLastColumn="0"/>
            <w:tcW w:w="1809" w:type="dxa"/>
            <w:hideMark/>
          </w:tcPr>
          <w:p w:rsidR="00C8707C" w:rsidRPr="000B6417" w:rsidRDefault="00C8707C" w:rsidP="00CF71CF">
            <w:pPr>
              <w:rPr>
                <w:lang w:eastAsia="en-AU"/>
              </w:rPr>
            </w:pPr>
            <w:r w:rsidRPr="000B6417">
              <w:rPr>
                <w:spacing w:val="1"/>
                <w:lang w:eastAsia="en-AU"/>
              </w:rPr>
              <w:t xml:space="preserve">29 </w:t>
            </w:r>
            <w:r w:rsidRPr="000B6417">
              <w:rPr>
                <w:spacing w:val="-1"/>
                <w:lang w:eastAsia="en-AU"/>
              </w:rPr>
              <w:t>yea</w:t>
            </w:r>
            <w:r w:rsidRPr="000B6417">
              <w:rPr>
                <w:spacing w:val="1"/>
                <w:lang w:eastAsia="en-AU"/>
              </w:rPr>
              <w:t>r ol</w:t>
            </w:r>
            <w:r w:rsidRPr="000B6417">
              <w:rPr>
                <w:lang w:eastAsia="en-AU"/>
              </w:rPr>
              <w:t>d</w:t>
            </w:r>
            <w:r w:rsidRPr="000B6417">
              <w:rPr>
                <w:spacing w:val="-8"/>
                <w:lang w:eastAsia="en-AU"/>
              </w:rPr>
              <w:t xml:space="preserve"> W</w:t>
            </w:r>
            <w:r w:rsidRPr="000B6417">
              <w:rPr>
                <w:spacing w:val="1"/>
                <w:lang w:eastAsia="en-AU"/>
              </w:rPr>
              <w:t>hi</w:t>
            </w:r>
            <w:r w:rsidRPr="000B6417">
              <w:rPr>
                <w:lang w:eastAsia="en-AU"/>
              </w:rPr>
              <w:t>te</w:t>
            </w:r>
            <w:r w:rsidRPr="000B6417">
              <w:rPr>
                <w:spacing w:val="-5"/>
                <w:lang w:eastAsia="en-AU"/>
              </w:rPr>
              <w:t xml:space="preserve"> </w:t>
            </w:r>
            <w:r w:rsidRPr="000B6417">
              <w:rPr>
                <w:lang w:eastAsia="en-AU"/>
              </w:rPr>
              <w:t>male</w:t>
            </w:r>
          </w:p>
        </w:tc>
        <w:tc>
          <w:tcPr>
            <w:tcW w:w="2410"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Neutrophil</w:t>
            </w:r>
            <w:r w:rsidRPr="000B6417">
              <w:rPr>
                <w:spacing w:val="-9"/>
                <w:lang w:eastAsia="en-AU"/>
              </w:rPr>
              <w:t xml:space="preserve"> </w:t>
            </w:r>
            <w:r w:rsidRPr="000B6417">
              <w:rPr>
                <w:lang w:eastAsia="en-AU"/>
              </w:rPr>
              <w:t>Count</w:t>
            </w:r>
            <w:r w:rsidRPr="000B6417">
              <w:rPr>
                <w:spacing w:val="-5"/>
                <w:lang w:eastAsia="en-AU"/>
              </w:rPr>
              <w:t xml:space="preserve"> </w:t>
            </w:r>
            <w:r w:rsidRPr="000B6417">
              <w:rPr>
                <w:lang w:eastAsia="en-AU"/>
              </w:rPr>
              <w:t>Decreased/</w:t>
            </w:r>
            <w:r w:rsidRPr="000B6417">
              <w:rPr>
                <w:spacing w:val="1"/>
                <w:lang w:eastAsia="en-AU"/>
              </w:rPr>
              <w:t>Grad</w:t>
            </w:r>
            <w:r w:rsidRPr="000B6417">
              <w:rPr>
                <w:lang w:eastAsia="en-AU"/>
              </w:rPr>
              <w:t>e</w:t>
            </w:r>
            <w:r w:rsidRPr="000B6417">
              <w:rPr>
                <w:spacing w:val="-4"/>
                <w:lang w:eastAsia="en-AU"/>
              </w:rPr>
              <w:t xml:space="preserve"> </w:t>
            </w:r>
            <w:r w:rsidRPr="000B6417">
              <w:rPr>
                <w:lang w:eastAsia="en-AU"/>
              </w:rPr>
              <w:t>4</w:t>
            </w:r>
          </w:p>
        </w:tc>
        <w:tc>
          <w:tcPr>
            <w:tcW w:w="1418"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Related</w:t>
            </w:r>
          </w:p>
        </w:tc>
        <w:tc>
          <w:tcPr>
            <w:tcW w:w="1842"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Onset</w:t>
            </w:r>
            <w:r w:rsidRPr="000B6417">
              <w:rPr>
                <w:lang w:eastAsia="en-AU"/>
              </w:rPr>
              <w:t>:</w:t>
            </w:r>
            <w:r w:rsidRPr="000B6417">
              <w:rPr>
                <w:spacing w:val="-4"/>
                <w:lang w:eastAsia="en-AU"/>
              </w:rPr>
              <w:t xml:space="preserve"> </w:t>
            </w:r>
            <w:r w:rsidRPr="000B6417">
              <w:rPr>
                <w:spacing w:val="1"/>
                <w:lang w:eastAsia="en-AU"/>
              </w:rPr>
              <w:t>O</w:t>
            </w:r>
            <w:r w:rsidRPr="000B6417">
              <w:rPr>
                <w:lang w:eastAsia="en-AU"/>
              </w:rPr>
              <w:t>T</w:t>
            </w:r>
            <w:r w:rsidRPr="000B6417">
              <w:rPr>
                <w:spacing w:val="-2"/>
                <w:lang w:eastAsia="en-AU"/>
              </w:rPr>
              <w:t xml:space="preserve"> </w:t>
            </w:r>
            <w:r w:rsidRPr="000B6417">
              <w:rPr>
                <w:spacing w:val="1"/>
                <w:lang w:eastAsia="en-AU"/>
              </w:rPr>
              <w:t>Wee</w:t>
            </w:r>
            <w:r w:rsidRPr="000B6417">
              <w:rPr>
                <w:lang w:eastAsia="en-AU"/>
              </w:rPr>
              <w:t>k</w:t>
            </w:r>
            <w:r w:rsidRPr="000B6417">
              <w:rPr>
                <w:spacing w:val="-4"/>
                <w:lang w:eastAsia="en-AU"/>
              </w:rPr>
              <w:t xml:space="preserve"> </w:t>
            </w:r>
            <w:r w:rsidRPr="000B6417">
              <w:rPr>
                <w:spacing w:val="1"/>
                <w:lang w:eastAsia="en-AU"/>
              </w:rPr>
              <w:t>16</w:t>
            </w:r>
          </w:p>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Duration:</w:t>
            </w:r>
            <w:r w:rsidRPr="000B6417">
              <w:rPr>
                <w:spacing w:val="-8"/>
                <w:lang w:eastAsia="en-AU"/>
              </w:rPr>
              <w:t xml:space="preserve"> </w:t>
            </w:r>
            <w:r w:rsidRPr="000B6417">
              <w:rPr>
                <w:spacing w:val="1"/>
                <w:lang w:eastAsia="en-AU"/>
              </w:rPr>
              <w:t>continuing</w:t>
            </w:r>
          </w:p>
        </w:tc>
        <w:tc>
          <w:tcPr>
            <w:tcW w:w="203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Study</w:t>
            </w:r>
            <w:r w:rsidRPr="000B6417">
              <w:rPr>
                <w:spacing w:val="-5"/>
                <w:lang w:eastAsia="en-AU"/>
              </w:rPr>
              <w:t xml:space="preserve"> </w:t>
            </w:r>
            <w:r w:rsidRPr="000B6417">
              <w:rPr>
                <w:lang w:eastAsia="en-AU"/>
              </w:rPr>
              <w:t>drug</w:t>
            </w:r>
            <w:r w:rsidRPr="000B6417">
              <w:rPr>
                <w:spacing w:val="-4"/>
                <w:lang w:eastAsia="en-AU"/>
              </w:rPr>
              <w:t xml:space="preserve"> </w:t>
            </w:r>
            <w:r w:rsidRPr="000B6417">
              <w:rPr>
                <w:lang w:eastAsia="en-AU"/>
              </w:rPr>
              <w:t>interrupte</w:t>
            </w:r>
            <w:r w:rsidRPr="000B6417">
              <w:rPr>
                <w:spacing w:val="1"/>
                <w:lang w:eastAsia="en-AU"/>
              </w:rPr>
              <w:t>d</w:t>
            </w:r>
            <w:r w:rsidRPr="000B6417">
              <w:rPr>
                <w:lang w:eastAsia="en-AU"/>
              </w:rPr>
              <w:t>,</w:t>
            </w:r>
            <w:r w:rsidRPr="000B6417">
              <w:rPr>
                <w:spacing w:val="-10"/>
                <w:lang w:eastAsia="en-AU"/>
              </w:rPr>
              <w:t xml:space="preserve"> </w:t>
            </w:r>
            <w:r w:rsidRPr="000B6417">
              <w:rPr>
                <w:lang w:eastAsia="en-AU"/>
              </w:rPr>
              <w:t>treatment</w:t>
            </w:r>
            <w:r w:rsidRPr="000B6417">
              <w:rPr>
                <w:spacing w:val="-8"/>
                <w:lang w:eastAsia="en-AU"/>
              </w:rPr>
              <w:t xml:space="preserve"> </w:t>
            </w:r>
            <w:r w:rsidRPr="000B6417">
              <w:rPr>
                <w:lang w:eastAsia="en-AU"/>
              </w:rPr>
              <w:t>required</w:t>
            </w:r>
          </w:p>
        </w:tc>
      </w:tr>
      <w:tr w:rsidR="00C8707C" w:rsidTr="00CF71CF">
        <w:tc>
          <w:tcPr>
            <w:cnfStyle w:val="001000000000" w:firstRow="0" w:lastRow="0" w:firstColumn="1" w:lastColumn="0" w:oddVBand="0" w:evenVBand="0" w:oddHBand="0" w:evenHBand="0" w:firstRowFirstColumn="0" w:firstRowLastColumn="0" w:lastRowFirstColumn="0" w:lastRowLastColumn="0"/>
            <w:tcW w:w="1809" w:type="dxa"/>
            <w:hideMark/>
          </w:tcPr>
          <w:p w:rsidR="00C8707C" w:rsidRPr="000B6417" w:rsidRDefault="00C8707C" w:rsidP="00CF71CF">
            <w:pPr>
              <w:rPr>
                <w:lang w:eastAsia="en-AU"/>
              </w:rPr>
            </w:pPr>
            <w:r w:rsidRPr="000B6417">
              <w:rPr>
                <w:spacing w:val="1"/>
                <w:lang w:eastAsia="en-AU"/>
              </w:rPr>
              <w:t xml:space="preserve">42 </w:t>
            </w:r>
            <w:r w:rsidRPr="000B6417">
              <w:rPr>
                <w:spacing w:val="-1"/>
                <w:lang w:eastAsia="en-AU"/>
              </w:rPr>
              <w:t>yea</w:t>
            </w:r>
            <w:r w:rsidRPr="000B6417">
              <w:rPr>
                <w:spacing w:val="1"/>
                <w:lang w:eastAsia="en-AU"/>
              </w:rPr>
              <w:t xml:space="preserve">r </w:t>
            </w:r>
            <w:r w:rsidRPr="000B6417">
              <w:rPr>
                <w:lang w:eastAsia="en-AU"/>
              </w:rPr>
              <w:t>old</w:t>
            </w:r>
            <w:r w:rsidRPr="000B6417">
              <w:rPr>
                <w:spacing w:val="-8"/>
                <w:lang w:eastAsia="en-AU"/>
              </w:rPr>
              <w:t xml:space="preserve"> B</w:t>
            </w:r>
            <w:r w:rsidRPr="000B6417">
              <w:rPr>
                <w:lang w:eastAsia="en-AU"/>
              </w:rPr>
              <w:t>lack</w:t>
            </w:r>
            <w:r w:rsidRPr="000B6417">
              <w:rPr>
                <w:spacing w:val="-5"/>
                <w:lang w:eastAsia="en-AU"/>
              </w:rPr>
              <w:t xml:space="preserve"> </w:t>
            </w:r>
            <w:r w:rsidRPr="000B6417">
              <w:rPr>
                <w:lang w:eastAsia="en-AU"/>
              </w:rPr>
              <w:t>female</w:t>
            </w:r>
          </w:p>
        </w:tc>
        <w:tc>
          <w:tcPr>
            <w:tcW w:w="2410"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lang w:eastAsia="en-AU"/>
              </w:rPr>
              <w:t>Abdominal</w:t>
            </w:r>
            <w:r w:rsidRPr="000B6417">
              <w:rPr>
                <w:spacing w:val="-9"/>
                <w:lang w:eastAsia="en-AU"/>
              </w:rPr>
              <w:t xml:space="preserve"> </w:t>
            </w:r>
            <w:r w:rsidRPr="000B6417">
              <w:rPr>
                <w:lang w:eastAsia="en-AU"/>
              </w:rPr>
              <w:t>Pain</w:t>
            </w:r>
            <w:r w:rsidRPr="000B6417">
              <w:rPr>
                <w:spacing w:val="-4"/>
                <w:lang w:eastAsia="en-AU"/>
              </w:rPr>
              <w:t xml:space="preserve"> </w:t>
            </w:r>
            <w:r w:rsidRPr="000B6417">
              <w:rPr>
                <w:spacing w:val="1"/>
                <w:lang w:eastAsia="en-AU"/>
              </w:rPr>
              <w:t>Upper/ Grad</w:t>
            </w:r>
            <w:r w:rsidRPr="000B6417">
              <w:rPr>
                <w:lang w:eastAsia="en-AU"/>
              </w:rPr>
              <w:t>e</w:t>
            </w:r>
            <w:r w:rsidRPr="000B6417">
              <w:rPr>
                <w:spacing w:val="-4"/>
                <w:lang w:eastAsia="en-AU"/>
              </w:rPr>
              <w:t xml:space="preserve"> </w:t>
            </w:r>
            <w:r w:rsidRPr="000B6417">
              <w:rPr>
                <w:lang w:eastAsia="en-AU"/>
              </w:rPr>
              <w:t>3 Asthenia/</w:t>
            </w:r>
            <w:r w:rsidRPr="000B6417">
              <w:rPr>
                <w:spacing w:val="1"/>
                <w:lang w:eastAsia="en-AU"/>
              </w:rPr>
              <w:t>Grad</w:t>
            </w:r>
            <w:r w:rsidRPr="000B6417">
              <w:rPr>
                <w:lang w:eastAsia="en-AU"/>
              </w:rPr>
              <w:t>e</w:t>
            </w:r>
            <w:r w:rsidRPr="000B6417">
              <w:rPr>
                <w:spacing w:val="-4"/>
                <w:lang w:eastAsia="en-AU"/>
              </w:rPr>
              <w:t xml:space="preserve"> </w:t>
            </w:r>
            <w:r w:rsidRPr="000B6417">
              <w:rPr>
                <w:lang w:eastAsia="en-AU"/>
              </w:rPr>
              <w:t>3</w:t>
            </w:r>
          </w:p>
        </w:tc>
        <w:tc>
          <w:tcPr>
            <w:tcW w:w="1418"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Not</w:t>
            </w:r>
            <w:r w:rsidRPr="000B6417">
              <w:rPr>
                <w:spacing w:val="-3"/>
                <w:lang w:eastAsia="en-AU"/>
              </w:rPr>
              <w:t xml:space="preserve"> </w:t>
            </w:r>
            <w:r w:rsidRPr="000B6417">
              <w:rPr>
                <w:lang w:eastAsia="en-AU"/>
              </w:rPr>
              <w:t>related</w:t>
            </w:r>
          </w:p>
        </w:tc>
        <w:tc>
          <w:tcPr>
            <w:tcW w:w="1842"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Onset:</w:t>
            </w:r>
            <w:r w:rsidRPr="000B6417">
              <w:rPr>
                <w:spacing w:val="-5"/>
                <w:lang w:eastAsia="en-AU"/>
              </w:rPr>
              <w:t xml:space="preserve"> </w:t>
            </w:r>
            <w:r w:rsidRPr="000B6417">
              <w:rPr>
                <w:spacing w:val="1"/>
                <w:lang w:eastAsia="en-AU"/>
              </w:rPr>
              <w:t>O</w:t>
            </w:r>
            <w:r w:rsidRPr="000B6417">
              <w:rPr>
                <w:lang w:eastAsia="en-AU"/>
              </w:rPr>
              <w:t>T</w:t>
            </w:r>
            <w:r w:rsidRPr="000B6417">
              <w:rPr>
                <w:spacing w:val="-2"/>
                <w:lang w:eastAsia="en-AU"/>
              </w:rPr>
              <w:t xml:space="preserve"> </w:t>
            </w:r>
            <w:r w:rsidRPr="000B6417">
              <w:rPr>
                <w:spacing w:val="1"/>
                <w:lang w:eastAsia="en-AU"/>
              </w:rPr>
              <w:t>Wee</w:t>
            </w:r>
            <w:r w:rsidRPr="000B6417">
              <w:rPr>
                <w:lang w:eastAsia="en-AU"/>
              </w:rPr>
              <w:t>k</w:t>
            </w:r>
            <w:r w:rsidRPr="000B6417">
              <w:rPr>
                <w:spacing w:val="-4"/>
                <w:lang w:eastAsia="en-AU"/>
              </w:rPr>
              <w:t xml:space="preserve"> </w:t>
            </w:r>
            <w:r w:rsidRPr="000B6417">
              <w:rPr>
                <w:lang w:eastAsia="en-AU"/>
              </w:rPr>
              <w:t>6</w:t>
            </w:r>
          </w:p>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Duration:</w:t>
            </w:r>
            <w:r w:rsidRPr="000B6417">
              <w:rPr>
                <w:spacing w:val="-8"/>
                <w:lang w:eastAsia="en-AU"/>
              </w:rPr>
              <w:t xml:space="preserve"> </w:t>
            </w:r>
            <w:r w:rsidRPr="000B6417">
              <w:rPr>
                <w:spacing w:val="1"/>
                <w:lang w:eastAsia="en-AU"/>
              </w:rPr>
              <w:t>1</w:t>
            </w:r>
            <w:r w:rsidRPr="000B6417">
              <w:rPr>
                <w:lang w:eastAsia="en-AU"/>
              </w:rPr>
              <w:t>4</w:t>
            </w:r>
            <w:r w:rsidRPr="000B6417">
              <w:rPr>
                <w:spacing w:val="1"/>
                <w:lang w:eastAsia="en-AU"/>
              </w:rPr>
              <w:t xml:space="preserve"> da</w:t>
            </w:r>
            <w:r w:rsidRPr="000B6417">
              <w:rPr>
                <w:spacing w:val="-4"/>
                <w:lang w:eastAsia="en-AU"/>
              </w:rPr>
              <w:t>y</w:t>
            </w:r>
            <w:r w:rsidRPr="000B6417">
              <w:rPr>
                <w:lang w:eastAsia="en-AU"/>
              </w:rPr>
              <w:t>s</w:t>
            </w:r>
          </w:p>
        </w:tc>
        <w:tc>
          <w:tcPr>
            <w:tcW w:w="203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Study</w:t>
            </w:r>
            <w:r w:rsidRPr="000B6417">
              <w:rPr>
                <w:spacing w:val="-5"/>
                <w:lang w:eastAsia="en-AU"/>
              </w:rPr>
              <w:t xml:space="preserve"> </w:t>
            </w:r>
            <w:r w:rsidRPr="000B6417">
              <w:rPr>
                <w:lang w:eastAsia="en-AU"/>
              </w:rPr>
              <w:t>drug</w:t>
            </w:r>
            <w:r w:rsidRPr="000B6417">
              <w:rPr>
                <w:spacing w:val="-4"/>
                <w:lang w:eastAsia="en-AU"/>
              </w:rPr>
              <w:t xml:space="preserve"> </w:t>
            </w:r>
            <w:r w:rsidRPr="000B6417">
              <w:rPr>
                <w:lang w:eastAsia="en-AU"/>
              </w:rPr>
              <w:t>not</w:t>
            </w:r>
            <w:r w:rsidRPr="000B6417">
              <w:rPr>
                <w:spacing w:val="-3"/>
                <w:lang w:eastAsia="en-AU"/>
              </w:rPr>
              <w:t xml:space="preserve"> </w:t>
            </w:r>
            <w:r w:rsidRPr="000B6417">
              <w:rPr>
                <w:lang w:eastAsia="en-AU"/>
              </w:rPr>
              <w:t>interrupted,</w:t>
            </w:r>
            <w:r w:rsidRPr="000B6417">
              <w:rPr>
                <w:spacing w:val="-10"/>
                <w:lang w:eastAsia="en-AU"/>
              </w:rPr>
              <w:t xml:space="preserve"> </w:t>
            </w:r>
            <w:r w:rsidRPr="000B6417">
              <w:rPr>
                <w:lang w:eastAsia="en-AU"/>
              </w:rPr>
              <w:t>treatment</w:t>
            </w:r>
            <w:r w:rsidRPr="000B6417">
              <w:rPr>
                <w:spacing w:val="-8"/>
                <w:lang w:eastAsia="en-AU"/>
              </w:rPr>
              <w:t xml:space="preserve"> </w:t>
            </w:r>
            <w:r w:rsidRPr="000B6417">
              <w:rPr>
                <w:lang w:eastAsia="en-AU"/>
              </w:rPr>
              <w:t>required</w:t>
            </w:r>
          </w:p>
        </w:tc>
      </w:tr>
      <w:tr w:rsidR="00C8707C" w:rsidTr="00CF71CF">
        <w:tc>
          <w:tcPr>
            <w:cnfStyle w:val="001000000000" w:firstRow="0" w:lastRow="0" w:firstColumn="1" w:lastColumn="0" w:oddVBand="0" w:evenVBand="0" w:oddHBand="0" w:evenHBand="0" w:firstRowFirstColumn="0" w:firstRowLastColumn="0" w:lastRowFirstColumn="0" w:lastRowLastColumn="0"/>
            <w:tcW w:w="1809" w:type="dxa"/>
            <w:hideMark/>
          </w:tcPr>
          <w:p w:rsidR="00C8707C" w:rsidRPr="000B6417" w:rsidRDefault="00C8707C" w:rsidP="00CF71CF">
            <w:pPr>
              <w:rPr>
                <w:lang w:eastAsia="en-AU"/>
              </w:rPr>
            </w:pPr>
            <w:r w:rsidRPr="000B6417">
              <w:rPr>
                <w:spacing w:val="1"/>
                <w:lang w:eastAsia="en-AU"/>
              </w:rPr>
              <w:lastRenderedPageBreak/>
              <w:t xml:space="preserve">40 </w:t>
            </w:r>
            <w:r w:rsidRPr="000B6417">
              <w:rPr>
                <w:spacing w:val="-1"/>
                <w:lang w:eastAsia="en-AU"/>
              </w:rPr>
              <w:t>yea</w:t>
            </w:r>
            <w:r w:rsidRPr="000B6417">
              <w:rPr>
                <w:spacing w:val="1"/>
                <w:lang w:eastAsia="en-AU"/>
              </w:rPr>
              <w:t xml:space="preserve">r </w:t>
            </w:r>
            <w:r w:rsidRPr="000B6417">
              <w:rPr>
                <w:lang w:eastAsia="en-AU"/>
              </w:rPr>
              <w:t>old</w:t>
            </w:r>
            <w:r w:rsidRPr="000B6417">
              <w:rPr>
                <w:spacing w:val="-8"/>
                <w:lang w:eastAsia="en-AU"/>
              </w:rPr>
              <w:t xml:space="preserve"> W</w:t>
            </w:r>
            <w:r w:rsidRPr="000B6417">
              <w:rPr>
                <w:lang w:eastAsia="en-AU"/>
              </w:rPr>
              <w:t>hite</w:t>
            </w:r>
            <w:r w:rsidRPr="000B6417">
              <w:rPr>
                <w:spacing w:val="-5"/>
                <w:lang w:eastAsia="en-AU"/>
              </w:rPr>
              <w:t xml:space="preserve"> </w:t>
            </w:r>
            <w:r w:rsidRPr="000B6417">
              <w:rPr>
                <w:lang w:eastAsia="en-AU"/>
              </w:rPr>
              <w:t>female</w:t>
            </w:r>
          </w:p>
        </w:tc>
        <w:tc>
          <w:tcPr>
            <w:tcW w:w="2410"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2"/>
                <w:position w:val="1"/>
                <w:lang w:eastAsia="en-AU"/>
              </w:rPr>
              <w:t>A</w:t>
            </w:r>
            <w:r w:rsidRPr="000B6417">
              <w:rPr>
                <w:spacing w:val="3"/>
                <w:position w:val="1"/>
                <w:lang w:eastAsia="en-AU"/>
              </w:rPr>
              <w:t>c</w:t>
            </w:r>
            <w:r w:rsidRPr="000B6417">
              <w:rPr>
                <w:position w:val="1"/>
                <w:lang w:eastAsia="en-AU"/>
              </w:rPr>
              <w:t>ute</w:t>
            </w:r>
            <w:r w:rsidRPr="000B6417">
              <w:rPr>
                <w:spacing w:val="-5"/>
                <w:position w:val="1"/>
                <w:lang w:eastAsia="en-AU"/>
              </w:rPr>
              <w:t xml:space="preserve"> </w:t>
            </w:r>
            <w:r w:rsidRPr="000B6417">
              <w:rPr>
                <w:position w:val="1"/>
                <w:lang w:eastAsia="en-AU"/>
              </w:rPr>
              <w:t>Psychosis</w:t>
            </w:r>
            <w:r w:rsidRPr="000B6417">
              <w:rPr>
                <w:spacing w:val="40"/>
                <w:position w:val="1"/>
                <w:lang w:eastAsia="en-AU"/>
              </w:rPr>
              <w:t xml:space="preserve"> </w:t>
            </w:r>
            <w:r w:rsidRPr="000B6417">
              <w:rPr>
                <w:spacing w:val="40"/>
                <w:position w:val="1"/>
                <w:vertAlign w:val="superscript"/>
                <w:lang w:eastAsia="en-AU"/>
              </w:rPr>
              <w:t>b</w:t>
            </w:r>
            <w:r w:rsidRPr="000B6417">
              <w:rPr>
                <w:position w:val="1"/>
                <w:lang w:eastAsia="en-AU"/>
              </w:rPr>
              <w:t>/</w:t>
            </w:r>
            <w:r w:rsidRPr="000B6417">
              <w:rPr>
                <w:spacing w:val="1"/>
                <w:lang w:eastAsia="en-AU"/>
              </w:rPr>
              <w:t>Grad</w:t>
            </w:r>
            <w:r w:rsidRPr="000B6417">
              <w:rPr>
                <w:lang w:eastAsia="en-AU"/>
              </w:rPr>
              <w:t>e</w:t>
            </w:r>
            <w:r w:rsidRPr="000B6417">
              <w:rPr>
                <w:spacing w:val="-4"/>
                <w:lang w:eastAsia="en-AU"/>
              </w:rPr>
              <w:t xml:space="preserve"> </w:t>
            </w:r>
            <w:r w:rsidRPr="000B6417">
              <w:rPr>
                <w:lang w:eastAsia="en-AU"/>
              </w:rPr>
              <w:t>2</w:t>
            </w:r>
          </w:p>
        </w:tc>
        <w:tc>
          <w:tcPr>
            <w:tcW w:w="1418"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Related</w:t>
            </w:r>
          </w:p>
        </w:tc>
        <w:tc>
          <w:tcPr>
            <w:tcW w:w="1842"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Onset:</w:t>
            </w:r>
            <w:r w:rsidRPr="000B6417">
              <w:rPr>
                <w:spacing w:val="-4"/>
                <w:lang w:eastAsia="en-AU"/>
              </w:rPr>
              <w:t xml:space="preserve"> </w:t>
            </w:r>
            <w:r w:rsidRPr="000B6417">
              <w:rPr>
                <w:lang w:eastAsia="en-AU"/>
              </w:rPr>
              <w:t>OT</w:t>
            </w:r>
            <w:r w:rsidRPr="000B6417">
              <w:rPr>
                <w:spacing w:val="-2"/>
                <w:lang w:eastAsia="en-AU"/>
              </w:rPr>
              <w:t xml:space="preserve"> </w:t>
            </w:r>
            <w:r w:rsidRPr="000B6417">
              <w:rPr>
                <w:lang w:eastAsia="en-AU"/>
              </w:rPr>
              <w:t>Week</w:t>
            </w:r>
            <w:r w:rsidRPr="000B6417">
              <w:rPr>
                <w:spacing w:val="-4"/>
                <w:lang w:eastAsia="en-AU"/>
              </w:rPr>
              <w:t xml:space="preserve"> </w:t>
            </w:r>
            <w:r w:rsidRPr="000B6417">
              <w:rPr>
                <w:lang w:eastAsia="en-AU"/>
              </w:rPr>
              <w:t>2 Duration:</w:t>
            </w:r>
            <w:r w:rsidRPr="000B6417">
              <w:rPr>
                <w:spacing w:val="-8"/>
                <w:lang w:eastAsia="en-AU"/>
              </w:rPr>
              <w:t xml:space="preserve"> </w:t>
            </w:r>
            <w:r w:rsidRPr="000B6417">
              <w:rPr>
                <w:lang w:eastAsia="en-AU"/>
              </w:rPr>
              <w:t>continuing</w:t>
            </w:r>
          </w:p>
        </w:tc>
        <w:tc>
          <w:tcPr>
            <w:tcW w:w="203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Study</w:t>
            </w:r>
            <w:r w:rsidRPr="000B6417">
              <w:rPr>
                <w:spacing w:val="-5"/>
                <w:lang w:eastAsia="en-AU"/>
              </w:rPr>
              <w:t xml:space="preserve"> </w:t>
            </w:r>
            <w:r w:rsidRPr="000B6417">
              <w:rPr>
                <w:lang w:eastAsia="en-AU"/>
              </w:rPr>
              <w:t>drug</w:t>
            </w:r>
            <w:r w:rsidRPr="000B6417">
              <w:rPr>
                <w:spacing w:val="-4"/>
                <w:lang w:eastAsia="en-AU"/>
              </w:rPr>
              <w:t xml:space="preserve"> </w:t>
            </w:r>
            <w:r w:rsidRPr="000B6417">
              <w:rPr>
                <w:lang w:eastAsia="en-AU"/>
              </w:rPr>
              <w:t>discontinued,</w:t>
            </w:r>
            <w:r w:rsidRPr="000B6417">
              <w:rPr>
                <w:spacing w:val="-11"/>
                <w:lang w:eastAsia="en-AU"/>
              </w:rPr>
              <w:t xml:space="preserve"> </w:t>
            </w:r>
            <w:r w:rsidRPr="000B6417">
              <w:rPr>
                <w:lang w:eastAsia="en-AU"/>
              </w:rPr>
              <w:t>treatment</w:t>
            </w:r>
            <w:r w:rsidRPr="000B6417">
              <w:rPr>
                <w:spacing w:val="-8"/>
                <w:lang w:eastAsia="en-AU"/>
              </w:rPr>
              <w:t xml:space="preserve"> </w:t>
            </w:r>
            <w:r w:rsidRPr="000B6417">
              <w:rPr>
                <w:lang w:eastAsia="en-AU"/>
              </w:rPr>
              <w:t>required</w:t>
            </w:r>
          </w:p>
        </w:tc>
      </w:tr>
      <w:tr w:rsidR="00C8707C" w:rsidTr="00CF71CF">
        <w:tc>
          <w:tcPr>
            <w:cnfStyle w:val="001000000000" w:firstRow="0" w:lastRow="0" w:firstColumn="1" w:lastColumn="0" w:oddVBand="0" w:evenVBand="0" w:oddHBand="0" w:evenHBand="0" w:firstRowFirstColumn="0" w:firstRowLastColumn="0" w:lastRowFirstColumn="0" w:lastRowLastColumn="0"/>
            <w:tcW w:w="1809" w:type="dxa"/>
            <w:hideMark/>
          </w:tcPr>
          <w:p w:rsidR="00C8707C" w:rsidRPr="000B6417" w:rsidRDefault="00C8707C" w:rsidP="00CF71CF">
            <w:pPr>
              <w:rPr>
                <w:lang w:eastAsia="en-AU"/>
              </w:rPr>
            </w:pPr>
            <w:r w:rsidRPr="000B6417">
              <w:rPr>
                <w:spacing w:val="1"/>
                <w:lang w:eastAsia="en-AU"/>
              </w:rPr>
              <w:t xml:space="preserve">57 </w:t>
            </w:r>
            <w:r w:rsidRPr="000B6417">
              <w:rPr>
                <w:spacing w:val="-1"/>
                <w:lang w:eastAsia="en-AU"/>
              </w:rPr>
              <w:t>yea</w:t>
            </w:r>
            <w:r w:rsidRPr="000B6417">
              <w:rPr>
                <w:spacing w:val="1"/>
                <w:lang w:eastAsia="en-AU"/>
              </w:rPr>
              <w:t xml:space="preserve">r </w:t>
            </w:r>
            <w:r w:rsidRPr="000B6417">
              <w:rPr>
                <w:lang w:eastAsia="en-AU"/>
              </w:rPr>
              <w:t>old</w:t>
            </w:r>
            <w:r w:rsidRPr="000B6417">
              <w:rPr>
                <w:spacing w:val="-8"/>
                <w:lang w:eastAsia="en-AU"/>
              </w:rPr>
              <w:t xml:space="preserve"> W</w:t>
            </w:r>
            <w:r w:rsidRPr="000B6417">
              <w:rPr>
                <w:lang w:eastAsia="en-AU"/>
              </w:rPr>
              <w:t>hite</w:t>
            </w:r>
            <w:r w:rsidRPr="000B6417">
              <w:rPr>
                <w:spacing w:val="-5"/>
                <w:lang w:eastAsia="en-AU"/>
              </w:rPr>
              <w:t xml:space="preserve"> </w:t>
            </w:r>
            <w:r w:rsidRPr="000B6417">
              <w:rPr>
                <w:lang w:eastAsia="en-AU"/>
              </w:rPr>
              <w:t>female</w:t>
            </w:r>
          </w:p>
        </w:tc>
        <w:tc>
          <w:tcPr>
            <w:tcW w:w="2410"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Epistaxis/</w:t>
            </w:r>
            <w:r w:rsidRPr="000B6417">
              <w:rPr>
                <w:spacing w:val="1"/>
                <w:lang w:eastAsia="en-AU"/>
              </w:rPr>
              <w:t>Grad</w:t>
            </w:r>
            <w:r w:rsidRPr="000B6417">
              <w:rPr>
                <w:lang w:eastAsia="en-AU"/>
              </w:rPr>
              <w:t>e</w:t>
            </w:r>
            <w:r w:rsidRPr="000B6417">
              <w:rPr>
                <w:spacing w:val="-4"/>
                <w:lang w:eastAsia="en-AU"/>
              </w:rPr>
              <w:t xml:space="preserve"> </w:t>
            </w:r>
            <w:r w:rsidRPr="000B6417">
              <w:rPr>
                <w:lang w:eastAsia="en-AU"/>
              </w:rPr>
              <w:t>3</w:t>
            </w:r>
          </w:p>
        </w:tc>
        <w:tc>
          <w:tcPr>
            <w:tcW w:w="1418"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Not</w:t>
            </w:r>
            <w:r w:rsidRPr="000B6417">
              <w:rPr>
                <w:spacing w:val="-3"/>
                <w:lang w:eastAsia="en-AU"/>
              </w:rPr>
              <w:t xml:space="preserve"> </w:t>
            </w:r>
            <w:r w:rsidRPr="000B6417">
              <w:rPr>
                <w:lang w:eastAsia="en-AU"/>
              </w:rPr>
              <w:t>related</w:t>
            </w:r>
          </w:p>
        </w:tc>
        <w:tc>
          <w:tcPr>
            <w:tcW w:w="1842"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Onset: OT Week 10</w:t>
            </w:r>
          </w:p>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Duration: 48 hours</w:t>
            </w:r>
          </w:p>
        </w:tc>
        <w:tc>
          <w:tcPr>
            <w:tcW w:w="203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Study</w:t>
            </w:r>
            <w:r w:rsidRPr="000B6417">
              <w:rPr>
                <w:spacing w:val="-8"/>
                <w:lang w:eastAsia="en-AU"/>
              </w:rPr>
              <w:t xml:space="preserve"> </w:t>
            </w:r>
            <w:r w:rsidRPr="000B6417">
              <w:rPr>
                <w:lang w:eastAsia="en-AU"/>
              </w:rPr>
              <w:t>drug</w:t>
            </w:r>
            <w:r w:rsidRPr="000B6417">
              <w:rPr>
                <w:spacing w:val="-3"/>
                <w:lang w:eastAsia="en-AU"/>
              </w:rPr>
              <w:t xml:space="preserve"> </w:t>
            </w:r>
            <w:r w:rsidRPr="000B6417">
              <w:rPr>
                <w:lang w:eastAsia="en-AU"/>
              </w:rPr>
              <w:t>interrupted,</w:t>
            </w:r>
            <w:r w:rsidRPr="000B6417">
              <w:rPr>
                <w:spacing w:val="-10"/>
                <w:lang w:eastAsia="en-AU"/>
              </w:rPr>
              <w:t xml:space="preserve"> </w:t>
            </w:r>
            <w:r w:rsidRPr="000B6417">
              <w:rPr>
                <w:lang w:eastAsia="en-AU"/>
              </w:rPr>
              <w:t>treatment</w:t>
            </w:r>
            <w:r w:rsidRPr="000B6417">
              <w:rPr>
                <w:spacing w:val="-8"/>
                <w:lang w:eastAsia="en-AU"/>
              </w:rPr>
              <w:t xml:space="preserve"> </w:t>
            </w:r>
            <w:r w:rsidRPr="000B6417">
              <w:rPr>
                <w:lang w:eastAsia="en-AU"/>
              </w:rPr>
              <w:t>required</w:t>
            </w:r>
          </w:p>
        </w:tc>
      </w:tr>
      <w:tr w:rsidR="00C8707C" w:rsidTr="00CF71CF">
        <w:tc>
          <w:tcPr>
            <w:cnfStyle w:val="001000000000" w:firstRow="0" w:lastRow="0" w:firstColumn="1" w:lastColumn="0" w:oddVBand="0" w:evenVBand="0" w:oddHBand="0" w:evenHBand="0" w:firstRowFirstColumn="0" w:firstRowLastColumn="0" w:lastRowFirstColumn="0" w:lastRowLastColumn="0"/>
            <w:tcW w:w="1809" w:type="dxa"/>
            <w:hideMark/>
          </w:tcPr>
          <w:p w:rsidR="00C8707C" w:rsidRPr="000B6417" w:rsidRDefault="00C8707C" w:rsidP="00CF71CF">
            <w:pPr>
              <w:rPr>
                <w:lang w:eastAsia="en-AU"/>
              </w:rPr>
            </w:pPr>
            <w:r w:rsidRPr="000B6417">
              <w:rPr>
                <w:spacing w:val="1"/>
                <w:lang w:eastAsia="en-AU"/>
              </w:rPr>
              <w:t xml:space="preserve">45 </w:t>
            </w:r>
            <w:r w:rsidRPr="000B6417">
              <w:rPr>
                <w:spacing w:val="-1"/>
                <w:lang w:eastAsia="en-AU"/>
              </w:rPr>
              <w:t>yea</w:t>
            </w:r>
            <w:r w:rsidRPr="000B6417">
              <w:rPr>
                <w:spacing w:val="1"/>
                <w:lang w:eastAsia="en-AU"/>
              </w:rPr>
              <w:t xml:space="preserve">r </w:t>
            </w:r>
            <w:r w:rsidRPr="000B6417">
              <w:rPr>
                <w:lang w:eastAsia="en-AU"/>
              </w:rPr>
              <w:t>old</w:t>
            </w:r>
            <w:r w:rsidRPr="000B6417">
              <w:rPr>
                <w:spacing w:val="-8"/>
                <w:lang w:eastAsia="en-AU"/>
              </w:rPr>
              <w:t xml:space="preserve"> W</w:t>
            </w:r>
            <w:r w:rsidRPr="000B6417">
              <w:rPr>
                <w:lang w:eastAsia="en-AU"/>
              </w:rPr>
              <w:t>hite</w:t>
            </w:r>
            <w:r w:rsidRPr="000B6417">
              <w:rPr>
                <w:spacing w:val="-5"/>
                <w:lang w:eastAsia="en-AU"/>
              </w:rPr>
              <w:t xml:space="preserve"> </w:t>
            </w:r>
            <w:r w:rsidRPr="000B6417">
              <w:rPr>
                <w:lang w:eastAsia="en-AU"/>
              </w:rPr>
              <w:t>male</w:t>
            </w:r>
          </w:p>
        </w:tc>
        <w:tc>
          <w:tcPr>
            <w:tcW w:w="2410"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Chest</w:t>
            </w:r>
            <w:r w:rsidRPr="000B6417">
              <w:rPr>
                <w:spacing w:val="-5"/>
                <w:lang w:eastAsia="en-AU"/>
              </w:rPr>
              <w:t xml:space="preserve"> </w:t>
            </w:r>
            <w:r w:rsidRPr="000B6417">
              <w:rPr>
                <w:lang w:eastAsia="en-AU"/>
              </w:rPr>
              <w:t>Pain/</w:t>
            </w:r>
            <w:r w:rsidRPr="000B6417">
              <w:rPr>
                <w:spacing w:val="1"/>
                <w:lang w:eastAsia="en-AU"/>
              </w:rPr>
              <w:t>Grad</w:t>
            </w:r>
            <w:r w:rsidRPr="000B6417">
              <w:rPr>
                <w:lang w:eastAsia="en-AU"/>
              </w:rPr>
              <w:t>e</w:t>
            </w:r>
            <w:r w:rsidRPr="000B6417">
              <w:rPr>
                <w:spacing w:val="-4"/>
                <w:lang w:eastAsia="en-AU"/>
              </w:rPr>
              <w:t xml:space="preserve"> </w:t>
            </w:r>
            <w:r w:rsidRPr="000B6417">
              <w:rPr>
                <w:lang w:eastAsia="en-AU"/>
              </w:rPr>
              <w:t xml:space="preserve">1 Syncope/ </w:t>
            </w:r>
            <w:r w:rsidRPr="000B6417">
              <w:rPr>
                <w:spacing w:val="1"/>
                <w:lang w:eastAsia="en-AU"/>
              </w:rPr>
              <w:t>Grad</w:t>
            </w:r>
            <w:r w:rsidRPr="000B6417">
              <w:rPr>
                <w:lang w:eastAsia="en-AU"/>
              </w:rPr>
              <w:t>e</w:t>
            </w:r>
            <w:r w:rsidRPr="000B6417">
              <w:rPr>
                <w:spacing w:val="-4"/>
                <w:lang w:eastAsia="en-AU"/>
              </w:rPr>
              <w:t xml:space="preserve"> </w:t>
            </w:r>
            <w:r w:rsidRPr="000B6417">
              <w:rPr>
                <w:lang w:eastAsia="en-AU"/>
              </w:rPr>
              <w:t>1</w:t>
            </w:r>
          </w:p>
        </w:tc>
        <w:tc>
          <w:tcPr>
            <w:tcW w:w="1418"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Not</w:t>
            </w:r>
            <w:r w:rsidRPr="000B6417">
              <w:rPr>
                <w:spacing w:val="-3"/>
                <w:lang w:eastAsia="en-AU"/>
              </w:rPr>
              <w:t xml:space="preserve"> </w:t>
            </w:r>
            <w:r w:rsidRPr="000B6417">
              <w:rPr>
                <w:lang w:eastAsia="en-AU"/>
              </w:rPr>
              <w:t>related</w:t>
            </w:r>
          </w:p>
        </w:tc>
        <w:tc>
          <w:tcPr>
            <w:tcW w:w="1842"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Onset: OT Week 16</w:t>
            </w:r>
          </w:p>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Duration: 3 days</w:t>
            </w:r>
          </w:p>
        </w:tc>
        <w:tc>
          <w:tcPr>
            <w:tcW w:w="203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Study</w:t>
            </w:r>
            <w:r w:rsidRPr="000B6417">
              <w:rPr>
                <w:spacing w:val="-5"/>
                <w:lang w:eastAsia="en-AU"/>
              </w:rPr>
              <w:t xml:space="preserve"> </w:t>
            </w:r>
            <w:r w:rsidRPr="000B6417">
              <w:rPr>
                <w:lang w:eastAsia="en-AU"/>
              </w:rPr>
              <w:t>drug</w:t>
            </w:r>
            <w:r w:rsidRPr="000B6417">
              <w:rPr>
                <w:spacing w:val="-4"/>
                <w:lang w:eastAsia="en-AU"/>
              </w:rPr>
              <w:t xml:space="preserve"> </w:t>
            </w:r>
            <w:r w:rsidRPr="000B6417">
              <w:rPr>
                <w:lang w:eastAsia="en-AU"/>
              </w:rPr>
              <w:t>not</w:t>
            </w:r>
            <w:r w:rsidRPr="000B6417">
              <w:rPr>
                <w:spacing w:val="-3"/>
                <w:lang w:eastAsia="en-AU"/>
              </w:rPr>
              <w:t xml:space="preserve"> </w:t>
            </w:r>
            <w:r w:rsidRPr="000B6417">
              <w:rPr>
                <w:lang w:eastAsia="en-AU"/>
              </w:rPr>
              <w:t>interrupted,</w:t>
            </w:r>
            <w:r w:rsidRPr="000B6417">
              <w:rPr>
                <w:spacing w:val="-10"/>
                <w:lang w:eastAsia="en-AU"/>
              </w:rPr>
              <w:t xml:space="preserve"> </w:t>
            </w:r>
            <w:r w:rsidRPr="000B6417">
              <w:rPr>
                <w:lang w:eastAsia="en-AU"/>
              </w:rPr>
              <w:t>treatment</w:t>
            </w:r>
            <w:r w:rsidRPr="000B6417">
              <w:rPr>
                <w:spacing w:val="-8"/>
                <w:lang w:eastAsia="en-AU"/>
              </w:rPr>
              <w:t xml:space="preserve"> </w:t>
            </w:r>
            <w:r w:rsidRPr="000B6417">
              <w:rPr>
                <w:lang w:eastAsia="en-AU"/>
              </w:rPr>
              <w:t>not</w:t>
            </w:r>
            <w:r w:rsidRPr="000B6417">
              <w:rPr>
                <w:spacing w:val="-3"/>
                <w:lang w:eastAsia="en-AU"/>
              </w:rPr>
              <w:t xml:space="preserve"> </w:t>
            </w:r>
            <w:r w:rsidRPr="000B6417">
              <w:rPr>
                <w:lang w:eastAsia="en-AU"/>
              </w:rPr>
              <w:t>required</w:t>
            </w:r>
          </w:p>
        </w:tc>
      </w:tr>
      <w:tr w:rsidR="00C8707C" w:rsidTr="00CF71CF">
        <w:tc>
          <w:tcPr>
            <w:cnfStyle w:val="001000000000" w:firstRow="0" w:lastRow="0" w:firstColumn="1" w:lastColumn="0" w:oddVBand="0" w:evenVBand="0" w:oddHBand="0" w:evenHBand="0" w:firstRowFirstColumn="0" w:firstRowLastColumn="0" w:lastRowFirstColumn="0" w:lastRowLastColumn="0"/>
            <w:tcW w:w="1809" w:type="dxa"/>
            <w:hideMark/>
          </w:tcPr>
          <w:p w:rsidR="00C8707C" w:rsidRPr="000B6417" w:rsidRDefault="00C8707C" w:rsidP="00CF71CF">
            <w:pPr>
              <w:rPr>
                <w:spacing w:val="1"/>
                <w:lang w:eastAsia="en-AU"/>
              </w:rPr>
            </w:pPr>
            <w:r w:rsidRPr="000B6417">
              <w:rPr>
                <w:spacing w:val="1"/>
                <w:lang w:eastAsia="en-AU"/>
              </w:rPr>
              <w:t xml:space="preserve">55 </w:t>
            </w:r>
            <w:r w:rsidRPr="000B6417">
              <w:rPr>
                <w:spacing w:val="-1"/>
                <w:lang w:eastAsia="en-AU"/>
              </w:rPr>
              <w:t>yea</w:t>
            </w:r>
            <w:r w:rsidRPr="000B6417">
              <w:rPr>
                <w:spacing w:val="1"/>
                <w:lang w:eastAsia="en-AU"/>
              </w:rPr>
              <w:t xml:space="preserve">r </w:t>
            </w:r>
            <w:r w:rsidRPr="000B6417">
              <w:rPr>
                <w:lang w:eastAsia="en-AU"/>
              </w:rPr>
              <w:t>old</w:t>
            </w:r>
            <w:r w:rsidRPr="000B6417">
              <w:rPr>
                <w:spacing w:val="-8"/>
                <w:lang w:eastAsia="en-AU"/>
              </w:rPr>
              <w:t xml:space="preserve"> W</w:t>
            </w:r>
            <w:r w:rsidRPr="000B6417">
              <w:rPr>
                <w:lang w:eastAsia="en-AU"/>
              </w:rPr>
              <w:t>hite</w:t>
            </w:r>
            <w:r w:rsidRPr="000B6417">
              <w:rPr>
                <w:spacing w:val="-5"/>
                <w:lang w:eastAsia="en-AU"/>
              </w:rPr>
              <w:t xml:space="preserve"> </w:t>
            </w:r>
            <w:r w:rsidRPr="000B6417">
              <w:rPr>
                <w:lang w:eastAsia="en-AU"/>
              </w:rPr>
              <w:t>female</w:t>
            </w:r>
          </w:p>
        </w:tc>
        <w:tc>
          <w:tcPr>
            <w:tcW w:w="2410"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Bacteraemia/</w:t>
            </w:r>
            <w:r w:rsidRPr="000B6417">
              <w:rPr>
                <w:spacing w:val="1"/>
                <w:lang w:eastAsia="en-AU"/>
              </w:rPr>
              <w:t>Grad</w:t>
            </w:r>
            <w:r w:rsidRPr="000B6417">
              <w:rPr>
                <w:lang w:eastAsia="en-AU"/>
              </w:rPr>
              <w:t>e</w:t>
            </w:r>
            <w:r w:rsidRPr="000B6417">
              <w:rPr>
                <w:spacing w:val="-4"/>
                <w:lang w:eastAsia="en-AU"/>
              </w:rPr>
              <w:t xml:space="preserve"> </w:t>
            </w:r>
            <w:r w:rsidRPr="000B6417">
              <w:rPr>
                <w:lang w:eastAsia="en-AU"/>
              </w:rPr>
              <w:t>3</w:t>
            </w:r>
            <w:r w:rsidRPr="000B6417">
              <w:rPr>
                <w:spacing w:val="2"/>
                <w:lang w:eastAsia="en-AU"/>
              </w:rPr>
              <w:t xml:space="preserve"> P</w:t>
            </w:r>
            <w:r w:rsidRPr="000B6417">
              <w:rPr>
                <w:spacing w:val="-4"/>
                <w:lang w:eastAsia="en-AU"/>
              </w:rPr>
              <w:t>y</w:t>
            </w:r>
            <w:r w:rsidRPr="000B6417">
              <w:rPr>
                <w:lang w:eastAsia="en-AU"/>
              </w:rPr>
              <w:t>elonephriti</w:t>
            </w:r>
            <w:r w:rsidRPr="000B6417">
              <w:rPr>
                <w:spacing w:val="2"/>
                <w:lang w:eastAsia="en-AU"/>
              </w:rPr>
              <w:t>s</w:t>
            </w:r>
            <w:r w:rsidRPr="000B6417">
              <w:rPr>
                <w:lang w:eastAsia="en-AU"/>
              </w:rPr>
              <w:t>/</w:t>
            </w:r>
            <w:r w:rsidRPr="000B6417">
              <w:rPr>
                <w:spacing w:val="1"/>
                <w:lang w:eastAsia="en-AU"/>
              </w:rPr>
              <w:t>Grad</w:t>
            </w:r>
            <w:r w:rsidRPr="000B6417">
              <w:rPr>
                <w:lang w:eastAsia="en-AU"/>
              </w:rPr>
              <w:t>e</w:t>
            </w:r>
            <w:r w:rsidRPr="000B6417">
              <w:rPr>
                <w:spacing w:val="-4"/>
                <w:lang w:eastAsia="en-AU"/>
              </w:rPr>
              <w:t xml:space="preserve"> </w:t>
            </w:r>
            <w:r w:rsidRPr="000B6417">
              <w:rPr>
                <w:lang w:eastAsia="en-AU"/>
              </w:rPr>
              <w:t>3 Nephrolithiasis/</w:t>
            </w:r>
            <w:r w:rsidRPr="000B6417">
              <w:rPr>
                <w:spacing w:val="1"/>
                <w:lang w:eastAsia="en-AU"/>
              </w:rPr>
              <w:t>Grad</w:t>
            </w:r>
            <w:r w:rsidRPr="000B6417">
              <w:rPr>
                <w:lang w:eastAsia="en-AU"/>
              </w:rPr>
              <w:t>e</w:t>
            </w:r>
            <w:r w:rsidRPr="000B6417">
              <w:rPr>
                <w:spacing w:val="-4"/>
                <w:lang w:eastAsia="en-AU"/>
              </w:rPr>
              <w:t xml:space="preserve"> </w:t>
            </w:r>
            <w:r w:rsidRPr="000B6417">
              <w:rPr>
                <w:lang w:eastAsia="en-AU"/>
              </w:rPr>
              <w:t>3</w:t>
            </w:r>
          </w:p>
        </w:tc>
        <w:tc>
          <w:tcPr>
            <w:tcW w:w="1418"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Related</w:t>
            </w:r>
          </w:p>
        </w:tc>
        <w:tc>
          <w:tcPr>
            <w:tcW w:w="1842"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Onset: OT Week 16</w:t>
            </w:r>
          </w:p>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Duration:</w:t>
            </w:r>
            <w:r w:rsidRPr="000B6417">
              <w:rPr>
                <w:spacing w:val="-8"/>
                <w:lang w:eastAsia="en-AU"/>
              </w:rPr>
              <w:t xml:space="preserve"> </w:t>
            </w:r>
            <w:r w:rsidRPr="000B6417">
              <w:rPr>
                <w:lang w:eastAsia="en-AU"/>
              </w:rPr>
              <w:t>6</w:t>
            </w:r>
            <w:r w:rsidRPr="000B6417">
              <w:rPr>
                <w:spacing w:val="-1"/>
                <w:lang w:eastAsia="en-AU"/>
              </w:rPr>
              <w:t xml:space="preserve"> </w:t>
            </w:r>
            <w:r w:rsidRPr="000B6417">
              <w:rPr>
                <w:lang w:eastAsia="en-AU"/>
              </w:rPr>
              <w:t>days</w:t>
            </w:r>
          </w:p>
        </w:tc>
        <w:tc>
          <w:tcPr>
            <w:tcW w:w="203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Study</w:t>
            </w:r>
            <w:r w:rsidRPr="000B6417">
              <w:rPr>
                <w:spacing w:val="-5"/>
                <w:lang w:eastAsia="en-AU"/>
              </w:rPr>
              <w:t xml:space="preserve"> </w:t>
            </w:r>
            <w:r w:rsidRPr="000B6417">
              <w:rPr>
                <w:lang w:eastAsia="en-AU"/>
              </w:rPr>
              <w:t>drug</w:t>
            </w:r>
            <w:r w:rsidRPr="000B6417">
              <w:rPr>
                <w:spacing w:val="-4"/>
                <w:lang w:eastAsia="en-AU"/>
              </w:rPr>
              <w:t xml:space="preserve"> </w:t>
            </w:r>
            <w:r w:rsidRPr="000B6417">
              <w:rPr>
                <w:lang w:eastAsia="en-AU"/>
              </w:rPr>
              <w:t>not</w:t>
            </w:r>
            <w:r w:rsidRPr="000B6417">
              <w:rPr>
                <w:spacing w:val="-3"/>
                <w:lang w:eastAsia="en-AU"/>
              </w:rPr>
              <w:t xml:space="preserve"> </w:t>
            </w:r>
            <w:r w:rsidRPr="000B6417">
              <w:rPr>
                <w:lang w:eastAsia="en-AU"/>
              </w:rPr>
              <w:t>interrupted,</w:t>
            </w:r>
            <w:r w:rsidRPr="000B6417">
              <w:rPr>
                <w:spacing w:val="-10"/>
                <w:lang w:eastAsia="en-AU"/>
              </w:rPr>
              <w:t xml:space="preserve"> </w:t>
            </w:r>
            <w:r w:rsidRPr="000B6417">
              <w:rPr>
                <w:lang w:eastAsia="en-AU"/>
              </w:rPr>
              <w:t>treatment</w:t>
            </w:r>
            <w:r w:rsidRPr="000B6417">
              <w:rPr>
                <w:spacing w:val="-8"/>
                <w:lang w:eastAsia="en-AU"/>
              </w:rPr>
              <w:t xml:space="preserve"> </w:t>
            </w:r>
            <w:r w:rsidRPr="000B6417">
              <w:rPr>
                <w:lang w:eastAsia="en-AU"/>
              </w:rPr>
              <w:t>required</w:t>
            </w:r>
          </w:p>
        </w:tc>
      </w:tr>
      <w:tr w:rsidR="00C8707C" w:rsidTr="00CF71CF">
        <w:tc>
          <w:tcPr>
            <w:cnfStyle w:val="001000000000" w:firstRow="0" w:lastRow="0" w:firstColumn="1" w:lastColumn="0" w:oddVBand="0" w:evenVBand="0" w:oddHBand="0" w:evenHBand="0" w:firstRowFirstColumn="0" w:firstRowLastColumn="0" w:lastRowFirstColumn="0" w:lastRowLastColumn="0"/>
            <w:tcW w:w="1809" w:type="dxa"/>
            <w:hideMark/>
          </w:tcPr>
          <w:p w:rsidR="00C8707C" w:rsidRPr="000B6417" w:rsidRDefault="00C8707C" w:rsidP="00CF71CF">
            <w:pPr>
              <w:rPr>
                <w:spacing w:val="1"/>
                <w:lang w:eastAsia="en-AU"/>
              </w:rPr>
            </w:pPr>
            <w:r w:rsidRPr="000B6417">
              <w:rPr>
                <w:spacing w:val="1"/>
                <w:lang w:eastAsia="en-AU"/>
              </w:rPr>
              <w:t xml:space="preserve">50 </w:t>
            </w:r>
            <w:r w:rsidRPr="000B6417">
              <w:rPr>
                <w:spacing w:val="-1"/>
                <w:lang w:eastAsia="en-AU"/>
              </w:rPr>
              <w:t>yea</w:t>
            </w:r>
            <w:r w:rsidRPr="000B6417">
              <w:rPr>
                <w:spacing w:val="1"/>
                <w:lang w:eastAsia="en-AU"/>
              </w:rPr>
              <w:t xml:space="preserve">r </w:t>
            </w:r>
            <w:r w:rsidRPr="000B6417">
              <w:rPr>
                <w:lang w:eastAsia="en-AU"/>
              </w:rPr>
              <w:t>old</w:t>
            </w:r>
            <w:r w:rsidRPr="000B6417">
              <w:rPr>
                <w:spacing w:val="-8"/>
                <w:lang w:eastAsia="en-AU"/>
              </w:rPr>
              <w:t xml:space="preserve"> W</w:t>
            </w:r>
            <w:r w:rsidRPr="000B6417">
              <w:rPr>
                <w:lang w:eastAsia="en-AU"/>
              </w:rPr>
              <w:t>hite</w:t>
            </w:r>
            <w:r w:rsidRPr="000B6417">
              <w:rPr>
                <w:spacing w:val="-5"/>
                <w:lang w:eastAsia="en-AU"/>
              </w:rPr>
              <w:t xml:space="preserve"> </w:t>
            </w:r>
            <w:r w:rsidRPr="000B6417">
              <w:rPr>
                <w:lang w:eastAsia="en-AU"/>
              </w:rPr>
              <w:t>male</w:t>
            </w:r>
          </w:p>
        </w:tc>
        <w:tc>
          <w:tcPr>
            <w:tcW w:w="2410"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Urinary</w:t>
            </w:r>
            <w:r w:rsidRPr="000B6417">
              <w:rPr>
                <w:spacing w:val="-5"/>
                <w:lang w:eastAsia="en-AU"/>
              </w:rPr>
              <w:t xml:space="preserve"> </w:t>
            </w:r>
            <w:r w:rsidRPr="000B6417">
              <w:rPr>
                <w:lang w:eastAsia="en-AU"/>
              </w:rPr>
              <w:t>Tract</w:t>
            </w:r>
            <w:r w:rsidRPr="000B6417">
              <w:rPr>
                <w:spacing w:val="-5"/>
                <w:lang w:eastAsia="en-AU"/>
              </w:rPr>
              <w:t xml:space="preserve"> </w:t>
            </w:r>
            <w:r w:rsidRPr="000B6417">
              <w:rPr>
                <w:lang w:eastAsia="en-AU"/>
              </w:rPr>
              <w:t>Infection/</w:t>
            </w:r>
            <w:r w:rsidRPr="000B6417">
              <w:rPr>
                <w:spacing w:val="1"/>
                <w:lang w:eastAsia="en-AU"/>
              </w:rPr>
              <w:t>Grad</w:t>
            </w:r>
            <w:r w:rsidRPr="000B6417">
              <w:rPr>
                <w:lang w:eastAsia="en-AU"/>
              </w:rPr>
              <w:t>e</w:t>
            </w:r>
            <w:r w:rsidRPr="000B6417">
              <w:rPr>
                <w:spacing w:val="-4"/>
                <w:lang w:eastAsia="en-AU"/>
              </w:rPr>
              <w:t xml:space="preserve"> </w:t>
            </w:r>
            <w:r w:rsidRPr="000B6417">
              <w:rPr>
                <w:lang w:eastAsia="en-AU"/>
              </w:rPr>
              <w:t>1</w:t>
            </w:r>
          </w:p>
        </w:tc>
        <w:tc>
          <w:tcPr>
            <w:tcW w:w="1418"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Not</w:t>
            </w:r>
            <w:r w:rsidRPr="000B6417">
              <w:rPr>
                <w:spacing w:val="-3"/>
                <w:lang w:eastAsia="en-AU"/>
              </w:rPr>
              <w:t xml:space="preserve"> </w:t>
            </w:r>
            <w:r w:rsidRPr="000B6417">
              <w:rPr>
                <w:lang w:eastAsia="en-AU"/>
              </w:rPr>
              <w:t>related</w:t>
            </w:r>
          </w:p>
        </w:tc>
        <w:tc>
          <w:tcPr>
            <w:tcW w:w="1842"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Onset</w:t>
            </w:r>
            <w:r w:rsidRPr="000B6417">
              <w:rPr>
                <w:lang w:eastAsia="en-AU"/>
              </w:rPr>
              <w:t>:</w:t>
            </w:r>
            <w:r w:rsidRPr="000B6417">
              <w:rPr>
                <w:spacing w:val="-4"/>
                <w:lang w:eastAsia="en-AU"/>
              </w:rPr>
              <w:t xml:space="preserve"> </w:t>
            </w:r>
            <w:r w:rsidRPr="000B6417">
              <w:rPr>
                <w:spacing w:val="1"/>
                <w:lang w:eastAsia="en-AU"/>
              </w:rPr>
              <w:t>O</w:t>
            </w:r>
            <w:r w:rsidRPr="000B6417">
              <w:rPr>
                <w:lang w:eastAsia="en-AU"/>
              </w:rPr>
              <w:t>T</w:t>
            </w:r>
            <w:r w:rsidRPr="000B6417">
              <w:rPr>
                <w:spacing w:val="-2"/>
                <w:lang w:eastAsia="en-AU"/>
              </w:rPr>
              <w:t xml:space="preserve"> </w:t>
            </w:r>
            <w:r w:rsidRPr="000B6417">
              <w:rPr>
                <w:spacing w:val="1"/>
                <w:lang w:eastAsia="en-AU"/>
              </w:rPr>
              <w:t>Wee</w:t>
            </w:r>
            <w:r w:rsidRPr="000B6417">
              <w:rPr>
                <w:lang w:eastAsia="en-AU"/>
              </w:rPr>
              <w:t>k</w:t>
            </w:r>
            <w:r w:rsidRPr="000B6417">
              <w:rPr>
                <w:spacing w:val="-4"/>
                <w:lang w:eastAsia="en-AU"/>
              </w:rPr>
              <w:t xml:space="preserve"> </w:t>
            </w:r>
            <w:r w:rsidRPr="000B6417">
              <w:rPr>
                <w:spacing w:val="1"/>
                <w:lang w:eastAsia="en-AU"/>
              </w:rPr>
              <w:t>32</w:t>
            </w:r>
          </w:p>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lang w:eastAsia="en-AU"/>
              </w:rPr>
              <w:t>Duration:</w:t>
            </w:r>
            <w:r w:rsidRPr="000B6417">
              <w:rPr>
                <w:spacing w:val="-8"/>
                <w:lang w:eastAsia="en-AU"/>
              </w:rPr>
              <w:t xml:space="preserve"> </w:t>
            </w:r>
            <w:r w:rsidRPr="000B6417">
              <w:rPr>
                <w:lang w:eastAsia="en-AU"/>
              </w:rPr>
              <w:t>2</w:t>
            </w:r>
            <w:r w:rsidRPr="000B6417">
              <w:rPr>
                <w:spacing w:val="-1"/>
                <w:lang w:eastAsia="en-AU"/>
              </w:rPr>
              <w:t xml:space="preserve"> </w:t>
            </w:r>
            <w:r w:rsidRPr="000B6417">
              <w:rPr>
                <w:lang w:eastAsia="en-AU"/>
              </w:rPr>
              <w:t>days</w:t>
            </w:r>
          </w:p>
        </w:tc>
        <w:tc>
          <w:tcPr>
            <w:tcW w:w="203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Study</w:t>
            </w:r>
            <w:r w:rsidRPr="000B6417">
              <w:rPr>
                <w:spacing w:val="-5"/>
                <w:lang w:eastAsia="en-AU"/>
              </w:rPr>
              <w:t xml:space="preserve"> </w:t>
            </w:r>
            <w:r w:rsidRPr="000B6417">
              <w:rPr>
                <w:lang w:eastAsia="en-AU"/>
              </w:rPr>
              <w:t>drug</w:t>
            </w:r>
            <w:r w:rsidRPr="000B6417">
              <w:rPr>
                <w:spacing w:val="-4"/>
                <w:lang w:eastAsia="en-AU"/>
              </w:rPr>
              <w:t xml:space="preserve"> </w:t>
            </w:r>
            <w:r w:rsidRPr="000B6417">
              <w:rPr>
                <w:lang w:eastAsia="en-AU"/>
              </w:rPr>
              <w:t>not</w:t>
            </w:r>
            <w:r w:rsidRPr="000B6417">
              <w:rPr>
                <w:spacing w:val="-3"/>
                <w:lang w:eastAsia="en-AU"/>
              </w:rPr>
              <w:t xml:space="preserve"> </w:t>
            </w:r>
            <w:r w:rsidRPr="000B6417">
              <w:rPr>
                <w:lang w:eastAsia="en-AU"/>
              </w:rPr>
              <w:t>interrupted,</w:t>
            </w:r>
            <w:r w:rsidRPr="000B6417">
              <w:rPr>
                <w:spacing w:val="-10"/>
                <w:lang w:eastAsia="en-AU"/>
              </w:rPr>
              <w:t xml:space="preserve"> </w:t>
            </w:r>
            <w:r w:rsidRPr="000B6417">
              <w:rPr>
                <w:lang w:eastAsia="en-AU"/>
              </w:rPr>
              <w:t>treatment</w:t>
            </w:r>
            <w:r w:rsidRPr="000B6417">
              <w:rPr>
                <w:spacing w:val="-8"/>
                <w:lang w:eastAsia="en-AU"/>
              </w:rPr>
              <w:t xml:space="preserve"> </w:t>
            </w:r>
            <w:r w:rsidRPr="000B6417">
              <w:rPr>
                <w:lang w:eastAsia="en-AU"/>
              </w:rPr>
              <w:t>required</w:t>
            </w:r>
          </w:p>
        </w:tc>
      </w:tr>
      <w:tr w:rsidR="00C8707C" w:rsidTr="00CF71CF">
        <w:tc>
          <w:tcPr>
            <w:cnfStyle w:val="001000000000" w:firstRow="0" w:lastRow="0" w:firstColumn="1" w:lastColumn="0" w:oddVBand="0" w:evenVBand="0" w:oddHBand="0" w:evenHBand="0" w:firstRowFirstColumn="0" w:firstRowLastColumn="0" w:lastRowFirstColumn="0" w:lastRowLastColumn="0"/>
            <w:tcW w:w="1809" w:type="dxa"/>
            <w:hideMark/>
          </w:tcPr>
          <w:p w:rsidR="00C8707C" w:rsidRPr="000B6417" w:rsidRDefault="00C8707C" w:rsidP="00CF71CF">
            <w:pPr>
              <w:rPr>
                <w:spacing w:val="1"/>
                <w:lang w:eastAsia="en-AU"/>
              </w:rPr>
            </w:pPr>
            <w:r w:rsidRPr="000B6417">
              <w:rPr>
                <w:spacing w:val="1"/>
                <w:lang w:eastAsia="en-AU"/>
              </w:rPr>
              <w:t>29 year old Egyptian male</w:t>
            </w:r>
          </w:p>
        </w:tc>
        <w:tc>
          <w:tcPr>
            <w:tcW w:w="2410"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position w:val="1"/>
                <w:lang w:eastAsia="en-AU"/>
              </w:rPr>
              <w:t>Suicide</w:t>
            </w:r>
            <w:r w:rsidRPr="000B6417">
              <w:rPr>
                <w:spacing w:val="-6"/>
                <w:position w:val="1"/>
                <w:lang w:eastAsia="en-AU"/>
              </w:rPr>
              <w:t xml:space="preserve"> </w:t>
            </w:r>
            <w:r w:rsidRPr="000B6417">
              <w:rPr>
                <w:position w:val="1"/>
                <w:lang w:eastAsia="en-AU"/>
              </w:rPr>
              <w:t>Attempt</w:t>
            </w:r>
            <w:r w:rsidRPr="000B6417">
              <w:rPr>
                <w:spacing w:val="44"/>
                <w:position w:val="1"/>
                <w:lang w:eastAsia="en-AU"/>
              </w:rPr>
              <w:t xml:space="preserve"> </w:t>
            </w:r>
            <w:r w:rsidRPr="000B6417">
              <w:rPr>
                <w:spacing w:val="44"/>
                <w:position w:val="1"/>
                <w:vertAlign w:val="superscript"/>
                <w:lang w:eastAsia="en-AU"/>
              </w:rPr>
              <w:t>b</w:t>
            </w:r>
            <w:r w:rsidRPr="000B6417">
              <w:rPr>
                <w:position w:val="1"/>
                <w:lang w:eastAsia="en-AU"/>
              </w:rPr>
              <w:t>/</w:t>
            </w:r>
            <w:r w:rsidRPr="000B6417">
              <w:rPr>
                <w:spacing w:val="1"/>
                <w:lang w:eastAsia="en-AU"/>
              </w:rPr>
              <w:t>Grad</w:t>
            </w:r>
            <w:r w:rsidRPr="000B6417">
              <w:rPr>
                <w:lang w:eastAsia="en-AU"/>
              </w:rPr>
              <w:t>e</w:t>
            </w:r>
            <w:r w:rsidRPr="000B6417">
              <w:rPr>
                <w:spacing w:val="-4"/>
                <w:lang w:eastAsia="en-AU"/>
              </w:rPr>
              <w:t xml:space="preserve"> </w:t>
            </w:r>
            <w:r w:rsidRPr="000B6417">
              <w:rPr>
                <w:lang w:eastAsia="en-AU"/>
              </w:rPr>
              <w:t>4</w:t>
            </w:r>
          </w:p>
        </w:tc>
        <w:tc>
          <w:tcPr>
            <w:tcW w:w="1418"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Related</w:t>
            </w:r>
          </w:p>
        </w:tc>
        <w:tc>
          <w:tcPr>
            <w:tcW w:w="1842"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Onset:</w:t>
            </w:r>
            <w:r w:rsidRPr="000B6417">
              <w:rPr>
                <w:spacing w:val="-4"/>
                <w:lang w:eastAsia="en-AU"/>
              </w:rPr>
              <w:t xml:space="preserve"> </w:t>
            </w:r>
            <w:r w:rsidRPr="000B6417">
              <w:rPr>
                <w:lang w:eastAsia="en-AU"/>
              </w:rPr>
              <w:t>OT</w:t>
            </w:r>
            <w:r w:rsidRPr="000B6417">
              <w:rPr>
                <w:spacing w:val="-2"/>
                <w:lang w:eastAsia="en-AU"/>
              </w:rPr>
              <w:t xml:space="preserve"> </w:t>
            </w:r>
            <w:r w:rsidRPr="000B6417">
              <w:rPr>
                <w:lang w:eastAsia="en-AU"/>
              </w:rPr>
              <w:t>Week</w:t>
            </w:r>
            <w:r w:rsidRPr="000B6417">
              <w:rPr>
                <w:spacing w:val="-4"/>
                <w:lang w:eastAsia="en-AU"/>
              </w:rPr>
              <w:t xml:space="preserve"> </w:t>
            </w:r>
            <w:r w:rsidRPr="000B6417">
              <w:rPr>
                <w:lang w:eastAsia="en-AU"/>
              </w:rPr>
              <w:t>4</w:t>
            </w:r>
          </w:p>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lang w:eastAsia="en-AU"/>
              </w:rPr>
              <w:t>Duration:</w:t>
            </w:r>
            <w:r w:rsidRPr="000B6417">
              <w:rPr>
                <w:spacing w:val="-8"/>
                <w:lang w:eastAsia="en-AU"/>
              </w:rPr>
              <w:t xml:space="preserve"> </w:t>
            </w:r>
            <w:r w:rsidRPr="000B6417">
              <w:rPr>
                <w:lang w:eastAsia="en-AU"/>
              </w:rPr>
              <w:t>6</w:t>
            </w:r>
            <w:r w:rsidRPr="000B6417">
              <w:rPr>
                <w:spacing w:val="-1"/>
                <w:lang w:eastAsia="en-AU"/>
              </w:rPr>
              <w:t xml:space="preserve"> </w:t>
            </w:r>
            <w:r w:rsidRPr="000B6417">
              <w:rPr>
                <w:lang w:eastAsia="en-AU"/>
              </w:rPr>
              <w:t>days</w:t>
            </w:r>
          </w:p>
        </w:tc>
        <w:tc>
          <w:tcPr>
            <w:tcW w:w="203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Study</w:t>
            </w:r>
            <w:r w:rsidRPr="000B6417">
              <w:rPr>
                <w:spacing w:val="-5"/>
                <w:lang w:eastAsia="en-AU"/>
              </w:rPr>
              <w:t xml:space="preserve"> </w:t>
            </w:r>
            <w:r w:rsidRPr="000B6417">
              <w:rPr>
                <w:lang w:eastAsia="en-AU"/>
              </w:rPr>
              <w:t>drug</w:t>
            </w:r>
            <w:r w:rsidRPr="000B6417">
              <w:rPr>
                <w:spacing w:val="-4"/>
                <w:lang w:eastAsia="en-AU"/>
              </w:rPr>
              <w:t xml:space="preserve"> </w:t>
            </w:r>
            <w:r w:rsidRPr="000B6417">
              <w:rPr>
                <w:lang w:eastAsia="en-AU"/>
              </w:rPr>
              <w:t>discontinued,</w:t>
            </w:r>
            <w:r w:rsidRPr="000B6417">
              <w:rPr>
                <w:spacing w:val="-11"/>
                <w:lang w:eastAsia="en-AU"/>
              </w:rPr>
              <w:t xml:space="preserve"> </w:t>
            </w:r>
            <w:r w:rsidRPr="000B6417">
              <w:rPr>
                <w:lang w:eastAsia="en-AU"/>
              </w:rPr>
              <w:t>treatment</w:t>
            </w:r>
            <w:r w:rsidRPr="000B6417">
              <w:rPr>
                <w:spacing w:val="-8"/>
                <w:lang w:eastAsia="en-AU"/>
              </w:rPr>
              <w:t xml:space="preserve"> </w:t>
            </w:r>
            <w:r w:rsidRPr="000B6417">
              <w:rPr>
                <w:lang w:eastAsia="en-AU"/>
              </w:rPr>
              <w:t>required</w:t>
            </w:r>
          </w:p>
        </w:tc>
      </w:tr>
      <w:tr w:rsidR="00C8707C" w:rsidTr="00CF71CF">
        <w:tc>
          <w:tcPr>
            <w:cnfStyle w:val="001000000000" w:firstRow="0" w:lastRow="0" w:firstColumn="1" w:lastColumn="0" w:oddVBand="0" w:evenVBand="0" w:oddHBand="0" w:evenHBand="0" w:firstRowFirstColumn="0" w:firstRowLastColumn="0" w:lastRowFirstColumn="0" w:lastRowLastColumn="0"/>
            <w:tcW w:w="1809" w:type="dxa"/>
            <w:hideMark/>
          </w:tcPr>
          <w:p w:rsidR="00C8707C" w:rsidRPr="000B6417" w:rsidRDefault="00C8707C" w:rsidP="00CF71CF">
            <w:pPr>
              <w:rPr>
                <w:spacing w:val="1"/>
                <w:lang w:eastAsia="en-AU"/>
              </w:rPr>
            </w:pPr>
            <w:r w:rsidRPr="000B6417">
              <w:rPr>
                <w:spacing w:val="1"/>
                <w:lang w:eastAsia="en-AU"/>
              </w:rPr>
              <w:t>63 year old White male</w:t>
            </w:r>
          </w:p>
        </w:tc>
        <w:tc>
          <w:tcPr>
            <w:tcW w:w="2410"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Dizziness/</w:t>
            </w:r>
            <w:r w:rsidRPr="000B6417">
              <w:rPr>
                <w:spacing w:val="1"/>
                <w:lang w:eastAsia="en-AU"/>
              </w:rPr>
              <w:t>Grad</w:t>
            </w:r>
            <w:r w:rsidRPr="000B6417">
              <w:rPr>
                <w:lang w:eastAsia="en-AU"/>
              </w:rPr>
              <w:t>e</w:t>
            </w:r>
            <w:r w:rsidRPr="000B6417">
              <w:rPr>
                <w:spacing w:val="-4"/>
                <w:lang w:eastAsia="en-AU"/>
              </w:rPr>
              <w:t xml:space="preserve"> </w:t>
            </w:r>
            <w:r w:rsidRPr="000B6417">
              <w:rPr>
                <w:lang w:eastAsia="en-AU"/>
              </w:rPr>
              <w:t>3</w:t>
            </w:r>
          </w:p>
        </w:tc>
        <w:tc>
          <w:tcPr>
            <w:tcW w:w="1418"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Not</w:t>
            </w:r>
            <w:r w:rsidRPr="000B6417">
              <w:rPr>
                <w:spacing w:val="-3"/>
                <w:lang w:eastAsia="en-AU"/>
              </w:rPr>
              <w:t xml:space="preserve"> </w:t>
            </w:r>
            <w:r w:rsidRPr="000B6417">
              <w:rPr>
                <w:lang w:eastAsia="en-AU"/>
              </w:rPr>
              <w:t>related</w:t>
            </w:r>
          </w:p>
        </w:tc>
        <w:tc>
          <w:tcPr>
            <w:tcW w:w="1842"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Onset:</w:t>
            </w:r>
            <w:r w:rsidRPr="000B6417">
              <w:rPr>
                <w:spacing w:val="-5"/>
                <w:lang w:eastAsia="en-AU"/>
              </w:rPr>
              <w:t xml:space="preserve"> </w:t>
            </w:r>
            <w:r w:rsidRPr="000B6417">
              <w:rPr>
                <w:spacing w:val="2"/>
                <w:lang w:eastAsia="en-AU"/>
              </w:rPr>
              <w:t>O</w:t>
            </w:r>
            <w:r w:rsidRPr="000B6417">
              <w:rPr>
                <w:lang w:eastAsia="en-AU"/>
              </w:rPr>
              <w:t>T</w:t>
            </w:r>
            <w:r w:rsidRPr="000B6417">
              <w:rPr>
                <w:spacing w:val="-1"/>
                <w:lang w:eastAsia="en-AU"/>
              </w:rPr>
              <w:t xml:space="preserve"> </w:t>
            </w:r>
            <w:r w:rsidRPr="000B6417">
              <w:rPr>
                <w:lang w:eastAsia="en-AU"/>
              </w:rPr>
              <w:t>Week</w:t>
            </w:r>
            <w:r w:rsidRPr="000B6417">
              <w:rPr>
                <w:spacing w:val="-4"/>
                <w:lang w:eastAsia="en-AU"/>
              </w:rPr>
              <w:t xml:space="preserve"> </w:t>
            </w:r>
            <w:r w:rsidRPr="000B6417">
              <w:rPr>
                <w:lang w:eastAsia="en-AU"/>
              </w:rPr>
              <w:t>6</w:t>
            </w:r>
          </w:p>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lang w:eastAsia="en-AU"/>
              </w:rPr>
              <w:t>Duration:</w:t>
            </w:r>
            <w:r w:rsidRPr="000B6417">
              <w:rPr>
                <w:spacing w:val="-8"/>
                <w:lang w:eastAsia="en-AU"/>
              </w:rPr>
              <w:t xml:space="preserve"> </w:t>
            </w:r>
            <w:r w:rsidRPr="000B6417">
              <w:rPr>
                <w:lang w:eastAsia="en-AU"/>
              </w:rPr>
              <w:t>4</w:t>
            </w:r>
            <w:r w:rsidRPr="000B6417">
              <w:rPr>
                <w:spacing w:val="1"/>
                <w:lang w:eastAsia="en-AU"/>
              </w:rPr>
              <w:t xml:space="preserve"> days</w:t>
            </w:r>
          </w:p>
        </w:tc>
        <w:tc>
          <w:tcPr>
            <w:tcW w:w="203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Study</w:t>
            </w:r>
            <w:r w:rsidRPr="000B6417">
              <w:rPr>
                <w:spacing w:val="-5"/>
                <w:lang w:eastAsia="en-AU"/>
              </w:rPr>
              <w:t xml:space="preserve"> </w:t>
            </w:r>
            <w:r w:rsidRPr="000B6417">
              <w:rPr>
                <w:lang w:eastAsia="en-AU"/>
              </w:rPr>
              <w:t>drug</w:t>
            </w:r>
            <w:r w:rsidRPr="000B6417">
              <w:rPr>
                <w:spacing w:val="-4"/>
                <w:lang w:eastAsia="en-AU"/>
              </w:rPr>
              <w:t xml:space="preserve"> </w:t>
            </w:r>
            <w:r w:rsidRPr="000B6417">
              <w:rPr>
                <w:lang w:eastAsia="en-AU"/>
              </w:rPr>
              <w:t>not</w:t>
            </w:r>
            <w:r w:rsidRPr="000B6417">
              <w:rPr>
                <w:spacing w:val="-3"/>
                <w:lang w:eastAsia="en-AU"/>
              </w:rPr>
              <w:t xml:space="preserve"> </w:t>
            </w:r>
            <w:r w:rsidRPr="000B6417">
              <w:rPr>
                <w:lang w:eastAsia="en-AU"/>
              </w:rPr>
              <w:t>interrupted,</w:t>
            </w:r>
            <w:r w:rsidRPr="000B6417">
              <w:rPr>
                <w:spacing w:val="-10"/>
                <w:lang w:eastAsia="en-AU"/>
              </w:rPr>
              <w:t xml:space="preserve"> </w:t>
            </w:r>
            <w:r w:rsidRPr="000B6417">
              <w:rPr>
                <w:lang w:eastAsia="en-AU"/>
              </w:rPr>
              <w:t>treatment</w:t>
            </w:r>
            <w:r w:rsidRPr="000B6417">
              <w:rPr>
                <w:spacing w:val="-8"/>
                <w:lang w:eastAsia="en-AU"/>
              </w:rPr>
              <w:t xml:space="preserve"> </w:t>
            </w:r>
            <w:r w:rsidRPr="000B6417">
              <w:rPr>
                <w:lang w:eastAsia="en-AU"/>
              </w:rPr>
              <w:t>required</w:t>
            </w:r>
          </w:p>
        </w:tc>
      </w:tr>
      <w:tr w:rsidR="00C8707C" w:rsidTr="00CF71CF">
        <w:tc>
          <w:tcPr>
            <w:cnfStyle w:val="001000000000" w:firstRow="0" w:lastRow="0" w:firstColumn="1" w:lastColumn="0" w:oddVBand="0" w:evenVBand="0" w:oddHBand="0" w:evenHBand="0" w:firstRowFirstColumn="0" w:firstRowLastColumn="0" w:lastRowFirstColumn="0" w:lastRowLastColumn="0"/>
            <w:tcW w:w="1809" w:type="dxa"/>
            <w:hideMark/>
          </w:tcPr>
          <w:p w:rsidR="00C8707C" w:rsidRPr="000B6417" w:rsidRDefault="00C8707C" w:rsidP="00CF71CF">
            <w:pPr>
              <w:rPr>
                <w:spacing w:val="1"/>
                <w:lang w:eastAsia="en-AU"/>
              </w:rPr>
            </w:pPr>
            <w:r w:rsidRPr="000B6417">
              <w:rPr>
                <w:spacing w:val="1"/>
                <w:lang w:eastAsia="en-AU"/>
              </w:rPr>
              <w:t>53 year old White female</w:t>
            </w:r>
          </w:p>
        </w:tc>
        <w:tc>
          <w:tcPr>
            <w:tcW w:w="2410"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Gastritis/</w:t>
            </w:r>
            <w:r w:rsidRPr="000B6417">
              <w:rPr>
                <w:spacing w:val="1"/>
                <w:lang w:eastAsia="en-AU"/>
              </w:rPr>
              <w:t>Grad</w:t>
            </w:r>
            <w:r w:rsidRPr="000B6417">
              <w:rPr>
                <w:lang w:eastAsia="en-AU"/>
              </w:rPr>
              <w:t>e</w:t>
            </w:r>
            <w:r w:rsidRPr="000B6417">
              <w:rPr>
                <w:spacing w:val="-4"/>
                <w:lang w:eastAsia="en-AU"/>
              </w:rPr>
              <w:t xml:space="preserve"> </w:t>
            </w:r>
            <w:r w:rsidRPr="000B6417">
              <w:rPr>
                <w:lang w:eastAsia="en-AU"/>
              </w:rPr>
              <w:t>2</w:t>
            </w:r>
          </w:p>
        </w:tc>
        <w:tc>
          <w:tcPr>
            <w:tcW w:w="1418"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Not</w:t>
            </w:r>
            <w:r w:rsidRPr="000B6417">
              <w:rPr>
                <w:spacing w:val="-3"/>
                <w:lang w:eastAsia="en-AU"/>
              </w:rPr>
              <w:t xml:space="preserve"> </w:t>
            </w:r>
            <w:r w:rsidRPr="000B6417">
              <w:rPr>
                <w:lang w:eastAsia="en-AU"/>
              </w:rPr>
              <w:t>related</w:t>
            </w:r>
          </w:p>
        </w:tc>
        <w:tc>
          <w:tcPr>
            <w:tcW w:w="1842"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Onset</w:t>
            </w:r>
            <w:r w:rsidRPr="000B6417">
              <w:rPr>
                <w:lang w:eastAsia="en-AU"/>
              </w:rPr>
              <w:t>:</w:t>
            </w:r>
            <w:r w:rsidRPr="000B6417">
              <w:rPr>
                <w:spacing w:val="-4"/>
                <w:lang w:eastAsia="en-AU"/>
              </w:rPr>
              <w:t xml:space="preserve"> </w:t>
            </w:r>
            <w:r w:rsidRPr="000B6417">
              <w:rPr>
                <w:spacing w:val="1"/>
                <w:lang w:eastAsia="en-AU"/>
              </w:rPr>
              <w:t>O</w:t>
            </w:r>
            <w:r w:rsidRPr="000B6417">
              <w:rPr>
                <w:lang w:eastAsia="en-AU"/>
              </w:rPr>
              <w:t>T</w:t>
            </w:r>
            <w:r w:rsidRPr="000B6417">
              <w:rPr>
                <w:spacing w:val="-2"/>
                <w:lang w:eastAsia="en-AU"/>
              </w:rPr>
              <w:t xml:space="preserve"> </w:t>
            </w:r>
            <w:r w:rsidRPr="000B6417">
              <w:rPr>
                <w:spacing w:val="1"/>
                <w:lang w:eastAsia="en-AU"/>
              </w:rPr>
              <w:t>Wee</w:t>
            </w:r>
            <w:r w:rsidRPr="000B6417">
              <w:rPr>
                <w:lang w:eastAsia="en-AU"/>
              </w:rPr>
              <w:t>k</w:t>
            </w:r>
            <w:r w:rsidRPr="000B6417">
              <w:rPr>
                <w:spacing w:val="-4"/>
                <w:lang w:eastAsia="en-AU"/>
              </w:rPr>
              <w:t xml:space="preserve"> </w:t>
            </w:r>
            <w:r w:rsidRPr="000B6417">
              <w:rPr>
                <w:spacing w:val="1"/>
                <w:lang w:eastAsia="en-AU"/>
              </w:rPr>
              <w:t>16</w:t>
            </w:r>
          </w:p>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lang w:eastAsia="en-AU"/>
              </w:rPr>
              <w:t>Duration:</w:t>
            </w:r>
            <w:r w:rsidRPr="000B6417">
              <w:rPr>
                <w:spacing w:val="-8"/>
                <w:lang w:eastAsia="en-AU"/>
              </w:rPr>
              <w:t xml:space="preserve"> </w:t>
            </w:r>
            <w:r w:rsidRPr="000B6417">
              <w:rPr>
                <w:lang w:eastAsia="en-AU"/>
              </w:rPr>
              <w:t>18.7</w:t>
            </w:r>
            <w:r w:rsidRPr="000B6417">
              <w:rPr>
                <w:spacing w:val="-3"/>
                <w:lang w:eastAsia="en-AU"/>
              </w:rPr>
              <w:t xml:space="preserve"> </w:t>
            </w:r>
            <w:r w:rsidRPr="000B6417">
              <w:rPr>
                <w:lang w:eastAsia="en-AU"/>
              </w:rPr>
              <w:t>hours</w:t>
            </w:r>
          </w:p>
        </w:tc>
        <w:tc>
          <w:tcPr>
            <w:tcW w:w="203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Study</w:t>
            </w:r>
            <w:r w:rsidRPr="000B6417">
              <w:rPr>
                <w:spacing w:val="-5"/>
                <w:lang w:eastAsia="en-AU"/>
              </w:rPr>
              <w:t xml:space="preserve"> </w:t>
            </w:r>
            <w:r w:rsidRPr="000B6417">
              <w:rPr>
                <w:lang w:eastAsia="en-AU"/>
              </w:rPr>
              <w:t>drug</w:t>
            </w:r>
            <w:r w:rsidRPr="000B6417">
              <w:rPr>
                <w:spacing w:val="-4"/>
                <w:lang w:eastAsia="en-AU"/>
              </w:rPr>
              <w:t xml:space="preserve"> </w:t>
            </w:r>
            <w:r w:rsidRPr="000B6417">
              <w:rPr>
                <w:lang w:eastAsia="en-AU"/>
              </w:rPr>
              <w:t>not</w:t>
            </w:r>
            <w:r w:rsidRPr="000B6417">
              <w:rPr>
                <w:spacing w:val="-3"/>
                <w:lang w:eastAsia="en-AU"/>
              </w:rPr>
              <w:t xml:space="preserve"> </w:t>
            </w:r>
            <w:r w:rsidRPr="000B6417">
              <w:rPr>
                <w:lang w:eastAsia="en-AU"/>
              </w:rPr>
              <w:t>interrupte</w:t>
            </w:r>
            <w:r w:rsidRPr="000B6417">
              <w:rPr>
                <w:spacing w:val="1"/>
                <w:lang w:eastAsia="en-AU"/>
              </w:rPr>
              <w:t>d,</w:t>
            </w:r>
            <w:r w:rsidRPr="000B6417">
              <w:rPr>
                <w:spacing w:val="-9"/>
                <w:lang w:eastAsia="en-AU"/>
              </w:rPr>
              <w:t xml:space="preserve"> </w:t>
            </w:r>
            <w:r w:rsidRPr="000B6417">
              <w:rPr>
                <w:lang w:eastAsia="en-AU"/>
              </w:rPr>
              <w:t>treatment</w:t>
            </w:r>
            <w:r w:rsidRPr="000B6417">
              <w:rPr>
                <w:spacing w:val="-8"/>
                <w:lang w:eastAsia="en-AU"/>
              </w:rPr>
              <w:t xml:space="preserve"> </w:t>
            </w:r>
            <w:r w:rsidRPr="000B6417">
              <w:rPr>
                <w:lang w:eastAsia="en-AU"/>
              </w:rPr>
              <w:t>required</w:t>
            </w:r>
          </w:p>
        </w:tc>
      </w:tr>
      <w:tr w:rsidR="00C8707C" w:rsidTr="00CF71CF">
        <w:tc>
          <w:tcPr>
            <w:cnfStyle w:val="001000000000" w:firstRow="0" w:lastRow="0" w:firstColumn="1" w:lastColumn="0" w:oddVBand="0" w:evenVBand="0" w:oddHBand="0" w:evenHBand="0" w:firstRowFirstColumn="0" w:firstRowLastColumn="0" w:lastRowFirstColumn="0" w:lastRowLastColumn="0"/>
            <w:tcW w:w="1809" w:type="dxa"/>
            <w:hideMark/>
          </w:tcPr>
          <w:p w:rsidR="00C8707C" w:rsidRPr="000B6417" w:rsidRDefault="00C8707C" w:rsidP="00CF71CF">
            <w:pPr>
              <w:rPr>
                <w:spacing w:val="1"/>
                <w:lang w:eastAsia="en-AU"/>
              </w:rPr>
            </w:pPr>
            <w:r w:rsidRPr="000B6417">
              <w:rPr>
                <w:spacing w:val="1"/>
                <w:lang w:eastAsia="en-AU"/>
              </w:rPr>
              <w:t xml:space="preserve">55 year old White </w:t>
            </w:r>
            <w:r w:rsidRPr="000B6417">
              <w:rPr>
                <w:spacing w:val="1"/>
                <w:lang w:eastAsia="en-AU"/>
              </w:rPr>
              <w:lastRenderedPageBreak/>
              <w:t>female</w:t>
            </w:r>
          </w:p>
        </w:tc>
        <w:tc>
          <w:tcPr>
            <w:tcW w:w="2410"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lastRenderedPageBreak/>
              <w:t>Sepsis/</w:t>
            </w:r>
            <w:r w:rsidRPr="000B6417">
              <w:rPr>
                <w:spacing w:val="1"/>
                <w:lang w:eastAsia="en-AU"/>
              </w:rPr>
              <w:t>Grad</w:t>
            </w:r>
            <w:r w:rsidRPr="000B6417">
              <w:rPr>
                <w:lang w:eastAsia="en-AU"/>
              </w:rPr>
              <w:t>e</w:t>
            </w:r>
            <w:r w:rsidRPr="000B6417">
              <w:rPr>
                <w:spacing w:val="-4"/>
                <w:lang w:eastAsia="en-AU"/>
              </w:rPr>
              <w:t xml:space="preserve"> </w:t>
            </w:r>
            <w:r w:rsidRPr="000B6417">
              <w:rPr>
                <w:lang w:eastAsia="en-AU"/>
              </w:rPr>
              <w:t>4</w:t>
            </w:r>
            <w:r w:rsidR="00CF71CF">
              <w:rPr>
                <w:lang w:eastAsia="en-AU"/>
              </w:rPr>
              <w:t xml:space="preserve"> </w:t>
            </w:r>
            <w:r w:rsidRPr="000B6417">
              <w:rPr>
                <w:lang w:eastAsia="en-AU"/>
              </w:rPr>
              <w:t>Septic</w:t>
            </w:r>
            <w:r w:rsidRPr="000B6417">
              <w:rPr>
                <w:spacing w:val="-5"/>
                <w:lang w:eastAsia="en-AU"/>
              </w:rPr>
              <w:t xml:space="preserve"> </w:t>
            </w:r>
            <w:r w:rsidRPr="000B6417">
              <w:rPr>
                <w:lang w:eastAsia="en-AU"/>
              </w:rPr>
              <w:t>Shock/</w:t>
            </w:r>
            <w:r w:rsidRPr="000B6417">
              <w:rPr>
                <w:spacing w:val="1"/>
                <w:lang w:eastAsia="en-AU"/>
              </w:rPr>
              <w:t>Grad</w:t>
            </w:r>
            <w:r w:rsidRPr="000B6417">
              <w:rPr>
                <w:lang w:eastAsia="en-AU"/>
              </w:rPr>
              <w:t>e</w:t>
            </w:r>
            <w:r w:rsidRPr="000B6417">
              <w:rPr>
                <w:spacing w:val="-4"/>
                <w:lang w:eastAsia="en-AU"/>
              </w:rPr>
              <w:t xml:space="preserve"> </w:t>
            </w:r>
            <w:r w:rsidRPr="000B6417">
              <w:rPr>
                <w:lang w:eastAsia="en-AU"/>
              </w:rPr>
              <w:lastRenderedPageBreak/>
              <w:t>4</w:t>
            </w:r>
          </w:p>
        </w:tc>
        <w:tc>
          <w:tcPr>
            <w:tcW w:w="1418"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lastRenderedPageBreak/>
              <w:t>Not</w:t>
            </w:r>
            <w:r w:rsidRPr="000B6417">
              <w:rPr>
                <w:spacing w:val="-3"/>
                <w:lang w:eastAsia="en-AU"/>
              </w:rPr>
              <w:t xml:space="preserve"> </w:t>
            </w:r>
            <w:r w:rsidRPr="000B6417">
              <w:rPr>
                <w:lang w:eastAsia="en-AU"/>
              </w:rPr>
              <w:lastRenderedPageBreak/>
              <w:t>related</w:t>
            </w:r>
          </w:p>
        </w:tc>
        <w:tc>
          <w:tcPr>
            <w:tcW w:w="1842"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lastRenderedPageBreak/>
              <w:t>Onset</w:t>
            </w:r>
            <w:r w:rsidRPr="000B6417">
              <w:rPr>
                <w:lang w:eastAsia="en-AU"/>
              </w:rPr>
              <w:t>:</w:t>
            </w:r>
            <w:r w:rsidRPr="000B6417">
              <w:rPr>
                <w:spacing w:val="-4"/>
                <w:lang w:eastAsia="en-AU"/>
              </w:rPr>
              <w:t xml:space="preserve"> </w:t>
            </w:r>
            <w:r w:rsidRPr="000B6417">
              <w:rPr>
                <w:spacing w:val="1"/>
                <w:lang w:eastAsia="en-AU"/>
              </w:rPr>
              <w:t>O</w:t>
            </w:r>
            <w:r w:rsidRPr="000B6417">
              <w:rPr>
                <w:lang w:eastAsia="en-AU"/>
              </w:rPr>
              <w:t>T</w:t>
            </w:r>
            <w:r w:rsidRPr="000B6417">
              <w:rPr>
                <w:spacing w:val="-2"/>
                <w:lang w:eastAsia="en-AU"/>
              </w:rPr>
              <w:t xml:space="preserve"> </w:t>
            </w:r>
            <w:r w:rsidRPr="000B6417">
              <w:rPr>
                <w:spacing w:val="1"/>
                <w:lang w:eastAsia="en-AU"/>
              </w:rPr>
              <w:lastRenderedPageBreak/>
              <w:t>Wee</w:t>
            </w:r>
            <w:r w:rsidRPr="000B6417">
              <w:rPr>
                <w:lang w:eastAsia="en-AU"/>
              </w:rPr>
              <w:t>k</w:t>
            </w:r>
            <w:r w:rsidRPr="000B6417">
              <w:rPr>
                <w:spacing w:val="-4"/>
                <w:lang w:eastAsia="en-AU"/>
              </w:rPr>
              <w:t xml:space="preserve"> </w:t>
            </w:r>
            <w:r w:rsidRPr="000B6417">
              <w:rPr>
                <w:spacing w:val="1"/>
                <w:lang w:eastAsia="en-AU"/>
              </w:rPr>
              <w:t>24</w:t>
            </w:r>
          </w:p>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lang w:eastAsia="en-AU"/>
              </w:rPr>
              <w:t>Duration:</w:t>
            </w:r>
            <w:r w:rsidRPr="000B6417">
              <w:rPr>
                <w:spacing w:val="-8"/>
                <w:lang w:eastAsia="en-AU"/>
              </w:rPr>
              <w:t xml:space="preserve"> </w:t>
            </w:r>
            <w:r w:rsidRPr="000B6417">
              <w:rPr>
                <w:lang w:eastAsia="en-AU"/>
              </w:rPr>
              <w:t>5</w:t>
            </w:r>
            <w:r w:rsidRPr="000B6417">
              <w:rPr>
                <w:spacing w:val="-1"/>
                <w:lang w:eastAsia="en-AU"/>
              </w:rPr>
              <w:t xml:space="preserve"> </w:t>
            </w:r>
            <w:r w:rsidRPr="000B6417">
              <w:rPr>
                <w:lang w:eastAsia="en-AU"/>
              </w:rPr>
              <w:t>days</w:t>
            </w:r>
          </w:p>
        </w:tc>
        <w:tc>
          <w:tcPr>
            <w:tcW w:w="203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lastRenderedPageBreak/>
              <w:t>Study</w:t>
            </w:r>
            <w:r w:rsidRPr="000B6417">
              <w:rPr>
                <w:spacing w:val="-5"/>
                <w:lang w:eastAsia="en-AU"/>
              </w:rPr>
              <w:t xml:space="preserve"> </w:t>
            </w:r>
            <w:r w:rsidRPr="000B6417">
              <w:rPr>
                <w:lang w:eastAsia="en-AU"/>
              </w:rPr>
              <w:t>drug</w:t>
            </w:r>
            <w:r w:rsidRPr="000B6417">
              <w:rPr>
                <w:spacing w:val="-4"/>
                <w:lang w:eastAsia="en-AU"/>
              </w:rPr>
              <w:t xml:space="preserve"> </w:t>
            </w:r>
            <w:r w:rsidRPr="000B6417">
              <w:rPr>
                <w:lang w:eastAsia="en-AU"/>
              </w:rPr>
              <w:t>interrupted,</w:t>
            </w:r>
            <w:r w:rsidRPr="000B6417">
              <w:rPr>
                <w:spacing w:val="-10"/>
                <w:lang w:eastAsia="en-AU"/>
              </w:rPr>
              <w:t xml:space="preserve"> </w:t>
            </w:r>
            <w:r w:rsidRPr="000B6417">
              <w:rPr>
                <w:lang w:eastAsia="en-AU"/>
              </w:rPr>
              <w:lastRenderedPageBreak/>
              <w:t>treatment</w:t>
            </w:r>
            <w:r w:rsidRPr="000B6417">
              <w:rPr>
                <w:spacing w:val="-8"/>
                <w:lang w:eastAsia="en-AU"/>
              </w:rPr>
              <w:t xml:space="preserve"> </w:t>
            </w:r>
            <w:r w:rsidRPr="000B6417">
              <w:rPr>
                <w:lang w:eastAsia="en-AU"/>
              </w:rPr>
              <w:t>required</w:t>
            </w:r>
          </w:p>
        </w:tc>
      </w:tr>
      <w:tr w:rsidR="00C8707C" w:rsidTr="00CF71CF">
        <w:tc>
          <w:tcPr>
            <w:cnfStyle w:val="001000000000" w:firstRow="0" w:lastRow="0" w:firstColumn="1" w:lastColumn="0" w:oddVBand="0" w:evenVBand="0" w:oddHBand="0" w:evenHBand="0" w:firstRowFirstColumn="0" w:firstRowLastColumn="0" w:lastRowFirstColumn="0" w:lastRowLastColumn="0"/>
            <w:tcW w:w="1809" w:type="dxa"/>
            <w:hideMark/>
          </w:tcPr>
          <w:p w:rsidR="00C8707C" w:rsidRPr="000B6417" w:rsidRDefault="00C8707C" w:rsidP="00CF71CF">
            <w:pPr>
              <w:rPr>
                <w:spacing w:val="1"/>
                <w:lang w:eastAsia="en-AU"/>
              </w:rPr>
            </w:pPr>
            <w:r w:rsidRPr="000B6417">
              <w:rPr>
                <w:spacing w:val="1"/>
                <w:lang w:eastAsia="en-AU"/>
              </w:rPr>
              <w:lastRenderedPageBreak/>
              <w:t>53 year old White female</w:t>
            </w:r>
          </w:p>
        </w:tc>
        <w:tc>
          <w:tcPr>
            <w:tcW w:w="2410"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proofErr w:type="spellStart"/>
            <w:r w:rsidRPr="000B6417">
              <w:rPr>
                <w:spacing w:val="3"/>
                <w:position w:val="1"/>
                <w:lang w:eastAsia="en-AU"/>
              </w:rPr>
              <w:t>H</w:t>
            </w:r>
            <w:r w:rsidRPr="000B6417">
              <w:rPr>
                <w:spacing w:val="-4"/>
                <w:position w:val="1"/>
                <w:lang w:eastAsia="en-AU"/>
              </w:rPr>
              <w:t>y</w:t>
            </w:r>
            <w:r w:rsidRPr="000B6417">
              <w:rPr>
                <w:position w:val="1"/>
                <w:lang w:eastAsia="en-AU"/>
              </w:rPr>
              <w:t>perbilirubinaemia</w:t>
            </w:r>
            <w:proofErr w:type="spellEnd"/>
            <w:r w:rsidRPr="000B6417">
              <w:rPr>
                <w:position w:val="1"/>
                <w:lang w:eastAsia="en-AU"/>
              </w:rPr>
              <w:t xml:space="preserve"> </w:t>
            </w:r>
            <w:r w:rsidRPr="000B6417">
              <w:rPr>
                <w:position w:val="1"/>
                <w:vertAlign w:val="superscript"/>
                <w:lang w:eastAsia="en-AU"/>
              </w:rPr>
              <w:t>b</w:t>
            </w:r>
            <w:r w:rsidRPr="000B6417">
              <w:rPr>
                <w:position w:val="1"/>
                <w:lang w:eastAsia="en-AU"/>
              </w:rPr>
              <w:t>/</w:t>
            </w:r>
            <w:r w:rsidRPr="000B6417">
              <w:rPr>
                <w:lang w:eastAsia="en-AU"/>
              </w:rPr>
              <w:t xml:space="preserve"> </w:t>
            </w:r>
            <w:r w:rsidRPr="000B6417">
              <w:rPr>
                <w:spacing w:val="1"/>
                <w:lang w:eastAsia="en-AU"/>
              </w:rPr>
              <w:t>Grad</w:t>
            </w:r>
            <w:r w:rsidRPr="000B6417">
              <w:rPr>
                <w:lang w:eastAsia="en-AU"/>
              </w:rPr>
              <w:t>e</w:t>
            </w:r>
            <w:r w:rsidRPr="000B6417">
              <w:rPr>
                <w:spacing w:val="-4"/>
                <w:lang w:eastAsia="en-AU"/>
              </w:rPr>
              <w:t xml:space="preserve"> </w:t>
            </w:r>
            <w:r w:rsidRPr="000B6417">
              <w:rPr>
                <w:lang w:eastAsia="en-AU"/>
              </w:rPr>
              <w:t>3</w:t>
            </w:r>
          </w:p>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position w:val="1"/>
                <w:lang w:eastAsia="en-AU"/>
              </w:rPr>
              <w:t xml:space="preserve">ALT Increased </w:t>
            </w:r>
            <w:r w:rsidRPr="000B6417">
              <w:rPr>
                <w:position w:val="1"/>
                <w:vertAlign w:val="superscript"/>
                <w:lang w:eastAsia="en-AU"/>
              </w:rPr>
              <w:t>b</w:t>
            </w:r>
            <w:r w:rsidRPr="000B6417">
              <w:rPr>
                <w:position w:val="1"/>
                <w:lang w:eastAsia="en-AU"/>
              </w:rPr>
              <w:t>/Grade 3</w:t>
            </w:r>
          </w:p>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position w:val="1"/>
                <w:lang w:eastAsia="en-AU"/>
              </w:rPr>
              <w:t>AST Increased</w:t>
            </w:r>
            <w:r w:rsidRPr="000B6417">
              <w:rPr>
                <w:spacing w:val="42"/>
                <w:position w:val="1"/>
                <w:lang w:eastAsia="en-AU"/>
              </w:rPr>
              <w:t xml:space="preserve"> </w:t>
            </w:r>
            <w:r w:rsidRPr="000B6417">
              <w:rPr>
                <w:spacing w:val="42"/>
                <w:position w:val="1"/>
                <w:vertAlign w:val="superscript"/>
                <w:lang w:eastAsia="en-AU"/>
              </w:rPr>
              <w:t>b</w:t>
            </w:r>
            <w:r w:rsidRPr="000B6417">
              <w:rPr>
                <w:position w:val="1"/>
                <w:lang w:eastAsia="en-AU"/>
              </w:rPr>
              <w:t>/</w:t>
            </w:r>
            <w:r w:rsidRPr="000B6417">
              <w:rPr>
                <w:spacing w:val="1"/>
                <w:lang w:eastAsia="en-AU"/>
              </w:rPr>
              <w:t>Grad</w:t>
            </w:r>
            <w:r w:rsidRPr="000B6417">
              <w:rPr>
                <w:lang w:eastAsia="en-AU"/>
              </w:rPr>
              <w:t>e</w:t>
            </w:r>
            <w:r w:rsidRPr="000B6417">
              <w:rPr>
                <w:spacing w:val="-4"/>
                <w:lang w:eastAsia="en-AU"/>
              </w:rPr>
              <w:t xml:space="preserve"> </w:t>
            </w:r>
            <w:r w:rsidRPr="000B6417">
              <w:rPr>
                <w:lang w:eastAsia="en-AU"/>
              </w:rPr>
              <w:t>4</w:t>
            </w:r>
          </w:p>
        </w:tc>
        <w:tc>
          <w:tcPr>
            <w:tcW w:w="1418"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Related</w:t>
            </w:r>
          </w:p>
        </w:tc>
        <w:tc>
          <w:tcPr>
            <w:tcW w:w="1842"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Onset</w:t>
            </w:r>
            <w:r w:rsidRPr="000B6417">
              <w:rPr>
                <w:lang w:eastAsia="en-AU"/>
              </w:rPr>
              <w:t>:</w:t>
            </w:r>
            <w:r w:rsidRPr="000B6417">
              <w:rPr>
                <w:spacing w:val="-4"/>
                <w:lang w:eastAsia="en-AU"/>
              </w:rPr>
              <w:t xml:space="preserve"> </w:t>
            </w:r>
            <w:r w:rsidRPr="000B6417">
              <w:rPr>
                <w:spacing w:val="1"/>
                <w:lang w:eastAsia="en-AU"/>
              </w:rPr>
              <w:t>O</w:t>
            </w:r>
            <w:r w:rsidRPr="000B6417">
              <w:rPr>
                <w:lang w:eastAsia="en-AU"/>
              </w:rPr>
              <w:t>T</w:t>
            </w:r>
            <w:r w:rsidRPr="000B6417">
              <w:rPr>
                <w:spacing w:val="-2"/>
                <w:lang w:eastAsia="en-AU"/>
              </w:rPr>
              <w:t xml:space="preserve"> </w:t>
            </w:r>
            <w:r w:rsidRPr="000B6417">
              <w:rPr>
                <w:spacing w:val="1"/>
                <w:lang w:eastAsia="en-AU"/>
              </w:rPr>
              <w:t>Wee</w:t>
            </w:r>
            <w:r w:rsidRPr="000B6417">
              <w:rPr>
                <w:lang w:eastAsia="en-AU"/>
              </w:rPr>
              <w:t>k</w:t>
            </w:r>
            <w:r w:rsidRPr="000B6417">
              <w:rPr>
                <w:spacing w:val="-4"/>
                <w:lang w:eastAsia="en-AU"/>
              </w:rPr>
              <w:t xml:space="preserve"> </w:t>
            </w:r>
            <w:r w:rsidRPr="000B6417">
              <w:rPr>
                <w:spacing w:val="1"/>
                <w:lang w:eastAsia="en-AU"/>
              </w:rPr>
              <w:t>10</w:t>
            </w:r>
          </w:p>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lang w:eastAsia="en-AU"/>
              </w:rPr>
              <w:t>Duration:</w:t>
            </w:r>
            <w:r w:rsidRPr="000B6417">
              <w:rPr>
                <w:spacing w:val="-8"/>
                <w:lang w:eastAsia="en-AU"/>
              </w:rPr>
              <w:t xml:space="preserve"> </w:t>
            </w:r>
            <w:r w:rsidRPr="000B6417">
              <w:rPr>
                <w:lang w:eastAsia="en-AU"/>
              </w:rPr>
              <w:t>4</w:t>
            </w:r>
            <w:r w:rsidRPr="000B6417">
              <w:rPr>
                <w:spacing w:val="-1"/>
                <w:lang w:eastAsia="en-AU"/>
              </w:rPr>
              <w:t xml:space="preserve"> </w:t>
            </w:r>
            <w:r w:rsidRPr="000B6417">
              <w:rPr>
                <w:lang w:eastAsia="en-AU"/>
              </w:rPr>
              <w:t>days</w:t>
            </w:r>
          </w:p>
        </w:tc>
        <w:tc>
          <w:tcPr>
            <w:tcW w:w="203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Study</w:t>
            </w:r>
            <w:r w:rsidRPr="000B6417">
              <w:rPr>
                <w:spacing w:val="-5"/>
                <w:lang w:eastAsia="en-AU"/>
              </w:rPr>
              <w:t xml:space="preserve"> </w:t>
            </w:r>
            <w:r w:rsidRPr="000B6417">
              <w:rPr>
                <w:lang w:eastAsia="en-AU"/>
              </w:rPr>
              <w:t>drug</w:t>
            </w:r>
            <w:r w:rsidRPr="000B6417">
              <w:rPr>
                <w:spacing w:val="-3"/>
                <w:lang w:eastAsia="en-AU"/>
              </w:rPr>
              <w:t xml:space="preserve"> </w:t>
            </w:r>
            <w:r w:rsidRPr="000B6417">
              <w:rPr>
                <w:lang w:eastAsia="en-AU"/>
              </w:rPr>
              <w:t>discontinued,</w:t>
            </w:r>
            <w:r w:rsidRPr="000B6417">
              <w:rPr>
                <w:spacing w:val="-11"/>
                <w:lang w:eastAsia="en-AU"/>
              </w:rPr>
              <w:t xml:space="preserve"> </w:t>
            </w:r>
            <w:r w:rsidRPr="000B6417">
              <w:rPr>
                <w:lang w:eastAsia="en-AU"/>
              </w:rPr>
              <w:t>treatment</w:t>
            </w:r>
            <w:r w:rsidRPr="000B6417">
              <w:rPr>
                <w:spacing w:val="-8"/>
                <w:lang w:eastAsia="en-AU"/>
              </w:rPr>
              <w:t xml:space="preserve"> </w:t>
            </w:r>
            <w:r w:rsidRPr="000B6417">
              <w:rPr>
                <w:lang w:eastAsia="en-AU"/>
              </w:rPr>
              <w:t>not</w:t>
            </w:r>
            <w:r w:rsidRPr="000B6417">
              <w:rPr>
                <w:spacing w:val="-3"/>
                <w:lang w:eastAsia="en-AU"/>
              </w:rPr>
              <w:t xml:space="preserve"> </w:t>
            </w:r>
            <w:r w:rsidRPr="000B6417">
              <w:rPr>
                <w:lang w:eastAsia="en-AU"/>
              </w:rPr>
              <w:t>required</w:t>
            </w:r>
          </w:p>
        </w:tc>
      </w:tr>
      <w:tr w:rsidR="00C8707C" w:rsidTr="00CF71CF">
        <w:tc>
          <w:tcPr>
            <w:cnfStyle w:val="001000000000" w:firstRow="0" w:lastRow="0" w:firstColumn="1" w:lastColumn="0" w:oddVBand="0" w:evenVBand="0" w:oddHBand="0" w:evenHBand="0" w:firstRowFirstColumn="0" w:firstRowLastColumn="0" w:lastRowFirstColumn="0" w:lastRowLastColumn="0"/>
            <w:tcW w:w="9510" w:type="dxa"/>
            <w:gridSpan w:val="5"/>
            <w:hideMark/>
          </w:tcPr>
          <w:p w:rsidR="00C8707C" w:rsidRPr="000B6417" w:rsidRDefault="00C8707C" w:rsidP="00CF71CF">
            <w:pPr>
              <w:rPr>
                <w:lang w:eastAsia="en-AU"/>
              </w:rPr>
            </w:pPr>
            <w:r w:rsidRPr="000B6417">
              <w:rPr>
                <w:lang w:eastAsia="en-AU"/>
              </w:rPr>
              <w:t>Placebo</w:t>
            </w:r>
            <w:r w:rsidRPr="000B6417">
              <w:rPr>
                <w:spacing w:val="-7"/>
                <w:lang w:eastAsia="en-AU"/>
              </w:rPr>
              <w:t xml:space="preserve"> </w:t>
            </w:r>
            <w:r w:rsidRPr="000B6417">
              <w:rPr>
                <w:lang w:eastAsia="en-AU"/>
              </w:rPr>
              <w:t>Group</w:t>
            </w:r>
          </w:p>
        </w:tc>
      </w:tr>
      <w:tr w:rsidR="00C8707C" w:rsidTr="00CF71CF">
        <w:tc>
          <w:tcPr>
            <w:cnfStyle w:val="001000000000" w:firstRow="0" w:lastRow="0" w:firstColumn="1" w:lastColumn="0" w:oddVBand="0" w:evenVBand="0" w:oddHBand="0" w:evenHBand="0" w:firstRowFirstColumn="0" w:firstRowLastColumn="0" w:lastRowFirstColumn="0" w:lastRowLastColumn="0"/>
            <w:tcW w:w="1809" w:type="dxa"/>
            <w:hideMark/>
          </w:tcPr>
          <w:p w:rsidR="00C8707C" w:rsidRPr="000B6417" w:rsidRDefault="00C8707C" w:rsidP="00CF71CF">
            <w:pPr>
              <w:rPr>
                <w:lang w:eastAsia="en-AU"/>
              </w:rPr>
            </w:pPr>
            <w:r w:rsidRPr="000B6417">
              <w:rPr>
                <w:spacing w:val="1"/>
                <w:lang w:eastAsia="en-AU"/>
              </w:rPr>
              <w:t xml:space="preserve">50 </w:t>
            </w:r>
            <w:r w:rsidRPr="000B6417">
              <w:rPr>
                <w:spacing w:val="-1"/>
                <w:lang w:eastAsia="en-AU"/>
              </w:rPr>
              <w:t>yea</w:t>
            </w:r>
            <w:r w:rsidRPr="000B6417">
              <w:rPr>
                <w:spacing w:val="1"/>
                <w:lang w:eastAsia="en-AU"/>
              </w:rPr>
              <w:t xml:space="preserve">r </w:t>
            </w:r>
            <w:r w:rsidRPr="000B6417">
              <w:rPr>
                <w:lang w:eastAsia="en-AU"/>
              </w:rPr>
              <w:t>old</w:t>
            </w:r>
            <w:r w:rsidRPr="000B6417">
              <w:rPr>
                <w:spacing w:val="-8"/>
                <w:lang w:eastAsia="en-AU"/>
              </w:rPr>
              <w:t xml:space="preserve"> W</w:t>
            </w:r>
            <w:r w:rsidRPr="000B6417">
              <w:rPr>
                <w:lang w:eastAsia="en-AU"/>
              </w:rPr>
              <w:t>hite</w:t>
            </w:r>
            <w:r w:rsidRPr="000B6417">
              <w:rPr>
                <w:spacing w:val="-5"/>
                <w:lang w:eastAsia="en-AU"/>
              </w:rPr>
              <w:t xml:space="preserve"> </w:t>
            </w:r>
            <w:r w:rsidRPr="000B6417">
              <w:rPr>
                <w:lang w:eastAsia="en-AU"/>
              </w:rPr>
              <w:t>male</w:t>
            </w:r>
          </w:p>
        </w:tc>
        <w:tc>
          <w:tcPr>
            <w:tcW w:w="2410"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Bile</w:t>
            </w:r>
            <w:r w:rsidRPr="000B6417">
              <w:rPr>
                <w:spacing w:val="-3"/>
                <w:lang w:eastAsia="en-AU"/>
              </w:rPr>
              <w:t xml:space="preserve"> </w:t>
            </w:r>
            <w:r w:rsidRPr="000B6417">
              <w:rPr>
                <w:lang w:eastAsia="en-AU"/>
              </w:rPr>
              <w:t>Duct</w:t>
            </w:r>
            <w:r w:rsidRPr="000B6417">
              <w:rPr>
                <w:spacing w:val="-4"/>
                <w:lang w:eastAsia="en-AU"/>
              </w:rPr>
              <w:t xml:space="preserve"> </w:t>
            </w:r>
            <w:r w:rsidRPr="000B6417">
              <w:rPr>
                <w:lang w:eastAsia="en-AU"/>
              </w:rPr>
              <w:t>Obstruction</w:t>
            </w:r>
            <w:r w:rsidR="00CF71CF">
              <w:rPr>
                <w:lang w:eastAsia="en-AU"/>
              </w:rPr>
              <w:t>/</w:t>
            </w:r>
            <w:r w:rsidRPr="000B6417">
              <w:rPr>
                <w:spacing w:val="1"/>
                <w:lang w:eastAsia="en-AU"/>
              </w:rPr>
              <w:t>Grad</w:t>
            </w:r>
            <w:r w:rsidRPr="000B6417">
              <w:rPr>
                <w:lang w:eastAsia="en-AU"/>
              </w:rPr>
              <w:t>e</w:t>
            </w:r>
            <w:r w:rsidRPr="000B6417">
              <w:rPr>
                <w:spacing w:val="-4"/>
                <w:lang w:eastAsia="en-AU"/>
              </w:rPr>
              <w:t xml:space="preserve"> </w:t>
            </w:r>
            <w:r w:rsidRPr="000B6417">
              <w:rPr>
                <w:lang w:eastAsia="en-AU"/>
              </w:rPr>
              <w:t>3</w:t>
            </w:r>
          </w:p>
        </w:tc>
        <w:tc>
          <w:tcPr>
            <w:tcW w:w="1418"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Not</w:t>
            </w:r>
            <w:r w:rsidRPr="000B6417">
              <w:rPr>
                <w:spacing w:val="-3"/>
                <w:lang w:eastAsia="en-AU"/>
              </w:rPr>
              <w:t xml:space="preserve"> </w:t>
            </w:r>
            <w:r w:rsidRPr="000B6417">
              <w:rPr>
                <w:lang w:eastAsia="en-AU"/>
              </w:rPr>
              <w:t>related</w:t>
            </w:r>
          </w:p>
        </w:tc>
        <w:tc>
          <w:tcPr>
            <w:tcW w:w="1842"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Onset</w:t>
            </w:r>
            <w:r w:rsidRPr="000B6417">
              <w:rPr>
                <w:lang w:eastAsia="en-AU"/>
              </w:rPr>
              <w:t>:</w:t>
            </w:r>
            <w:r w:rsidRPr="000B6417">
              <w:rPr>
                <w:spacing w:val="-4"/>
                <w:lang w:eastAsia="en-AU"/>
              </w:rPr>
              <w:t xml:space="preserve"> </w:t>
            </w:r>
            <w:r w:rsidRPr="000B6417">
              <w:rPr>
                <w:spacing w:val="1"/>
                <w:lang w:eastAsia="en-AU"/>
              </w:rPr>
              <w:t>O</w:t>
            </w:r>
            <w:r w:rsidRPr="000B6417">
              <w:rPr>
                <w:lang w:eastAsia="en-AU"/>
              </w:rPr>
              <w:t>T</w:t>
            </w:r>
            <w:r w:rsidRPr="000B6417">
              <w:rPr>
                <w:spacing w:val="-2"/>
                <w:lang w:eastAsia="en-AU"/>
              </w:rPr>
              <w:t xml:space="preserve"> </w:t>
            </w:r>
            <w:r w:rsidRPr="000B6417">
              <w:rPr>
                <w:spacing w:val="1"/>
                <w:lang w:eastAsia="en-AU"/>
              </w:rPr>
              <w:t>Wee</w:t>
            </w:r>
            <w:r w:rsidRPr="000B6417">
              <w:rPr>
                <w:lang w:eastAsia="en-AU"/>
              </w:rPr>
              <w:t>k</w:t>
            </w:r>
            <w:r w:rsidRPr="000B6417">
              <w:rPr>
                <w:spacing w:val="-4"/>
                <w:lang w:eastAsia="en-AU"/>
              </w:rPr>
              <w:t xml:space="preserve"> </w:t>
            </w:r>
            <w:r w:rsidRPr="000B6417">
              <w:rPr>
                <w:spacing w:val="1"/>
                <w:lang w:eastAsia="en-AU"/>
              </w:rPr>
              <w:t>20</w:t>
            </w:r>
          </w:p>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lang w:eastAsia="en-AU"/>
              </w:rPr>
              <w:t>Duration:</w:t>
            </w:r>
            <w:r w:rsidRPr="000B6417">
              <w:rPr>
                <w:spacing w:val="-8"/>
                <w:lang w:eastAsia="en-AU"/>
              </w:rPr>
              <w:t xml:space="preserve"> </w:t>
            </w:r>
            <w:r w:rsidRPr="000B6417">
              <w:rPr>
                <w:lang w:eastAsia="en-AU"/>
              </w:rPr>
              <w:t>13</w:t>
            </w:r>
            <w:r w:rsidRPr="000B6417">
              <w:rPr>
                <w:spacing w:val="-2"/>
                <w:lang w:eastAsia="en-AU"/>
              </w:rPr>
              <w:t xml:space="preserve"> </w:t>
            </w:r>
            <w:r w:rsidRPr="000B6417">
              <w:rPr>
                <w:lang w:eastAsia="en-AU"/>
              </w:rPr>
              <w:t>days</w:t>
            </w:r>
          </w:p>
        </w:tc>
        <w:tc>
          <w:tcPr>
            <w:tcW w:w="203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Study</w:t>
            </w:r>
            <w:r w:rsidRPr="000B6417">
              <w:rPr>
                <w:spacing w:val="-5"/>
                <w:lang w:eastAsia="en-AU"/>
              </w:rPr>
              <w:t xml:space="preserve"> </w:t>
            </w:r>
            <w:r w:rsidRPr="000B6417">
              <w:rPr>
                <w:lang w:eastAsia="en-AU"/>
              </w:rPr>
              <w:t>drug</w:t>
            </w:r>
            <w:r w:rsidRPr="000B6417">
              <w:rPr>
                <w:spacing w:val="-4"/>
                <w:lang w:eastAsia="en-AU"/>
              </w:rPr>
              <w:t xml:space="preserve"> </w:t>
            </w:r>
            <w:r w:rsidRPr="000B6417">
              <w:rPr>
                <w:lang w:eastAsia="en-AU"/>
              </w:rPr>
              <w:t>not</w:t>
            </w:r>
            <w:r w:rsidRPr="000B6417">
              <w:rPr>
                <w:spacing w:val="-3"/>
                <w:lang w:eastAsia="en-AU"/>
              </w:rPr>
              <w:t xml:space="preserve"> </w:t>
            </w:r>
            <w:r w:rsidRPr="000B6417">
              <w:rPr>
                <w:lang w:eastAsia="en-AU"/>
              </w:rPr>
              <w:t>interrupted,</w:t>
            </w:r>
            <w:r w:rsidRPr="000B6417">
              <w:rPr>
                <w:spacing w:val="-10"/>
                <w:lang w:eastAsia="en-AU"/>
              </w:rPr>
              <w:t xml:space="preserve"> </w:t>
            </w:r>
            <w:r w:rsidRPr="000B6417">
              <w:rPr>
                <w:lang w:eastAsia="en-AU"/>
              </w:rPr>
              <w:t>treatment</w:t>
            </w:r>
            <w:r w:rsidRPr="000B6417">
              <w:rPr>
                <w:spacing w:val="-8"/>
                <w:lang w:eastAsia="en-AU"/>
              </w:rPr>
              <w:t xml:space="preserve"> </w:t>
            </w:r>
            <w:r w:rsidRPr="000B6417">
              <w:rPr>
                <w:lang w:eastAsia="en-AU"/>
              </w:rPr>
              <w:t>required</w:t>
            </w:r>
          </w:p>
        </w:tc>
      </w:tr>
      <w:tr w:rsidR="00C8707C" w:rsidTr="00CF71CF">
        <w:tc>
          <w:tcPr>
            <w:cnfStyle w:val="001000000000" w:firstRow="0" w:lastRow="0" w:firstColumn="1" w:lastColumn="0" w:oddVBand="0" w:evenVBand="0" w:oddHBand="0" w:evenHBand="0" w:firstRowFirstColumn="0" w:firstRowLastColumn="0" w:lastRowFirstColumn="0" w:lastRowLastColumn="0"/>
            <w:tcW w:w="1809" w:type="dxa"/>
            <w:hideMark/>
          </w:tcPr>
          <w:p w:rsidR="00C8707C" w:rsidRPr="000B6417" w:rsidRDefault="00C8707C" w:rsidP="00CF71CF">
            <w:pPr>
              <w:rPr>
                <w:lang w:eastAsia="en-AU"/>
              </w:rPr>
            </w:pPr>
            <w:r w:rsidRPr="000B6417">
              <w:rPr>
                <w:spacing w:val="1"/>
                <w:lang w:eastAsia="en-AU"/>
              </w:rPr>
              <w:t xml:space="preserve">48 </w:t>
            </w:r>
            <w:r w:rsidRPr="000B6417">
              <w:rPr>
                <w:spacing w:val="-1"/>
                <w:lang w:eastAsia="en-AU"/>
              </w:rPr>
              <w:t>yea</w:t>
            </w:r>
            <w:r w:rsidRPr="000B6417">
              <w:rPr>
                <w:spacing w:val="1"/>
                <w:lang w:eastAsia="en-AU"/>
              </w:rPr>
              <w:t xml:space="preserve">r </w:t>
            </w:r>
            <w:r w:rsidRPr="000B6417">
              <w:rPr>
                <w:lang w:eastAsia="en-AU"/>
              </w:rPr>
              <w:t>old</w:t>
            </w:r>
            <w:r w:rsidRPr="000B6417">
              <w:rPr>
                <w:spacing w:val="-8"/>
                <w:lang w:eastAsia="en-AU"/>
              </w:rPr>
              <w:t xml:space="preserve"> W</w:t>
            </w:r>
            <w:r w:rsidRPr="000B6417">
              <w:rPr>
                <w:lang w:eastAsia="en-AU"/>
              </w:rPr>
              <w:t>hite</w:t>
            </w:r>
            <w:r w:rsidRPr="000B6417">
              <w:rPr>
                <w:spacing w:val="-5"/>
                <w:lang w:eastAsia="en-AU"/>
              </w:rPr>
              <w:t xml:space="preserve"> </w:t>
            </w:r>
            <w:r w:rsidRPr="000B6417">
              <w:rPr>
                <w:lang w:eastAsia="en-AU"/>
              </w:rPr>
              <w:t>male</w:t>
            </w:r>
          </w:p>
        </w:tc>
        <w:tc>
          <w:tcPr>
            <w:tcW w:w="2410"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Intervertebral</w:t>
            </w:r>
            <w:r w:rsidRPr="000B6417">
              <w:rPr>
                <w:spacing w:val="-11"/>
                <w:lang w:eastAsia="en-AU"/>
              </w:rPr>
              <w:t xml:space="preserve"> </w:t>
            </w:r>
            <w:r w:rsidRPr="000B6417">
              <w:rPr>
                <w:lang w:eastAsia="en-AU"/>
              </w:rPr>
              <w:t>Disc</w:t>
            </w:r>
            <w:r w:rsidRPr="000B6417">
              <w:rPr>
                <w:spacing w:val="-4"/>
                <w:lang w:eastAsia="en-AU"/>
              </w:rPr>
              <w:t xml:space="preserve"> </w:t>
            </w:r>
            <w:r w:rsidRPr="000B6417">
              <w:rPr>
                <w:lang w:eastAsia="en-AU"/>
              </w:rPr>
              <w:t xml:space="preserve">Protrusion/ </w:t>
            </w:r>
            <w:r w:rsidRPr="000B6417">
              <w:rPr>
                <w:spacing w:val="1"/>
                <w:lang w:eastAsia="en-AU"/>
              </w:rPr>
              <w:t>Grad</w:t>
            </w:r>
            <w:r w:rsidRPr="000B6417">
              <w:rPr>
                <w:lang w:eastAsia="en-AU"/>
              </w:rPr>
              <w:t>e</w:t>
            </w:r>
            <w:r w:rsidRPr="000B6417">
              <w:rPr>
                <w:spacing w:val="-4"/>
                <w:lang w:eastAsia="en-AU"/>
              </w:rPr>
              <w:t xml:space="preserve"> </w:t>
            </w:r>
            <w:r w:rsidRPr="000B6417">
              <w:rPr>
                <w:lang w:eastAsia="en-AU"/>
              </w:rPr>
              <w:t>3</w:t>
            </w:r>
          </w:p>
        </w:tc>
        <w:tc>
          <w:tcPr>
            <w:tcW w:w="1418"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Not</w:t>
            </w:r>
            <w:r w:rsidRPr="000B6417">
              <w:rPr>
                <w:spacing w:val="-3"/>
                <w:lang w:eastAsia="en-AU"/>
              </w:rPr>
              <w:t xml:space="preserve"> </w:t>
            </w:r>
            <w:r w:rsidRPr="000B6417">
              <w:rPr>
                <w:lang w:eastAsia="en-AU"/>
              </w:rPr>
              <w:t>related</w:t>
            </w:r>
          </w:p>
        </w:tc>
        <w:tc>
          <w:tcPr>
            <w:tcW w:w="1842"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lang w:eastAsia="en-AU"/>
              </w:rPr>
              <w:t>Onset:</w:t>
            </w:r>
            <w:r w:rsidRPr="000B6417">
              <w:rPr>
                <w:spacing w:val="-5"/>
                <w:lang w:eastAsia="en-AU"/>
              </w:rPr>
              <w:t xml:space="preserve"> </w:t>
            </w:r>
            <w:r w:rsidRPr="000B6417">
              <w:rPr>
                <w:spacing w:val="1"/>
                <w:lang w:eastAsia="en-AU"/>
              </w:rPr>
              <w:t>O</w:t>
            </w:r>
            <w:r w:rsidRPr="000B6417">
              <w:rPr>
                <w:lang w:eastAsia="en-AU"/>
              </w:rPr>
              <w:t>T</w:t>
            </w:r>
            <w:r w:rsidRPr="000B6417">
              <w:rPr>
                <w:spacing w:val="-2"/>
                <w:lang w:eastAsia="en-AU"/>
              </w:rPr>
              <w:t xml:space="preserve"> </w:t>
            </w:r>
            <w:r w:rsidRPr="000B6417">
              <w:rPr>
                <w:spacing w:val="1"/>
                <w:lang w:eastAsia="en-AU"/>
              </w:rPr>
              <w:t>Wee</w:t>
            </w:r>
            <w:r w:rsidRPr="000B6417">
              <w:rPr>
                <w:lang w:eastAsia="en-AU"/>
              </w:rPr>
              <w:t>k</w:t>
            </w:r>
            <w:r w:rsidRPr="000B6417">
              <w:rPr>
                <w:spacing w:val="-4"/>
                <w:lang w:eastAsia="en-AU"/>
              </w:rPr>
              <w:t xml:space="preserve"> </w:t>
            </w:r>
            <w:r w:rsidRPr="000B6417">
              <w:rPr>
                <w:spacing w:val="1"/>
                <w:lang w:eastAsia="en-AU"/>
              </w:rPr>
              <w:t>48</w:t>
            </w:r>
          </w:p>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lang w:eastAsia="en-AU"/>
              </w:rPr>
              <w:t>Duration:</w:t>
            </w:r>
            <w:r w:rsidRPr="000B6417">
              <w:rPr>
                <w:spacing w:val="-8"/>
                <w:lang w:eastAsia="en-AU"/>
              </w:rPr>
              <w:t xml:space="preserve"> </w:t>
            </w:r>
            <w:r w:rsidRPr="000B6417">
              <w:rPr>
                <w:lang w:eastAsia="en-AU"/>
              </w:rPr>
              <w:t>82</w:t>
            </w:r>
            <w:r w:rsidRPr="000B6417">
              <w:rPr>
                <w:spacing w:val="-2"/>
                <w:lang w:eastAsia="en-AU"/>
              </w:rPr>
              <w:t xml:space="preserve"> </w:t>
            </w:r>
            <w:r w:rsidRPr="000B6417">
              <w:rPr>
                <w:lang w:eastAsia="en-AU"/>
              </w:rPr>
              <w:t>days</w:t>
            </w:r>
          </w:p>
        </w:tc>
        <w:tc>
          <w:tcPr>
            <w:tcW w:w="203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Study</w:t>
            </w:r>
            <w:r w:rsidRPr="000B6417">
              <w:rPr>
                <w:spacing w:val="-5"/>
                <w:lang w:eastAsia="en-AU"/>
              </w:rPr>
              <w:t xml:space="preserve"> </w:t>
            </w:r>
            <w:r w:rsidRPr="000B6417">
              <w:rPr>
                <w:lang w:eastAsia="en-AU"/>
              </w:rPr>
              <w:t>drug</w:t>
            </w:r>
            <w:r w:rsidRPr="000B6417">
              <w:rPr>
                <w:spacing w:val="-4"/>
                <w:lang w:eastAsia="en-AU"/>
              </w:rPr>
              <w:t xml:space="preserve"> </w:t>
            </w:r>
            <w:r w:rsidRPr="000B6417">
              <w:rPr>
                <w:lang w:eastAsia="en-AU"/>
              </w:rPr>
              <w:t>not</w:t>
            </w:r>
            <w:r w:rsidRPr="000B6417">
              <w:rPr>
                <w:spacing w:val="-3"/>
                <w:lang w:eastAsia="en-AU"/>
              </w:rPr>
              <w:t xml:space="preserve"> </w:t>
            </w:r>
            <w:r w:rsidRPr="000B6417">
              <w:rPr>
                <w:lang w:eastAsia="en-AU"/>
              </w:rPr>
              <w:t>interrupted,</w:t>
            </w:r>
            <w:r w:rsidRPr="000B6417">
              <w:rPr>
                <w:spacing w:val="-10"/>
                <w:lang w:eastAsia="en-AU"/>
              </w:rPr>
              <w:t xml:space="preserve"> </w:t>
            </w:r>
            <w:r w:rsidRPr="000B6417">
              <w:rPr>
                <w:lang w:eastAsia="en-AU"/>
              </w:rPr>
              <w:t>treatment</w:t>
            </w:r>
            <w:r w:rsidRPr="000B6417">
              <w:rPr>
                <w:spacing w:val="-8"/>
                <w:lang w:eastAsia="en-AU"/>
              </w:rPr>
              <w:t xml:space="preserve"> </w:t>
            </w:r>
            <w:r w:rsidRPr="000B6417">
              <w:rPr>
                <w:lang w:eastAsia="en-AU"/>
              </w:rPr>
              <w:t>required</w:t>
            </w:r>
          </w:p>
        </w:tc>
      </w:tr>
      <w:tr w:rsidR="00C8707C" w:rsidTr="00CF71CF">
        <w:tc>
          <w:tcPr>
            <w:cnfStyle w:val="001000000000" w:firstRow="0" w:lastRow="0" w:firstColumn="1" w:lastColumn="0" w:oddVBand="0" w:evenVBand="0" w:oddHBand="0" w:evenHBand="0" w:firstRowFirstColumn="0" w:firstRowLastColumn="0" w:lastRowFirstColumn="0" w:lastRowLastColumn="0"/>
            <w:tcW w:w="1809" w:type="dxa"/>
            <w:hideMark/>
          </w:tcPr>
          <w:p w:rsidR="00C8707C" w:rsidRPr="000B6417" w:rsidRDefault="00C8707C" w:rsidP="00CF71CF">
            <w:pPr>
              <w:rPr>
                <w:lang w:eastAsia="en-AU"/>
              </w:rPr>
            </w:pPr>
            <w:r w:rsidRPr="000B6417">
              <w:rPr>
                <w:spacing w:val="1"/>
                <w:lang w:eastAsia="en-AU"/>
              </w:rPr>
              <w:t xml:space="preserve">57 </w:t>
            </w:r>
            <w:r w:rsidRPr="000B6417">
              <w:rPr>
                <w:spacing w:val="-1"/>
                <w:lang w:eastAsia="en-AU"/>
              </w:rPr>
              <w:t>yea</w:t>
            </w:r>
            <w:r w:rsidRPr="000B6417">
              <w:rPr>
                <w:spacing w:val="1"/>
                <w:lang w:eastAsia="en-AU"/>
              </w:rPr>
              <w:t xml:space="preserve">r </w:t>
            </w:r>
            <w:r w:rsidRPr="000B6417">
              <w:rPr>
                <w:lang w:eastAsia="en-AU"/>
              </w:rPr>
              <w:t>old</w:t>
            </w:r>
            <w:r w:rsidRPr="000B6417">
              <w:rPr>
                <w:spacing w:val="-8"/>
                <w:lang w:eastAsia="en-AU"/>
              </w:rPr>
              <w:t xml:space="preserve"> W</w:t>
            </w:r>
            <w:r w:rsidRPr="000B6417">
              <w:rPr>
                <w:lang w:eastAsia="en-AU"/>
              </w:rPr>
              <w:t>hite</w:t>
            </w:r>
            <w:r w:rsidRPr="000B6417">
              <w:rPr>
                <w:spacing w:val="-5"/>
                <w:lang w:eastAsia="en-AU"/>
              </w:rPr>
              <w:t xml:space="preserve"> </w:t>
            </w:r>
            <w:r w:rsidRPr="000B6417">
              <w:rPr>
                <w:lang w:eastAsia="en-AU"/>
              </w:rPr>
              <w:t>female</w:t>
            </w:r>
          </w:p>
        </w:tc>
        <w:tc>
          <w:tcPr>
            <w:tcW w:w="2410"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Abdominal</w:t>
            </w:r>
            <w:r w:rsidRPr="000B6417">
              <w:rPr>
                <w:spacing w:val="-9"/>
                <w:lang w:eastAsia="en-AU"/>
              </w:rPr>
              <w:t xml:space="preserve"> </w:t>
            </w:r>
            <w:r w:rsidRPr="000B6417">
              <w:rPr>
                <w:lang w:eastAsia="en-AU"/>
              </w:rPr>
              <w:t>Pain/</w:t>
            </w:r>
            <w:r w:rsidRPr="000B6417">
              <w:rPr>
                <w:spacing w:val="1"/>
                <w:lang w:eastAsia="en-AU"/>
              </w:rPr>
              <w:t>Grad</w:t>
            </w:r>
            <w:r w:rsidRPr="000B6417">
              <w:rPr>
                <w:lang w:eastAsia="en-AU"/>
              </w:rPr>
              <w:t>e</w:t>
            </w:r>
            <w:r w:rsidRPr="000B6417">
              <w:rPr>
                <w:spacing w:val="-4"/>
                <w:lang w:eastAsia="en-AU"/>
              </w:rPr>
              <w:t xml:space="preserve"> </w:t>
            </w:r>
            <w:r w:rsidRPr="000B6417">
              <w:rPr>
                <w:lang w:eastAsia="en-AU"/>
              </w:rPr>
              <w:t>2</w:t>
            </w:r>
            <w:r w:rsidR="00CF71CF">
              <w:rPr>
                <w:lang w:eastAsia="en-AU"/>
              </w:rPr>
              <w:t xml:space="preserve"> </w:t>
            </w:r>
            <w:r w:rsidRPr="000B6417">
              <w:rPr>
                <w:spacing w:val="2"/>
                <w:lang w:eastAsia="en-AU"/>
              </w:rPr>
              <w:t>Vo</w:t>
            </w:r>
            <w:r w:rsidRPr="000B6417">
              <w:rPr>
                <w:spacing w:val="-4"/>
                <w:lang w:eastAsia="en-AU"/>
              </w:rPr>
              <w:t>m</w:t>
            </w:r>
            <w:r w:rsidRPr="000B6417">
              <w:rPr>
                <w:lang w:eastAsia="en-AU"/>
              </w:rPr>
              <w:t>iting/</w:t>
            </w:r>
            <w:r w:rsidRPr="000B6417">
              <w:rPr>
                <w:spacing w:val="1"/>
                <w:lang w:eastAsia="en-AU"/>
              </w:rPr>
              <w:t>Grad</w:t>
            </w:r>
            <w:r w:rsidRPr="000B6417">
              <w:rPr>
                <w:lang w:eastAsia="en-AU"/>
              </w:rPr>
              <w:t>e</w:t>
            </w:r>
            <w:r w:rsidRPr="000B6417">
              <w:rPr>
                <w:spacing w:val="-4"/>
                <w:lang w:eastAsia="en-AU"/>
              </w:rPr>
              <w:t xml:space="preserve"> </w:t>
            </w:r>
            <w:r w:rsidRPr="000B6417">
              <w:rPr>
                <w:lang w:eastAsia="en-AU"/>
              </w:rPr>
              <w:t>2 Musculoskeletal</w:t>
            </w:r>
            <w:r w:rsidRPr="000B6417">
              <w:rPr>
                <w:spacing w:val="-13"/>
                <w:lang w:eastAsia="en-AU"/>
              </w:rPr>
              <w:t xml:space="preserve"> </w:t>
            </w:r>
            <w:r w:rsidRPr="000B6417">
              <w:rPr>
                <w:lang w:eastAsia="en-AU"/>
              </w:rPr>
              <w:t>Pain/</w:t>
            </w:r>
            <w:r w:rsidRPr="000B6417">
              <w:rPr>
                <w:spacing w:val="-5"/>
                <w:lang w:eastAsia="en-AU"/>
              </w:rPr>
              <w:t xml:space="preserve"> </w:t>
            </w:r>
            <w:r w:rsidRPr="000B6417">
              <w:rPr>
                <w:spacing w:val="1"/>
                <w:lang w:eastAsia="en-AU"/>
              </w:rPr>
              <w:t>Grad</w:t>
            </w:r>
            <w:r w:rsidRPr="000B6417">
              <w:rPr>
                <w:lang w:eastAsia="en-AU"/>
              </w:rPr>
              <w:t>e</w:t>
            </w:r>
            <w:r w:rsidRPr="000B6417">
              <w:rPr>
                <w:spacing w:val="-4"/>
                <w:lang w:eastAsia="en-AU"/>
              </w:rPr>
              <w:t xml:space="preserve"> </w:t>
            </w:r>
            <w:r w:rsidRPr="000B6417">
              <w:rPr>
                <w:lang w:eastAsia="en-AU"/>
              </w:rPr>
              <w:t>2</w:t>
            </w:r>
          </w:p>
        </w:tc>
        <w:tc>
          <w:tcPr>
            <w:tcW w:w="1418"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Not</w:t>
            </w:r>
            <w:r w:rsidRPr="000B6417">
              <w:rPr>
                <w:spacing w:val="-3"/>
                <w:lang w:eastAsia="en-AU"/>
              </w:rPr>
              <w:t xml:space="preserve"> </w:t>
            </w:r>
            <w:r w:rsidRPr="000B6417">
              <w:rPr>
                <w:lang w:eastAsia="en-AU"/>
              </w:rPr>
              <w:t>related</w:t>
            </w:r>
          </w:p>
        </w:tc>
        <w:tc>
          <w:tcPr>
            <w:tcW w:w="1842"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Onset</w:t>
            </w:r>
            <w:r w:rsidRPr="000B6417">
              <w:rPr>
                <w:lang w:eastAsia="en-AU"/>
              </w:rPr>
              <w:t>:</w:t>
            </w:r>
            <w:r w:rsidRPr="000B6417">
              <w:rPr>
                <w:spacing w:val="-4"/>
                <w:lang w:eastAsia="en-AU"/>
              </w:rPr>
              <w:t xml:space="preserve"> </w:t>
            </w:r>
            <w:r w:rsidRPr="000B6417">
              <w:rPr>
                <w:spacing w:val="1"/>
                <w:lang w:eastAsia="en-AU"/>
              </w:rPr>
              <w:t>O</w:t>
            </w:r>
            <w:r w:rsidRPr="000B6417">
              <w:rPr>
                <w:lang w:eastAsia="en-AU"/>
              </w:rPr>
              <w:t>T</w:t>
            </w:r>
            <w:r w:rsidRPr="000B6417">
              <w:rPr>
                <w:spacing w:val="-2"/>
                <w:lang w:eastAsia="en-AU"/>
              </w:rPr>
              <w:t xml:space="preserve"> </w:t>
            </w:r>
            <w:r w:rsidRPr="000B6417">
              <w:rPr>
                <w:spacing w:val="1"/>
                <w:lang w:eastAsia="en-AU"/>
              </w:rPr>
              <w:t>Wee</w:t>
            </w:r>
            <w:r w:rsidRPr="000B6417">
              <w:rPr>
                <w:lang w:eastAsia="en-AU"/>
              </w:rPr>
              <w:t>k</w:t>
            </w:r>
            <w:r w:rsidRPr="000B6417">
              <w:rPr>
                <w:spacing w:val="-4"/>
                <w:lang w:eastAsia="en-AU"/>
              </w:rPr>
              <w:t xml:space="preserve"> </w:t>
            </w:r>
            <w:r w:rsidRPr="000B6417">
              <w:rPr>
                <w:spacing w:val="1"/>
                <w:lang w:eastAsia="en-AU"/>
              </w:rPr>
              <w:t>16</w:t>
            </w:r>
          </w:p>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lang w:eastAsia="en-AU"/>
              </w:rPr>
              <w:t>Duration:</w:t>
            </w:r>
            <w:r w:rsidRPr="000B6417">
              <w:rPr>
                <w:spacing w:val="-8"/>
                <w:lang w:eastAsia="en-AU"/>
              </w:rPr>
              <w:t xml:space="preserve"> </w:t>
            </w:r>
            <w:r w:rsidRPr="000B6417">
              <w:rPr>
                <w:lang w:eastAsia="en-AU"/>
              </w:rPr>
              <w:t>2</w:t>
            </w:r>
            <w:r w:rsidRPr="000B6417">
              <w:rPr>
                <w:spacing w:val="-1"/>
                <w:lang w:eastAsia="en-AU"/>
              </w:rPr>
              <w:t xml:space="preserve"> </w:t>
            </w:r>
            <w:r w:rsidRPr="000B6417">
              <w:rPr>
                <w:lang w:eastAsia="en-AU"/>
              </w:rPr>
              <w:t>days</w:t>
            </w:r>
          </w:p>
        </w:tc>
        <w:tc>
          <w:tcPr>
            <w:tcW w:w="203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Study</w:t>
            </w:r>
            <w:r w:rsidRPr="000B6417">
              <w:rPr>
                <w:spacing w:val="-5"/>
                <w:lang w:eastAsia="en-AU"/>
              </w:rPr>
              <w:t xml:space="preserve"> </w:t>
            </w:r>
            <w:r w:rsidRPr="000B6417">
              <w:rPr>
                <w:lang w:eastAsia="en-AU"/>
              </w:rPr>
              <w:t>drug</w:t>
            </w:r>
            <w:r w:rsidRPr="000B6417">
              <w:rPr>
                <w:spacing w:val="-4"/>
                <w:lang w:eastAsia="en-AU"/>
              </w:rPr>
              <w:t xml:space="preserve"> </w:t>
            </w:r>
            <w:r w:rsidRPr="000B6417">
              <w:rPr>
                <w:lang w:eastAsia="en-AU"/>
              </w:rPr>
              <w:t>interrupted,</w:t>
            </w:r>
            <w:r w:rsidRPr="000B6417">
              <w:rPr>
                <w:spacing w:val="-10"/>
                <w:lang w:eastAsia="en-AU"/>
              </w:rPr>
              <w:t xml:space="preserve"> </w:t>
            </w:r>
            <w:r w:rsidRPr="000B6417">
              <w:rPr>
                <w:lang w:eastAsia="en-AU"/>
              </w:rPr>
              <w:t>treatment</w:t>
            </w:r>
            <w:r w:rsidRPr="000B6417">
              <w:rPr>
                <w:spacing w:val="-8"/>
                <w:lang w:eastAsia="en-AU"/>
              </w:rPr>
              <w:t xml:space="preserve"> </w:t>
            </w:r>
            <w:r w:rsidRPr="000B6417">
              <w:rPr>
                <w:lang w:eastAsia="en-AU"/>
              </w:rPr>
              <w:t>required</w:t>
            </w:r>
          </w:p>
        </w:tc>
      </w:tr>
    </w:tbl>
    <w:p w:rsidR="002C4CAD" w:rsidRDefault="00C8707C" w:rsidP="00CF71CF">
      <w:pPr>
        <w:pStyle w:val="TableDescription"/>
      </w:pPr>
      <w:proofErr w:type="spellStart"/>
      <w:proofErr w:type="gramStart"/>
      <w:r>
        <w:t>a</w:t>
      </w:r>
      <w:proofErr w:type="spellEnd"/>
      <w:proofErr w:type="gramEnd"/>
      <w:r>
        <w:t xml:space="preserve"> </w:t>
      </w:r>
      <w:proofErr w:type="spellStart"/>
      <w:r>
        <w:t>A</w:t>
      </w:r>
      <w:proofErr w:type="spellEnd"/>
      <w:r>
        <w:t xml:space="preserve"> determination of relatedness indicates that at least 1 of the 3 drugs (ASV, </w:t>
      </w:r>
      <w:proofErr w:type="spellStart"/>
      <w:r>
        <w:t>pegIFN</w:t>
      </w:r>
      <w:proofErr w:type="spellEnd"/>
      <w:r>
        <w:rPr>
          <w:rFonts w:cs="Symbol"/>
        </w:rPr>
        <w:t>α</w:t>
      </w:r>
      <w:r>
        <w:t>, or RBV) was considered related to the event; relationship to study therapy as judged by the investigator b AE leading to discontinuation.</w:t>
      </w:r>
    </w:p>
    <w:p w:rsidR="00C8707C" w:rsidRDefault="00C8707C" w:rsidP="00C8707C">
      <w:pPr>
        <w:pStyle w:val="Heading6"/>
        <w:numPr>
          <w:ilvl w:val="4"/>
          <w:numId w:val="5"/>
        </w:numPr>
        <w:ind w:left="1702" w:hanging="1418"/>
      </w:pPr>
      <w:r>
        <w:t>Discontinuations due to AEs</w:t>
      </w:r>
    </w:p>
    <w:p w:rsidR="00C8707C" w:rsidRDefault="00C8707C" w:rsidP="00C8707C">
      <w:r>
        <w:t xml:space="preserve">13 subjects discontinued (any) study therapy due to AEs, with 12 discontinuing all study drugs (ASV/placebo, </w:t>
      </w:r>
      <w:proofErr w:type="spellStart"/>
      <w:r>
        <w:t>pegIFN</w:t>
      </w:r>
      <w:proofErr w:type="spellEnd"/>
      <w:r>
        <w:rPr>
          <w:rFonts w:cs="Symbol"/>
        </w:rPr>
        <w:t>α</w:t>
      </w:r>
      <w:r>
        <w:t>, and RBV). AEs leading to discontinuation were reported in a slightly higher proportion of subjects in the ASV group than the placebo group (5.6% vs 4.9%). The types of AEs leading to discontinuation were generally similar across the treatment groups. Each AE leading to discontinuation was reported by 1 subject in either group, except rash (2 subjects [1.1%] in the ASV group).</w:t>
      </w:r>
    </w:p>
    <w:p w:rsidR="00C8707C" w:rsidRDefault="00C8707C" w:rsidP="00C8707C">
      <w:pPr>
        <w:pStyle w:val="Heading6"/>
        <w:numPr>
          <w:ilvl w:val="4"/>
          <w:numId w:val="5"/>
        </w:numPr>
        <w:ind w:left="1702" w:hanging="1418"/>
        <w:rPr>
          <w:szCs w:val="24"/>
        </w:rPr>
      </w:pPr>
      <w:r>
        <w:t xml:space="preserve">Laboratory </w:t>
      </w:r>
      <w:r w:rsidR="00CF71CF">
        <w:t>t</w:t>
      </w:r>
      <w:r>
        <w:t xml:space="preserve">est </w:t>
      </w:r>
      <w:r w:rsidR="00CF71CF">
        <w:t>a</w:t>
      </w:r>
      <w:r>
        <w:t>bnormalities</w:t>
      </w:r>
    </w:p>
    <w:p w:rsidR="00C8707C" w:rsidRDefault="00C8707C" w:rsidP="00C8707C">
      <w:r>
        <w:t>The most frequent Grade 3 to 4 laboratory abnormality was neutropenia (28.4% in the ASV/</w:t>
      </w:r>
      <w:proofErr w:type="spellStart"/>
      <w:r>
        <w:t>pegIFN</w:t>
      </w:r>
      <w:proofErr w:type="spellEnd"/>
      <w:r>
        <w:t xml:space="preserve">α/RBV group versus 29.5% in the placebo group) an expected event with </w:t>
      </w:r>
      <w:proofErr w:type="spellStart"/>
      <w:r>
        <w:t>pegIFN</w:t>
      </w:r>
      <w:proofErr w:type="spellEnd"/>
      <w:r>
        <w:t xml:space="preserve">α/RBV and balanced across treatment regimens. Most laboratory abnormalities were </w:t>
      </w:r>
      <w:r>
        <w:lastRenderedPageBreak/>
        <w:t>Grade 1 to 2 in intensity. No Grade 4 anaemia events were reported in any treatment group and no subject in Stage 2 discontinued study drugs due to an anaemia event.</w:t>
      </w:r>
    </w:p>
    <w:p w:rsidR="00C8707C" w:rsidRDefault="00C8707C" w:rsidP="00C8707C">
      <w:r>
        <w:t>Elevations of ALT and TBIL were observed in Stage 2:</w:t>
      </w:r>
    </w:p>
    <w:p w:rsidR="00C8707C" w:rsidRDefault="00C8707C" w:rsidP="00C8707C">
      <w:pPr>
        <w:pStyle w:val="ListBullet"/>
        <w:numPr>
          <w:ilvl w:val="0"/>
          <w:numId w:val="1"/>
        </w:numPr>
      </w:pPr>
      <w:r>
        <w:t xml:space="preserve">Alanine aminotransferase elevations were observed more frequently in the ASV regimen compared with placebo. 72 subjects in the ASV group had normal baseline ALT levels; 21 subsequently had Grade 1 to 2 ALT, and 8 subsequently had Grade 3 to 4 ALT on study. 29 subjects in the placebo group had normal baseline ALT levels; 8 subsequently had on-study Grade 1 to 2 ALT. Overall, Grade 3 to 4 ALT abnormalities on-treatment </w:t>
      </w:r>
      <w:proofErr w:type="gramStart"/>
      <w:r>
        <w:t>were</w:t>
      </w:r>
      <w:proofErr w:type="gramEnd"/>
      <w:r>
        <w:t xml:space="preserve"> reported for 18 subjects: 17 in the ASV group and 1 in the placebo group.</w:t>
      </w:r>
    </w:p>
    <w:p w:rsidR="00C8707C" w:rsidRDefault="00C8707C" w:rsidP="00C8707C">
      <w:pPr>
        <w:pStyle w:val="ListBullet"/>
        <w:numPr>
          <w:ilvl w:val="0"/>
          <w:numId w:val="1"/>
        </w:numPr>
      </w:pPr>
      <w:r>
        <w:t>Grade 3 to 4 TBIL was reported for 2 subjects in the ASV and placebo groups, respectively.</w:t>
      </w:r>
    </w:p>
    <w:p w:rsidR="00C8707C" w:rsidRDefault="00C8707C" w:rsidP="00C8707C">
      <w:pPr>
        <w:pStyle w:val="ListBullet"/>
        <w:numPr>
          <w:ilvl w:val="0"/>
          <w:numId w:val="1"/>
        </w:numPr>
      </w:pPr>
      <w:r>
        <w:t xml:space="preserve">After discontinuing therapy, LFT abnormalities returned to normal. In subjects who did not complete the full duration of assigned ASV or placebo dosing, elevated LFTs returned to normal despite continued dosing with </w:t>
      </w:r>
      <w:proofErr w:type="spellStart"/>
      <w:r>
        <w:t>pegIFN</w:t>
      </w:r>
      <w:proofErr w:type="spellEnd"/>
      <w:r>
        <w:t>α/RBV. Subjects that discontinued all study medications also returned to normal.</w:t>
      </w:r>
    </w:p>
    <w:p w:rsidR="00C8707C" w:rsidRDefault="00C8707C" w:rsidP="00C8707C">
      <w:pPr>
        <w:pStyle w:val="Heading3"/>
        <w:numPr>
          <w:ilvl w:val="1"/>
          <w:numId w:val="5"/>
        </w:numPr>
      </w:pPr>
      <w:bookmarkStart w:id="206" w:name="_Toc401659978"/>
      <w:bookmarkStart w:id="207" w:name="_Toc431369681"/>
      <w:bookmarkStart w:id="208" w:name="_Toc438116081"/>
      <w:r>
        <w:t xml:space="preserve">Discussion: Dosage </w:t>
      </w:r>
      <w:r w:rsidR="00CF71CF">
        <w:t>s</w:t>
      </w:r>
      <w:r>
        <w:t xml:space="preserve">election for the </w:t>
      </w:r>
      <w:r w:rsidR="00CF71CF">
        <w:t>p</w:t>
      </w:r>
      <w:r>
        <w:t xml:space="preserve">ivotal </w:t>
      </w:r>
      <w:r w:rsidR="00CF71CF">
        <w:t>s</w:t>
      </w:r>
      <w:r>
        <w:t>tudies</w:t>
      </w:r>
      <w:bookmarkEnd w:id="206"/>
      <w:bookmarkEnd w:id="207"/>
      <w:bookmarkEnd w:id="208"/>
    </w:p>
    <w:p w:rsidR="00C8707C" w:rsidRDefault="00C8707C" w:rsidP="00C8707C">
      <w:r>
        <w:t>In the DCV/ASV Phase II studies (AI447011: DCV CER: sections 7.1.4 and 7.3.2 and AI447017: DCV CER [</w:t>
      </w:r>
      <w:proofErr w:type="spellStart"/>
      <w:r>
        <w:t>AusPAR</w:t>
      </w:r>
      <w:proofErr w:type="spellEnd"/>
      <w:r>
        <w:t xml:space="preserve"> for </w:t>
      </w:r>
      <w:proofErr w:type="spellStart"/>
      <w:r>
        <w:t>Daklinza</w:t>
      </w:r>
      <w:proofErr w:type="spellEnd"/>
      <w:r>
        <w:t>), the following ASV doses were tested: 200 mg QD (AI447011 only), 200 mg BD, and 600 mg BD. In Study AI447016 presented above in non-Japanese subjects, ASV 200 mg BD, ASV 600 mg QD, and ASV 600 mg BD doses were evaluated. All 3 studies (AI447011, AI447016, and AI447017) were conducted using the tablet formulation of ASV.</w:t>
      </w:r>
    </w:p>
    <w:p w:rsidR="00C8707C" w:rsidRDefault="00C8707C" w:rsidP="00C8707C">
      <w:pPr>
        <w:tabs>
          <w:tab w:val="left" w:pos="720"/>
        </w:tabs>
        <w:autoSpaceDE w:val="0"/>
        <w:autoSpaceDN w:val="0"/>
        <w:adjustRightInd w:val="0"/>
      </w:pPr>
      <w:r>
        <w:t>Although all Phase II ASV doses (200-mg QD to 600-mg BD of the tablet formulation) were generally well tolerated, a trend in the frequency and magnitude of ALT and AST elevations was observed at ASV doses &gt; 200 mg BD of the tablet formulation and this trend was associated with greater plasma exposure of ASV in an initial exposure-safety assessment conducted using data from the Stage 1 portion of Study AI447016</w:t>
      </w:r>
      <w:r>
        <w:rPr>
          <w:b/>
        </w:rPr>
        <w:t>.</w:t>
      </w:r>
      <w:r>
        <w:t xml:space="preserve"> The analysis demonstrated a higher probability of Grade 2 or higher ALT (and AST) elevations with higher plasma exposures of ASV, as measured by AUC.</w:t>
      </w:r>
    </w:p>
    <w:p w:rsidR="00C8707C" w:rsidRDefault="00C8707C" w:rsidP="00C8707C">
      <w:pPr>
        <w:tabs>
          <w:tab w:val="left" w:pos="720"/>
        </w:tabs>
        <w:autoSpaceDE w:val="0"/>
        <w:autoSpaceDN w:val="0"/>
        <w:adjustRightInd w:val="0"/>
      </w:pPr>
      <w:r>
        <w:t>The dose of 200 mg BD of the tablet formulation was selected as the ASV dose in all on-going and future Phase II studies. The prediction that ASV 200 mg tablet BD offered the best balance of safety and antiviral activity was confirmed by the observed LFT data and high response rates in Phase II studies. The safety and efficacy for DCV/ASV in Japanese subjects in Phase II was comparable, with a similar benefit-risk profile, despite the differences in ASV plasma exposures between Japanese and non-Japanese subjects. No dose adjustment was needed in Japanese subjects.</w:t>
      </w:r>
    </w:p>
    <w:p w:rsidR="00C8707C" w:rsidRDefault="00C8707C" w:rsidP="00CF71CF">
      <w:r>
        <w:t>A 100 mg BD soft gel capsule formulation of ASV was selected as the Phase III formulation based on the results from a relative bioavailability study that indicated the bioavailability for the soft gel capsule formulation was approximately 2 fold higher compared with the ASV Phase II tablet administered with food (Study AI447043). Moreover, the soft gel capsule formulation mitigated the significant food effect observed with the Phase II tablet. Based on these data, the soft gel capsule at a dose of ASV 100 mg BD administered either with or without meals was expected to approximate the AUC of the ASV 200 mg Phase II tablet administered with food in Phase II studies; and, using the prior exposure-response assessments, it was concluded that there would be no meaningful alterations in the antiviral activity or safety profile of ASV at the 100-mg BD dose of soft gel capsule without regard to food.</w:t>
      </w:r>
    </w:p>
    <w:p w:rsidR="00C8707C" w:rsidRDefault="00C8707C" w:rsidP="00C8707C">
      <w:pPr>
        <w:pStyle w:val="Heading2"/>
        <w:numPr>
          <w:ilvl w:val="0"/>
          <w:numId w:val="5"/>
        </w:numPr>
      </w:pPr>
      <w:bookmarkStart w:id="209" w:name="_Toc431369682"/>
      <w:bookmarkStart w:id="210" w:name="_Toc438116082"/>
      <w:r>
        <w:lastRenderedPageBreak/>
        <w:t>Clinical efficacy</w:t>
      </w:r>
      <w:bookmarkEnd w:id="209"/>
      <w:bookmarkEnd w:id="210"/>
    </w:p>
    <w:p w:rsidR="00C8707C" w:rsidRDefault="00C8707C" w:rsidP="00C8707C">
      <w:pPr>
        <w:pStyle w:val="Heading3"/>
        <w:numPr>
          <w:ilvl w:val="1"/>
          <w:numId w:val="5"/>
        </w:numPr>
      </w:pPr>
      <w:bookmarkStart w:id="211" w:name="_Toc401659980"/>
      <w:bookmarkStart w:id="212" w:name="_Toc431369683"/>
      <w:bookmarkStart w:id="213" w:name="_Toc438116083"/>
      <w:r>
        <w:t>Treatment of HCV – ASV combined with DCV</w:t>
      </w:r>
      <w:bookmarkEnd w:id="211"/>
      <w:bookmarkEnd w:id="212"/>
      <w:bookmarkEnd w:id="213"/>
    </w:p>
    <w:p w:rsidR="00C8707C" w:rsidRDefault="00C8707C" w:rsidP="00C8707C">
      <w:r>
        <w:t>Two pivotal and 2 supportive studies were included for this indication. These have been evaluated in the DCV clinical evaluation report. Brief summaries are provided here.</w:t>
      </w:r>
    </w:p>
    <w:p w:rsidR="00C8707C" w:rsidRDefault="00C8707C" w:rsidP="00C8707C">
      <w:pPr>
        <w:pStyle w:val="Heading4"/>
        <w:numPr>
          <w:ilvl w:val="2"/>
          <w:numId w:val="5"/>
        </w:numPr>
      </w:pPr>
      <w:bookmarkStart w:id="214" w:name="_Toc290846274"/>
      <w:bookmarkStart w:id="215" w:name="_Toc272414652"/>
      <w:bookmarkStart w:id="216" w:name="_Ref271037274"/>
      <w:r>
        <w:t>Pivotal efficacy studies</w:t>
      </w:r>
      <w:bookmarkEnd w:id="214"/>
      <w:bookmarkEnd w:id="215"/>
      <w:bookmarkEnd w:id="216"/>
    </w:p>
    <w:p w:rsidR="00C8707C" w:rsidRDefault="00C8707C" w:rsidP="00C8707C">
      <w:r>
        <w:t xml:space="preserve">Study </w:t>
      </w:r>
      <w:r>
        <w:rPr>
          <w:b/>
        </w:rPr>
        <w:t>AI447028</w:t>
      </w:r>
      <w:r>
        <w:t xml:space="preserve"> (DCV CER [see </w:t>
      </w:r>
      <w:proofErr w:type="spellStart"/>
      <w:r>
        <w:t>AusPAR</w:t>
      </w:r>
      <w:proofErr w:type="spellEnd"/>
      <w:r>
        <w:t xml:space="preserve"> for </w:t>
      </w:r>
      <w:proofErr w:type="spellStart"/>
      <w:r>
        <w:t>Daklinza</w:t>
      </w:r>
      <w:proofErr w:type="spellEnd"/>
      <w:r>
        <w:t xml:space="preserve"> Attachment 2), was a randomised, multicentre, parallel group study with 3 cohorts of subjects with HCV GT-1b infection. The study included treatment naïve subjects (N=203), prior </w:t>
      </w:r>
      <w:proofErr w:type="spellStart"/>
      <w:r>
        <w:t>pegIFN</w:t>
      </w:r>
      <w:proofErr w:type="spellEnd"/>
      <w:r>
        <w:t>α/RBV non-responders (null and partial responders, N=205) and IFN intolerant/ineligible subjects (N=235). Overall 206/643 (32.0%) had compensated cirrhosis at baseline. Subjects in the treatment naïve cohort were randomised 2:1 to receive DCV 60 mg QD and ASV soft gel capsule 100 mg BD for 24 weeks and then followed for 24 weeks post treatment or placebo for 12 weeks (and then enrolled into another study of DCV/ASV open label for 24 weeks). There was no randomisation of the other 2 cohorts (all subjects received DCV 60 mg QD and ASV 100 mg BD).</w:t>
      </w:r>
    </w:p>
    <w:p w:rsidR="00C8707C" w:rsidRDefault="00C8707C" w:rsidP="00C8707C">
      <w:r>
        <w:t xml:space="preserve">Study </w:t>
      </w:r>
      <w:r>
        <w:rPr>
          <w:b/>
        </w:rPr>
        <w:t>AI447026</w:t>
      </w:r>
      <w:r>
        <w:t xml:space="preserve"> (DCV CER [see </w:t>
      </w:r>
      <w:proofErr w:type="spellStart"/>
      <w:r>
        <w:t>AusPAR</w:t>
      </w:r>
      <w:proofErr w:type="spellEnd"/>
      <w:r>
        <w:t xml:space="preserve"> for </w:t>
      </w:r>
      <w:proofErr w:type="spellStart"/>
      <w:r>
        <w:t>Daklinza</w:t>
      </w:r>
      <w:proofErr w:type="spellEnd"/>
      <w:r>
        <w:t xml:space="preserve"> Attachment 2) was an open label study in 2 groups of Japanese subjects with HCV GT-1b infection. The study included prior </w:t>
      </w:r>
      <w:proofErr w:type="spellStart"/>
      <w:r>
        <w:t>pegIFN</w:t>
      </w:r>
      <w:proofErr w:type="spellEnd"/>
      <w:r>
        <w:t>α/RBV or IFNβ/RBV non-responders (null and partial responders N=87) or IFN intolerant/ineligible subjects (N=135). Overall, 22/222 (9.9%) subjects had compensated cirrhosis at baseline. All subjects were treated with DCV/ASV therapy (DCV 60 mg QD and ASV 100 mg soft gel capsule BD) for 24 weeks and followed for 24 weeks post treatment.</w:t>
      </w:r>
    </w:p>
    <w:p w:rsidR="00C8707C" w:rsidRDefault="00C8707C" w:rsidP="00C8707C">
      <w:pPr>
        <w:pStyle w:val="Heading4"/>
        <w:numPr>
          <w:ilvl w:val="2"/>
          <w:numId w:val="5"/>
        </w:numPr>
      </w:pPr>
      <w:r>
        <w:t>Supportive efficacy studies</w:t>
      </w:r>
    </w:p>
    <w:p w:rsidR="00C8707C" w:rsidRDefault="00C8707C" w:rsidP="00C8707C">
      <w:r>
        <w:t xml:space="preserve">Study </w:t>
      </w:r>
      <w:r>
        <w:rPr>
          <w:b/>
        </w:rPr>
        <w:t xml:space="preserve">AI447017 </w:t>
      </w:r>
      <w:r>
        <w:t xml:space="preserve">(see </w:t>
      </w:r>
      <w:proofErr w:type="spellStart"/>
      <w:r>
        <w:t>AusPAR</w:t>
      </w:r>
      <w:proofErr w:type="spellEnd"/>
      <w:r>
        <w:t xml:space="preserve"> for </w:t>
      </w:r>
      <w:proofErr w:type="spellStart"/>
      <w:r>
        <w:t>Daklinza</w:t>
      </w:r>
      <w:proofErr w:type="spellEnd"/>
      <w:r>
        <w:t xml:space="preserve"> Attachment 2) was an open label study in Japanese subjects with HCV GT-1 infection. The study included </w:t>
      </w:r>
      <w:proofErr w:type="spellStart"/>
      <w:r>
        <w:t>pegIFN</w:t>
      </w:r>
      <w:proofErr w:type="spellEnd"/>
      <w:r>
        <w:t xml:space="preserve">α/RBV prior null responders (N=21) and IFN intolerant/ineligible subjects (N=22). Subjects with baseline cirrhosis were excluded. All subjects received DCV 60 mg QD and ASV 600 mg or 200 mg tablets BD for 24 weeks. Subjects with </w:t>
      </w:r>
      <w:proofErr w:type="spellStart"/>
      <w:r>
        <w:t>virologic</w:t>
      </w:r>
      <w:proofErr w:type="spellEnd"/>
      <w:r>
        <w:t xml:space="preserve"> failure were followed for 48 weeks post treatment and all other subjects were followed for 24 weeks post treatment.</w:t>
      </w:r>
    </w:p>
    <w:p w:rsidR="00C8707C" w:rsidRDefault="00C8707C" w:rsidP="00C8707C">
      <w:r>
        <w:t xml:space="preserve">Study </w:t>
      </w:r>
      <w:r>
        <w:rPr>
          <w:b/>
        </w:rPr>
        <w:t>AI447011</w:t>
      </w:r>
      <w:r>
        <w:t xml:space="preserve"> (see </w:t>
      </w:r>
      <w:proofErr w:type="spellStart"/>
      <w:r>
        <w:t>AusPAR</w:t>
      </w:r>
      <w:proofErr w:type="spellEnd"/>
      <w:r>
        <w:t xml:space="preserve"> for </w:t>
      </w:r>
      <w:proofErr w:type="spellStart"/>
      <w:r>
        <w:t>Daklinza</w:t>
      </w:r>
      <w:proofErr w:type="spellEnd"/>
      <w:r>
        <w:t xml:space="preserve"> Attachment 2) included groups who received DCV/ASV or QUAD (DCV+ASV+ </w:t>
      </w:r>
      <w:proofErr w:type="spellStart"/>
      <w:r>
        <w:t>pegIFN</w:t>
      </w:r>
      <w:proofErr w:type="spellEnd"/>
      <w:r>
        <w:t xml:space="preserve">α/RBV) regimens. It was an open label study in </w:t>
      </w:r>
      <w:proofErr w:type="spellStart"/>
      <w:r>
        <w:t>pegIFN</w:t>
      </w:r>
      <w:proofErr w:type="spellEnd"/>
      <w:r>
        <w:t>α/RBV prior null responders (N=122) with HCV GT-1a or 1b. Subjects with cirrhosis were excluded. In the DCV/ASV group, 49 subjects received DCV 60 mg and ASV 600 mg tablet BD (N=11) or 200 mg tablet BD (N=18) or 200 mg tablet QD (N=20). The treatment period was 24 weeks and subjects were then followed for 48 weeks post treatment.</w:t>
      </w:r>
    </w:p>
    <w:p w:rsidR="00C8707C" w:rsidRDefault="00C8707C" w:rsidP="00C8707C">
      <w:pPr>
        <w:pStyle w:val="Tabletitle"/>
      </w:pPr>
      <w:bookmarkStart w:id="217" w:name="_Toc401831790"/>
      <w:r>
        <w:t>Table 12: Efficacy of DCV/ASV by population - GT-1 and GT-1a and GT-1b</w:t>
      </w:r>
      <w:bookmarkEnd w:id="217"/>
    </w:p>
    <w:tbl>
      <w:tblPr>
        <w:tblStyle w:val="TableTGAblue"/>
        <w:tblW w:w="9125" w:type="dxa"/>
        <w:tblLook w:val="04A0" w:firstRow="1" w:lastRow="0" w:firstColumn="1" w:lastColumn="0" w:noHBand="0" w:noVBand="1"/>
      </w:tblPr>
      <w:tblGrid>
        <w:gridCol w:w="2324"/>
        <w:gridCol w:w="1701"/>
        <w:gridCol w:w="1701"/>
        <w:gridCol w:w="1698"/>
        <w:gridCol w:w="1701"/>
      </w:tblGrid>
      <w:tr w:rsidR="00C8707C" w:rsidTr="00CF71C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24" w:type="dxa"/>
            <w:vMerge w:val="restart"/>
            <w:hideMark/>
          </w:tcPr>
          <w:p w:rsidR="00C8707C" w:rsidRPr="000B6417" w:rsidRDefault="00C8707C" w:rsidP="00CF71CF">
            <w:pPr>
              <w:rPr>
                <w:b w:val="0"/>
                <w:lang w:eastAsia="en-AU"/>
              </w:rPr>
            </w:pPr>
            <w:r w:rsidRPr="000B6417">
              <w:rPr>
                <w:b w:val="0"/>
                <w:lang w:eastAsia="en-AU"/>
              </w:rPr>
              <w:t xml:space="preserve">Endpoint </w:t>
            </w:r>
            <w:r w:rsidRPr="000B6417">
              <w:rPr>
                <w:b w:val="0"/>
                <w:vertAlign w:val="superscript"/>
                <w:lang w:eastAsia="en-AU"/>
              </w:rPr>
              <w:t>b</w:t>
            </w:r>
          </w:p>
        </w:tc>
        <w:tc>
          <w:tcPr>
            <w:tcW w:w="6801" w:type="dxa"/>
            <w:gridSpan w:val="4"/>
            <w:hideMark/>
          </w:tcPr>
          <w:p w:rsidR="00C8707C" w:rsidRPr="000B6417" w:rsidRDefault="00C8707C" w:rsidP="00CF71CF">
            <w:pPr>
              <w:cnfStyle w:val="100000000000" w:firstRow="1" w:lastRow="0" w:firstColumn="0" w:lastColumn="0" w:oddVBand="0" w:evenVBand="0" w:oddHBand="0" w:evenHBand="0" w:firstRowFirstColumn="0" w:firstRowLastColumn="0" w:lastRowFirstColumn="0" w:lastRowLastColumn="0"/>
              <w:rPr>
                <w:b w:val="0"/>
                <w:bCs/>
                <w:lang w:eastAsia="en-AU"/>
              </w:rPr>
            </w:pPr>
            <w:proofErr w:type="spellStart"/>
            <w:r w:rsidRPr="000B6417">
              <w:rPr>
                <w:b w:val="0"/>
                <w:bCs/>
                <w:lang w:eastAsia="en-AU"/>
              </w:rPr>
              <w:t>Virologic</w:t>
            </w:r>
            <w:proofErr w:type="spellEnd"/>
            <w:r w:rsidRPr="000B6417">
              <w:rPr>
                <w:b w:val="0"/>
                <w:bCs/>
                <w:spacing w:val="-7"/>
                <w:lang w:eastAsia="en-AU"/>
              </w:rPr>
              <w:t xml:space="preserve"> </w:t>
            </w:r>
            <w:r w:rsidRPr="000B6417">
              <w:rPr>
                <w:b w:val="0"/>
                <w:bCs/>
                <w:lang w:eastAsia="en-AU"/>
              </w:rPr>
              <w:t>Response: Number</w:t>
            </w:r>
            <w:r w:rsidRPr="000B6417">
              <w:rPr>
                <w:b w:val="0"/>
                <w:bCs/>
                <w:spacing w:val="-6"/>
                <w:lang w:eastAsia="en-AU"/>
              </w:rPr>
              <w:t xml:space="preserve"> </w:t>
            </w:r>
            <w:r w:rsidRPr="000B6417">
              <w:rPr>
                <w:b w:val="0"/>
                <w:bCs/>
                <w:lang w:eastAsia="en-AU"/>
              </w:rPr>
              <w:t>of</w:t>
            </w:r>
            <w:r w:rsidRPr="000B6417">
              <w:rPr>
                <w:b w:val="0"/>
                <w:bCs/>
                <w:spacing w:val="-1"/>
                <w:lang w:eastAsia="en-AU"/>
              </w:rPr>
              <w:t xml:space="preserve"> </w:t>
            </w:r>
            <w:r w:rsidRPr="000B6417">
              <w:rPr>
                <w:b w:val="0"/>
                <w:bCs/>
                <w:lang w:eastAsia="en-AU"/>
              </w:rPr>
              <w:t>Subjects</w:t>
            </w:r>
            <w:r w:rsidRPr="000B6417">
              <w:rPr>
                <w:b w:val="0"/>
                <w:bCs/>
                <w:spacing w:val="-6"/>
                <w:lang w:eastAsia="en-AU"/>
              </w:rPr>
              <w:t xml:space="preserve"> </w:t>
            </w:r>
            <w:r w:rsidRPr="000B6417">
              <w:rPr>
                <w:b w:val="0"/>
                <w:bCs/>
                <w:lang w:eastAsia="en-AU"/>
              </w:rPr>
              <w:t>(%)</w:t>
            </w:r>
            <w:r w:rsidRPr="000B6417">
              <w:rPr>
                <w:b w:val="0"/>
                <w:bCs/>
                <w:spacing w:val="-2"/>
                <w:lang w:eastAsia="en-AU"/>
              </w:rPr>
              <w:t xml:space="preserve"> </w:t>
            </w:r>
            <w:r w:rsidRPr="000B6417">
              <w:rPr>
                <w:b w:val="0"/>
                <w:bCs/>
                <w:lang w:eastAsia="en-AU"/>
              </w:rPr>
              <w:t>[95%</w:t>
            </w:r>
            <w:r w:rsidRPr="000B6417">
              <w:rPr>
                <w:b w:val="0"/>
                <w:bCs/>
                <w:spacing w:val="-4"/>
                <w:lang w:eastAsia="en-AU"/>
              </w:rPr>
              <w:t xml:space="preserve"> </w:t>
            </w:r>
            <w:r w:rsidRPr="000B6417">
              <w:rPr>
                <w:b w:val="0"/>
                <w:bCs/>
                <w:lang w:eastAsia="en-AU"/>
              </w:rPr>
              <w:t>CI</w:t>
            </w:r>
            <w:r w:rsidRPr="000B6417">
              <w:rPr>
                <w:b w:val="0"/>
                <w:bCs/>
                <w:spacing w:val="36"/>
                <w:lang w:eastAsia="en-AU"/>
              </w:rPr>
              <w:t xml:space="preserve"> </w:t>
            </w:r>
            <w:r w:rsidRPr="000B6417">
              <w:rPr>
                <w:b w:val="0"/>
                <w:bCs/>
                <w:spacing w:val="36"/>
                <w:vertAlign w:val="superscript"/>
                <w:lang w:eastAsia="en-AU"/>
              </w:rPr>
              <w:t>a</w:t>
            </w:r>
            <w:r w:rsidRPr="000B6417">
              <w:rPr>
                <w:b w:val="0"/>
                <w:bCs/>
                <w:lang w:eastAsia="en-AU"/>
              </w:rPr>
              <w:t>]</w:t>
            </w:r>
          </w:p>
        </w:tc>
      </w:tr>
      <w:tr w:rsidR="00C8707C" w:rsidTr="00CF71C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vMerge/>
            <w:hideMark/>
          </w:tcPr>
          <w:p w:rsidR="00C8707C" w:rsidRPr="000B6417" w:rsidRDefault="00C8707C" w:rsidP="00CF71CF">
            <w:pPr>
              <w:rPr>
                <w:b w:val="0"/>
                <w:lang w:eastAsia="en-AU"/>
              </w:rPr>
            </w:pPr>
          </w:p>
        </w:tc>
        <w:tc>
          <w:tcPr>
            <w:tcW w:w="1701" w:type="dxa"/>
            <w:hideMark/>
          </w:tcPr>
          <w:p w:rsidR="00C8707C" w:rsidRPr="000B6417" w:rsidRDefault="00C8707C" w:rsidP="00CF71CF">
            <w:pPr>
              <w:cnfStyle w:val="100000000000" w:firstRow="1" w:lastRow="0" w:firstColumn="0" w:lastColumn="0" w:oddVBand="0" w:evenVBand="0" w:oddHBand="0" w:evenHBand="0" w:firstRowFirstColumn="0" w:firstRowLastColumn="0" w:lastRowFirstColumn="0" w:lastRowLastColumn="0"/>
              <w:rPr>
                <w:b w:val="0"/>
                <w:lang w:eastAsia="en-AU"/>
              </w:rPr>
            </w:pPr>
            <w:r w:rsidRPr="000B6417">
              <w:rPr>
                <w:b w:val="0"/>
                <w:bCs/>
                <w:spacing w:val="1"/>
                <w:position w:val="-1"/>
                <w:lang w:eastAsia="en-AU"/>
              </w:rPr>
              <w:t>Pivotal</w:t>
            </w:r>
            <w:r w:rsidR="00CF71CF">
              <w:rPr>
                <w:b w:val="0"/>
                <w:bCs/>
                <w:spacing w:val="1"/>
                <w:position w:val="-1"/>
                <w:lang w:eastAsia="en-AU"/>
              </w:rPr>
              <w:t xml:space="preserve"> </w:t>
            </w:r>
            <w:r w:rsidRPr="000B6417">
              <w:rPr>
                <w:b w:val="0"/>
                <w:bCs/>
                <w:spacing w:val="1"/>
                <w:w w:val="99"/>
                <w:position w:val="1"/>
                <w:lang w:eastAsia="en-AU"/>
              </w:rPr>
              <w:t xml:space="preserve">AI447028 </w:t>
            </w:r>
            <w:r w:rsidRPr="000B6417">
              <w:rPr>
                <w:b w:val="0"/>
                <w:bCs/>
                <w:spacing w:val="1"/>
                <w:w w:val="99"/>
                <w:position w:val="1"/>
                <w:vertAlign w:val="superscript"/>
                <w:lang w:eastAsia="en-AU"/>
              </w:rPr>
              <w:t>c</w:t>
            </w:r>
          </w:p>
        </w:tc>
        <w:tc>
          <w:tcPr>
            <w:tcW w:w="1701" w:type="dxa"/>
            <w:hideMark/>
          </w:tcPr>
          <w:p w:rsidR="00C8707C" w:rsidRPr="000B6417" w:rsidRDefault="00C8707C" w:rsidP="00CF71CF">
            <w:pPr>
              <w:cnfStyle w:val="100000000000" w:firstRow="1" w:lastRow="0" w:firstColumn="0" w:lastColumn="0" w:oddVBand="0" w:evenVBand="0" w:oddHBand="0" w:evenHBand="0" w:firstRowFirstColumn="0" w:firstRowLastColumn="0" w:lastRowFirstColumn="0" w:lastRowLastColumn="0"/>
              <w:rPr>
                <w:b w:val="0"/>
                <w:lang w:eastAsia="en-AU"/>
              </w:rPr>
            </w:pPr>
            <w:r w:rsidRPr="000B6417">
              <w:rPr>
                <w:b w:val="0"/>
                <w:bCs/>
                <w:spacing w:val="1"/>
                <w:position w:val="-1"/>
                <w:lang w:eastAsia="en-AU"/>
              </w:rPr>
              <w:t>Pivotal</w:t>
            </w:r>
            <w:r w:rsidR="00CF71CF">
              <w:rPr>
                <w:b w:val="0"/>
                <w:bCs/>
                <w:spacing w:val="1"/>
                <w:position w:val="-1"/>
                <w:lang w:eastAsia="en-AU"/>
              </w:rPr>
              <w:t xml:space="preserve"> </w:t>
            </w:r>
            <w:r w:rsidRPr="000B6417">
              <w:rPr>
                <w:b w:val="0"/>
                <w:bCs/>
                <w:spacing w:val="1"/>
                <w:w w:val="99"/>
                <w:position w:val="1"/>
                <w:lang w:eastAsia="en-AU"/>
              </w:rPr>
              <w:t xml:space="preserve">AI447026 </w:t>
            </w:r>
            <w:r w:rsidRPr="000B6417">
              <w:rPr>
                <w:b w:val="0"/>
                <w:bCs/>
                <w:spacing w:val="1"/>
                <w:w w:val="99"/>
                <w:position w:val="1"/>
                <w:vertAlign w:val="superscript"/>
                <w:lang w:eastAsia="en-AU"/>
              </w:rPr>
              <w:t>c</w:t>
            </w:r>
          </w:p>
        </w:tc>
        <w:tc>
          <w:tcPr>
            <w:tcW w:w="1698" w:type="dxa"/>
            <w:hideMark/>
          </w:tcPr>
          <w:p w:rsidR="00C8707C" w:rsidRPr="000B6417" w:rsidRDefault="00C8707C" w:rsidP="00492677">
            <w:pPr>
              <w:cnfStyle w:val="100000000000" w:firstRow="1" w:lastRow="0" w:firstColumn="0" w:lastColumn="0" w:oddVBand="0" w:evenVBand="0" w:oddHBand="0" w:evenHBand="0" w:firstRowFirstColumn="0" w:firstRowLastColumn="0" w:lastRowFirstColumn="0" w:lastRowLastColumn="0"/>
              <w:rPr>
                <w:b w:val="0"/>
                <w:lang w:eastAsia="en-AU"/>
              </w:rPr>
            </w:pPr>
            <w:r w:rsidRPr="000B6417">
              <w:rPr>
                <w:b w:val="0"/>
                <w:bCs/>
                <w:w w:val="99"/>
                <w:position w:val="-1"/>
                <w:lang w:eastAsia="en-AU"/>
              </w:rPr>
              <w:t>Supportive</w:t>
            </w:r>
            <w:r w:rsidR="00492677">
              <w:rPr>
                <w:b w:val="0"/>
                <w:bCs/>
                <w:w w:val="99"/>
                <w:position w:val="-1"/>
                <w:lang w:eastAsia="en-AU"/>
              </w:rPr>
              <w:t xml:space="preserve"> </w:t>
            </w:r>
            <w:r w:rsidRPr="000B6417">
              <w:rPr>
                <w:b w:val="0"/>
                <w:bCs/>
                <w:spacing w:val="1"/>
                <w:position w:val="1"/>
                <w:lang w:eastAsia="en-AU"/>
              </w:rPr>
              <w:t xml:space="preserve">AI447017 </w:t>
            </w:r>
            <w:r w:rsidRPr="000B6417">
              <w:rPr>
                <w:b w:val="0"/>
                <w:bCs/>
                <w:spacing w:val="1"/>
                <w:position w:val="1"/>
                <w:vertAlign w:val="superscript"/>
                <w:lang w:eastAsia="en-AU"/>
              </w:rPr>
              <w:t>d, e</w:t>
            </w:r>
          </w:p>
        </w:tc>
        <w:tc>
          <w:tcPr>
            <w:tcW w:w="1701" w:type="dxa"/>
            <w:hideMark/>
          </w:tcPr>
          <w:p w:rsidR="00C8707C" w:rsidRPr="000B6417" w:rsidRDefault="00C8707C" w:rsidP="00492677">
            <w:pPr>
              <w:cnfStyle w:val="100000000000" w:firstRow="1" w:lastRow="0" w:firstColumn="0" w:lastColumn="0" w:oddVBand="0" w:evenVBand="0" w:oddHBand="0" w:evenHBand="0" w:firstRowFirstColumn="0" w:firstRowLastColumn="0" w:lastRowFirstColumn="0" w:lastRowLastColumn="0"/>
              <w:rPr>
                <w:b w:val="0"/>
                <w:lang w:eastAsia="en-AU"/>
              </w:rPr>
            </w:pPr>
            <w:r w:rsidRPr="000B6417">
              <w:rPr>
                <w:b w:val="0"/>
                <w:bCs/>
                <w:w w:val="99"/>
                <w:position w:val="-1"/>
                <w:lang w:eastAsia="en-AU"/>
              </w:rPr>
              <w:t>Supportive</w:t>
            </w:r>
            <w:r w:rsidR="00492677">
              <w:rPr>
                <w:b w:val="0"/>
                <w:bCs/>
                <w:w w:val="99"/>
                <w:position w:val="-1"/>
                <w:lang w:eastAsia="en-AU"/>
              </w:rPr>
              <w:t xml:space="preserve"> </w:t>
            </w:r>
            <w:r w:rsidRPr="000B6417">
              <w:rPr>
                <w:b w:val="0"/>
                <w:bCs/>
                <w:spacing w:val="1"/>
                <w:position w:val="1"/>
                <w:lang w:eastAsia="en-AU"/>
              </w:rPr>
              <w:t xml:space="preserve">AI447011 </w:t>
            </w:r>
            <w:r w:rsidRPr="000B6417">
              <w:rPr>
                <w:b w:val="0"/>
                <w:bCs/>
                <w:spacing w:val="1"/>
                <w:position w:val="1"/>
                <w:vertAlign w:val="superscript"/>
                <w:lang w:eastAsia="en-AU"/>
              </w:rPr>
              <w:t>d, f</w:t>
            </w:r>
          </w:p>
        </w:tc>
      </w:tr>
      <w:tr w:rsidR="00C8707C" w:rsidTr="00CF71CF">
        <w:tc>
          <w:tcPr>
            <w:cnfStyle w:val="001000000000" w:firstRow="0" w:lastRow="0" w:firstColumn="1" w:lastColumn="0" w:oddVBand="0" w:evenVBand="0" w:oddHBand="0" w:evenHBand="0" w:firstRowFirstColumn="0" w:firstRowLastColumn="0" w:lastRowFirstColumn="0" w:lastRowLastColumn="0"/>
            <w:tcW w:w="9125" w:type="dxa"/>
            <w:gridSpan w:val="5"/>
            <w:hideMark/>
          </w:tcPr>
          <w:p w:rsidR="00C8707C" w:rsidRPr="000B6417" w:rsidRDefault="00C8707C" w:rsidP="00CF71CF">
            <w:pPr>
              <w:rPr>
                <w:lang w:eastAsia="en-AU"/>
              </w:rPr>
            </w:pPr>
            <w:r w:rsidRPr="000B6417">
              <w:rPr>
                <w:bCs/>
                <w:spacing w:val="1"/>
                <w:lang w:eastAsia="en-AU"/>
              </w:rPr>
              <w:t>Treat</w:t>
            </w:r>
            <w:r w:rsidRPr="000B6417">
              <w:rPr>
                <w:bCs/>
                <w:spacing w:val="-5"/>
                <w:lang w:eastAsia="en-AU"/>
              </w:rPr>
              <w:t>m</w:t>
            </w:r>
            <w:r w:rsidRPr="000B6417">
              <w:rPr>
                <w:bCs/>
                <w:spacing w:val="1"/>
                <w:lang w:eastAsia="en-AU"/>
              </w:rPr>
              <w:t>en</w:t>
            </w:r>
            <w:r w:rsidRPr="000B6417">
              <w:rPr>
                <w:bCs/>
                <w:lang w:eastAsia="en-AU"/>
              </w:rPr>
              <w:t>t</w:t>
            </w:r>
            <w:r w:rsidRPr="000B6417">
              <w:rPr>
                <w:bCs/>
                <w:spacing w:val="-8"/>
                <w:lang w:eastAsia="en-AU"/>
              </w:rPr>
              <w:t xml:space="preserve"> </w:t>
            </w:r>
            <w:r w:rsidRPr="000B6417">
              <w:rPr>
                <w:bCs/>
                <w:spacing w:val="1"/>
                <w:lang w:eastAsia="en-AU"/>
              </w:rPr>
              <w:t xml:space="preserve">naïve </w:t>
            </w:r>
          </w:p>
        </w:tc>
      </w:tr>
      <w:tr w:rsidR="00C8707C" w:rsidTr="00CF71CF">
        <w:tc>
          <w:tcPr>
            <w:cnfStyle w:val="001000000000" w:firstRow="0" w:lastRow="0" w:firstColumn="1" w:lastColumn="0" w:oddVBand="0" w:evenVBand="0" w:oddHBand="0" w:evenHBand="0" w:firstRowFirstColumn="0" w:firstRowLastColumn="0" w:lastRowFirstColumn="0" w:lastRowLastColumn="0"/>
            <w:tcW w:w="2324" w:type="dxa"/>
            <w:hideMark/>
          </w:tcPr>
          <w:p w:rsidR="00C8707C" w:rsidRPr="000B6417" w:rsidRDefault="00C8707C" w:rsidP="00CF71CF">
            <w:pPr>
              <w:rPr>
                <w:lang w:eastAsia="en-AU"/>
              </w:rPr>
            </w:pPr>
            <w:r w:rsidRPr="000B6417">
              <w:rPr>
                <w:position w:val="6"/>
                <w:lang w:eastAsia="en-AU"/>
              </w:rPr>
              <w:t>SVR12</w:t>
            </w:r>
          </w:p>
        </w:tc>
        <w:tc>
          <w:tcPr>
            <w:tcW w:w="170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184/205</w:t>
            </w:r>
            <w:r w:rsidRPr="000B6417">
              <w:rPr>
                <w:spacing w:val="-6"/>
                <w:lang w:eastAsia="en-AU"/>
              </w:rPr>
              <w:t xml:space="preserve"> </w:t>
            </w:r>
            <w:r w:rsidRPr="000B6417">
              <w:rPr>
                <w:lang w:eastAsia="en-AU"/>
              </w:rPr>
              <w:t>(90.6)</w:t>
            </w:r>
            <w:r w:rsidRPr="000B6417">
              <w:rPr>
                <w:spacing w:val="-5"/>
                <w:lang w:eastAsia="en-AU"/>
              </w:rPr>
              <w:t xml:space="preserve"> </w:t>
            </w:r>
            <w:r w:rsidRPr="000B6417">
              <w:rPr>
                <w:spacing w:val="1"/>
                <w:lang w:eastAsia="en-AU"/>
              </w:rPr>
              <w:t>[</w:t>
            </w:r>
            <w:r w:rsidRPr="000B6417">
              <w:rPr>
                <w:lang w:eastAsia="en-AU"/>
              </w:rPr>
              <w:t>86.6</w:t>
            </w:r>
            <w:r w:rsidRPr="000B6417">
              <w:rPr>
                <w:spacing w:val="-3"/>
                <w:lang w:eastAsia="en-AU"/>
              </w:rPr>
              <w:t xml:space="preserve"> </w:t>
            </w:r>
            <w:r w:rsidRPr="000B6417">
              <w:rPr>
                <w:lang w:eastAsia="en-AU"/>
              </w:rPr>
              <w:t>, 94.</w:t>
            </w:r>
            <w:r w:rsidRPr="000B6417">
              <w:rPr>
                <w:spacing w:val="1"/>
                <w:lang w:eastAsia="en-AU"/>
              </w:rPr>
              <w:t>6</w:t>
            </w:r>
            <w:r w:rsidRPr="000B6417">
              <w:rPr>
                <w:lang w:eastAsia="en-AU"/>
              </w:rPr>
              <w:t>]</w:t>
            </w:r>
          </w:p>
        </w:tc>
        <w:tc>
          <w:tcPr>
            <w:tcW w:w="170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NA</w:t>
            </w:r>
          </w:p>
        </w:tc>
        <w:tc>
          <w:tcPr>
            <w:tcW w:w="1698"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NA</w:t>
            </w:r>
          </w:p>
        </w:tc>
        <w:tc>
          <w:tcPr>
            <w:tcW w:w="170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NA</w:t>
            </w:r>
          </w:p>
        </w:tc>
      </w:tr>
      <w:tr w:rsidR="00C8707C" w:rsidTr="00CF71CF">
        <w:tc>
          <w:tcPr>
            <w:cnfStyle w:val="001000000000" w:firstRow="0" w:lastRow="0" w:firstColumn="1" w:lastColumn="0" w:oddVBand="0" w:evenVBand="0" w:oddHBand="0" w:evenHBand="0" w:firstRowFirstColumn="0" w:firstRowLastColumn="0" w:lastRowFirstColumn="0" w:lastRowLastColumn="0"/>
            <w:tcW w:w="2324" w:type="dxa"/>
            <w:hideMark/>
          </w:tcPr>
          <w:p w:rsidR="00C8707C" w:rsidRPr="000B6417" w:rsidRDefault="00C8707C" w:rsidP="00CF71CF">
            <w:pPr>
              <w:rPr>
                <w:lang w:eastAsia="en-AU"/>
              </w:rPr>
            </w:pPr>
            <w:r w:rsidRPr="000B6417">
              <w:rPr>
                <w:position w:val="7"/>
                <w:lang w:eastAsia="en-AU"/>
              </w:rPr>
              <w:lastRenderedPageBreak/>
              <w:t>SVR24</w:t>
            </w:r>
          </w:p>
        </w:tc>
        <w:tc>
          <w:tcPr>
            <w:tcW w:w="170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155/2</w:t>
            </w:r>
            <w:r w:rsidRPr="000B6417">
              <w:rPr>
                <w:spacing w:val="-1"/>
                <w:lang w:eastAsia="en-AU"/>
              </w:rPr>
              <w:t>0</w:t>
            </w:r>
            <w:r w:rsidRPr="000B6417">
              <w:rPr>
                <w:lang w:eastAsia="en-AU"/>
              </w:rPr>
              <w:t>3</w:t>
            </w:r>
            <w:r w:rsidRPr="000B6417">
              <w:rPr>
                <w:spacing w:val="-7"/>
                <w:lang w:eastAsia="en-AU"/>
              </w:rPr>
              <w:t xml:space="preserve"> </w:t>
            </w:r>
            <w:r w:rsidRPr="000B6417">
              <w:rPr>
                <w:lang w:eastAsia="en-AU"/>
              </w:rPr>
              <w:t>(76.4</w:t>
            </w:r>
            <w:r w:rsidRPr="000B6417">
              <w:rPr>
                <w:spacing w:val="1"/>
                <w:lang w:eastAsia="en-AU"/>
              </w:rPr>
              <w:t xml:space="preserve">) </w:t>
            </w:r>
            <w:r w:rsidRPr="000B6417">
              <w:rPr>
                <w:spacing w:val="1"/>
                <w:vertAlign w:val="superscript"/>
                <w:lang w:eastAsia="en-AU"/>
              </w:rPr>
              <w:t>f</w:t>
            </w:r>
          </w:p>
        </w:tc>
        <w:tc>
          <w:tcPr>
            <w:tcW w:w="170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position w:val="7"/>
                <w:lang w:eastAsia="en-AU"/>
              </w:rPr>
              <w:t>NA</w:t>
            </w:r>
          </w:p>
        </w:tc>
        <w:tc>
          <w:tcPr>
            <w:tcW w:w="1698"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position w:val="7"/>
                <w:lang w:eastAsia="en-AU"/>
              </w:rPr>
              <w:t>NA</w:t>
            </w:r>
          </w:p>
        </w:tc>
        <w:tc>
          <w:tcPr>
            <w:tcW w:w="170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position w:val="7"/>
                <w:lang w:eastAsia="en-AU"/>
              </w:rPr>
              <w:t>NA</w:t>
            </w:r>
          </w:p>
        </w:tc>
      </w:tr>
      <w:tr w:rsidR="00C8707C" w:rsidTr="00CF71CF">
        <w:tc>
          <w:tcPr>
            <w:cnfStyle w:val="001000000000" w:firstRow="0" w:lastRow="0" w:firstColumn="1" w:lastColumn="0" w:oddVBand="0" w:evenVBand="0" w:oddHBand="0" w:evenHBand="0" w:firstRowFirstColumn="0" w:firstRowLastColumn="0" w:lastRowFirstColumn="0" w:lastRowLastColumn="0"/>
            <w:tcW w:w="2324" w:type="dxa"/>
            <w:hideMark/>
          </w:tcPr>
          <w:p w:rsidR="00C8707C" w:rsidRPr="000B6417" w:rsidRDefault="00C8707C" w:rsidP="00CF71CF">
            <w:pPr>
              <w:rPr>
                <w:lang w:eastAsia="en-AU"/>
              </w:rPr>
            </w:pPr>
            <w:r w:rsidRPr="000B6417">
              <w:rPr>
                <w:lang w:eastAsia="en-AU"/>
              </w:rPr>
              <w:t>RVR</w:t>
            </w:r>
          </w:p>
        </w:tc>
        <w:tc>
          <w:tcPr>
            <w:tcW w:w="170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168/2</w:t>
            </w:r>
            <w:r w:rsidRPr="000B6417">
              <w:rPr>
                <w:spacing w:val="-1"/>
                <w:lang w:eastAsia="en-AU"/>
              </w:rPr>
              <w:t>0</w:t>
            </w:r>
            <w:r w:rsidRPr="000B6417">
              <w:rPr>
                <w:lang w:eastAsia="en-AU"/>
              </w:rPr>
              <w:t>3</w:t>
            </w:r>
            <w:r w:rsidRPr="000B6417">
              <w:rPr>
                <w:spacing w:val="-5"/>
                <w:lang w:eastAsia="en-AU"/>
              </w:rPr>
              <w:t xml:space="preserve"> </w:t>
            </w:r>
            <w:r w:rsidRPr="000B6417">
              <w:rPr>
                <w:lang w:eastAsia="en-AU"/>
              </w:rPr>
              <w:t>(82.8)</w:t>
            </w:r>
          </w:p>
        </w:tc>
        <w:tc>
          <w:tcPr>
            <w:tcW w:w="170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NA</w:t>
            </w:r>
          </w:p>
        </w:tc>
        <w:tc>
          <w:tcPr>
            <w:tcW w:w="1698"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NA</w:t>
            </w:r>
          </w:p>
        </w:tc>
        <w:tc>
          <w:tcPr>
            <w:tcW w:w="170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NA</w:t>
            </w:r>
          </w:p>
        </w:tc>
      </w:tr>
      <w:tr w:rsidR="00C8707C" w:rsidTr="00CF71CF">
        <w:tc>
          <w:tcPr>
            <w:cnfStyle w:val="001000000000" w:firstRow="0" w:lastRow="0" w:firstColumn="1" w:lastColumn="0" w:oddVBand="0" w:evenVBand="0" w:oddHBand="0" w:evenHBand="0" w:firstRowFirstColumn="0" w:firstRowLastColumn="0" w:lastRowFirstColumn="0" w:lastRowLastColumn="0"/>
            <w:tcW w:w="2324" w:type="dxa"/>
            <w:hideMark/>
          </w:tcPr>
          <w:p w:rsidR="00C8707C" w:rsidRPr="000B6417" w:rsidRDefault="00C8707C" w:rsidP="00CF71CF">
            <w:pPr>
              <w:rPr>
                <w:lang w:eastAsia="en-AU"/>
              </w:rPr>
            </w:pPr>
            <w:proofErr w:type="spellStart"/>
            <w:r w:rsidRPr="000B6417">
              <w:rPr>
                <w:lang w:eastAsia="en-AU"/>
              </w:rPr>
              <w:t>c</w:t>
            </w:r>
            <w:r w:rsidRPr="000B6417">
              <w:rPr>
                <w:spacing w:val="1"/>
                <w:lang w:eastAsia="en-AU"/>
              </w:rPr>
              <w:t>E</w:t>
            </w:r>
            <w:r w:rsidRPr="000B6417">
              <w:rPr>
                <w:lang w:eastAsia="en-AU"/>
              </w:rPr>
              <w:t>VR</w:t>
            </w:r>
            <w:proofErr w:type="spellEnd"/>
          </w:p>
        </w:tc>
        <w:tc>
          <w:tcPr>
            <w:tcW w:w="170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lang w:eastAsia="en-AU"/>
              </w:rPr>
              <w:t>191/203</w:t>
            </w:r>
            <w:r w:rsidRPr="000B6417">
              <w:rPr>
                <w:spacing w:val="-6"/>
                <w:lang w:eastAsia="en-AU"/>
              </w:rPr>
              <w:t xml:space="preserve"> </w:t>
            </w:r>
            <w:r w:rsidRPr="000B6417">
              <w:rPr>
                <w:lang w:eastAsia="en-AU"/>
              </w:rPr>
              <w:t>(94.1)</w:t>
            </w:r>
          </w:p>
        </w:tc>
        <w:tc>
          <w:tcPr>
            <w:tcW w:w="170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NA</w:t>
            </w:r>
          </w:p>
        </w:tc>
        <w:tc>
          <w:tcPr>
            <w:tcW w:w="1698"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NA</w:t>
            </w:r>
          </w:p>
        </w:tc>
        <w:tc>
          <w:tcPr>
            <w:tcW w:w="170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NA</w:t>
            </w:r>
          </w:p>
        </w:tc>
      </w:tr>
      <w:tr w:rsidR="00C8707C" w:rsidTr="00CF71CF">
        <w:tc>
          <w:tcPr>
            <w:cnfStyle w:val="001000000000" w:firstRow="0" w:lastRow="0" w:firstColumn="1" w:lastColumn="0" w:oddVBand="0" w:evenVBand="0" w:oddHBand="0" w:evenHBand="0" w:firstRowFirstColumn="0" w:firstRowLastColumn="0" w:lastRowFirstColumn="0" w:lastRowLastColumn="0"/>
            <w:tcW w:w="2324" w:type="dxa"/>
            <w:hideMark/>
          </w:tcPr>
          <w:p w:rsidR="00C8707C" w:rsidRPr="000B6417" w:rsidRDefault="00C8707C" w:rsidP="00CF71CF">
            <w:pPr>
              <w:rPr>
                <w:lang w:eastAsia="en-AU"/>
              </w:rPr>
            </w:pPr>
            <w:r w:rsidRPr="000B6417">
              <w:rPr>
                <w:spacing w:val="1"/>
                <w:lang w:eastAsia="en-AU"/>
              </w:rPr>
              <w:t>EOT</w:t>
            </w:r>
            <w:r w:rsidRPr="000B6417">
              <w:rPr>
                <w:lang w:eastAsia="en-AU"/>
              </w:rPr>
              <w:t>R</w:t>
            </w:r>
          </w:p>
        </w:tc>
        <w:tc>
          <w:tcPr>
            <w:tcW w:w="170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189/20</w:t>
            </w:r>
            <w:r w:rsidRPr="000B6417">
              <w:rPr>
                <w:lang w:eastAsia="en-AU"/>
              </w:rPr>
              <w:t>3</w:t>
            </w:r>
            <w:r w:rsidRPr="000B6417">
              <w:rPr>
                <w:spacing w:val="-5"/>
                <w:lang w:eastAsia="en-AU"/>
              </w:rPr>
              <w:t xml:space="preserve"> </w:t>
            </w:r>
            <w:r w:rsidRPr="000B6417">
              <w:rPr>
                <w:lang w:eastAsia="en-AU"/>
              </w:rPr>
              <w:t>(93.1)</w:t>
            </w:r>
          </w:p>
        </w:tc>
        <w:tc>
          <w:tcPr>
            <w:tcW w:w="170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NA</w:t>
            </w:r>
          </w:p>
        </w:tc>
        <w:tc>
          <w:tcPr>
            <w:tcW w:w="1698"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NA</w:t>
            </w:r>
          </w:p>
        </w:tc>
        <w:tc>
          <w:tcPr>
            <w:tcW w:w="170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NA</w:t>
            </w:r>
          </w:p>
        </w:tc>
      </w:tr>
      <w:tr w:rsidR="00C8707C" w:rsidTr="00CF71CF">
        <w:tc>
          <w:tcPr>
            <w:cnfStyle w:val="001000000000" w:firstRow="0" w:lastRow="0" w:firstColumn="1" w:lastColumn="0" w:oddVBand="0" w:evenVBand="0" w:oddHBand="0" w:evenHBand="0" w:firstRowFirstColumn="0" w:firstRowLastColumn="0" w:lastRowFirstColumn="0" w:lastRowLastColumn="0"/>
            <w:tcW w:w="2324" w:type="dxa"/>
            <w:hideMark/>
          </w:tcPr>
          <w:p w:rsidR="00C8707C" w:rsidRPr="000B6417" w:rsidRDefault="00C8707C" w:rsidP="00CF71CF">
            <w:pPr>
              <w:rPr>
                <w:lang w:eastAsia="en-AU"/>
              </w:rPr>
            </w:pPr>
            <w:r w:rsidRPr="000B6417">
              <w:rPr>
                <w:lang w:eastAsia="en-AU"/>
              </w:rPr>
              <w:t>SVR4</w:t>
            </w:r>
          </w:p>
        </w:tc>
        <w:tc>
          <w:tcPr>
            <w:tcW w:w="170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181/203</w:t>
            </w:r>
            <w:r w:rsidRPr="000B6417">
              <w:rPr>
                <w:spacing w:val="-6"/>
                <w:lang w:eastAsia="en-AU"/>
              </w:rPr>
              <w:t xml:space="preserve"> </w:t>
            </w:r>
            <w:r w:rsidRPr="000B6417">
              <w:rPr>
                <w:lang w:eastAsia="en-AU"/>
              </w:rPr>
              <w:t>(89.2)</w:t>
            </w:r>
          </w:p>
        </w:tc>
        <w:tc>
          <w:tcPr>
            <w:tcW w:w="170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NA</w:t>
            </w:r>
          </w:p>
        </w:tc>
        <w:tc>
          <w:tcPr>
            <w:tcW w:w="1698"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NA</w:t>
            </w:r>
          </w:p>
        </w:tc>
        <w:tc>
          <w:tcPr>
            <w:tcW w:w="170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NA</w:t>
            </w:r>
          </w:p>
        </w:tc>
      </w:tr>
      <w:tr w:rsidR="00C8707C" w:rsidTr="00CF71CF">
        <w:tc>
          <w:tcPr>
            <w:cnfStyle w:val="001000000000" w:firstRow="0" w:lastRow="0" w:firstColumn="1" w:lastColumn="0" w:oddVBand="0" w:evenVBand="0" w:oddHBand="0" w:evenHBand="0" w:firstRowFirstColumn="0" w:firstRowLastColumn="0" w:lastRowFirstColumn="0" w:lastRowLastColumn="0"/>
            <w:tcW w:w="9125" w:type="dxa"/>
            <w:gridSpan w:val="5"/>
            <w:hideMark/>
          </w:tcPr>
          <w:p w:rsidR="00C8707C" w:rsidRPr="000B6417" w:rsidRDefault="00C8707C" w:rsidP="00CF71CF">
            <w:pPr>
              <w:rPr>
                <w:lang w:eastAsia="en-AU"/>
              </w:rPr>
            </w:pPr>
            <w:r w:rsidRPr="000B6417">
              <w:rPr>
                <w:bCs/>
                <w:lang w:eastAsia="en-AU"/>
              </w:rPr>
              <w:t>Ineligible/intolerants</w:t>
            </w:r>
          </w:p>
        </w:tc>
      </w:tr>
      <w:tr w:rsidR="00C8707C" w:rsidTr="00CF71CF">
        <w:tc>
          <w:tcPr>
            <w:cnfStyle w:val="001000000000" w:firstRow="0" w:lastRow="0" w:firstColumn="1" w:lastColumn="0" w:oddVBand="0" w:evenVBand="0" w:oddHBand="0" w:evenHBand="0" w:firstRowFirstColumn="0" w:firstRowLastColumn="0" w:lastRowFirstColumn="0" w:lastRowLastColumn="0"/>
            <w:tcW w:w="2324" w:type="dxa"/>
            <w:hideMark/>
          </w:tcPr>
          <w:p w:rsidR="00C8707C" w:rsidRPr="000B6417" w:rsidRDefault="00C8707C" w:rsidP="00CF71CF">
            <w:pPr>
              <w:rPr>
                <w:bCs/>
                <w:lang w:eastAsia="en-AU"/>
              </w:rPr>
            </w:pPr>
            <w:r w:rsidRPr="000B6417">
              <w:rPr>
                <w:lang w:eastAsia="en-AU"/>
              </w:rPr>
              <w:t>SVR12</w:t>
            </w:r>
          </w:p>
        </w:tc>
        <w:tc>
          <w:tcPr>
            <w:tcW w:w="170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194/235</w:t>
            </w:r>
            <w:r w:rsidRPr="000B6417">
              <w:rPr>
                <w:spacing w:val="-6"/>
                <w:lang w:eastAsia="en-AU"/>
              </w:rPr>
              <w:t xml:space="preserve"> </w:t>
            </w:r>
            <w:r w:rsidRPr="000B6417">
              <w:rPr>
                <w:lang w:eastAsia="en-AU"/>
              </w:rPr>
              <w:t>(82.6)</w:t>
            </w:r>
            <w:r w:rsidRPr="000B6417">
              <w:rPr>
                <w:spacing w:val="-5"/>
                <w:lang w:eastAsia="en-AU"/>
              </w:rPr>
              <w:t xml:space="preserve"> </w:t>
            </w:r>
            <w:r w:rsidRPr="000B6417">
              <w:rPr>
                <w:spacing w:val="1"/>
                <w:lang w:eastAsia="en-AU"/>
              </w:rPr>
              <w:t>[77.</w:t>
            </w:r>
            <w:r w:rsidRPr="000B6417">
              <w:rPr>
                <w:lang w:eastAsia="en-AU"/>
              </w:rPr>
              <w:t>7</w:t>
            </w:r>
            <w:r w:rsidRPr="000B6417">
              <w:rPr>
                <w:spacing w:val="-3"/>
                <w:lang w:eastAsia="en-AU"/>
              </w:rPr>
              <w:t xml:space="preserve"> </w:t>
            </w:r>
            <w:r w:rsidRPr="000B6417">
              <w:rPr>
                <w:lang w:eastAsia="en-AU"/>
              </w:rPr>
              <w:t xml:space="preserve">, </w:t>
            </w:r>
            <w:r w:rsidRPr="000B6417">
              <w:rPr>
                <w:spacing w:val="1"/>
                <w:lang w:eastAsia="en-AU"/>
              </w:rPr>
              <w:t>87.4]</w:t>
            </w:r>
          </w:p>
        </w:tc>
        <w:tc>
          <w:tcPr>
            <w:tcW w:w="170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119/135</w:t>
            </w:r>
            <w:r w:rsidRPr="000B6417">
              <w:rPr>
                <w:spacing w:val="-6"/>
                <w:lang w:eastAsia="en-AU"/>
              </w:rPr>
              <w:t xml:space="preserve"> </w:t>
            </w:r>
            <w:r w:rsidRPr="000B6417">
              <w:rPr>
                <w:lang w:eastAsia="en-AU"/>
              </w:rPr>
              <w:t xml:space="preserve">(88.1) </w:t>
            </w:r>
            <w:r w:rsidRPr="000B6417">
              <w:rPr>
                <w:spacing w:val="1"/>
                <w:lang w:eastAsia="en-AU"/>
              </w:rPr>
              <w:t>[82.</w:t>
            </w:r>
            <w:r w:rsidRPr="000B6417">
              <w:rPr>
                <w:lang w:eastAsia="en-AU"/>
              </w:rPr>
              <w:t>7</w:t>
            </w:r>
            <w:r w:rsidRPr="000B6417">
              <w:rPr>
                <w:spacing w:val="-3"/>
                <w:lang w:eastAsia="en-AU"/>
              </w:rPr>
              <w:t xml:space="preserve"> </w:t>
            </w:r>
            <w:r w:rsidRPr="000B6417">
              <w:rPr>
                <w:lang w:eastAsia="en-AU"/>
              </w:rPr>
              <w:t xml:space="preserve">, </w:t>
            </w:r>
            <w:r w:rsidRPr="000B6417">
              <w:rPr>
                <w:spacing w:val="1"/>
                <w:lang w:eastAsia="en-AU"/>
              </w:rPr>
              <w:t>93.6]</w:t>
            </w:r>
          </w:p>
        </w:tc>
        <w:tc>
          <w:tcPr>
            <w:tcW w:w="1698"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14/2</w:t>
            </w:r>
            <w:r w:rsidRPr="000B6417">
              <w:rPr>
                <w:lang w:eastAsia="en-AU"/>
              </w:rPr>
              <w:t>2</w:t>
            </w:r>
            <w:r w:rsidRPr="000B6417">
              <w:rPr>
                <w:spacing w:val="-4"/>
                <w:lang w:eastAsia="en-AU"/>
              </w:rPr>
              <w:t xml:space="preserve"> </w:t>
            </w:r>
            <w:r w:rsidRPr="000B6417">
              <w:rPr>
                <w:spacing w:val="1"/>
                <w:lang w:eastAsia="en-AU"/>
              </w:rPr>
              <w:t>(63.6)</w:t>
            </w:r>
            <w:r w:rsidRPr="000B6417">
              <w:rPr>
                <w:spacing w:val="-4"/>
                <w:lang w:eastAsia="en-AU"/>
              </w:rPr>
              <w:t xml:space="preserve"> </w:t>
            </w:r>
            <w:r w:rsidRPr="000B6417">
              <w:rPr>
                <w:spacing w:val="1"/>
                <w:lang w:eastAsia="en-AU"/>
              </w:rPr>
              <w:t>[</w:t>
            </w:r>
            <w:r w:rsidRPr="000B6417">
              <w:rPr>
                <w:lang w:eastAsia="en-AU"/>
              </w:rPr>
              <w:t>43.5,</w:t>
            </w:r>
            <w:r w:rsidRPr="000B6417">
              <w:rPr>
                <w:spacing w:val="-4"/>
                <w:lang w:eastAsia="en-AU"/>
              </w:rPr>
              <w:t xml:space="preserve"> </w:t>
            </w:r>
            <w:r w:rsidRPr="000B6417">
              <w:rPr>
                <w:lang w:eastAsia="en-AU"/>
              </w:rPr>
              <w:t>83.</w:t>
            </w:r>
            <w:r w:rsidRPr="000B6417">
              <w:rPr>
                <w:spacing w:val="1"/>
                <w:lang w:eastAsia="en-AU"/>
              </w:rPr>
              <w:t>7</w:t>
            </w:r>
            <w:r w:rsidRPr="000B6417">
              <w:rPr>
                <w:lang w:eastAsia="en-AU"/>
              </w:rPr>
              <w:t>]</w:t>
            </w:r>
          </w:p>
        </w:tc>
        <w:tc>
          <w:tcPr>
            <w:tcW w:w="1701" w:type="dxa"/>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p>
        </w:tc>
      </w:tr>
      <w:tr w:rsidR="00C8707C" w:rsidTr="00CF71CF">
        <w:tc>
          <w:tcPr>
            <w:cnfStyle w:val="001000000000" w:firstRow="0" w:lastRow="0" w:firstColumn="1" w:lastColumn="0" w:oddVBand="0" w:evenVBand="0" w:oddHBand="0" w:evenHBand="0" w:firstRowFirstColumn="0" w:firstRowLastColumn="0" w:lastRowFirstColumn="0" w:lastRowLastColumn="0"/>
            <w:tcW w:w="2324" w:type="dxa"/>
            <w:hideMark/>
          </w:tcPr>
          <w:p w:rsidR="00C8707C" w:rsidRPr="000B6417" w:rsidRDefault="00C8707C" w:rsidP="00CF71CF">
            <w:pPr>
              <w:rPr>
                <w:lang w:eastAsia="en-AU"/>
              </w:rPr>
            </w:pPr>
            <w:r w:rsidRPr="000B6417">
              <w:rPr>
                <w:lang w:eastAsia="en-AU"/>
              </w:rPr>
              <w:t>SVR24</w:t>
            </w:r>
          </w:p>
        </w:tc>
        <w:tc>
          <w:tcPr>
            <w:tcW w:w="170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168/235 (71.5) </w:t>
            </w:r>
            <w:r w:rsidRPr="000B6417">
              <w:rPr>
                <w:vertAlign w:val="superscript"/>
                <w:lang w:eastAsia="en-AU"/>
              </w:rPr>
              <w:t>g</w:t>
            </w:r>
          </w:p>
        </w:tc>
        <w:tc>
          <w:tcPr>
            <w:tcW w:w="170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118/135</w:t>
            </w:r>
            <w:r w:rsidRPr="000B6417">
              <w:rPr>
                <w:spacing w:val="-6"/>
                <w:lang w:eastAsia="en-AU"/>
              </w:rPr>
              <w:t xml:space="preserve"> </w:t>
            </w:r>
            <w:r w:rsidRPr="000B6417">
              <w:rPr>
                <w:lang w:eastAsia="en-AU"/>
              </w:rPr>
              <w:t>(87.4)</w:t>
            </w:r>
          </w:p>
        </w:tc>
        <w:tc>
          <w:tcPr>
            <w:tcW w:w="1698"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1</w:t>
            </w:r>
            <w:r w:rsidRPr="000B6417">
              <w:rPr>
                <w:lang w:eastAsia="en-AU"/>
              </w:rPr>
              <w:t>4/22</w:t>
            </w:r>
            <w:r w:rsidRPr="000B6417">
              <w:rPr>
                <w:spacing w:val="-4"/>
                <w:lang w:eastAsia="en-AU"/>
              </w:rPr>
              <w:t xml:space="preserve"> </w:t>
            </w:r>
            <w:r w:rsidRPr="000B6417">
              <w:rPr>
                <w:lang w:eastAsia="en-AU"/>
              </w:rPr>
              <w:t>(63.6)</w:t>
            </w:r>
          </w:p>
        </w:tc>
        <w:tc>
          <w:tcPr>
            <w:tcW w:w="170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NA</w:t>
            </w:r>
          </w:p>
        </w:tc>
      </w:tr>
      <w:tr w:rsidR="00C8707C" w:rsidTr="00CF71CF">
        <w:tc>
          <w:tcPr>
            <w:cnfStyle w:val="001000000000" w:firstRow="0" w:lastRow="0" w:firstColumn="1" w:lastColumn="0" w:oddVBand="0" w:evenVBand="0" w:oddHBand="0" w:evenHBand="0" w:firstRowFirstColumn="0" w:firstRowLastColumn="0" w:lastRowFirstColumn="0" w:lastRowLastColumn="0"/>
            <w:tcW w:w="2324" w:type="dxa"/>
            <w:hideMark/>
          </w:tcPr>
          <w:p w:rsidR="00C8707C" w:rsidRPr="000B6417" w:rsidRDefault="00C8707C" w:rsidP="00CF71CF">
            <w:pPr>
              <w:rPr>
                <w:lang w:eastAsia="en-AU"/>
              </w:rPr>
            </w:pPr>
            <w:r w:rsidRPr="000B6417">
              <w:rPr>
                <w:lang w:eastAsia="en-AU"/>
              </w:rPr>
              <w:t>RVR</w:t>
            </w:r>
          </w:p>
        </w:tc>
        <w:tc>
          <w:tcPr>
            <w:tcW w:w="170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159/235</w:t>
            </w:r>
            <w:r w:rsidRPr="000B6417">
              <w:rPr>
                <w:spacing w:val="-6"/>
                <w:lang w:eastAsia="en-AU"/>
              </w:rPr>
              <w:t xml:space="preserve"> </w:t>
            </w:r>
            <w:r w:rsidRPr="000B6417">
              <w:rPr>
                <w:lang w:eastAsia="en-AU"/>
              </w:rPr>
              <w:t>(67.7)</w:t>
            </w:r>
          </w:p>
        </w:tc>
        <w:tc>
          <w:tcPr>
            <w:tcW w:w="170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114/135</w:t>
            </w:r>
            <w:r w:rsidRPr="000B6417">
              <w:rPr>
                <w:spacing w:val="-6"/>
                <w:lang w:eastAsia="en-AU"/>
              </w:rPr>
              <w:t xml:space="preserve"> </w:t>
            </w:r>
            <w:r w:rsidRPr="000B6417">
              <w:rPr>
                <w:lang w:eastAsia="en-AU"/>
              </w:rPr>
              <w:t>(84.4)</w:t>
            </w:r>
          </w:p>
        </w:tc>
        <w:tc>
          <w:tcPr>
            <w:tcW w:w="1698"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19/2</w:t>
            </w:r>
            <w:r w:rsidRPr="000B6417">
              <w:rPr>
                <w:lang w:eastAsia="en-AU"/>
              </w:rPr>
              <w:t>2</w:t>
            </w:r>
            <w:r w:rsidRPr="000B6417">
              <w:rPr>
                <w:spacing w:val="-4"/>
                <w:lang w:eastAsia="en-AU"/>
              </w:rPr>
              <w:t xml:space="preserve"> </w:t>
            </w:r>
            <w:r w:rsidRPr="000B6417">
              <w:rPr>
                <w:spacing w:val="1"/>
                <w:lang w:eastAsia="en-AU"/>
              </w:rPr>
              <w:t>(86.4</w:t>
            </w:r>
            <w:r w:rsidRPr="000B6417">
              <w:rPr>
                <w:lang w:eastAsia="en-AU"/>
              </w:rPr>
              <w:t>)</w:t>
            </w:r>
          </w:p>
        </w:tc>
        <w:tc>
          <w:tcPr>
            <w:tcW w:w="170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NA</w:t>
            </w:r>
          </w:p>
        </w:tc>
      </w:tr>
      <w:tr w:rsidR="00C8707C" w:rsidTr="00CF71CF">
        <w:tc>
          <w:tcPr>
            <w:cnfStyle w:val="001000000000" w:firstRow="0" w:lastRow="0" w:firstColumn="1" w:lastColumn="0" w:oddVBand="0" w:evenVBand="0" w:oddHBand="0" w:evenHBand="0" w:firstRowFirstColumn="0" w:firstRowLastColumn="0" w:lastRowFirstColumn="0" w:lastRowLastColumn="0"/>
            <w:tcW w:w="2324" w:type="dxa"/>
            <w:hideMark/>
          </w:tcPr>
          <w:p w:rsidR="00C8707C" w:rsidRPr="000B6417" w:rsidRDefault="00C8707C" w:rsidP="00CF71CF">
            <w:pPr>
              <w:rPr>
                <w:lang w:eastAsia="en-AU"/>
              </w:rPr>
            </w:pPr>
            <w:proofErr w:type="spellStart"/>
            <w:r w:rsidRPr="000B6417">
              <w:rPr>
                <w:lang w:eastAsia="en-AU"/>
              </w:rPr>
              <w:t>c</w:t>
            </w:r>
            <w:r w:rsidRPr="000B6417">
              <w:rPr>
                <w:spacing w:val="1"/>
                <w:lang w:eastAsia="en-AU"/>
              </w:rPr>
              <w:t>E</w:t>
            </w:r>
            <w:r w:rsidRPr="000B6417">
              <w:rPr>
                <w:lang w:eastAsia="en-AU"/>
              </w:rPr>
              <w:t>VR</w:t>
            </w:r>
            <w:proofErr w:type="spellEnd"/>
          </w:p>
        </w:tc>
        <w:tc>
          <w:tcPr>
            <w:tcW w:w="170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205/235</w:t>
            </w:r>
            <w:r w:rsidRPr="000B6417">
              <w:rPr>
                <w:spacing w:val="-6"/>
                <w:lang w:eastAsia="en-AU"/>
              </w:rPr>
              <w:t xml:space="preserve"> </w:t>
            </w:r>
            <w:r w:rsidRPr="000B6417">
              <w:rPr>
                <w:lang w:eastAsia="en-AU"/>
              </w:rPr>
              <w:t>(87.2)</w:t>
            </w:r>
          </w:p>
        </w:tc>
        <w:tc>
          <w:tcPr>
            <w:tcW w:w="170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125/135</w:t>
            </w:r>
            <w:r w:rsidRPr="000B6417">
              <w:rPr>
                <w:spacing w:val="-6"/>
                <w:lang w:eastAsia="en-AU"/>
              </w:rPr>
              <w:t xml:space="preserve"> </w:t>
            </w:r>
            <w:r w:rsidRPr="000B6417">
              <w:rPr>
                <w:lang w:eastAsia="en-AU"/>
              </w:rPr>
              <w:t>(92.6)</w:t>
            </w:r>
          </w:p>
        </w:tc>
        <w:tc>
          <w:tcPr>
            <w:tcW w:w="1698"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20/2</w:t>
            </w:r>
            <w:r w:rsidRPr="000B6417">
              <w:rPr>
                <w:lang w:eastAsia="en-AU"/>
              </w:rPr>
              <w:t>2</w:t>
            </w:r>
            <w:r w:rsidRPr="000B6417">
              <w:rPr>
                <w:spacing w:val="-4"/>
                <w:lang w:eastAsia="en-AU"/>
              </w:rPr>
              <w:t xml:space="preserve"> </w:t>
            </w:r>
            <w:r w:rsidRPr="000B6417">
              <w:rPr>
                <w:spacing w:val="1"/>
                <w:lang w:eastAsia="en-AU"/>
              </w:rPr>
              <w:t>(90.9</w:t>
            </w:r>
            <w:r w:rsidRPr="000B6417">
              <w:rPr>
                <w:lang w:eastAsia="en-AU"/>
              </w:rPr>
              <w:t>)</w:t>
            </w:r>
          </w:p>
        </w:tc>
        <w:tc>
          <w:tcPr>
            <w:tcW w:w="170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NA</w:t>
            </w:r>
          </w:p>
        </w:tc>
      </w:tr>
      <w:tr w:rsidR="00C8707C" w:rsidTr="00CF71CF">
        <w:tc>
          <w:tcPr>
            <w:cnfStyle w:val="001000000000" w:firstRow="0" w:lastRow="0" w:firstColumn="1" w:lastColumn="0" w:oddVBand="0" w:evenVBand="0" w:oddHBand="0" w:evenHBand="0" w:firstRowFirstColumn="0" w:firstRowLastColumn="0" w:lastRowFirstColumn="0" w:lastRowLastColumn="0"/>
            <w:tcW w:w="2324" w:type="dxa"/>
            <w:hideMark/>
          </w:tcPr>
          <w:p w:rsidR="00C8707C" w:rsidRPr="000B6417" w:rsidRDefault="00C8707C" w:rsidP="00CF71CF">
            <w:pPr>
              <w:rPr>
                <w:lang w:eastAsia="en-AU"/>
              </w:rPr>
            </w:pPr>
            <w:r w:rsidRPr="000B6417">
              <w:rPr>
                <w:spacing w:val="1"/>
                <w:lang w:eastAsia="en-AU"/>
              </w:rPr>
              <w:t>EOT</w:t>
            </w:r>
            <w:r w:rsidRPr="000B6417">
              <w:rPr>
                <w:lang w:eastAsia="en-AU"/>
              </w:rPr>
              <w:t>R</w:t>
            </w:r>
          </w:p>
        </w:tc>
        <w:tc>
          <w:tcPr>
            <w:tcW w:w="170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204/235</w:t>
            </w:r>
            <w:r w:rsidRPr="000B6417">
              <w:rPr>
                <w:spacing w:val="-6"/>
                <w:lang w:eastAsia="en-AU"/>
              </w:rPr>
              <w:t xml:space="preserve"> </w:t>
            </w:r>
            <w:r w:rsidRPr="000B6417">
              <w:rPr>
                <w:lang w:eastAsia="en-AU"/>
              </w:rPr>
              <w:t>(86.8)</w:t>
            </w:r>
          </w:p>
        </w:tc>
        <w:tc>
          <w:tcPr>
            <w:tcW w:w="170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129/135</w:t>
            </w:r>
            <w:r w:rsidRPr="000B6417">
              <w:rPr>
                <w:spacing w:val="-6"/>
                <w:lang w:eastAsia="en-AU"/>
              </w:rPr>
              <w:t xml:space="preserve"> </w:t>
            </w:r>
            <w:r w:rsidRPr="000B6417">
              <w:rPr>
                <w:lang w:eastAsia="en-AU"/>
              </w:rPr>
              <w:t>(95.6)</w:t>
            </w:r>
          </w:p>
        </w:tc>
        <w:tc>
          <w:tcPr>
            <w:tcW w:w="1698"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19/2</w:t>
            </w:r>
            <w:r w:rsidRPr="000B6417">
              <w:rPr>
                <w:lang w:eastAsia="en-AU"/>
              </w:rPr>
              <w:t>2</w:t>
            </w:r>
            <w:r w:rsidRPr="000B6417">
              <w:rPr>
                <w:spacing w:val="-4"/>
                <w:lang w:eastAsia="en-AU"/>
              </w:rPr>
              <w:t xml:space="preserve"> </w:t>
            </w:r>
            <w:r w:rsidRPr="000B6417">
              <w:rPr>
                <w:spacing w:val="1"/>
                <w:lang w:eastAsia="en-AU"/>
              </w:rPr>
              <w:t>(86.4</w:t>
            </w:r>
            <w:r w:rsidRPr="000B6417">
              <w:rPr>
                <w:lang w:eastAsia="en-AU"/>
              </w:rPr>
              <w:t>)</w:t>
            </w:r>
          </w:p>
        </w:tc>
        <w:tc>
          <w:tcPr>
            <w:tcW w:w="170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NA</w:t>
            </w:r>
          </w:p>
        </w:tc>
      </w:tr>
      <w:tr w:rsidR="00C8707C" w:rsidTr="00CF71CF">
        <w:tc>
          <w:tcPr>
            <w:cnfStyle w:val="001000000000" w:firstRow="0" w:lastRow="0" w:firstColumn="1" w:lastColumn="0" w:oddVBand="0" w:evenVBand="0" w:oddHBand="0" w:evenHBand="0" w:firstRowFirstColumn="0" w:firstRowLastColumn="0" w:lastRowFirstColumn="0" w:lastRowLastColumn="0"/>
            <w:tcW w:w="2324" w:type="dxa"/>
            <w:hideMark/>
          </w:tcPr>
          <w:p w:rsidR="00C8707C" w:rsidRPr="000B6417" w:rsidRDefault="00C8707C" w:rsidP="00CF71CF">
            <w:pPr>
              <w:rPr>
                <w:spacing w:val="1"/>
                <w:lang w:eastAsia="en-AU"/>
              </w:rPr>
            </w:pPr>
            <w:r w:rsidRPr="000B6417">
              <w:rPr>
                <w:lang w:eastAsia="en-AU"/>
              </w:rPr>
              <w:t>SVR4</w:t>
            </w:r>
          </w:p>
        </w:tc>
        <w:tc>
          <w:tcPr>
            <w:tcW w:w="170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198/235</w:t>
            </w:r>
            <w:r w:rsidRPr="000B6417">
              <w:rPr>
                <w:spacing w:val="-6"/>
                <w:lang w:eastAsia="en-AU"/>
              </w:rPr>
              <w:t xml:space="preserve"> </w:t>
            </w:r>
            <w:r w:rsidRPr="000B6417">
              <w:rPr>
                <w:lang w:eastAsia="en-AU"/>
              </w:rPr>
              <w:t>(84.3)</w:t>
            </w:r>
          </w:p>
        </w:tc>
        <w:tc>
          <w:tcPr>
            <w:tcW w:w="170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126/135</w:t>
            </w:r>
            <w:r w:rsidRPr="000B6417">
              <w:rPr>
                <w:spacing w:val="-6"/>
                <w:lang w:eastAsia="en-AU"/>
              </w:rPr>
              <w:t xml:space="preserve"> </w:t>
            </w:r>
            <w:r w:rsidRPr="000B6417">
              <w:rPr>
                <w:lang w:eastAsia="en-AU"/>
              </w:rPr>
              <w:t>(93.3)</w:t>
            </w:r>
          </w:p>
        </w:tc>
        <w:tc>
          <w:tcPr>
            <w:tcW w:w="1698"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15/2</w:t>
            </w:r>
            <w:r w:rsidRPr="000B6417">
              <w:rPr>
                <w:lang w:eastAsia="en-AU"/>
              </w:rPr>
              <w:t>2</w:t>
            </w:r>
            <w:r w:rsidRPr="000B6417">
              <w:rPr>
                <w:spacing w:val="-4"/>
                <w:lang w:eastAsia="en-AU"/>
              </w:rPr>
              <w:t xml:space="preserve"> </w:t>
            </w:r>
            <w:r w:rsidRPr="000B6417">
              <w:rPr>
                <w:spacing w:val="1"/>
                <w:lang w:eastAsia="en-AU"/>
              </w:rPr>
              <w:t>(6</w:t>
            </w:r>
            <w:r w:rsidRPr="000B6417">
              <w:rPr>
                <w:lang w:eastAsia="en-AU"/>
              </w:rPr>
              <w:t>8.2)</w:t>
            </w:r>
          </w:p>
        </w:tc>
        <w:tc>
          <w:tcPr>
            <w:tcW w:w="170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NA</w:t>
            </w:r>
          </w:p>
        </w:tc>
      </w:tr>
      <w:tr w:rsidR="00C8707C" w:rsidTr="00CF71CF">
        <w:tc>
          <w:tcPr>
            <w:cnfStyle w:val="001000000000" w:firstRow="0" w:lastRow="0" w:firstColumn="1" w:lastColumn="0" w:oddVBand="0" w:evenVBand="0" w:oddHBand="0" w:evenHBand="0" w:firstRowFirstColumn="0" w:firstRowLastColumn="0" w:lastRowFirstColumn="0" w:lastRowLastColumn="0"/>
            <w:tcW w:w="9125" w:type="dxa"/>
            <w:gridSpan w:val="5"/>
            <w:hideMark/>
          </w:tcPr>
          <w:p w:rsidR="00C8707C" w:rsidRPr="000B6417" w:rsidRDefault="00C8707C" w:rsidP="00CF71CF">
            <w:pPr>
              <w:rPr>
                <w:lang w:eastAsia="en-AU"/>
              </w:rPr>
            </w:pPr>
            <w:r w:rsidRPr="000B6417">
              <w:rPr>
                <w:bCs/>
                <w:lang w:eastAsia="en-AU"/>
              </w:rPr>
              <w:t>Prior</w:t>
            </w:r>
            <w:r w:rsidRPr="000B6417">
              <w:rPr>
                <w:bCs/>
                <w:spacing w:val="-4"/>
                <w:lang w:eastAsia="en-AU"/>
              </w:rPr>
              <w:t xml:space="preserve"> </w:t>
            </w:r>
            <w:r w:rsidRPr="000B6417">
              <w:rPr>
                <w:bCs/>
                <w:lang w:eastAsia="en-AU"/>
              </w:rPr>
              <w:t>non</w:t>
            </w:r>
            <w:r w:rsidRPr="000B6417">
              <w:rPr>
                <w:bCs/>
                <w:spacing w:val="1"/>
                <w:lang w:eastAsia="en-AU"/>
              </w:rPr>
              <w:t>-</w:t>
            </w:r>
            <w:r w:rsidRPr="000B6417">
              <w:rPr>
                <w:bCs/>
                <w:lang w:eastAsia="en-AU"/>
              </w:rPr>
              <w:t>responders</w:t>
            </w:r>
          </w:p>
        </w:tc>
      </w:tr>
      <w:tr w:rsidR="00C8707C" w:rsidTr="00CF71CF">
        <w:tc>
          <w:tcPr>
            <w:cnfStyle w:val="001000000000" w:firstRow="0" w:lastRow="0" w:firstColumn="1" w:lastColumn="0" w:oddVBand="0" w:evenVBand="0" w:oddHBand="0" w:evenHBand="0" w:firstRowFirstColumn="0" w:firstRowLastColumn="0" w:lastRowFirstColumn="0" w:lastRowLastColumn="0"/>
            <w:tcW w:w="2324" w:type="dxa"/>
            <w:hideMark/>
          </w:tcPr>
          <w:p w:rsidR="00C8707C" w:rsidRPr="000B6417" w:rsidRDefault="00C8707C" w:rsidP="00CF71CF">
            <w:pPr>
              <w:rPr>
                <w:lang w:eastAsia="en-AU"/>
              </w:rPr>
            </w:pPr>
            <w:r w:rsidRPr="000B6417">
              <w:rPr>
                <w:lang w:eastAsia="en-AU"/>
              </w:rPr>
              <w:t>SVR12</w:t>
            </w:r>
          </w:p>
        </w:tc>
        <w:tc>
          <w:tcPr>
            <w:tcW w:w="170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169/205</w:t>
            </w:r>
            <w:r w:rsidRPr="000B6417">
              <w:rPr>
                <w:spacing w:val="-6"/>
                <w:lang w:eastAsia="en-AU"/>
              </w:rPr>
              <w:t xml:space="preserve"> </w:t>
            </w:r>
            <w:r w:rsidRPr="000B6417">
              <w:rPr>
                <w:lang w:eastAsia="en-AU"/>
              </w:rPr>
              <w:t>(82.4)</w:t>
            </w:r>
            <w:r w:rsidRPr="000B6417">
              <w:rPr>
                <w:spacing w:val="-5"/>
                <w:lang w:eastAsia="en-AU"/>
              </w:rPr>
              <w:t xml:space="preserve"> </w:t>
            </w:r>
            <w:r w:rsidRPr="000B6417">
              <w:rPr>
                <w:spacing w:val="1"/>
                <w:lang w:eastAsia="en-AU"/>
              </w:rPr>
              <w:t>[77.</w:t>
            </w:r>
            <w:r w:rsidRPr="000B6417">
              <w:rPr>
                <w:lang w:eastAsia="en-AU"/>
              </w:rPr>
              <w:t>2</w:t>
            </w:r>
            <w:r w:rsidRPr="000B6417">
              <w:rPr>
                <w:spacing w:val="-3"/>
                <w:lang w:eastAsia="en-AU"/>
              </w:rPr>
              <w:t xml:space="preserve"> </w:t>
            </w:r>
            <w:r w:rsidRPr="000B6417">
              <w:rPr>
                <w:lang w:eastAsia="en-AU"/>
              </w:rPr>
              <w:t xml:space="preserve">, </w:t>
            </w:r>
            <w:r w:rsidRPr="000B6417">
              <w:rPr>
                <w:spacing w:val="1"/>
                <w:lang w:eastAsia="en-AU"/>
              </w:rPr>
              <w:t>87.6]</w:t>
            </w:r>
          </w:p>
        </w:tc>
        <w:tc>
          <w:tcPr>
            <w:tcW w:w="170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70/8</w:t>
            </w:r>
            <w:r w:rsidRPr="000B6417">
              <w:rPr>
                <w:lang w:eastAsia="en-AU"/>
              </w:rPr>
              <w:t>7</w:t>
            </w:r>
            <w:r w:rsidRPr="000B6417">
              <w:rPr>
                <w:spacing w:val="-4"/>
                <w:lang w:eastAsia="en-AU"/>
              </w:rPr>
              <w:t xml:space="preserve"> </w:t>
            </w:r>
            <w:r w:rsidRPr="000B6417">
              <w:rPr>
                <w:spacing w:val="1"/>
                <w:lang w:eastAsia="en-AU"/>
              </w:rPr>
              <w:t>(80.5) [72.1</w:t>
            </w:r>
            <w:r w:rsidRPr="000B6417">
              <w:rPr>
                <w:lang w:eastAsia="en-AU"/>
              </w:rPr>
              <w:t>,</w:t>
            </w:r>
            <w:r w:rsidRPr="000B6417">
              <w:rPr>
                <w:spacing w:val="-4"/>
                <w:lang w:eastAsia="en-AU"/>
              </w:rPr>
              <w:t xml:space="preserve"> </w:t>
            </w:r>
            <w:r w:rsidRPr="000B6417">
              <w:rPr>
                <w:spacing w:val="1"/>
                <w:lang w:eastAsia="en-AU"/>
              </w:rPr>
              <w:t>88.8]</w:t>
            </w:r>
          </w:p>
        </w:tc>
        <w:tc>
          <w:tcPr>
            <w:tcW w:w="1698"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10/1</w:t>
            </w:r>
            <w:r w:rsidRPr="000B6417">
              <w:rPr>
                <w:lang w:eastAsia="en-AU"/>
              </w:rPr>
              <w:t>1</w:t>
            </w:r>
            <w:r w:rsidRPr="000B6417">
              <w:rPr>
                <w:spacing w:val="-4"/>
                <w:lang w:eastAsia="en-AU"/>
              </w:rPr>
              <w:t xml:space="preserve"> </w:t>
            </w:r>
            <w:r w:rsidRPr="000B6417">
              <w:rPr>
                <w:spacing w:val="1"/>
                <w:lang w:eastAsia="en-AU"/>
              </w:rPr>
              <w:t>(90.9)</w:t>
            </w:r>
            <w:r w:rsidRPr="000B6417">
              <w:rPr>
                <w:spacing w:val="-4"/>
                <w:lang w:eastAsia="en-AU"/>
              </w:rPr>
              <w:t xml:space="preserve"> </w:t>
            </w:r>
            <w:r w:rsidRPr="000B6417">
              <w:rPr>
                <w:spacing w:val="1"/>
                <w:lang w:eastAsia="en-AU"/>
              </w:rPr>
              <w:t>(73.9</w:t>
            </w:r>
            <w:r w:rsidRPr="000B6417">
              <w:rPr>
                <w:lang w:eastAsia="en-AU"/>
              </w:rPr>
              <w:t>,</w:t>
            </w:r>
            <w:r w:rsidRPr="000B6417">
              <w:rPr>
                <w:spacing w:val="-4"/>
                <w:lang w:eastAsia="en-AU"/>
              </w:rPr>
              <w:t xml:space="preserve"> </w:t>
            </w:r>
            <w:r w:rsidRPr="000B6417">
              <w:rPr>
                <w:spacing w:val="1"/>
                <w:lang w:eastAsia="en-AU"/>
              </w:rPr>
              <w:t>100.0]</w:t>
            </w:r>
          </w:p>
        </w:tc>
        <w:tc>
          <w:tcPr>
            <w:tcW w:w="170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1</w:t>
            </w:r>
            <w:r w:rsidRPr="000B6417">
              <w:rPr>
                <w:lang w:eastAsia="en-AU"/>
              </w:rPr>
              <w:t>5/18</w:t>
            </w:r>
            <w:r w:rsidRPr="000B6417">
              <w:rPr>
                <w:spacing w:val="-1"/>
                <w:lang w:eastAsia="en-AU"/>
              </w:rPr>
              <w:t xml:space="preserve"> </w:t>
            </w:r>
            <w:r w:rsidRPr="000B6417">
              <w:rPr>
                <w:spacing w:val="1"/>
                <w:lang w:eastAsia="en-AU"/>
              </w:rPr>
              <w:t>(83.3) [66.</w:t>
            </w:r>
            <w:r w:rsidRPr="000B6417">
              <w:rPr>
                <w:lang w:eastAsia="en-AU"/>
              </w:rPr>
              <w:t>1</w:t>
            </w:r>
            <w:r w:rsidRPr="000B6417">
              <w:rPr>
                <w:spacing w:val="-3"/>
                <w:lang w:eastAsia="en-AU"/>
              </w:rPr>
              <w:t xml:space="preserve"> </w:t>
            </w:r>
            <w:r w:rsidRPr="000B6417">
              <w:rPr>
                <w:lang w:eastAsia="en-AU"/>
              </w:rPr>
              <w:t xml:space="preserve">, </w:t>
            </w:r>
            <w:r w:rsidRPr="000B6417">
              <w:rPr>
                <w:spacing w:val="1"/>
                <w:lang w:eastAsia="en-AU"/>
              </w:rPr>
              <w:t>100]</w:t>
            </w:r>
          </w:p>
        </w:tc>
      </w:tr>
      <w:tr w:rsidR="00C8707C" w:rsidTr="00CF71CF">
        <w:tc>
          <w:tcPr>
            <w:cnfStyle w:val="001000000000" w:firstRow="0" w:lastRow="0" w:firstColumn="1" w:lastColumn="0" w:oddVBand="0" w:evenVBand="0" w:oddHBand="0" w:evenHBand="0" w:firstRowFirstColumn="0" w:firstRowLastColumn="0" w:lastRowFirstColumn="0" w:lastRowLastColumn="0"/>
            <w:tcW w:w="2324" w:type="dxa"/>
            <w:hideMark/>
          </w:tcPr>
          <w:p w:rsidR="00C8707C" w:rsidRPr="000B6417" w:rsidRDefault="00C8707C" w:rsidP="00CF71CF">
            <w:pPr>
              <w:rPr>
                <w:lang w:eastAsia="en-AU"/>
              </w:rPr>
            </w:pPr>
            <w:r w:rsidRPr="000B6417">
              <w:rPr>
                <w:lang w:eastAsia="en-AU"/>
              </w:rPr>
              <w:t>SVR24</w:t>
            </w:r>
          </w:p>
        </w:tc>
        <w:tc>
          <w:tcPr>
            <w:tcW w:w="170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 xml:space="preserve">152/205 (74.1) </w:t>
            </w:r>
            <w:r w:rsidRPr="000B6417">
              <w:rPr>
                <w:vertAlign w:val="superscript"/>
                <w:lang w:eastAsia="en-AU"/>
              </w:rPr>
              <w:t>f</w:t>
            </w:r>
          </w:p>
        </w:tc>
        <w:tc>
          <w:tcPr>
            <w:tcW w:w="170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70/8</w:t>
            </w:r>
            <w:r w:rsidRPr="000B6417">
              <w:rPr>
                <w:lang w:eastAsia="en-AU"/>
              </w:rPr>
              <w:t>7</w:t>
            </w:r>
            <w:r w:rsidRPr="000B6417">
              <w:rPr>
                <w:spacing w:val="-4"/>
                <w:lang w:eastAsia="en-AU"/>
              </w:rPr>
              <w:t xml:space="preserve"> </w:t>
            </w:r>
            <w:r w:rsidRPr="000B6417">
              <w:rPr>
                <w:spacing w:val="1"/>
                <w:lang w:eastAsia="en-AU"/>
              </w:rPr>
              <w:t>(80.5</w:t>
            </w:r>
            <w:r w:rsidRPr="000B6417">
              <w:rPr>
                <w:lang w:eastAsia="en-AU"/>
              </w:rPr>
              <w:t>)</w:t>
            </w:r>
          </w:p>
        </w:tc>
        <w:tc>
          <w:tcPr>
            <w:tcW w:w="1698"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10/1</w:t>
            </w:r>
            <w:r w:rsidRPr="000B6417">
              <w:rPr>
                <w:lang w:eastAsia="en-AU"/>
              </w:rPr>
              <w:t>1</w:t>
            </w:r>
            <w:r w:rsidRPr="000B6417">
              <w:rPr>
                <w:spacing w:val="-4"/>
                <w:lang w:eastAsia="en-AU"/>
              </w:rPr>
              <w:t xml:space="preserve"> </w:t>
            </w:r>
            <w:r w:rsidRPr="000B6417">
              <w:rPr>
                <w:spacing w:val="1"/>
                <w:lang w:eastAsia="en-AU"/>
              </w:rPr>
              <w:t>(90.9</w:t>
            </w:r>
            <w:r w:rsidRPr="000B6417">
              <w:rPr>
                <w:lang w:eastAsia="en-AU"/>
              </w:rPr>
              <w:t>)</w:t>
            </w:r>
          </w:p>
        </w:tc>
        <w:tc>
          <w:tcPr>
            <w:tcW w:w="170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16/1</w:t>
            </w:r>
            <w:r w:rsidRPr="000B6417">
              <w:rPr>
                <w:lang w:eastAsia="en-AU"/>
              </w:rPr>
              <w:t>8</w:t>
            </w:r>
            <w:r w:rsidRPr="000B6417">
              <w:rPr>
                <w:spacing w:val="-4"/>
                <w:lang w:eastAsia="en-AU"/>
              </w:rPr>
              <w:t xml:space="preserve"> </w:t>
            </w:r>
            <w:r w:rsidRPr="000B6417">
              <w:rPr>
                <w:spacing w:val="1"/>
                <w:lang w:eastAsia="en-AU"/>
              </w:rPr>
              <w:t>(88.9)</w:t>
            </w:r>
          </w:p>
        </w:tc>
      </w:tr>
      <w:tr w:rsidR="00C8707C" w:rsidTr="00CF71CF">
        <w:tc>
          <w:tcPr>
            <w:cnfStyle w:val="001000000000" w:firstRow="0" w:lastRow="0" w:firstColumn="1" w:lastColumn="0" w:oddVBand="0" w:evenVBand="0" w:oddHBand="0" w:evenHBand="0" w:firstRowFirstColumn="0" w:firstRowLastColumn="0" w:lastRowFirstColumn="0" w:lastRowLastColumn="0"/>
            <w:tcW w:w="2324" w:type="dxa"/>
            <w:hideMark/>
          </w:tcPr>
          <w:p w:rsidR="00C8707C" w:rsidRPr="000B6417" w:rsidRDefault="00C8707C" w:rsidP="00CF71CF">
            <w:pPr>
              <w:rPr>
                <w:lang w:eastAsia="en-AU"/>
              </w:rPr>
            </w:pPr>
            <w:r w:rsidRPr="000B6417">
              <w:rPr>
                <w:lang w:eastAsia="en-AU"/>
              </w:rPr>
              <w:lastRenderedPageBreak/>
              <w:t>RVR</w:t>
            </w:r>
          </w:p>
        </w:tc>
        <w:tc>
          <w:tcPr>
            <w:tcW w:w="170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150/205 (73.2)</w:t>
            </w:r>
          </w:p>
        </w:tc>
        <w:tc>
          <w:tcPr>
            <w:tcW w:w="170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53/8</w:t>
            </w:r>
            <w:r w:rsidRPr="000B6417">
              <w:rPr>
                <w:lang w:eastAsia="en-AU"/>
              </w:rPr>
              <w:t>7</w:t>
            </w:r>
            <w:r w:rsidRPr="000B6417">
              <w:rPr>
                <w:spacing w:val="-4"/>
                <w:lang w:eastAsia="en-AU"/>
              </w:rPr>
              <w:t xml:space="preserve"> </w:t>
            </w:r>
            <w:r w:rsidRPr="000B6417">
              <w:rPr>
                <w:spacing w:val="1"/>
                <w:lang w:eastAsia="en-AU"/>
              </w:rPr>
              <w:t>(60.9</w:t>
            </w:r>
            <w:r w:rsidRPr="000B6417">
              <w:rPr>
                <w:lang w:eastAsia="en-AU"/>
              </w:rPr>
              <w:t>)</w:t>
            </w:r>
          </w:p>
        </w:tc>
        <w:tc>
          <w:tcPr>
            <w:tcW w:w="1698"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lang w:eastAsia="en-AU"/>
              </w:rPr>
              <w:t>7/11</w:t>
            </w:r>
            <w:r w:rsidRPr="000B6417">
              <w:rPr>
                <w:spacing w:val="-3"/>
                <w:lang w:eastAsia="en-AU"/>
              </w:rPr>
              <w:t xml:space="preserve"> </w:t>
            </w:r>
            <w:r w:rsidRPr="000B6417">
              <w:rPr>
                <w:lang w:eastAsia="en-AU"/>
              </w:rPr>
              <w:t>(63.6)</w:t>
            </w:r>
          </w:p>
        </w:tc>
        <w:tc>
          <w:tcPr>
            <w:tcW w:w="170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12</w:t>
            </w:r>
            <w:r w:rsidRPr="000B6417">
              <w:rPr>
                <w:lang w:eastAsia="en-AU"/>
              </w:rPr>
              <w:t>/18</w:t>
            </w:r>
            <w:r w:rsidRPr="000B6417">
              <w:rPr>
                <w:spacing w:val="-5"/>
                <w:lang w:eastAsia="en-AU"/>
              </w:rPr>
              <w:t xml:space="preserve"> </w:t>
            </w:r>
            <w:r w:rsidRPr="000B6417">
              <w:rPr>
                <w:lang w:eastAsia="en-AU"/>
              </w:rPr>
              <w:t>(66.7)</w:t>
            </w:r>
          </w:p>
        </w:tc>
      </w:tr>
      <w:tr w:rsidR="00C8707C" w:rsidTr="00CF71CF">
        <w:tc>
          <w:tcPr>
            <w:cnfStyle w:val="001000000000" w:firstRow="0" w:lastRow="0" w:firstColumn="1" w:lastColumn="0" w:oddVBand="0" w:evenVBand="0" w:oddHBand="0" w:evenHBand="0" w:firstRowFirstColumn="0" w:firstRowLastColumn="0" w:lastRowFirstColumn="0" w:lastRowLastColumn="0"/>
            <w:tcW w:w="2324" w:type="dxa"/>
            <w:hideMark/>
          </w:tcPr>
          <w:p w:rsidR="00C8707C" w:rsidRPr="000B6417" w:rsidRDefault="00C8707C" w:rsidP="00CF71CF">
            <w:pPr>
              <w:rPr>
                <w:lang w:eastAsia="en-AU"/>
              </w:rPr>
            </w:pPr>
            <w:proofErr w:type="spellStart"/>
            <w:r w:rsidRPr="000B6417">
              <w:rPr>
                <w:lang w:eastAsia="en-AU"/>
              </w:rPr>
              <w:t>cEVR</w:t>
            </w:r>
            <w:proofErr w:type="spellEnd"/>
          </w:p>
        </w:tc>
        <w:tc>
          <w:tcPr>
            <w:tcW w:w="170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182/205</w:t>
            </w:r>
            <w:r w:rsidRPr="000B6417">
              <w:rPr>
                <w:spacing w:val="-6"/>
                <w:lang w:eastAsia="en-AU"/>
              </w:rPr>
              <w:t xml:space="preserve"> </w:t>
            </w:r>
            <w:r w:rsidRPr="000B6417">
              <w:rPr>
                <w:lang w:eastAsia="en-AU"/>
              </w:rPr>
              <w:t>(88.8)</w:t>
            </w:r>
          </w:p>
        </w:tc>
        <w:tc>
          <w:tcPr>
            <w:tcW w:w="170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77/8</w:t>
            </w:r>
            <w:r w:rsidRPr="000B6417">
              <w:rPr>
                <w:lang w:eastAsia="en-AU"/>
              </w:rPr>
              <w:t>7</w:t>
            </w:r>
            <w:r w:rsidRPr="000B6417">
              <w:rPr>
                <w:spacing w:val="-4"/>
                <w:lang w:eastAsia="en-AU"/>
              </w:rPr>
              <w:t xml:space="preserve"> </w:t>
            </w:r>
            <w:r w:rsidRPr="000B6417">
              <w:rPr>
                <w:spacing w:val="1"/>
                <w:lang w:eastAsia="en-AU"/>
              </w:rPr>
              <w:t>(88.5</w:t>
            </w:r>
            <w:r w:rsidRPr="000B6417">
              <w:rPr>
                <w:lang w:eastAsia="en-AU"/>
              </w:rPr>
              <w:t>)</w:t>
            </w:r>
          </w:p>
        </w:tc>
        <w:tc>
          <w:tcPr>
            <w:tcW w:w="1698"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10/1</w:t>
            </w:r>
            <w:r w:rsidRPr="000B6417">
              <w:rPr>
                <w:lang w:eastAsia="en-AU"/>
              </w:rPr>
              <w:t>1</w:t>
            </w:r>
            <w:r w:rsidRPr="000B6417">
              <w:rPr>
                <w:spacing w:val="-4"/>
                <w:lang w:eastAsia="en-AU"/>
              </w:rPr>
              <w:t xml:space="preserve"> </w:t>
            </w:r>
            <w:r w:rsidRPr="000B6417">
              <w:rPr>
                <w:spacing w:val="1"/>
                <w:lang w:eastAsia="en-AU"/>
              </w:rPr>
              <w:t>(90.9</w:t>
            </w:r>
            <w:r w:rsidRPr="000B6417">
              <w:rPr>
                <w:lang w:eastAsia="en-AU"/>
              </w:rPr>
              <w:t>)</w:t>
            </w:r>
          </w:p>
        </w:tc>
        <w:tc>
          <w:tcPr>
            <w:tcW w:w="170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16/1</w:t>
            </w:r>
            <w:r w:rsidRPr="000B6417">
              <w:rPr>
                <w:lang w:eastAsia="en-AU"/>
              </w:rPr>
              <w:t>8</w:t>
            </w:r>
            <w:r w:rsidRPr="000B6417">
              <w:rPr>
                <w:spacing w:val="-4"/>
                <w:lang w:eastAsia="en-AU"/>
              </w:rPr>
              <w:t xml:space="preserve"> </w:t>
            </w:r>
            <w:r w:rsidRPr="000B6417">
              <w:rPr>
                <w:spacing w:val="1"/>
                <w:lang w:eastAsia="en-AU"/>
              </w:rPr>
              <w:t>(88.9)</w:t>
            </w:r>
          </w:p>
        </w:tc>
      </w:tr>
      <w:tr w:rsidR="00C8707C" w:rsidTr="00CF71CF">
        <w:tc>
          <w:tcPr>
            <w:cnfStyle w:val="001000000000" w:firstRow="0" w:lastRow="0" w:firstColumn="1" w:lastColumn="0" w:oddVBand="0" w:evenVBand="0" w:oddHBand="0" w:evenHBand="0" w:firstRowFirstColumn="0" w:firstRowLastColumn="0" w:lastRowFirstColumn="0" w:lastRowLastColumn="0"/>
            <w:tcW w:w="2324" w:type="dxa"/>
            <w:hideMark/>
          </w:tcPr>
          <w:p w:rsidR="00C8707C" w:rsidRPr="000B6417" w:rsidRDefault="00C8707C" w:rsidP="00CF71CF">
            <w:pPr>
              <w:rPr>
                <w:lang w:eastAsia="en-AU"/>
              </w:rPr>
            </w:pPr>
            <w:r w:rsidRPr="000B6417">
              <w:rPr>
                <w:spacing w:val="1"/>
                <w:lang w:eastAsia="en-AU"/>
              </w:rPr>
              <w:t>EOT</w:t>
            </w:r>
            <w:r w:rsidRPr="000B6417">
              <w:rPr>
                <w:lang w:eastAsia="en-AU"/>
              </w:rPr>
              <w:t>R</w:t>
            </w:r>
          </w:p>
        </w:tc>
        <w:tc>
          <w:tcPr>
            <w:tcW w:w="170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174/205</w:t>
            </w:r>
            <w:r w:rsidRPr="000B6417">
              <w:rPr>
                <w:spacing w:val="-6"/>
                <w:lang w:eastAsia="en-AU"/>
              </w:rPr>
              <w:t xml:space="preserve"> </w:t>
            </w:r>
            <w:r w:rsidRPr="000B6417">
              <w:rPr>
                <w:lang w:eastAsia="en-AU"/>
              </w:rPr>
              <w:t>(84.9)</w:t>
            </w:r>
          </w:p>
        </w:tc>
        <w:tc>
          <w:tcPr>
            <w:tcW w:w="170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76/8</w:t>
            </w:r>
            <w:r w:rsidRPr="000B6417">
              <w:rPr>
                <w:lang w:eastAsia="en-AU"/>
              </w:rPr>
              <w:t>7</w:t>
            </w:r>
            <w:r w:rsidRPr="000B6417">
              <w:rPr>
                <w:spacing w:val="-4"/>
                <w:lang w:eastAsia="en-AU"/>
              </w:rPr>
              <w:t xml:space="preserve"> </w:t>
            </w:r>
            <w:r w:rsidRPr="000B6417">
              <w:rPr>
                <w:spacing w:val="1"/>
                <w:lang w:eastAsia="en-AU"/>
              </w:rPr>
              <w:t>(87.4</w:t>
            </w:r>
            <w:r w:rsidRPr="000B6417">
              <w:rPr>
                <w:lang w:eastAsia="en-AU"/>
              </w:rPr>
              <w:t>)</w:t>
            </w:r>
          </w:p>
        </w:tc>
        <w:tc>
          <w:tcPr>
            <w:tcW w:w="1698"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10/1</w:t>
            </w:r>
            <w:r w:rsidRPr="000B6417">
              <w:rPr>
                <w:lang w:eastAsia="en-AU"/>
              </w:rPr>
              <w:t>1</w:t>
            </w:r>
            <w:r w:rsidRPr="000B6417">
              <w:rPr>
                <w:spacing w:val="-4"/>
                <w:lang w:eastAsia="en-AU"/>
              </w:rPr>
              <w:t xml:space="preserve"> </w:t>
            </w:r>
            <w:r w:rsidRPr="000B6417">
              <w:rPr>
                <w:spacing w:val="1"/>
                <w:lang w:eastAsia="en-AU"/>
              </w:rPr>
              <w:t>(90.9</w:t>
            </w:r>
            <w:r w:rsidRPr="000B6417">
              <w:rPr>
                <w:lang w:eastAsia="en-AU"/>
              </w:rPr>
              <w:t>)</w:t>
            </w:r>
          </w:p>
        </w:tc>
        <w:tc>
          <w:tcPr>
            <w:tcW w:w="170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15/1</w:t>
            </w:r>
            <w:r w:rsidRPr="000B6417">
              <w:rPr>
                <w:lang w:eastAsia="en-AU"/>
              </w:rPr>
              <w:t>8</w:t>
            </w:r>
            <w:r w:rsidRPr="000B6417">
              <w:rPr>
                <w:spacing w:val="-4"/>
                <w:lang w:eastAsia="en-AU"/>
              </w:rPr>
              <w:t xml:space="preserve"> </w:t>
            </w:r>
            <w:r w:rsidRPr="000B6417">
              <w:rPr>
                <w:spacing w:val="1"/>
                <w:lang w:eastAsia="en-AU"/>
              </w:rPr>
              <w:t>(83.3)</w:t>
            </w:r>
          </w:p>
        </w:tc>
      </w:tr>
      <w:tr w:rsidR="00C8707C" w:rsidTr="00CF71CF">
        <w:tc>
          <w:tcPr>
            <w:cnfStyle w:val="001000000000" w:firstRow="0" w:lastRow="0" w:firstColumn="1" w:lastColumn="0" w:oddVBand="0" w:evenVBand="0" w:oddHBand="0" w:evenHBand="0" w:firstRowFirstColumn="0" w:firstRowLastColumn="0" w:lastRowFirstColumn="0" w:lastRowLastColumn="0"/>
            <w:tcW w:w="2324" w:type="dxa"/>
            <w:hideMark/>
          </w:tcPr>
          <w:p w:rsidR="00C8707C" w:rsidRPr="000B6417" w:rsidRDefault="00C8707C" w:rsidP="00CF71CF">
            <w:pPr>
              <w:rPr>
                <w:lang w:eastAsia="en-AU"/>
              </w:rPr>
            </w:pPr>
            <w:r w:rsidRPr="000B6417">
              <w:rPr>
                <w:lang w:eastAsia="en-AU"/>
              </w:rPr>
              <w:t>SVR4</w:t>
            </w:r>
          </w:p>
        </w:tc>
        <w:tc>
          <w:tcPr>
            <w:tcW w:w="170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168/205</w:t>
            </w:r>
            <w:r w:rsidRPr="000B6417">
              <w:rPr>
                <w:spacing w:val="-6"/>
                <w:lang w:eastAsia="en-AU"/>
              </w:rPr>
              <w:t xml:space="preserve"> </w:t>
            </w:r>
            <w:r w:rsidRPr="000B6417">
              <w:rPr>
                <w:lang w:eastAsia="en-AU"/>
              </w:rPr>
              <w:t>(82.0)</w:t>
            </w:r>
          </w:p>
        </w:tc>
        <w:tc>
          <w:tcPr>
            <w:tcW w:w="170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81/8</w:t>
            </w:r>
            <w:r w:rsidRPr="000B6417">
              <w:rPr>
                <w:lang w:eastAsia="en-AU"/>
              </w:rPr>
              <w:t>7</w:t>
            </w:r>
            <w:r w:rsidRPr="000B6417">
              <w:rPr>
                <w:spacing w:val="-6"/>
                <w:lang w:eastAsia="en-AU"/>
              </w:rPr>
              <w:t xml:space="preserve"> </w:t>
            </w:r>
            <w:r w:rsidRPr="000B6417">
              <w:rPr>
                <w:spacing w:val="1"/>
                <w:lang w:eastAsia="en-AU"/>
              </w:rPr>
              <w:t>(81</w:t>
            </w:r>
            <w:r w:rsidRPr="000B6417">
              <w:rPr>
                <w:spacing w:val="-2"/>
                <w:lang w:eastAsia="en-AU"/>
              </w:rPr>
              <w:t>.</w:t>
            </w:r>
            <w:r w:rsidRPr="000B6417">
              <w:rPr>
                <w:spacing w:val="1"/>
                <w:lang w:eastAsia="en-AU"/>
              </w:rPr>
              <w:t>6</w:t>
            </w:r>
            <w:r w:rsidRPr="000B6417">
              <w:rPr>
                <w:lang w:eastAsia="en-AU"/>
              </w:rPr>
              <w:t>)</w:t>
            </w:r>
          </w:p>
        </w:tc>
        <w:tc>
          <w:tcPr>
            <w:tcW w:w="1698"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10/1</w:t>
            </w:r>
            <w:r w:rsidRPr="000B6417">
              <w:rPr>
                <w:lang w:eastAsia="en-AU"/>
              </w:rPr>
              <w:t>1</w:t>
            </w:r>
            <w:r w:rsidRPr="000B6417">
              <w:rPr>
                <w:spacing w:val="-4"/>
                <w:lang w:eastAsia="en-AU"/>
              </w:rPr>
              <w:t xml:space="preserve"> </w:t>
            </w:r>
            <w:r w:rsidRPr="000B6417">
              <w:rPr>
                <w:spacing w:val="1"/>
                <w:lang w:eastAsia="en-AU"/>
              </w:rPr>
              <w:t>(90.9</w:t>
            </w:r>
            <w:r w:rsidRPr="000B6417">
              <w:rPr>
                <w:lang w:eastAsia="en-AU"/>
              </w:rPr>
              <w:t>)</w:t>
            </w:r>
          </w:p>
        </w:tc>
        <w:tc>
          <w:tcPr>
            <w:tcW w:w="1701" w:type="dxa"/>
            <w:hideMark/>
          </w:tcPr>
          <w:p w:rsidR="00C8707C" w:rsidRPr="000B6417" w:rsidRDefault="00C8707C" w:rsidP="00CF71CF">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16/1</w:t>
            </w:r>
            <w:r w:rsidRPr="000B6417">
              <w:rPr>
                <w:lang w:eastAsia="en-AU"/>
              </w:rPr>
              <w:t>8</w:t>
            </w:r>
            <w:r w:rsidRPr="000B6417">
              <w:rPr>
                <w:spacing w:val="-4"/>
                <w:lang w:eastAsia="en-AU"/>
              </w:rPr>
              <w:t xml:space="preserve"> </w:t>
            </w:r>
            <w:r w:rsidRPr="000B6417">
              <w:rPr>
                <w:spacing w:val="1"/>
                <w:lang w:eastAsia="en-AU"/>
              </w:rPr>
              <w:t>(88.9)</w:t>
            </w:r>
          </w:p>
        </w:tc>
      </w:tr>
    </w:tbl>
    <w:p w:rsidR="00C8707C" w:rsidRDefault="00C8707C" w:rsidP="00492677">
      <w:pPr>
        <w:pStyle w:val="TableDescription"/>
      </w:pPr>
      <w:r>
        <w:t xml:space="preserve">a Confidence intervals presented for planned analyses; b On-treatment </w:t>
      </w:r>
      <w:proofErr w:type="spellStart"/>
      <w:r>
        <w:t>virologic</w:t>
      </w:r>
      <w:proofErr w:type="spellEnd"/>
      <w:r>
        <w:t xml:space="preserve"> rates; c Included null and partial responders (all subjects infected with GT-1b); d Includes null responders only; e Subjects in Cohort 2 (prior null responders; N = 11) and Cohort 3/4 (ineligible-naïve/intolerants; N = 22) treated in Expansion Phase of study for 24 weeks at recommended dose; f Subjects in Cohort 1A (prior null responders, N = 18) treated in Expansion Phase of study for 24 weeks at recommended dose; g AI447028 CSR completed for primary endpoint (SVR12). SVR24 rates are based on database as of 22-Nov-2013 in which 83 subjects remained in follow-up.</w:t>
      </w:r>
    </w:p>
    <w:p w:rsidR="002C4CAD" w:rsidRDefault="00C8707C" w:rsidP="00C8707C">
      <w:pPr>
        <w:pStyle w:val="Heading3"/>
        <w:numPr>
          <w:ilvl w:val="1"/>
          <w:numId w:val="5"/>
        </w:numPr>
      </w:pPr>
      <w:bookmarkStart w:id="218" w:name="_Toc401659981"/>
      <w:bookmarkStart w:id="219" w:name="_Toc431369684"/>
      <w:bookmarkStart w:id="220" w:name="_Toc438116084"/>
      <w:r>
        <w:t xml:space="preserve">Treatment of HCV: </w:t>
      </w:r>
      <w:proofErr w:type="spellStart"/>
      <w:r>
        <w:t>ASV+DCV+pegIFN</w:t>
      </w:r>
      <w:proofErr w:type="spellEnd"/>
      <w:r>
        <w:t xml:space="preserve">α/RBV: QUAD </w:t>
      </w:r>
      <w:r w:rsidR="00492677">
        <w:t>r</w:t>
      </w:r>
      <w:r>
        <w:t>egimen</w:t>
      </w:r>
      <w:bookmarkEnd w:id="218"/>
      <w:bookmarkEnd w:id="219"/>
      <w:bookmarkEnd w:id="220"/>
    </w:p>
    <w:p w:rsidR="00C8707C" w:rsidRDefault="00C8707C" w:rsidP="00C8707C">
      <w:pPr>
        <w:pStyle w:val="Heading4"/>
        <w:numPr>
          <w:ilvl w:val="2"/>
          <w:numId w:val="5"/>
        </w:numPr>
      </w:pPr>
      <w:bookmarkStart w:id="221" w:name="_Toc401659982"/>
      <w:r>
        <w:t>Pivotal studies</w:t>
      </w:r>
      <w:bookmarkEnd w:id="221"/>
    </w:p>
    <w:p w:rsidR="00C8707C" w:rsidRDefault="00C8707C" w:rsidP="00C8707C">
      <w:r>
        <w:t xml:space="preserve">Study </w:t>
      </w:r>
      <w:r>
        <w:rPr>
          <w:b/>
        </w:rPr>
        <w:t xml:space="preserve">AI447029 </w:t>
      </w:r>
      <w:r>
        <w:t xml:space="preserve">(see </w:t>
      </w:r>
      <w:proofErr w:type="spellStart"/>
      <w:r>
        <w:t>AusPAR</w:t>
      </w:r>
      <w:proofErr w:type="spellEnd"/>
      <w:r>
        <w:t xml:space="preserve"> for </w:t>
      </w:r>
      <w:proofErr w:type="spellStart"/>
      <w:r>
        <w:t>Daklinza</w:t>
      </w:r>
      <w:proofErr w:type="spellEnd"/>
      <w:r>
        <w:t xml:space="preserve"> Attachment 2) was an open label, multicentre study in prior </w:t>
      </w:r>
      <w:proofErr w:type="spellStart"/>
      <w:r>
        <w:t>pegIFN</w:t>
      </w:r>
      <w:proofErr w:type="spellEnd"/>
      <w:r>
        <w:t xml:space="preserve">α/RBV non responders (null and partial responders) with HCV GT-1 (N=353) or GT-4 (N=44). Overall, 90/397 (22.2%) subjects had compensated cirrhosis at baseline. All subjects were treated with DCV 60 mg QD and ASV 100 mg soft gel capsule BD and </w:t>
      </w:r>
      <w:proofErr w:type="spellStart"/>
      <w:r>
        <w:t>pegIFN</w:t>
      </w:r>
      <w:proofErr w:type="spellEnd"/>
      <w:r>
        <w:t>α/RBV for 24 weeks and then followed for 24 weeks post treatment.</w:t>
      </w:r>
    </w:p>
    <w:p w:rsidR="00C8707C" w:rsidRDefault="00C8707C" w:rsidP="00C8707C">
      <w:pPr>
        <w:pStyle w:val="Heading4"/>
        <w:numPr>
          <w:ilvl w:val="2"/>
          <w:numId w:val="5"/>
        </w:numPr>
      </w:pPr>
      <w:r>
        <w:t>Supportive study</w:t>
      </w:r>
    </w:p>
    <w:p w:rsidR="00C8707C" w:rsidRDefault="00C8707C" w:rsidP="00C8707C">
      <w:pPr>
        <w:autoSpaceDE w:val="0"/>
        <w:autoSpaceDN w:val="0"/>
        <w:adjustRightInd w:val="0"/>
      </w:pPr>
      <w:r>
        <w:t>In Study A</w:t>
      </w:r>
      <w:r>
        <w:rPr>
          <w:b/>
        </w:rPr>
        <w:t>I447011</w:t>
      </w:r>
      <w:r>
        <w:t xml:space="preserve"> (see </w:t>
      </w:r>
      <w:proofErr w:type="spellStart"/>
      <w:r>
        <w:t>AusPAR</w:t>
      </w:r>
      <w:proofErr w:type="spellEnd"/>
      <w:r>
        <w:t xml:space="preserve"> for </w:t>
      </w:r>
      <w:proofErr w:type="spellStart"/>
      <w:r>
        <w:t>Daklinza</w:t>
      </w:r>
      <w:proofErr w:type="spellEnd"/>
      <w:r>
        <w:t xml:space="preserve"> Attachment 2) the QUAD therapy group comprised 51 subjects who received DCV 60 mg QD QUAD therapy comprising ASV 600 mg tablet BD (N=10) or ASV 200 mg tablet BD (N=20) or ASV 200 mg QD (N=21). The treatment period was 24 weeks and subjects were then followed for 48 weeks post treatment.</w:t>
      </w:r>
    </w:p>
    <w:p w:rsidR="00C8707C" w:rsidRDefault="00C8707C" w:rsidP="00C8707C">
      <w:pPr>
        <w:pStyle w:val="Tabletitle"/>
      </w:pPr>
      <w:bookmarkStart w:id="222" w:name="_Toc401831791"/>
      <w:r>
        <w:t>Table 13: Efficacy of DCV QUAD regimen by genotype and population</w:t>
      </w:r>
      <w:bookmarkEnd w:id="222"/>
    </w:p>
    <w:tbl>
      <w:tblPr>
        <w:tblStyle w:val="TableTGAblue"/>
        <w:tblW w:w="4863" w:type="pct"/>
        <w:tblLook w:val="04A0" w:firstRow="1" w:lastRow="0" w:firstColumn="1" w:lastColumn="0" w:noHBand="0" w:noVBand="1"/>
      </w:tblPr>
      <w:tblGrid>
        <w:gridCol w:w="2243"/>
        <w:gridCol w:w="3373"/>
        <w:gridCol w:w="3373"/>
      </w:tblGrid>
      <w:tr w:rsidR="00C8707C" w:rsidTr="00492677">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248" w:type="pct"/>
            <w:hideMark/>
          </w:tcPr>
          <w:p w:rsidR="00C8707C" w:rsidRPr="000B6417" w:rsidRDefault="00C8707C" w:rsidP="00492677">
            <w:pPr>
              <w:rPr>
                <w:b w:val="0"/>
                <w:spacing w:val="1"/>
                <w:lang w:eastAsia="en-AU"/>
              </w:rPr>
            </w:pPr>
            <w:r w:rsidRPr="000B6417">
              <w:rPr>
                <w:b w:val="0"/>
                <w:lang w:eastAsia="en-AU"/>
              </w:rPr>
              <w:t>Endpoint</w:t>
            </w:r>
          </w:p>
        </w:tc>
        <w:tc>
          <w:tcPr>
            <w:tcW w:w="3752" w:type="pct"/>
            <w:gridSpan w:val="2"/>
            <w:hideMark/>
          </w:tcPr>
          <w:p w:rsidR="00C8707C" w:rsidRPr="000B6417" w:rsidRDefault="00C8707C" w:rsidP="00492677">
            <w:pPr>
              <w:cnfStyle w:val="100000000000" w:firstRow="1" w:lastRow="0" w:firstColumn="0" w:lastColumn="0" w:oddVBand="0" w:evenVBand="0" w:oddHBand="0" w:evenHBand="0" w:firstRowFirstColumn="0" w:firstRowLastColumn="0" w:lastRowFirstColumn="0" w:lastRowLastColumn="0"/>
              <w:rPr>
                <w:b w:val="0"/>
                <w:lang w:eastAsia="en-AU"/>
              </w:rPr>
            </w:pPr>
            <w:proofErr w:type="spellStart"/>
            <w:r w:rsidRPr="000B6417">
              <w:rPr>
                <w:b w:val="0"/>
                <w:lang w:eastAsia="en-AU"/>
              </w:rPr>
              <w:t>Virologic</w:t>
            </w:r>
            <w:proofErr w:type="spellEnd"/>
            <w:r w:rsidRPr="000B6417">
              <w:rPr>
                <w:b w:val="0"/>
                <w:spacing w:val="-8"/>
                <w:lang w:eastAsia="en-AU"/>
              </w:rPr>
              <w:t xml:space="preserve"> </w:t>
            </w:r>
            <w:r w:rsidRPr="000B6417">
              <w:rPr>
                <w:b w:val="0"/>
                <w:lang w:eastAsia="en-AU"/>
              </w:rPr>
              <w:t xml:space="preserve">Response: </w:t>
            </w:r>
            <w:r w:rsidRPr="000B6417">
              <w:rPr>
                <w:b w:val="0"/>
                <w:position w:val="1"/>
                <w:lang w:eastAsia="en-AU"/>
              </w:rPr>
              <w:t>N</w:t>
            </w:r>
            <w:r w:rsidRPr="000B6417">
              <w:rPr>
                <w:b w:val="0"/>
                <w:spacing w:val="-6"/>
                <w:position w:val="1"/>
                <w:lang w:eastAsia="en-AU"/>
              </w:rPr>
              <w:t xml:space="preserve"> </w:t>
            </w:r>
            <w:r w:rsidRPr="000B6417">
              <w:rPr>
                <w:b w:val="0"/>
                <w:position w:val="1"/>
                <w:lang w:eastAsia="en-AU"/>
              </w:rPr>
              <w:t>(%)</w:t>
            </w:r>
            <w:r w:rsidRPr="000B6417">
              <w:rPr>
                <w:b w:val="0"/>
                <w:spacing w:val="-2"/>
                <w:position w:val="1"/>
                <w:lang w:eastAsia="en-AU"/>
              </w:rPr>
              <w:t xml:space="preserve"> </w:t>
            </w:r>
            <w:r w:rsidRPr="000B6417">
              <w:rPr>
                <w:b w:val="0"/>
                <w:position w:val="1"/>
                <w:lang w:eastAsia="en-AU"/>
              </w:rPr>
              <w:t>[95%</w:t>
            </w:r>
            <w:r w:rsidRPr="000B6417">
              <w:rPr>
                <w:b w:val="0"/>
                <w:spacing w:val="-3"/>
                <w:position w:val="1"/>
                <w:lang w:eastAsia="en-AU"/>
              </w:rPr>
              <w:t xml:space="preserve"> </w:t>
            </w:r>
            <w:r w:rsidRPr="000B6417">
              <w:rPr>
                <w:b w:val="0"/>
                <w:w w:val="99"/>
                <w:position w:val="1"/>
                <w:lang w:eastAsia="en-AU"/>
              </w:rPr>
              <w:t xml:space="preserve">CI] </w:t>
            </w:r>
            <w:r w:rsidRPr="000B6417">
              <w:rPr>
                <w:b w:val="0"/>
                <w:w w:val="99"/>
                <w:position w:val="1"/>
                <w:vertAlign w:val="superscript"/>
                <w:lang w:eastAsia="en-AU"/>
              </w:rPr>
              <w:t>a</w:t>
            </w:r>
          </w:p>
        </w:tc>
      </w:tr>
      <w:tr w:rsidR="00C8707C" w:rsidTr="00492677">
        <w:trPr>
          <w:trHeight w:val="20"/>
        </w:trPr>
        <w:tc>
          <w:tcPr>
            <w:cnfStyle w:val="001000000000" w:firstRow="0" w:lastRow="0" w:firstColumn="1" w:lastColumn="0" w:oddVBand="0" w:evenVBand="0" w:oddHBand="0" w:evenHBand="0" w:firstRowFirstColumn="0" w:firstRowLastColumn="0" w:lastRowFirstColumn="0" w:lastRowLastColumn="0"/>
            <w:tcW w:w="1248" w:type="pct"/>
            <w:hideMark/>
          </w:tcPr>
          <w:p w:rsidR="00C8707C" w:rsidRPr="000B6417" w:rsidRDefault="00C8707C" w:rsidP="00492677">
            <w:pPr>
              <w:rPr>
                <w:position w:val="1"/>
                <w:lang w:eastAsia="en-AU"/>
              </w:rPr>
            </w:pPr>
            <w:r w:rsidRPr="000B6417">
              <w:rPr>
                <w:spacing w:val="1"/>
                <w:lang w:eastAsia="en-AU"/>
              </w:rPr>
              <w:t>No</w:t>
            </w:r>
            <w:r w:rsidRPr="000B6417">
              <w:rPr>
                <w:lang w:eastAsia="en-AU"/>
              </w:rPr>
              <w:t>n</w:t>
            </w:r>
            <w:r w:rsidRPr="000B6417">
              <w:rPr>
                <w:spacing w:val="1"/>
                <w:lang w:eastAsia="en-AU"/>
              </w:rPr>
              <w:t>-</w:t>
            </w:r>
            <w:r w:rsidRPr="000B6417">
              <w:rPr>
                <w:lang w:eastAsia="en-AU"/>
              </w:rPr>
              <w:t>responders</w:t>
            </w:r>
            <w:r w:rsidRPr="000B6417">
              <w:rPr>
                <w:spacing w:val="-13"/>
                <w:lang w:eastAsia="en-AU"/>
              </w:rPr>
              <w:t xml:space="preserve"> </w:t>
            </w:r>
            <w:r w:rsidRPr="000B6417">
              <w:rPr>
                <w:lang w:eastAsia="en-AU"/>
              </w:rPr>
              <w:t xml:space="preserve">- </w:t>
            </w:r>
            <w:r w:rsidRPr="000B6417">
              <w:rPr>
                <w:spacing w:val="-1"/>
                <w:lang w:eastAsia="en-AU"/>
              </w:rPr>
              <w:t>GT</w:t>
            </w:r>
            <w:r w:rsidRPr="000B6417">
              <w:rPr>
                <w:spacing w:val="1"/>
                <w:lang w:eastAsia="en-AU"/>
              </w:rPr>
              <w:t>-</w:t>
            </w:r>
            <w:r w:rsidRPr="000B6417">
              <w:rPr>
                <w:lang w:eastAsia="en-AU"/>
              </w:rPr>
              <w:t>1</w:t>
            </w:r>
          </w:p>
        </w:tc>
        <w:tc>
          <w:tcPr>
            <w:tcW w:w="1876" w:type="pct"/>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AI447029 (N = 354)</w:t>
            </w:r>
          </w:p>
        </w:tc>
        <w:tc>
          <w:tcPr>
            <w:tcW w:w="1876" w:type="pct"/>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 xml:space="preserve">AI447011 </w:t>
            </w:r>
            <w:r w:rsidRPr="000B6417">
              <w:rPr>
                <w:lang w:eastAsia="en-AU"/>
              </w:rPr>
              <w:t>(n=20)</w:t>
            </w:r>
          </w:p>
        </w:tc>
      </w:tr>
      <w:tr w:rsidR="00C8707C" w:rsidTr="00492677">
        <w:trPr>
          <w:trHeight w:val="20"/>
        </w:trPr>
        <w:tc>
          <w:tcPr>
            <w:cnfStyle w:val="001000000000" w:firstRow="0" w:lastRow="0" w:firstColumn="1" w:lastColumn="0" w:oddVBand="0" w:evenVBand="0" w:oddHBand="0" w:evenHBand="0" w:firstRowFirstColumn="0" w:firstRowLastColumn="0" w:lastRowFirstColumn="0" w:lastRowLastColumn="0"/>
            <w:tcW w:w="1248" w:type="pct"/>
            <w:hideMark/>
          </w:tcPr>
          <w:p w:rsidR="00C8707C" w:rsidRPr="000B6417" w:rsidRDefault="00C8707C" w:rsidP="00492677">
            <w:pPr>
              <w:rPr>
                <w:lang w:eastAsia="en-AU"/>
              </w:rPr>
            </w:pPr>
            <w:r w:rsidRPr="000B6417">
              <w:rPr>
                <w:position w:val="1"/>
                <w:lang w:eastAsia="en-AU"/>
              </w:rPr>
              <w:t xml:space="preserve">SVR12 </w:t>
            </w:r>
            <w:r w:rsidRPr="000B6417">
              <w:rPr>
                <w:position w:val="1"/>
                <w:vertAlign w:val="superscript"/>
                <w:lang w:eastAsia="en-AU"/>
              </w:rPr>
              <w:t>b</w:t>
            </w:r>
          </w:p>
        </w:tc>
        <w:tc>
          <w:tcPr>
            <w:tcW w:w="1876" w:type="pct"/>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330/354</w:t>
            </w:r>
            <w:r w:rsidRPr="000B6417">
              <w:rPr>
                <w:spacing w:val="-6"/>
                <w:lang w:eastAsia="en-AU"/>
              </w:rPr>
              <w:t xml:space="preserve"> </w:t>
            </w:r>
            <w:r w:rsidRPr="000B6417">
              <w:rPr>
                <w:lang w:eastAsia="en-AU"/>
              </w:rPr>
              <w:t>(9</w:t>
            </w:r>
            <w:r w:rsidRPr="000B6417">
              <w:rPr>
                <w:spacing w:val="1"/>
                <w:lang w:eastAsia="en-AU"/>
              </w:rPr>
              <w:t>3</w:t>
            </w:r>
            <w:r w:rsidRPr="000B6417">
              <w:rPr>
                <w:lang w:eastAsia="en-AU"/>
              </w:rPr>
              <w:t>.2)</w:t>
            </w:r>
            <w:r w:rsidRPr="000B6417">
              <w:rPr>
                <w:spacing w:val="-4"/>
                <w:lang w:eastAsia="en-AU"/>
              </w:rPr>
              <w:t xml:space="preserve"> </w:t>
            </w:r>
            <w:r w:rsidRPr="000B6417">
              <w:rPr>
                <w:spacing w:val="1"/>
                <w:lang w:eastAsia="en-AU"/>
              </w:rPr>
              <w:t>[</w:t>
            </w:r>
            <w:r w:rsidRPr="000B6417">
              <w:rPr>
                <w:lang w:eastAsia="en-AU"/>
              </w:rPr>
              <w:t>90.6,</w:t>
            </w:r>
            <w:r w:rsidRPr="000B6417">
              <w:rPr>
                <w:spacing w:val="-5"/>
                <w:lang w:eastAsia="en-AU"/>
              </w:rPr>
              <w:t xml:space="preserve"> </w:t>
            </w:r>
            <w:r w:rsidRPr="000B6417">
              <w:rPr>
                <w:lang w:eastAsia="en-AU"/>
              </w:rPr>
              <w:t>95.</w:t>
            </w:r>
            <w:r w:rsidRPr="000B6417">
              <w:rPr>
                <w:spacing w:val="1"/>
                <w:lang w:eastAsia="en-AU"/>
              </w:rPr>
              <w:t>8</w:t>
            </w:r>
            <w:r w:rsidRPr="000B6417">
              <w:rPr>
                <w:lang w:eastAsia="en-AU"/>
              </w:rPr>
              <w:t>]</w:t>
            </w:r>
          </w:p>
        </w:tc>
        <w:tc>
          <w:tcPr>
            <w:tcW w:w="1876" w:type="pct"/>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19/2</w:t>
            </w:r>
            <w:r w:rsidRPr="000B6417">
              <w:rPr>
                <w:lang w:eastAsia="en-AU"/>
              </w:rPr>
              <w:t>0</w:t>
            </w:r>
            <w:r w:rsidRPr="000B6417">
              <w:rPr>
                <w:spacing w:val="-4"/>
                <w:lang w:eastAsia="en-AU"/>
              </w:rPr>
              <w:t xml:space="preserve"> </w:t>
            </w:r>
            <w:r w:rsidRPr="000B6417">
              <w:rPr>
                <w:spacing w:val="1"/>
                <w:lang w:eastAsia="en-AU"/>
              </w:rPr>
              <w:t>(95.0)</w:t>
            </w:r>
          </w:p>
        </w:tc>
      </w:tr>
      <w:tr w:rsidR="00C8707C" w:rsidTr="00492677">
        <w:trPr>
          <w:trHeight w:val="20"/>
        </w:trPr>
        <w:tc>
          <w:tcPr>
            <w:cnfStyle w:val="001000000000" w:firstRow="0" w:lastRow="0" w:firstColumn="1" w:lastColumn="0" w:oddVBand="0" w:evenVBand="0" w:oddHBand="0" w:evenHBand="0" w:firstRowFirstColumn="0" w:firstRowLastColumn="0" w:lastRowFirstColumn="0" w:lastRowLastColumn="0"/>
            <w:tcW w:w="1248" w:type="pct"/>
            <w:hideMark/>
          </w:tcPr>
          <w:p w:rsidR="00C8707C" w:rsidRPr="000B6417" w:rsidRDefault="00C8707C" w:rsidP="00492677">
            <w:pPr>
              <w:rPr>
                <w:lang w:eastAsia="en-AU"/>
              </w:rPr>
            </w:pPr>
            <w:r w:rsidRPr="000B6417">
              <w:rPr>
                <w:lang w:eastAsia="en-AU"/>
              </w:rPr>
              <w:t>SVR24</w:t>
            </w:r>
          </w:p>
        </w:tc>
        <w:tc>
          <w:tcPr>
            <w:tcW w:w="1876" w:type="pct"/>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313/354</w:t>
            </w:r>
            <w:r w:rsidRPr="000B6417">
              <w:rPr>
                <w:spacing w:val="-6"/>
                <w:lang w:eastAsia="en-AU"/>
              </w:rPr>
              <w:t xml:space="preserve"> </w:t>
            </w:r>
            <w:r w:rsidRPr="000B6417">
              <w:rPr>
                <w:w w:val="99"/>
                <w:lang w:eastAsia="en-AU"/>
              </w:rPr>
              <w:t>(88.4)</w:t>
            </w:r>
          </w:p>
        </w:tc>
        <w:tc>
          <w:tcPr>
            <w:tcW w:w="1876" w:type="pct"/>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18</w:t>
            </w:r>
            <w:r w:rsidRPr="000B6417">
              <w:rPr>
                <w:lang w:eastAsia="en-AU"/>
              </w:rPr>
              <w:t>/20</w:t>
            </w:r>
            <w:r w:rsidRPr="000B6417">
              <w:rPr>
                <w:spacing w:val="-5"/>
                <w:lang w:eastAsia="en-AU"/>
              </w:rPr>
              <w:t xml:space="preserve"> </w:t>
            </w:r>
            <w:r w:rsidRPr="000B6417">
              <w:rPr>
                <w:lang w:eastAsia="en-AU"/>
              </w:rPr>
              <w:t>(</w:t>
            </w:r>
            <w:r w:rsidRPr="000B6417">
              <w:rPr>
                <w:spacing w:val="1"/>
                <w:lang w:eastAsia="en-AU"/>
              </w:rPr>
              <w:t>90</w:t>
            </w:r>
            <w:r w:rsidRPr="000B6417">
              <w:rPr>
                <w:lang w:eastAsia="en-AU"/>
              </w:rPr>
              <w:t>.0)</w:t>
            </w:r>
          </w:p>
        </w:tc>
      </w:tr>
      <w:tr w:rsidR="00C8707C" w:rsidTr="00492677">
        <w:trPr>
          <w:trHeight w:val="20"/>
        </w:trPr>
        <w:tc>
          <w:tcPr>
            <w:cnfStyle w:val="001000000000" w:firstRow="0" w:lastRow="0" w:firstColumn="1" w:lastColumn="0" w:oddVBand="0" w:evenVBand="0" w:oddHBand="0" w:evenHBand="0" w:firstRowFirstColumn="0" w:firstRowLastColumn="0" w:lastRowFirstColumn="0" w:lastRowLastColumn="0"/>
            <w:tcW w:w="1248" w:type="pct"/>
            <w:hideMark/>
          </w:tcPr>
          <w:p w:rsidR="00C8707C" w:rsidRPr="000B6417" w:rsidRDefault="00C8707C" w:rsidP="00492677">
            <w:pPr>
              <w:rPr>
                <w:lang w:eastAsia="en-AU"/>
              </w:rPr>
            </w:pPr>
            <w:r w:rsidRPr="000B6417">
              <w:rPr>
                <w:lang w:eastAsia="en-AU"/>
              </w:rPr>
              <w:lastRenderedPageBreak/>
              <w:t>RVR</w:t>
            </w:r>
          </w:p>
        </w:tc>
        <w:tc>
          <w:tcPr>
            <w:tcW w:w="1876" w:type="pct"/>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292/354</w:t>
            </w:r>
            <w:r w:rsidRPr="000B6417">
              <w:rPr>
                <w:spacing w:val="-6"/>
                <w:lang w:eastAsia="en-AU"/>
              </w:rPr>
              <w:t xml:space="preserve"> </w:t>
            </w:r>
            <w:r w:rsidRPr="000B6417">
              <w:rPr>
                <w:w w:val="99"/>
                <w:lang w:eastAsia="en-AU"/>
              </w:rPr>
              <w:t>(82.5)</w:t>
            </w:r>
          </w:p>
        </w:tc>
        <w:tc>
          <w:tcPr>
            <w:tcW w:w="1876" w:type="pct"/>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15/2</w:t>
            </w:r>
            <w:r w:rsidRPr="000B6417">
              <w:rPr>
                <w:lang w:eastAsia="en-AU"/>
              </w:rPr>
              <w:t>0</w:t>
            </w:r>
            <w:r w:rsidRPr="000B6417">
              <w:rPr>
                <w:spacing w:val="-4"/>
                <w:lang w:eastAsia="en-AU"/>
              </w:rPr>
              <w:t xml:space="preserve"> </w:t>
            </w:r>
            <w:r w:rsidRPr="000B6417">
              <w:rPr>
                <w:spacing w:val="1"/>
                <w:lang w:eastAsia="en-AU"/>
              </w:rPr>
              <w:t>(75.0)</w:t>
            </w:r>
          </w:p>
        </w:tc>
      </w:tr>
      <w:tr w:rsidR="00C8707C" w:rsidTr="00492677">
        <w:trPr>
          <w:trHeight w:val="20"/>
        </w:trPr>
        <w:tc>
          <w:tcPr>
            <w:cnfStyle w:val="001000000000" w:firstRow="0" w:lastRow="0" w:firstColumn="1" w:lastColumn="0" w:oddVBand="0" w:evenVBand="0" w:oddHBand="0" w:evenHBand="0" w:firstRowFirstColumn="0" w:firstRowLastColumn="0" w:lastRowFirstColumn="0" w:lastRowLastColumn="0"/>
            <w:tcW w:w="1248" w:type="pct"/>
            <w:hideMark/>
          </w:tcPr>
          <w:p w:rsidR="00C8707C" w:rsidRPr="000B6417" w:rsidRDefault="00C8707C" w:rsidP="00492677">
            <w:pPr>
              <w:rPr>
                <w:lang w:eastAsia="en-AU"/>
              </w:rPr>
            </w:pPr>
            <w:proofErr w:type="spellStart"/>
            <w:r w:rsidRPr="000B6417">
              <w:rPr>
                <w:lang w:eastAsia="en-AU"/>
              </w:rPr>
              <w:t>cEVR</w:t>
            </w:r>
            <w:proofErr w:type="spellEnd"/>
          </w:p>
        </w:tc>
        <w:tc>
          <w:tcPr>
            <w:tcW w:w="1876" w:type="pct"/>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337/354</w:t>
            </w:r>
            <w:r w:rsidRPr="000B6417">
              <w:rPr>
                <w:spacing w:val="-6"/>
                <w:lang w:eastAsia="en-AU"/>
              </w:rPr>
              <w:t xml:space="preserve"> </w:t>
            </w:r>
            <w:r w:rsidRPr="000B6417">
              <w:rPr>
                <w:w w:val="99"/>
                <w:lang w:eastAsia="en-AU"/>
              </w:rPr>
              <w:t>(95.2)</w:t>
            </w:r>
          </w:p>
        </w:tc>
        <w:tc>
          <w:tcPr>
            <w:tcW w:w="1876" w:type="pct"/>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19/2</w:t>
            </w:r>
            <w:r w:rsidRPr="000B6417">
              <w:rPr>
                <w:lang w:eastAsia="en-AU"/>
              </w:rPr>
              <w:t>0</w:t>
            </w:r>
            <w:r w:rsidRPr="000B6417">
              <w:rPr>
                <w:spacing w:val="-4"/>
                <w:lang w:eastAsia="en-AU"/>
              </w:rPr>
              <w:t xml:space="preserve"> </w:t>
            </w:r>
            <w:r w:rsidRPr="000B6417">
              <w:rPr>
                <w:spacing w:val="1"/>
                <w:lang w:eastAsia="en-AU"/>
              </w:rPr>
              <w:t>(95.0)</w:t>
            </w:r>
          </w:p>
        </w:tc>
      </w:tr>
      <w:tr w:rsidR="00C8707C" w:rsidTr="00492677">
        <w:trPr>
          <w:trHeight w:val="20"/>
        </w:trPr>
        <w:tc>
          <w:tcPr>
            <w:cnfStyle w:val="001000000000" w:firstRow="0" w:lastRow="0" w:firstColumn="1" w:lastColumn="0" w:oddVBand="0" w:evenVBand="0" w:oddHBand="0" w:evenHBand="0" w:firstRowFirstColumn="0" w:firstRowLastColumn="0" w:lastRowFirstColumn="0" w:lastRowLastColumn="0"/>
            <w:tcW w:w="1248" w:type="pct"/>
            <w:hideMark/>
          </w:tcPr>
          <w:p w:rsidR="00C8707C" w:rsidRPr="000B6417" w:rsidRDefault="00C8707C" w:rsidP="00492677">
            <w:pPr>
              <w:rPr>
                <w:lang w:eastAsia="en-AU"/>
              </w:rPr>
            </w:pPr>
            <w:r w:rsidRPr="000B6417">
              <w:rPr>
                <w:spacing w:val="1"/>
                <w:lang w:eastAsia="en-AU"/>
              </w:rPr>
              <w:t>EOTR</w:t>
            </w:r>
          </w:p>
        </w:tc>
        <w:tc>
          <w:tcPr>
            <w:tcW w:w="1876" w:type="pct"/>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337/354</w:t>
            </w:r>
            <w:r w:rsidRPr="000B6417">
              <w:rPr>
                <w:spacing w:val="-6"/>
                <w:lang w:eastAsia="en-AU"/>
              </w:rPr>
              <w:t xml:space="preserve"> </w:t>
            </w:r>
            <w:r w:rsidRPr="000B6417">
              <w:rPr>
                <w:w w:val="99"/>
                <w:lang w:eastAsia="en-AU"/>
              </w:rPr>
              <w:t>(95.2)</w:t>
            </w:r>
          </w:p>
        </w:tc>
        <w:tc>
          <w:tcPr>
            <w:tcW w:w="1876" w:type="pct"/>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18/2</w:t>
            </w:r>
            <w:r w:rsidRPr="000B6417">
              <w:rPr>
                <w:lang w:eastAsia="en-AU"/>
              </w:rPr>
              <w:t>0</w:t>
            </w:r>
            <w:r w:rsidRPr="000B6417">
              <w:rPr>
                <w:spacing w:val="-4"/>
                <w:lang w:eastAsia="en-AU"/>
              </w:rPr>
              <w:t xml:space="preserve"> </w:t>
            </w:r>
            <w:r w:rsidRPr="000B6417">
              <w:rPr>
                <w:spacing w:val="1"/>
                <w:lang w:eastAsia="en-AU"/>
              </w:rPr>
              <w:t>(90.0)</w:t>
            </w:r>
          </w:p>
        </w:tc>
      </w:tr>
      <w:tr w:rsidR="00C8707C" w:rsidTr="00492677">
        <w:trPr>
          <w:trHeight w:val="20"/>
        </w:trPr>
        <w:tc>
          <w:tcPr>
            <w:cnfStyle w:val="001000000000" w:firstRow="0" w:lastRow="0" w:firstColumn="1" w:lastColumn="0" w:oddVBand="0" w:evenVBand="0" w:oddHBand="0" w:evenHBand="0" w:firstRowFirstColumn="0" w:firstRowLastColumn="0" w:lastRowFirstColumn="0" w:lastRowLastColumn="0"/>
            <w:tcW w:w="1248" w:type="pct"/>
            <w:hideMark/>
          </w:tcPr>
          <w:p w:rsidR="00C8707C" w:rsidRPr="000B6417" w:rsidRDefault="00C8707C" w:rsidP="00492677">
            <w:pPr>
              <w:rPr>
                <w:spacing w:val="1"/>
                <w:lang w:eastAsia="en-AU"/>
              </w:rPr>
            </w:pPr>
            <w:r w:rsidRPr="000B6417">
              <w:rPr>
                <w:spacing w:val="1"/>
                <w:lang w:eastAsia="en-AU"/>
              </w:rPr>
              <w:t>SVR4</w:t>
            </w:r>
          </w:p>
        </w:tc>
        <w:tc>
          <w:tcPr>
            <w:tcW w:w="1876" w:type="pct"/>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334/354 (94.4)</w:t>
            </w:r>
          </w:p>
        </w:tc>
        <w:tc>
          <w:tcPr>
            <w:tcW w:w="1876" w:type="pct"/>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19/20 (95.0)</w:t>
            </w:r>
          </w:p>
        </w:tc>
      </w:tr>
      <w:tr w:rsidR="00C8707C" w:rsidTr="00492677">
        <w:trPr>
          <w:trHeight w:val="20"/>
        </w:trPr>
        <w:tc>
          <w:tcPr>
            <w:cnfStyle w:val="001000000000" w:firstRow="0" w:lastRow="0" w:firstColumn="1" w:lastColumn="0" w:oddVBand="0" w:evenVBand="0" w:oddHBand="0" w:evenHBand="0" w:firstRowFirstColumn="0" w:firstRowLastColumn="0" w:lastRowFirstColumn="0" w:lastRowLastColumn="0"/>
            <w:tcW w:w="1248" w:type="pct"/>
            <w:hideMark/>
          </w:tcPr>
          <w:p w:rsidR="00C8707C" w:rsidRPr="000B6417" w:rsidRDefault="00C8707C" w:rsidP="00492677">
            <w:pPr>
              <w:rPr>
                <w:spacing w:val="1"/>
                <w:lang w:eastAsia="en-AU"/>
              </w:rPr>
            </w:pPr>
            <w:r w:rsidRPr="000B6417">
              <w:rPr>
                <w:lang w:eastAsia="en-AU"/>
              </w:rPr>
              <w:t>Non-responders - GT-4</w:t>
            </w:r>
          </w:p>
        </w:tc>
        <w:tc>
          <w:tcPr>
            <w:tcW w:w="1876" w:type="pct"/>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(N = 44)</w:t>
            </w:r>
          </w:p>
        </w:tc>
        <w:tc>
          <w:tcPr>
            <w:tcW w:w="1876" w:type="pct"/>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NA</w:t>
            </w:r>
          </w:p>
        </w:tc>
      </w:tr>
      <w:tr w:rsidR="00C8707C" w:rsidTr="00492677">
        <w:trPr>
          <w:trHeight w:val="20"/>
        </w:trPr>
        <w:tc>
          <w:tcPr>
            <w:cnfStyle w:val="001000000000" w:firstRow="0" w:lastRow="0" w:firstColumn="1" w:lastColumn="0" w:oddVBand="0" w:evenVBand="0" w:oddHBand="0" w:evenHBand="0" w:firstRowFirstColumn="0" w:firstRowLastColumn="0" w:lastRowFirstColumn="0" w:lastRowLastColumn="0"/>
            <w:tcW w:w="1248" w:type="pct"/>
            <w:hideMark/>
          </w:tcPr>
          <w:p w:rsidR="00C8707C" w:rsidRPr="000B6417" w:rsidRDefault="00C8707C" w:rsidP="00492677">
            <w:pPr>
              <w:rPr>
                <w:lang w:eastAsia="en-AU"/>
              </w:rPr>
            </w:pPr>
            <w:r w:rsidRPr="000B6417">
              <w:rPr>
                <w:position w:val="1"/>
                <w:lang w:eastAsia="en-AU"/>
              </w:rPr>
              <w:t xml:space="preserve">SVR12 </w:t>
            </w:r>
            <w:r w:rsidRPr="000B6417">
              <w:rPr>
                <w:position w:val="1"/>
                <w:vertAlign w:val="superscript"/>
                <w:lang w:eastAsia="en-AU"/>
              </w:rPr>
              <w:t>b</w:t>
            </w:r>
          </w:p>
        </w:tc>
        <w:tc>
          <w:tcPr>
            <w:tcW w:w="1876" w:type="pct"/>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spacing w:val="1"/>
                <w:lang w:eastAsia="en-AU"/>
              </w:rPr>
              <w:t>44/4</w:t>
            </w:r>
            <w:r w:rsidRPr="000B6417">
              <w:rPr>
                <w:lang w:eastAsia="en-AU"/>
              </w:rPr>
              <w:t>4</w:t>
            </w:r>
            <w:r w:rsidRPr="000B6417">
              <w:rPr>
                <w:spacing w:val="-4"/>
                <w:lang w:eastAsia="en-AU"/>
              </w:rPr>
              <w:t xml:space="preserve"> </w:t>
            </w:r>
            <w:r w:rsidRPr="000B6417">
              <w:rPr>
                <w:spacing w:val="1"/>
                <w:lang w:eastAsia="en-AU"/>
              </w:rPr>
              <w:t>(100.0</w:t>
            </w:r>
            <w:r w:rsidRPr="000B6417">
              <w:rPr>
                <w:lang w:eastAsia="en-AU"/>
              </w:rPr>
              <w:t>)</w:t>
            </w:r>
            <w:r w:rsidRPr="000B6417">
              <w:rPr>
                <w:spacing w:val="-7"/>
                <w:lang w:eastAsia="en-AU"/>
              </w:rPr>
              <w:t xml:space="preserve"> </w:t>
            </w:r>
            <w:r w:rsidRPr="000B6417">
              <w:rPr>
                <w:spacing w:val="1"/>
                <w:lang w:eastAsia="en-AU"/>
              </w:rPr>
              <w:t>[</w:t>
            </w:r>
            <w:r w:rsidRPr="000B6417">
              <w:rPr>
                <w:lang w:eastAsia="en-AU"/>
              </w:rPr>
              <w:t>100.0,</w:t>
            </w:r>
            <w:r w:rsidRPr="000B6417">
              <w:rPr>
                <w:spacing w:val="-6"/>
                <w:lang w:eastAsia="en-AU"/>
              </w:rPr>
              <w:t xml:space="preserve"> </w:t>
            </w:r>
            <w:r w:rsidRPr="000B6417">
              <w:rPr>
                <w:w w:val="99"/>
                <w:lang w:eastAsia="en-AU"/>
              </w:rPr>
              <w:t>100.</w:t>
            </w:r>
            <w:r w:rsidRPr="000B6417">
              <w:rPr>
                <w:spacing w:val="1"/>
                <w:w w:val="99"/>
                <w:lang w:eastAsia="en-AU"/>
              </w:rPr>
              <w:t>0</w:t>
            </w:r>
            <w:r w:rsidRPr="000B6417">
              <w:rPr>
                <w:w w:val="99"/>
                <w:lang w:eastAsia="en-AU"/>
              </w:rPr>
              <w:t>]</w:t>
            </w:r>
          </w:p>
        </w:tc>
        <w:tc>
          <w:tcPr>
            <w:tcW w:w="1876" w:type="pct"/>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w w:val="99"/>
                <w:lang w:eastAsia="en-AU"/>
              </w:rPr>
              <w:t>NA</w:t>
            </w:r>
          </w:p>
        </w:tc>
      </w:tr>
      <w:tr w:rsidR="00C8707C" w:rsidTr="00492677">
        <w:trPr>
          <w:trHeight w:val="20"/>
        </w:trPr>
        <w:tc>
          <w:tcPr>
            <w:cnfStyle w:val="001000000000" w:firstRow="0" w:lastRow="0" w:firstColumn="1" w:lastColumn="0" w:oddVBand="0" w:evenVBand="0" w:oddHBand="0" w:evenHBand="0" w:firstRowFirstColumn="0" w:firstRowLastColumn="0" w:lastRowFirstColumn="0" w:lastRowLastColumn="0"/>
            <w:tcW w:w="1248" w:type="pct"/>
            <w:hideMark/>
          </w:tcPr>
          <w:p w:rsidR="00C8707C" w:rsidRPr="000B6417" w:rsidRDefault="00C8707C" w:rsidP="00492677">
            <w:pPr>
              <w:rPr>
                <w:lang w:eastAsia="en-AU"/>
              </w:rPr>
            </w:pPr>
            <w:r w:rsidRPr="000B6417">
              <w:rPr>
                <w:lang w:eastAsia="en-AU"/>
              </w:rPr>
              <w:t>SVR24</w:t>
            </w:r>
          </w:p>
        </w:tc>
        <w:tc>
          <w:tcPr>
            <w:tcW w:w="1876" w:type="pct"/>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42/44 (95.5)</w:t>
            </w:r>
          </w:p>
        </w:tc>
        <w:tc>
          <w:tcPr>
            <w:tcW w:w="1876" w:type="pct"/>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NA</w:t>
            </w:r>
          </w:p>
        </w:tc>
      </w:tr>
      <w:tr w:rsidR="00C8707C" w:rsidTr="00492677">
        <w:trPr>
          <w:trHeight w:val="20"/>
        </w:trPr>
        <w:tc>
          <w:tcPr>
            <w:cnfStyle w:val="001000000000" w:firstRow="0" w:lastRow="0" w:firstColumn="1" w:lastColumn="0" w:oddVBand="0" w:evenVBand="0" w:oddHBand="0" w:evenHBand="0" w:firstRowFirstColumn="0" w:firstRowLastColumn="0" w:lastRowFirstColumn="0" w:lastRowLastColumn="0"/>
            <w:tcW w:w="1248" w:type="pct"/>
            <w:hideMark/>
          </w:tcPr>
          <w:p w:rsidR="00C8707C" w:rsidRPr="000B6417" w:rsidRDefault="00C8707C" w:rsidP="00492677">
            <w:pPr>
              <w:rPr>
                <w:lang w:eastAsia="en-AU"/>
              </w:rPr>
            </w:pPr>
            <w:r w:rsidRPr="000B6417">
              <w:rPr>
                <w:lang w:eastAsia="en-AU"/>
              </w:rPr>
              <w:t>RVR</w:t>
            </w:r>
          </w:p>
        </w:tc>
        <w:tc>
          <w:tcPr>
            <w:tcW w:w="1876" w:type="pct"/>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36/44 (81.8)</w:t>
            </w:r>
          </w:p>
        </w:tc>
        <w:tc>
          <w:tcPr>
            <w:tcW w:w="1876" w:type="pct"/>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NA</w:t>
            </w:r>
          </w:p>
        </w:tc>
      </w:tr>
      <w:tr w:rsidR="00C8707C" w:rsidTr="00492677">
        <w:trPr>
          <w:trHeight w:val="20"/>
        </w:trPr>
        <w:tc>
          <w:tcPr>
            <w:cnfStyle w:val="001000000000" w:firstRow="0" w:lastRow="0" w:firstColumn="1" w:lastColumn="0" w:oddVBand="0" w:evenVBand="0" w:oddHBand="0" w:evenHBand="0" w:firstRowFirstColumn="0" w:firstRowLastColumn="0" w:lastRowFirstColumn="0" w:lastRowLastColumn="0"/>
            <w:tcW w:w="1248" w:type="pct"/>
            <w:hideMark/>
          </w:tcPr>
          <w:p w:rsidR="00C8707C" w:rsidRPr="000B6417" w:rsidRDefault="00C8707C" w:rsidP="00492677">
            <w:pPr>
              <w:rPr>
                <w:lang w:eastAsia="en-AU"/>
              </w:rPr>
            </w:pPr>
            <w:proofErr w:type="spellStart"/>
            <w:r w:rsidRPr="000B6417">
              <w:rPr>
                <w:lang w:eastAsia="en-AU"/>
              </w:rPr>
              <w:t>cEVR</w:t>
            </w:r>
            <w:proofErr w:type="spellEnd"/>
          </w:p>
        </w:tc>
        <w:tc>
          <w:tcPr>
            <w:tcW w:w="1876" w:type="pct"/>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44/44 (100.0)</w:t>
            </w:r>
          </w:p>
        </w:tc>
        <w:tc>
          <w:tcPr>
            <w:tcW w:w="1876" w:type="pct"/>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NA</w:t>
            </w:r>
          </w:p>
        </w:tc>
      </w:tr>
      <w:tr w:rsidR="00C8707C" w:rsidTr="00492677">
        <w:trPr>
          <w:trHeight w:val="20"/>
        </w:trPr>
        <w:tc>
          <w:tcPr>
            <w:cnfStyle w:val="001000000000" w:firstRow="0" w:lastRow="0" w:firstColumn="1" w:lastColumn="0" w:oddVBand="0" w:evenVBand="0" w:oddHBand="0" w:evenHBand="0" w:firstRowFirstColumn="0" w:firstRowLastColumn="0" w:lastRowFirstColumn="0" w:lastRowLastColumn="0"/>
            <w:tcW w:w="1248" w:type="pct"/>
            <w:hideMark/>
          </w:tcPr>
          <w:p w:rsidR="00C8707C" w:rsidRPr="000B6417" w:rsidRDefault="00C8707C" w:rsidP="00492677">
            <w:pPr>
              <w:rPr>
                <w:lang w:eastAsia="en-AU"/>
              </w:rPr>
            </w:pPr>
            <w:r w:rsidRPr="000B6417">
              <w:rPr>
                <w:lang w:eastAsia="en-AU"/>
              </w:rPr>
              <w:t>EOTR</w:t>
            </w:r>
          </w:p>
        </w:tc>
        <w:tc>
          <w:tcPr>
            <w:tcW w:w="1876" w:type="pct"/>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43/44 (97.7)</w:t>
            </w:r>
          </w:p>
        </w:tc>
        <w:tc>
          <w:tcPr>
            <w:tcW w:w="1876" w:type="pct"/>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NA</w:t>
            </w:r>
          </w:p>
        </w:tc>
      </w:tr>
      <w:tr w:rsidR="00C8707C" w:rsidTr="00492677">
        <w:trPr>
          <w:trHeight w:val="20"/>
        </w:trPr>
        <w:tc>
          <w:tcPr>
            <w:cnfStyle w:val="001000000000" w:firstRow="0" w:lastRow="0" w:firstColumn="1" w:lastColumn="0" w:oddVBand="0" w:evenVBand="0" w:oddHBand="0" w:evenHBand="0" w:firstRowFirstColumn="0" w:firstRowLastColumn="0" w:lastRowFirstColumn="0" w:lastRowLastColumn="0"/>
            <w:tcW w:w="1248" w:type="pct"/>
            <w:hideMark/>
          </w:tcPr>
          <w:p w:rsidR="00C8707C" w:rsidRPr="000B6417" w:rsidRDefault="00C8707C" w:rsidP="00492677">
            <w:pPr>
              <w:rPr>
                <w:lang w:eastAsia="en-AU"/>
              </w:rPr>
            </w:pPr>
            <w:r w:rsidRPr="000B6417">
              <w:rPr>
                <w:lang w:eastAsia="en-AU"/>
              </w:rPr>
              <w:t>SVR4</w:t>
            </w:r>
          </w:p>
        </w:tc>
        <w:tc>
          <w:tcPr>
            <w:tcW w:w="1876" w:type="pct"/>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44/44 (100.0)</w:t>
            </w:r>
          </w:p>
        </w:tc>
        <w:tc>
          <w:tcPr>
            <w:tcW w:w="1876" w:type="pct"/>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NA</w:t>
            </w:r>
          </w:p>
        </w:tc>
      </w:tr>
    </w:tbl>
    <w:p w:rsidR="00C8707C" w:rsidRDefault="00C8707C" w:rsidP="00492677">
      <w:pPr>
        <w:pStyle w:val="TableDescription"/>
      </w:pPr>
      <w:r>
        <w:t xml:space="preserve">Note: Recommended dose represents DCV 60 mg QD and the ASV exposure achieved by using either 200 mg BD tablets or 100 mg. BD soft gel capsules. </w:t>
      </w:r>
      <w:proofErr w:type="gramStart"/>
      <w:r>
        <w:t>a</w:t>
      </w:r>
      <w:proofErr w:type="gramEnd"/>
      <w:r>
        <w:t xml:space="preserve"> RVR, </w:t>
      </w:r>
      <w:proofErr w:type="spellStart"/>
      <w:r>
        <w:t>cEVR</w:t>
      </w:r>
      <w:proofErr w:type="spellEnd"/>
      <w:r>
        <w:t xml:space="preserve">, EOTR: HCV RNA &lt;LLOQ TND; SVR4, SVR12 and SVR24: HCV RNA &lt;LLOQ TD or TND. Confidence intervals presented for planned analyses. </w:t>
      </w:r>
      <w:proofErr w:type="gramStart"/>
      <w:r>
        <w:t>b</w:t>
      </w:r>
      <w:proofErr w:type="gramEnd"/>
      <w:r>
        <w:t xml:space="preserve"> SVR12 defined as HCV RNA &lt; LLOQ (TD or TND) at follow-up Week 12. Missing follow-up Week 12 HCV RNA imputed using the next available measurement.</w:t>
      </w:r>
    </w:p>
    <w:p w:rsidR="00C8707C" w:rsidRDefault="00C8707C" w:rsidP="00C8707C">
      <w:pPr>
        <w:pStyle w:val="Heading3"/>
        <w:numPr>
          <w:ilvl w:val="1"/>
          <w:numId w:val="5"/>
        </w:numPr>
      </w:pPr>
      <w:bookmarkStart w:id="223" w:name="_Toc401659983"/>
      <w:bookmarkStart w:id="224" w:name="_Toc290846281"/>
      <w:bookmarkStart w:id="225" w:name="_Toc272414656"/>
      <w:bookmarkStart w:id="226" w:name="_Toc241374312"/>
      <w:bookmarkStart w:id="227" w:name="_Toc431369685"/>
      <w:bookmarkStart w:id="228" w:name="_Toc438116085"/>
      <w:r>
        <w:t>Analyses performed across trials (pooled analyses and meta-analyses)</w:t>
      </w:r>
      <w:bookmarkEnd w:id="223"/>
      <w:bookmarkEnd w:id="224"/>
      <w:bookmarkEnd w:id="225"/>
      <w:bookmarkEnd w:id="226"/>
      <w:bookmarkEnd w:id="227"/>
      <w:bookmarkEnd w:id="228"/>
    </w:p>
    <w:p w:rsidR="00C8707C" w:rsidRDefault="00C8707C" w:rsidP="00C8707C">
      <w:pPr>
        <w:autoSpaceDE w:val="0"/>
        <w:autoSpaceDN w:val="0"/>
        <w:adjustRightInd w:val="0"/>
      </w:pPr>
      <w:r>
        <w:t>No pooled analyses or meta-analyses were provided.</w:t>
      </w:r>
    </w:p>
    <w:p w:rsidR="00C8707C" w:rsidRDefault="00C8707C" w:rsidP="00C8707C">
      <w:pPr>
        <w:autoSpaceDE w:val="0"/>
        <w:autoSpaceDN w:val="0"/>
        <w:adjustRightInd w:val="0"/>
      </w:pPr>
      <w:r>
        <w:t>See Section 8.1 and evaluation of DCV (</w:t>
      </w:r>
      <w:proofErr w:type="spellStart"/>
      <w:r>
        <w:t>AusPAR</w:t>
      </w:r>
      <w:proofErr w:type="spellEnd"/>
      <w:r>
        <w:t xml:space="preserve"> for </w:t>
      </w:r>
      <w:proofErr w:type="spellStart"/>
      <w:r>
        <w:t>Daklinza</w:t>
      </w:r>
      <w:proofErr w:type="spellEnd"/>
      <w:r>
        <w:t xml:space="preserve"> Attachment 2) for summary of results for combinations with DCV.</w:t>
      </w:r>
    </w:p>
    <w:p w:rsidR="00C8707C" w:rsidRPr="00950E8E" w:rsidRDefault="00C8707C" w:rsidP="00C8707C">
      <w:pPr>
        <w:pStyle w:val="Heading3"/>
        <w:numPr>
          <w:ilvl w:val="1"/>
          <w:numId w:val="5"/>
        </w:numPr>
      </w:pPr>
      <w:bookmarkStart w:id="229" w:name="_Toc290846282"/>
      <w:bookmarkStart w:id="230" w:name="_Toc272414657"/>
      <w:bookmarkStart w:id="231" w:name="_Ref271126605"/>
      <w:bookmarkStart w:id="232" w:name="_Toc401659984"/>
      <w:bookmarkStart w:id="233" w:name="_Toc431369686"/>
      <w:bookmarkStart w:id="234" w:name="_Toc438116086"/>
      <w:r>
        <w:t xml:space="preserve">Evaluator’s </w:t>
      </w:r>
      <w:r w:rsidRPr="009C4DDB">
        <w:t>conclusions</w:t>
      </w:r>
      <w:r>
        <w:t xml:space="preserve"> on clinical efficacy </w:t>
      </w:r>
      <w:r w:rsidRPr="00950E8E">
        <w:t xml:space="preserve">for </w:t>
      </w:r>
      <w:bookmarkEnd w:id="229"/>
      <w:bookmarkEnd w:id="230"/>
      <w:bookmarkEnd w:id="231"/>
      <w:r w:rsidRPr="00950E8E">
        <w:t>combination therapy with DCV</w:t>
      </w:r>
      <w:bookmarkEnd w:id="232"/>
      <w:bookmarkEnd w:id="233"/>
      <w:bookmarkEnd w:id="234"/>
    </w:p>
    <w:p w:rsidR="00C8707C" w:rsidRDefault="00C8707C" w:rsidP="00C8707C">
      <w:r>
        <w:t>See evaluation of DCV (</w:t>
      </w:r>
      <w:proofErr w:type="spellStart"/>
      <w:r>
        <w:t>AusPAR</w:t>
      </w:r>
      <w:proofErr w:type="spellEnd"/>
      <w:r>
        <w:t xml:space="preserve"> for </w:t>
      </w:r>
      <w:proofErr w:type="spellStart"/>
      <w:r>
        <w:t>Daklinza</w:t>
      </w:r>
      <w:proofErr w:type="spellEnd"/>
      <w:r>
        <w:t xml:space="preserve"> Attachment 2) for summary of results for combinations with DCV.</w:t>
      </w:r>
    </w:p>
    <w:p w:rsidR="00C8707C" w:rsidRDefault="00C8707C" w:rsidP="00C8707C">
      <w:r>
        <w:t>As ASV is requested to be used only in combination with DCV, the approval of ASV is dependent on the approval of DCV.</w:t>
      </w:r>
    </w:p>
    <w:p w:rsidR="00C8707C" w:rsidRDefault="00C8707C" w:rsidP="00C8707C">
      <w:r>
        <w:t>For the ASV/DCV regimen and the QUAD regimen the duration of treatment requested is 24 weeks which matches the treatment period in the studies.</w:t>
      </w:r>
    </w:p>
    <w:p w:rsidR="00C8707C" w:rsidRDefault="00C8707C" w:rsidP="00C8707C">
      <w:pPr>
        <w:pStyle w:val="Heading4"/>
        <w:numPr>
          <w:ilvl w:val="2"/>
          <w:numId w:val="5"/>
        </w:numPr>
      </w:pPr>
      <w:r>
        <w:t>ASV/DCV regimen</w:t>
      </w:r>
    </w:p>
    <w:p w:rsidR="00C8707C" w:rsidRDefault="00C8707C" w:rsidP="00C8707C">
      <w:r>
        <w:t xml:space="preserve">The SVR12 rates achieved with the DCV/ASV therapy in treatment-naïve HCV GT-1b-infected subjects were 90.6% (95% CI: 86.6, 94.6). This is similar to the SVR rates in patients who were IFN/RBV-based therapy intolerant/ineligible GT-1b in AI447028: 82.6% (95% CI: 77.7, 87.4), </w:t>
      </w:r>
      <w:r>
        <w:lastRenderedPageBreak/>
        <w:t>AI447026: 88.1% (95% CI: 82.7, 93.6) and AI447017: 63.6% (95% CI: 43.5, 83.7</w:t>
      </w:r>
      <w:proofErr w:type="gramStart"/>
      <w:r>
        <w:t>)(</w:t>
      </w:r>
      <w:proofErr w:type="gramEnd"/>
      <w:r>
        <w:t xml:space="preserve">see </w:t>
      </w:r>
      <w:proofErr w:type="spellStart"/>
      <w:r>
        <w:t>AusPAR</w:t>
      </w:r>
      <w:proofErr w:type="spellEnd"/>
      <w:r>
        <w:t xml:space="preserve"> for </w:t>
      </w:r>
      <w:proofErr w:type="spellStart"/>
      <w:r>
        <w:t>Daklinza</w:t>
      </w:r>
      <w:proofErr w:type="spellEnd"/>
      <w:r>
        <w:t xml:space="preserve"> Attachment 2 </w:t>
      </w:r>
      <w:r w:rsidRPr="009C4DDB">
        <w:rPr>
          <w:i/>
        </w:rPr>
        <w:t>Efficacy</w:t>
      </w:r>
      <w:r>
        <w:t>).</w:t>
      </w:r>
    </w:p>
    <w:p w:rsidR="002C4CAD" w:rsidRDefault="00C8707C" w:rsidP="00C8707C">
      <w:r>
        <w:t xml:space="preserve">The SVR12 rates achieved with the DCV/ASV therapy in HCV GT-1b-infected prior non-responders were 82.4% (95% CI: 77.2, 87.6) in Study AI447028, 80.5% (95% CI: 72.1, 88.8) in AI447026, and 83.3% (95% CI: 66.1, 100.0) in AI447011 (see </w:t>
      </w:r>
      <w:proofErr w:type="spellStart"/>
      <w:r>
        <w:t>AusPAR</w:t>
      </w:r>
      <w:proofErr w:type="spellEnd"/>
      <w:r>
        <w:t xml:space="preserve"> for </w:t>
      </w:r>
      <w:proofErr w:type="spellStart"/>
      <w:r>
        <w:t>Daklinza</w:t>
      </w:r>
      <w:proofErr w:type="spellEnd"/>
      <w:r>
        <w:t xml:space="preserve"> Attachment 2 </w:t>
      </w:r>
      <w:r w:rsidRPr="009C4DDB">
        <w:rPr>
          <w:i/>
        </w:rPr>
        <w:t>Efficacy</w:t>
      </w:r>
      <w:r>
        <w:t>).</w:t>
      </w:r>
    </w:p>
    <w:p w:rsidR="00C8707C" w:rsidRDefault="00C8707C" w:rsidP="00C8707C">
      <w:r>
        <w:t>Further:</w:t>
      </w:r>
    </w:p>
    <w:p w:rsidR="00C8707C" w:rsidRDefault="00C8707C" w:rsidP="00C8707C">
      <w:pPr>
        <w:pStyle w:val="ListBullet"/>
        <w:numPr>
          <w:ilvl w:val="0"/>
          <w:numId w:val="1"/>
        </w:numPr>
      </w:pPr>
      <w:r>
        <w:t xml:space="preserve">In GT-1b prior null responders, the SVR12 rates were 82.4% in AI447028, 81.3% in AI447026 and 83.3% in AI447011 (see </w:t>
      </w:r>
      <w:proofErr w:type="spellStart"/>
      <w:r>
        <w:t>AusPAR</w:t>
      </w:r>
      <w:proofErr w:type="spellEnd"/>
      <w:r>
        <w:t xml:space="preserve"> for </w:t>
      </w:r>
      <w:proofErr w:type="spellStart"/>
      <w:r>
        <w:t>Daklinza</w:t>
      </w:r>
      <w:proofErr w:type="spellEnd"/>
      <w:r>
        <w:t xml:space="preserve"> Attachment 2 </w:t>
      </w:r>
      <w:r>
        <w:rPr>
          <w:i/>
        </w:rPr>
        <w:t>Efficacy</w:t>
      </w:r>
      <w:r>
        <w:t>).</w:t>
      </w:r>
    </w:p>
    <w:p w:rsidR="00C8707C" w:rsidRDefault="00C8707C" w:rsidP="00C8707C">
      <w:pPr>
        <w:pStyle w:val="ListBullet"/>
        <w:numPr>
          <w:ilvl w:val="0"/>
          <w:numId w:val="1"/>
        </w:numPr>
      </w:pPr>
      <w:r>
        <w:t xml:space="preserve">In GT-1b prior partial responders, the SVR12 rates were 82.1% in AI447028 and 77.8% in AI447026 (see </w:t>
      </w:r>
      <w:proofErr w:type="spellStart"/>
      <w:r>
        <w:t>AusPAR</w:t>
      </w:r>
      <w:proofErr w:type="spellEnd"/>
      <w:r>
        <w:t xml:space="preserve"> for </w:t>
      </w:r>
      <w:proofErr w:type="spellStart"/>
      <w:r>
        <w:t>Daklinza</w:t>
      </w:r>
      <w:proofErr w:type="spellEnd"/>
      <w:r>
        <w:t xml:space="preserve"> Attachment 2 </w:t>
      </w:r>
      <w:r>
        <w:rPr>
          <w:i/>
        </w:rPr>
        <w:t>Efficacy</w:t>
      </w:r>
      <w:r>
        <w:t>).</w:t>
      </w:r>
    </w:p>
    <w:p w:rsidR="00C8707C" w:rsidRDefault="00C8707C" w:rsidP="00C8707C">
      <w:r>
        <w:t>Overall, in DCV/ASV-treated subjects, SVR12 rates were comparable across all subgroups of baseline host factors including age (&lt;65 and ≥65 years), gender, cirrhosis status, IL-28B polymorphism, prior treatment history (null or partial response to HCV therapy, or IFN/RBV-based therapy intolerant/ineligible) and viral factors (such as viral load). The rates of VBT were low (4-13%).</w:t>
      </w:r>
    </w:p>
    <w:p w:rsidR="00C8707C" w:rsidRDefault="00C8707C" w:rsidP="00C8707C">
      <w:pPr>
        <w:pStyle w:val="Heading4"/>
        <w:numPr>
          <w:ilvl w:val="2"/>
          <w:numId w:val="5"/>
        </w:numPr>
      </w:pPr>
      <w:r>
        <w:t>QUAD regimen</w:t>
      </w:r>
    </w:p>
    <w:p w:rsidR="002C4CAD" w:rsidRDefault="00C8707C" w:rsidP="00C8707C">
      <w:r>
        <w:t>The SVR12 rates achieved with DCV Quad therapy in:</w:t>
      </w:r>
    </w:p>
    <w:p w:rsidR="00C8707C" w:rsidRDefault="00C8707C" w:rsidP="00C8707C">
      <w:pPr>
        <w:pStyle w:val="ListBullet"/>
        <w:numPr>
          <w:ilvl w:val="0"/>
          <w:numId w:val="1"/>
        </w:numPr>
      </w:pPr>
      <w:r>
        <w:t xml:space="preserve">GT-1 prior non-responders were 330/354, 93.2% (95% CI: 90.6, 95.8) in AI447029 and 19/20, 95.0% (95% CI: 81.9, 99.5) in AI447011 (see </w:t>
      </w:r>
      <w:proofErr w:type="spellStart"/>
      <w:r>
        <w:t>AusPAR</w:t>
      </w:r>
      <w:proofErr w:type="spellEnd"/>
      <w:r>
        <w:t xml:space="preserve"> for </w:t>
      </w:r>
      <w:proofErr w:type="spellStart"/>
      <w:r>
        <w:t>Daklinza</w:t>
      </w:r>
      <w:proofErr w:type="spellEnd"/>
      <w:r>
        <w:t xml:space="preserve"> Attachment 2 </w:t>
      </w:r>
      <w:r>
        <w:rPr>
          <w:i/>
        </w:rPr>
        <w:t>Efficacy</w:t>
      </w:r>
      <w:r>
        <w:t>):</w:t>
      </w:r>
    </w:p>
    <w:p w:rsidR="00C8707C" w:rsidRDefault="00C8707C" w:rsidP="00C8707C">
      <w:pPr>
        <w:pStyle w:val="ListBullet"/>
        <w:numPr>
          <w:ilvl w:val="0"/>
          <w:numId w:val="1"/>
        </w:numPr>
      </w:pPr>
      <w:r>
        <w:t xml:space="preserve">GT-1 prior null responders, the SVR12 rates were 93.6% in AI447029 to 95.0% in AI447011 (see </w:t>
      </w:r>
      <w:proofErr w:type="spellStart"/>
      <w:r>
        <w:t>AusPAR</w:t>
      </w:r>
      <w:proofErr w:type="spellEnd"/>
      <w:r>
        <w:t xml:space="preserve"> for </w:t>
      </w:r>
      <w:proofErr w:type="spellStart"/>
      <w:r>
        <w:t>Daklinza</w:t>
      </w:r>
      <w:proofErr w:type="spellEnd"/>
      <w:r>
        <w:t xml:space="preserve"> Attachment 2 </w:t>
      </w:r>
      <w:r>
        <w:rPr>
          <w:i/>
        </w:rPr>
        <w:t>Efficacy</w:t>
      </w:r>
      <w:r>
        <w:t>)</w:t>
      </w:r>
    </w:p>
    <w:p w:rsidR="00C8707C" w:rsidRDefault="00C8707C" w:rsidP="00C8707C">
      <w:pPr>
        <w:pStyle w:val="ListBullet"/>
        <w:numPr>
          <w:ilvl w:val="0"/>
          <w:numId w:val="1"/>
        </w:numPr>
      </w:pPr>
      <w:r>
        <w:t xml:space="preserve">GT-1 prior partial responders, the SVR12 rate was 91.7% in AI447029 (see </w:t>
      </w:r>
      <w:proofErr w:type="spellStart"/>
      <w:r>
        <w:t>AusPAR</w:t>
      </w:r>
      <w:proofErr w:type="spellEnd"/>
      <w:r>
        <w:t xml:space="preserve"> for </w:t>
      </w:r>
      <w:proofErr w:type="spellStart"/>
      <w:r>
        <w:t>Daklinza</w:t>
      </w:r>
      <w:proofErr w:type="spellEnd"/>
      <w:r>
        <w:t xml:space="preserve"> Attachment 2 </w:t>
      </w:r>
      <w:r>
        <w:rPr>
          <w:i/>
        </w:rPr>
        <w:t>Efficacy</w:t>
      </w:r>
      <w:r>
        <w:t>)</w:t>
      </w:r>
    </w:p>
    <w:p w:rsidR="00C8707C" w:rsidRDefault="00C8707C" w:rsidP="00C8707C">
      <w:pPr>
        <w:pStyle w:val="ListBullet"/>
        <w:numPr>
          <w:ilvl w:val="0"/>
          <w:numId w:val="1"/>
        </w:numPr>
      </w:pPr>
      <w:r>
        <w:t xml:space="preserve">GT-4 prior non-responders, the SVR12 rate was 44/44, 100.0% (95% CI: 100.0, 100.0) in AI447029 (see </w:t>
      </w:r>
      <w:proofErr w:type="spellStart"/>
      <w:r>
        <w:t>AusPAR</w:t>
      </w:r>
      <w:proofErr w:type="spellEnd"/>
      <w:r>
        <w:t xml:space="preserve"> for </w:t>
      </w:r>
      <w:proofErr w:type="spellStart"/>
      <w:r>
        <w:t>Daklinza</w:t>
      </w:r>
      <w:proofErr w:type="spellEnd"/>
      <w:r>
        <w:t xml:space="preserve"> Attachment 2 </w:t>
      </w:r>
      <w:r>
        <w:rPr>
          <w:i/>
        </w:rPr>
        <w:t>Efficacy.</w:t>
      </w:r>
      <w:r>
        <w:t>)</w:t>
      </w:r>
    </w:p>
    <w:p w:rsidR="00C8707C" w:rsidRDefault="00C8707C" w:rsidP="00C8707C">
      <w:r>
        <w:t xml:space="preserve">SVR12 rates with DCV QUAD therapy were consistently high across all host factor subgroups (including age, gender, cirrhosis status, </w:t>
      </w:r>
      <w:proofErr w:type="gramStart"/>
      <w:r>
        <w:t>IL</w:t>
      </w:r>
      <w:proofErr w:type="gramEnd"/>
      <w:r>
        <w:t>-28B polymorphism, prior null or partial response to HCV therapy) and viral factors (such as viral load). SVR12 rates with DCV QUAD therapy were minimally affected by baseline NS5A-L31, NS5A-Y93H, and NS3-R155 polymorphisms and not affected by NS3-D168 polymorphisms.</w:t>
      </w:r>
    </w:p>
    <w:p w:rsidR="00C8707C" w:rsidRDefault="00C8707C" w:rsidP="00C8707C">
      <w:pPr>
        <w:pStyle w:val="Heading2"/>
        <w:numPr>
          <w:ilvl w:val="0"/>
          <w:numId w:val="5"/>
        </w:numPr>
      </w:pPr>
      <w:bookmarkStart w:id="235" w:name="_Toc431369687"/>
      <w:bookmarkStart w:id="236" w:name="_Toc438116087"/>
      <w:r>
        <w:t>Clinical safety</w:t>
      </w:r>
      <w:bookmarkEnd w:id="235"/>
      <w:bookmarkEnd w:id="236"/>
    </w:p>
    <w:p w:rsidR="002C4CAD" w:rsidRDefault="00C8707C" w:rsidP="00C8707C">
      <w:r>
        <w:t>Except for Study AI447016 (the ASV/</w:t>
      </w:r>
      <w:proofErr w:type="spellStart"/>
      <w:r>
        <w:t>PegIFN</w:t>
      </w:r>
      <w:proofErr w:type="spellEnd"/>
      <w:r>
        <w:t xml:space="preserve">α/RBV combination) the major studies for safety always included ASV used in combination with DCV the safety of ASV and are covered in the DCV evaluation report. The following provides a brief summary of information in the DCV evaluation report. There is also summary information from Study AI447016 which is presented in more detail in </w:t>
      </w:r>
      <w:r w:rsidRPr="00C21E54">
        <w:rPr>
          <w:i/>
        </w:rPr>
        <w:t>Dosage selection for the pivotal studies</w:t>
      </w:r>
      <w:r>
        <w:t xml:space="preserve"> above.</w:t>
      </w:r>
    </w:p>
    <w:p w:rsidR="00C8707C" w:rsidRDefault="00C8707C" w:rsidP="00C8707C">
      <w:pPr>
        <w:pStyle w:val="Heading3"/>
        <w:numPr>
          <w:ilvl w:val="1"/>
          <w:numId w:val="5"/>
        </w:numPr>
      </w:pPr>
      <w:bookmarkStart w:id="237" w:name="_Toc401659986"/>
      <w:bookmarkStart w:id="238" w:name="_Toc290846284"/>
      <w:bookmarkStart w:id="239" w:name="_Toc272414659"/>
      <w:bookmarkStart w:id="240" w:name="_Toc431369688"/>
      <w:bookmarkStart w:id="241" w:name="_Toc438116088"/>
      <w:r>
        <w:t>Studies providing evaluable safety data</w:t>
      </w:r>
      <w:bookmarkEnd w:id="237"/>
      <w:bookmarkEnd w:id="238"/>
      <w:bookmarkEnd w:id="239"/>
      <w:bookmarkEnd w:id="240"/>
      <w:bookmarkEnd w:id="241"/>
    </w:p>
    <w:p w:rsidR="00C8707C" w:rsidRDefault="00C8707C" w:rsidP="00C8707C">
      <w:bookmarkStart w:id="242" w:name="_Ref268776745"/>
      <w:r>
        <w:t>The following studies provided evaluable safety data:</w:t>
      </w:r>
    </w:p>
    <w:p w:rsidR="00C8707C" w:rsidRDefault="00C8707C" w:rsidP="00C8707C">
      <w:pPr>
        <w:pStyle w:val="Heading4"/>
        <w:numPr>
          <w:ilvl w:val="2"/>
          <w:numId w:val="5"/>
        </w:numPr>
      </w:pPr>
      <w:r>
        <w:t>Efficacy studies</w:t>
      </w:r>
      <w:bookmarkEnd w:id="242"/>
    </w:p>
    <w:p w:rsidR="00C8707C" w:rsidRDefault="00C8707C" w:rsidP="00C8707C">
      <w:r>
        <w:t>In the pivotal efficacy studies, the following safety data were collected:</w:t>
      </w:r>
    </w:p>
    <w:p w:rsidR="00C8707C" w:rsidRDefault="00C8707C" w:rsidP="00C8707C">
      <w:pPr>
        <w:pStyle w:val="ListBullet"/>
        <w:numPr>
          <w:ilvl w:val="0"/>
          <w:numId w:val="1"/>
        </w:numPr>
      </w:pPr>
      <w:r>
        <w:lastRenderedPageBreak/>
        <w:t>General AEs were collected at each study visit either by spontaneously reports by the subject or elicited during open-ended questioning, examination or evaluation of a subject.</w:t>
      </w:r>
    </w:p>
    <w:p w:rsidR="00C8707C" w:rsidRDefault="00C8707C" w:rsidP="00C8707C">
      <w:pPr>
        <w:pStyle w:val="ListBullet"/>
        <w:numPr>
          <w:ilvl w:val="0"/>
          <w:numId w:val="1"/>
        </w:numPr>
      </w:pPr>
      <w:r>
        <w:t>AEs of particular interest, including haematological events (especially pancytopenia and neutropenia), LFTs (especially ALT and AST), gastrointestinal events, rash and hypersensitivity, were assessed by conducting specific searches of the AE database.</w:t>
      </w:r>
    </w:p>
    <w:p w:rsidR="00C8707C" w:rsidRDefault="00C8707C" w:rsidP="00C8707C">
      <w:pPr>
        <w:pStyle w:val="ListBullet"/>
        <w:numPr>
          <w:ilvl w:val="0"/>
          <w:numId w:val="1"/>
        </w:numPr>
      </w:pPr>
      <w:r>
        <w:t>Laboratory tests, including standard haematology and clinical chemistry were performed at each study visit.</w:t>
      </w:r>
    </w:p>
    <w:p w:rsidR="00C8707C" w:rsidRDefault="00C8707C" w:rsidP="00C8707C">
      <w:pPr>
        <w:pStyle w:val="ListBullet"/>
        <w:numPr>
          <w:ilvl w:val="0"/>
          <w:numId w:val="1"/>
        </w:numPr>
      </w:pPr>
      <w:r>
        <w:t>ECG, vital signs and physical examination were conducted pre and post treatment and at specified study visits.</w:t>
      </w:r>
    </w:p>
    <w:p w:rsidR="00C8707C" w:rsidRDefault="00C8707C" w:rsidP="00C8707C">
      <w:pPr>
        <w:pStyle w:val="Heading4"/>
        <w:numPr>
          <w:ilvl w:val="2"/>
          <w:numId w:val="5"/>
        </w:numPr>
      </w:pPr>
      <w:r>
        <w:t>Pivotal studies that assessed safety as a primary outcome</w:t>
      </w:r>
    </w:p>
    <w:p w:rsidR="00C8707C" w:rsidRDefault="00C8707C" w:rsidP="00C8707C">
      <w:r>
        <w:t>There were no pivotal studies that assessed safety as a primary outcome.</w:t>
      </w:r>
    </w:p>
    <w:p w:rsidR="00C8707C" w:rsidRDefault="00C8707C" w:rsidP="00C8707C">
      <w:pPr>
        <w:pStyle w:val="Heading4"/>
        <w:numPr>
          <w:ilvl w:val="2"/>
          <w:numId w:val="5"/>
        </w:numPr>
      </w:pPr>
      <w:r>
        <w:t>Dose-response and non-pivotal efficacy studies</w:t>
      </w:r>
    </w:p>
    <w:p w:rsidR="00C8707C" w:rsidRDefault="00C8707C" w:rsidP="00C8707C">
      <w:pPr>
        <w:pStyle w:val="Bullet1"/>
        <w:numPr>
          <w:ilvl w:val="0"/>
          <w:numId w:val="0"/>
        </w:numPr>
        <w:tabs>
          <w:tab w:val="left" w:pos="720"/>
        </w:tabs>
        <w:ind w:left="284" w:hanging="284"/>
      </w:pPr>
      <w:r>
        <w:t>See separate clinical pharmacology evaluation report.</w:t>
      </w:r>
    </w:p>
    <w:p w:rsidR="002C4CAD" w:rsidRDefault="00C8707C" w:rsidP="00C8707C">
      <w:pPr>
        <w:pStyle w:val="Heading4"/>
        <w:numPr>
          <w:ilvl w:val="2"/>
          <w:numId w:val="5"/>
        </w:numPr>
      </w:pPr>
      <w:r>
        <w:t>Other studies evaluable for safety</w:t>
      </w:r>
    </w:p>
    <w:p w:rsidR="00C8707C" w:rsidRPr="00C21E54" w:rsidRDefault="00C8707C" w:rsidP="00C8707C">
      <w:r w:rsidRPr="00C21E54">
        <w:t xml:space="preserve">See section </w:t>
      </w:r>
      <w:r w:rsidRPr="00C21E54">
        <w:rPr>
          <w:i/>
        </w:rPr>
        <w:t>Dosage selection for the pivotal studies</w:t>
      </w:r>
      <w:r w:rsidRPr="00C21E54">
        <w:t xml:space="preserve"> for details of Study AI447016.</w:t>
      </w:r>
    </w:p>
    <w:p w:rsidR="00C8707C" w:rsidRDefault="00C8707C" w:rsidP="00C8707C">
      <w:pPr>
        <w:pStyle w:val="Heading3"/>
        <w:numPr>
          <w:ilvl w:val="1"/>
          <w:numId w:val="5"/>
        </w:numPr>
      </w:pPr>
      <w:bookmarkStart w:id="243" w:name="_Ref269204367"/>
      <w:bookmarkStart w:id="244" w:name="_Toc401659987"/>
      <w:bookmarkStart w:id="245" w:name="_Toc290846285"/>
      <w:bookmarkStart w:id="246" w:name="_Toc272414660"/>
      <w:bookmarkStart w:id="247" w:name="_Ref271195841"/>
      <w:bookmarkStart w:id="248" w:name="_Ref271195835"/>
      <w:bookmarkStart w:id="249" w:name="_Toc431369689"/>
      <w:bookmarkStart w:id="250" w:name="_Toc438116089"/>
      <w:r>
        <w:t>Pivotal study that assessed safety as a primary outcome</w:t>
      </w:r>
      <w:bookmarkEnd w:id="243"/>
      <w:bookmarkEnd w:id="244"/>
      <w:bookmarkEnd w:id="245"/>
      <w:bookmarkEnd w:id="246"/>
      <w:bookmarkEnd w:id="247"/>
      <w:bookmarkEnd w:id="248"/>
      <w:bookmarkEnd w:id="249"/>
      <w:bookmarkEnd w:id="250"/>
    </w:p>
    <w:p w:rsidR="00C8707C" w:rsidRDefault="00C8707C" w:rsidP="00C8707C">
      <w:r>
        <w:t>Not applicable.</w:t>
      </w:r>
    </w:p>
    <w:p w:rsidR="00C8707C" w:rsidRDefault="00C8707C" w:rsidP="00C8707C">
      <w:pPr>
        <w:pStyle w:val="Heading3"/>
        <w:numPr>
          <w:ilvl w:val="1"/>
          <w:numId w:val="5"/>
        </w:numPr>
      </w:pPr>
      <w:bookmarkStart w:id="251" w:name="_Toc401659988"/>
      <w:bookmarkStart w:id="252" w:name="_Toc290846300"/>
      <w:bookmarkStart w:id="253" w:name="_Toc272414662"/>
      <w:bookmarkStart w:id="254" w:name="_Ref271196630"/>
      <w:bookmarkStart w:id="255" w:name="_Toc241374318"/>
      <w:bookmarkStart w:id="256" w:name="_Toc431369690"/>
      <w:bookmarkStart w:id="257" w:name="_Toc438116090"/>
      <w:r>
        <w:t>Patient exposure</w:t>
      </w:r>
      <w:bookmarkEnd w:id="251"/>
      <w:bookmarkEnd w:id="252"/>
      <w:bookmarkEnd w:id="253"/>
      <w:bookmarkEnd w:id="254"/>
      <w:bookmarkEnd w:id="255"/>
      <w:bookmarkEnd w:id="256"/>
      <w:bookmarkEnd w:id="257"/>
    </w:p>
    <w:p w:rsidR="00C8707C" w:rsidRDefault="00C8707C" w:rsidP="00C8707C">
      <w:pPr>
        <w:pStyle w:val="Tabletitle"/>
      </w:pPr>
      <w:bookmarkStart w:id="258" w:name="_Toc401831792"/>
      <w:r>
        <w:t>Table 14: Summary of subjects treated with ASV combination regimens at the recommended dose (100 mg capsule BD or 200 mg tablet BD)</w:t>
      </w:r>
      <w:bookmarkEnd w:id="258"/>
    </w:p>
    <w:tbl>
      <w:tblPr>
        <w:tblStyle w:val="TableTGAblue"/>
        <w:tblW w:w="0" w:type="auto"/>
        <w:tblLook w:val="04A0" w:firstRow="1" w:lastRow="0" w:firstColumn="1" w:lastColumn="0" w:noHBand="0" w:noVBand="1"/>
      </w:tblPr>
      <w:tblGrid>
        <w:gridCol w:w="2001"/>
        <w:gridCol w:w="1664"/>
        <w:gridCol w:w="1606"/>
        <w:gridCol w:w="2359"/>
        <w:gridCol w:w="1612"/>
      </w:tblGrid>
      <w:tr w:rsidR="00C8707C" w:rsidTr="004926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86" w:type="dxa"/>
          </w:tcPr>
          <w:p w:rsidR="00C8707C" w:rsidRPr="000B6417" w:rsidRDefault="00C8707C" w:rsidP="00492677">
            <w:pPr>
              <w:rPr>
                <w:b w:val="0"/>
                <w:lang w:eastAsia="en-AU"/>
              </w:rPr>
            </w:pPr>
          </w:p>
        </w:tc>
        <w:tc>
          <w:tcPr>
            <w:tcW w:w="7040" w:type="dxa"/>
            <w:gridSpan w:val="4"/>
            <w:hideMark/>
          </w:tcPr>
          <w:p w:rsidR="00C8707C" w:rsidRPr="000B6417" w:rsidRDefault="00C8707C" w:rsidP="00492677">
            <w:pPr>
              <w:cnfStyle w:val="100000000000" w:firstRow="1" w:lastRow="0" w:firstColumn="0" w:lastColumn="0" w:oddVBand="0" w:evenVBand="0" w:oddHBand="0" w:evenHBand="0" w:firstRowFirstColumn="0" w:firstRowLastColumn="0" w:lastRowFirstColumn="0" w:lastRowLastColumn="0"/>
              <w:rPr>
                <w:b w:val="0"/>
                <w:lang w:eastAsia="en-AU"/>
              </w:rPr>
            </w:pPr>
            <w:r w:rsidRPr="000B6417">
              <w:rPr>
                <w:b w:val="0"/>
                <w:lang w:eastAsia="en-AU"/>
              </w:rPr>
              <w:t>Number</w:t>
            </w:r>
            <w:r w:rsidRPr="000B6417">
              <w:rPr>
                <w:b w:val="0"/>
                <w:spacing w:val="-7"/>
                <w:lang w:eastAsia="en-AU"/>
              </w:rPr>
              <w:t xml:space="preserve"> </w:t>
            </w:r>
            <w:r w:rsidRPr="000B6417">
              <w:rPr>
                <w:b w:val="0"/>
                <w:lang w:eastAsia="en-AU"/>
              </w:rPr>
              <w:t>of</w:t>
            </w:r>
            <w:r w:rsidRPr="000B6417">
              <w:rPr>
                <w:b w:val="0"/>
                <w:spacing w:val="-2"/>
                <w:lang w:eastAsia="en-AU"/>
              </w:rPr>
              <w:t xml:space="preserve"> </w:t>
            </w:r>
            <w:r w:rsidRPr="000B6417">
              <w:rPr>
                <w:b w:val="0"/>
                <w:lang w:eastAsia="en-AU"/>
              </w:rPr>
              <w:t>Subjects</w:t>
            </w:r>
          </w:p>
        </w:tc>
      </w:tr>
      <w:tr w:rsidR="00C8707C" w:rsidTr="00492677">
        <w:tc>
          <w:tcPr>
            <w:cnfStyle w:val="001000000000" w:firstRow="0" w:lastRow="0" w:firstColumn="1" w:lastColumn="0" w:oddVBand="0" w:evenVBand="0" w:oddHBand="0" w:evenHBand="0" w:firstRowFirstColumn="0" w:firstRowLastColumn="0" w:lastRowFirstColumn="0" w:lastRowLastColumn="0"/>
            <w:tcW w:w="2086" w:type="dxa"/>
            <w:hideMark/>
          </w:tcPr>
          <w:p w:rsidR="00C8707C" w:rsidRPr="000B6417" w:rsidRDefault="00C8707C" w:rsidP="00492677">
            <w:pPr>
              <w:rPr>
                <w:bCs/>
                <w:lang w:eastAsia="en-AU"/>
              </w:rPr>
            </w:pPr>
            <w:r w:rsidRPr="000B6417">
              <w:rPr>
                <w:lang w:eastAsia="en-AU"/>
              </w:rPr>
              <w:t>Study</w:t>
            </w:r>
            <w:r w:rsidRPr="000B6417">
              <w:rPr>
                <w:spacing w:val="-5"/>
                <w:lang w:eastAsia="en-AU"/>
              </w:rPr>
              <w:t xml:space="preserve"> </w:t>
            </w:r>
            <w:r w:rsidRPr="000B6417">
              <w:rPr>
                <w:lang w:eastAsia="en-AU"/>
              </w:rPr>
              <w:t>Number</w:t>
            </w:r>
          </w:p>
        </w:tc>
        <w:tc>
          <w:tcPr>
            <w:tcW w:w="1701" w:type="dxa"/>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bCs/>
                <w:lang w:eastAsia="en-AU"/>
              </w:rPr>
            </w:pPr>
            <w:r w:rsidRPr="000B6417">
              <w:rPr>
                <w:bCs/>
                <w:lang w:eastAsia="en-AU"/>
              </w:rPr>
              <w:t>DCV/ASV</w:t>
            </w:r>
          </w:p>
        </w:tc>
        <w:tc>
          <w:tcPr>
            <w:tcW w:w="1701" w:type="dxa"/>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bCs/>
                <w:lang w:eastAsia="en-AU"/>
              </w:rPr>
            </w:pPr>
            <w:r w:rsidRPr="000B6417">
              <w:rPr>
                <w:bCs/>
                <w:position w:val="2"/>
                <w:lang w:eastAsia="en-AU"/>
              </w:rPr>
              <w:t>DCV</w:t>
            </w:r>
            <w:r w:rsidRPr="000B6417">
              <w:rPr>
                <w:bCs/>
                <w:spacing w:val="-3"/>
                <w:position w:val="2"/>
                <w:lang w:eastAsia="en-AU"/>
              </w:rPr>
              <w:t xml:space="preserve"> </w:t>
            </w:r>
            <w:r w:rsidRPr="000B6417">
              <w:rPr>
                <w:bCs/>
                <w:position w:val="2"/>
                <w:lang w:eastAsia="en-AU"/>
              </w:rPr>
              <w:t>Quad</w:t>
            </w:r>
          </w:p>
        </w:tc>
        <w:tc>
          <w:tcPr>
            <w:tcW w:w="1937" w:type="dxa"/>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noProof/>
                <w:lang w:eastAsia="en-AU"/>
              </w:rPr>
            </w:pPr>
            <w:r w:rsidRPr="000B6417">
              <w:rPr>
                <w:bCs/>
                <w:lang w:eastAsia="en-AU"/>
              </w:rPr>
              <w:t>ASV/</w:t>
            </w:r>
            <w:proofErr w:type="spellStart"/>
            <w:r w:rsidRPr="000B6417">
              <w:rPr>
                <w:bCs/>
                <w:lang w:eastAsia="en-AU"/>
              </w:rPr>
              <w:t>pegIFN</w:t>
            </w:r>
            <w:proofErr w:type="spellEnd"/>
            <w:r w:rsidRPr="000B6417">
              <w:rPr>
                <w:bCs/>
                <w:lang w:eastAsia="en-AU"/>
              </w:rPr>
              <w:t>α/RBV</w:t>
            </w:r>
          </w:p>
        </w:tc>
        <w:tc>
          <w:tcPr>
            <w:tcW w:w="1701" w:type="dxa"/>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position w:val="6"/>
                <w:lang w:eastAsia="en-AU"/>
              </w:rPr>
            </w:pPr>
            <w:r w:rsidRPr="000B6417">
              <w:rPr>
                <w:bCs/>
                <w:lang w:eastAsia="en-AU"/>
              </w:rPr>
              <w:t>Total</w:t>
            </w:r>
            <w:r w:rsidRPr="000B6417">
              <w:rPr>
                <w:bCs/>
                <w:spacing w:val="-5"/>
                <w:lang w:eastAsia="en-AU"/>
              </w:rPr>
              <w:t xml:space="preserve"> </w:t>
            </w:r>
            <w:r w:rsidRPr="000B6417">
              <w:rPr>
                <w:bCs/>
                <w:w w:val="99"/>
                <w:lang w:eastAsia="en-AU"/>
              </w:rPr>
              <w:t>ASV</w:t>
            </w:r>
          </w:p>
        </w:tc>
      </w:tr>
      <w:tr w:rsidR="00C8707C" w:rsidTr="00492677">
        <w:tc>
          <w:tcPr>
            <w:cnfStyle w:val="001000000000" w:firstRow="0" w:lastRow="0" w:firstColumn="1" w:lastColumn="0" w:oddVBand="0" w:evenVBand="0" w:oddHBand="0" w:evenHBand="0" w:firstRowFirstColumn="0" w:firstRowLastColumn="0" w:lastRowFirstColumn="0" w:lastRowLastColumn="0"/>
            <w:tcW w:w="2086" w:type="dxa"/>
            <w:hideMark/>
          </w:tcPr>
          <w:p w:rsidR="00C8707C" w:rsidRPr="000B6417" w:rsidRDefault="00C8707C" w:rsidP="00492677">
            <w:pPr>
              <w:rPr>
                <w:lang w:eastAsia="en-AU"/>
              </w:rPr>
            </w:pPr>
            <w:r w:rsidRPr="000B6417">
              <w:rPr>
                <w:lang w:eastAsia="en-AU"/>
              </w:rPr>
              <w:t>Pivotal</w:t>
            </w:r>
            <w:r w:rsidRPr="000B6417">
              <w:rPr>
                <w:spacing w:val="-5"/>
                <w:lang w:eastAsia="en-AU"/>
              </w:rPr>
              <w:t xml:space="preserve"> </w:t>
            </w:r>
            <w:r w:rsidRPr="000B6417">
              <w:rPr>
                <w:lang w:eastAsia="en-AU"/>
              </w:rPr>
              <w:t>Studies</w:t>
            </w:r>
          </w:p>
        </w:tc>
        <w:tc>
          <w:tcPr>
            <w:tcW w:w="1701" w:type="dxa"/>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lang w:eastAsia="en-AU"/>
              </w:rPr>
            </w:pPr>
          </w:p>
        </w:tc>
        <w:tc>
          <w:tcPr>
            <w:tcW w:w="1701" w:type="dxa"/>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lang w:eastAsia="en-AU"/>
              </w:rPr>
            </w:pPr>
          </w:p>
        </w:tc>
        <w:tc>
          <w:tcPr>
            <w:tcW w:w="1937" w:type="dxa"/>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lang w:eastAsia="en-AU"/>
              </w:rPr>
            </w:pPr>
          </w:p>
        </w:tc>
        <w:tc>
          <w:tcPr>
            <w:tcW w:w="1701" w:type="dxa"/>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lang w:eastAsia="en-AU"/>
              </w:rPr>
            </w:pPr>
          </w:p>
        </w:tc>
      </w:tr>
      <w:tr w:rsidR="00C8707C" w:rsidTr="00492677">
        <w:tc>
          <w:tcPr>
            <w:cnfStyle w:val="001000000000" w:firstRow="0" w:lastRow="0" w:firstColumn="1" w:lastColumn="0" w:oddVBand="0" w:evenVBand="0" w:oddHBand="0" w:evenHBand="0" w:firstRowFirstColumn="0" w:firstRowLastColumn="0" w:lastRowFirstColumn="0" w:lastRowLastColumn="0"/>
            <w:tcW w:w="2086" w:type="dxa"/>
            <w:hideMark/>
          </w:tcPr>
          <w:p w:rsidR="00C8707C" w:rsidRPr="000B6417" w:rsidRDefault="00C8707C" w:rsidP="00492677">
            <w:pPr>
              <w:rPr>
                <w:lang w:eastAsia="en-AU"/>
              </w:rPr>
            </w:pPr>
            <w:r w:rsidRPr="000B6417">
              <w:rPr>
                <w:spacing w:val="1"/>
                <w:lang w:eastAsia="en-AU"/>
              </w:rPr>
              <w:t>AI447028</w:t>
            </w:r>
          </w:p>
        </w:tc>
        <w:tc>
          <w:tcPr>
            <w:tcW w:w="1701" w:type="dxa"/>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lang w:eastAsia="en-AU"/>
              </w:rPr>
            </w:pPr>
            <w:r w:rsidRPr="000B6417">
              <w:rPr>
                <w:bCs/>
                <w:spacing w:val="1"/>
                <w:lang w:eastAsia="en-AU"/>
              </w:rPr>
              <w:t>645</w:t>
            </w:r>
          </w:p>
        </w:tc>
        <w:tc>
          <w:tcPr>
            <w:tcW w:w="1701" w:type="dxa"/>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w:t>
            </w:r>
          </w:p>
        </w:tc>
        <w:tc>
          <w:tcPr>
            <w:tcW w:w="1937" w:type="dxa"/>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w:t>
            </w:r>
          </w:p>
        </w:tc>
        <w:tc>
          <w:tcPr>
            <w:tcW w:w="1701" w:type="dxa"/>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64</w:t>
            </w:r>
            <w:r w:rsidRPr="000B6417">
              <w:rPr>
                <w:lang w:eastAsia="en-AU"/>
              </w:rPr>
              <w:t>5</w:t>
            </w:r>
          </w:p>
        </w:tc>
      </w:tr>
      <w:tr w:rsidR="00C8707C" w:rsidTr="00492677">
        <w:tc>
          <w:tcPr>
            <w:cnfStyle w:val="001000000000" w:firstRow="0" w:lastRow="0" w:firstColumn="1" w:lastColumn="0" w:oddVBand="0" w:evenVBand="0" w:oddHBand="0" w:evenHBand="0" w:firstRowFirstColumn="0" w:firstRowLastColumn="0" w:lastRowFirstColumn="0" w:lastRowLastColumn="0"/>
            <w:tcW w:w="2086" w:type="dxa"/>
            <w:hideMark/>
          </w:tcPr>
          <w:p w:rsidR="00C8707C" w:rsidRPr="000B6417" w:rsidRDefault="00C8707C" w:rsidP="00492677">
            <w:pPr>
              <w:rPr>
                <w:lang w:eastAsia="en-AU"/>
              </w:rPr>
            </w:pPr>
            <w:r w:rsidRPr="000B6417">
              <w:rPr>
                <w:spacing w:val="1"/>
                <w:lang w:eastAsia="en-AU"/>
              </w:rPr>
              <w:t>AI447026</w:t>
            </w:r>
          </w:p>
        </w:tc>
        <w:tc>
          <w:tcPr>
            <w:tcW w:w="1701" w:type="dxa"/>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22</w:t>
            </w:r>
            <w:r w:rsidRPr="000B6417">
              <w:rPr>
                <w:lang w:eastAsia="en-AU"/>
              </w:rPr>
              <w:t>2</w:t>
            </w:r>
          </w:p>
        </w:tc>
        <w:tc>
          <w:tcPr>
            <w:tcW w:w="1701" w:type="dxa"/>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w:t>
            </w:r>
          </w:p>
        </w:tc>
        <w:tc>
          <w:tcPr>
            <w:tcW w:w="1937" w:type="dxa"/>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w:t>
            </w:r>
          </w:p>
        </w:tc>
        <w:tc>
          <w:tcPr>
            <w:tcW w:w="1701" w:type="dxa"/>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lang w:eastAsia="en-AU"/>
              </w:rPr>
            </w:pPr>
            <w:r w:rsidRPr="000B6417">
              <w:rPr>
                <w:bCs/>
                <w:spacing w:val="1"/>
                <w:lang w:eastAsia="en-AU"/>
              </w:rPr>
              <w:t>222</w:t>
            </w:r>
          </w:p>
        </w:tc>
      </w:tr>
      <w:tr w:rsidR="00C8707C" w:rsidTr="00492677">
        <w:tc>
          <w:tcPr>
            <w:cnfStyle w:val="001000000000" w:firstRow="0" w:lastRow="0" w:firstColumn="1" w:lastColumn="0" w:oddVBand="0" w:evenVBand="0" w:oddHBand="0" w:evenHBand="0" w:firstRowFirstColumn="0" w:firstRowLastColumn="0" w:lastRowFirstColumn="0" w:lastRowLastColumn="0"/>
            <w:tcW w:w="2086" w:type="dxa"/>
            <w:hideMark/>
          </w:tcPr>
          <w:p w:rsidR="00C8707C" w:rsidRPr="000B6417" w:rsidRDefault="00C8707C" w:rsidP="00492677">
            <w:pPr>
              <w:rPr>
                <w:spacing w:val="1"/>
                <w:lang w:eastAsia="en-AU"/>
              </w:rPr>
            </w:pPr>
            <w:r w:rsidRPr="000B6417">
              <w:rPr>
                <w:spacing w:val="1"/>
                <w:lang w:eastAsia="en-AU"/>
              </w:rPr>
              <w:t>AI447029</w:t>
            </w:r>
          </w:p>
        </w:tc>
        <w:tc>
          <w:tcPr>
            <w:tcW w:w="1701" w:type="dxa"/>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lang w:eastAsia="en-AU"/>
              </w:rPr>
              <w:t>---</w:t>
            </w:r>
          </w:p>
        </w:tc>
        <w:tc>
          <w:tcPr>
            <w:tcW w:w="1701" w:type="dxa"/>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bCs/>
                <w:w w:val="99"/>
                <w:lang w:eastAsia="en-AU"/>
              </w:rPr>
            </w:pPr>
            <w:r w:rsidRPr="000B6417">
              <w:rPr>
                <w:spacing w:val="1"/>
                <w:lang w:eastAsia="en-AU"/>
              </w:rPr>
              <w:t>39</w:t>
            </w:r>
            <w:r w:rsidRPr="000B6417">
              <w:rPr>
                <w:lang w:eastAsia="en-AU"/>
              </w:rPr>
              <w:t>8</w:t>
            </w:r>
          </w:p>
        </w:tc>
        <w:tc>
          <w:tcPr>
            <w:tcW w:w="1937" w:type="dxa"/>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noProof/>
                <w:lang w:eastAsia="en-AU"/>
              </w:rPr>
            </w:pPr>
            <w:r w:rsidRPr="000B6417">
              <w:rPr>
                <w:lang w:eastAsia="en-AU"/>
              </w:rPr>
              <w:t>---</w:t>
            </w:r>
          </w:p>
        </w:tc>
        <w:tc>
          <w:tcPr>
            <w:tcW w:w="1701" w:type="dxa"/>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spacing w:val="1"/>
                <w:lang w:eastAsia="en-AU"/>
              </w:rPr>
            </w:pPr>
            <w:r w:rsidRPr="000B6417">
              <w:rPr>
                <w:bCs/>
                <w:spacing w:val="1"/>
                <w:lang w:eastAsia="en-AU"/>
              </w:rPr>
              <w:t>39</w:t>
            </w:r>
            <w:r w:rsidRPr="000B6417">
              <w:rPr>
                <w:bCs/>
                <w:lang w:eastAsia="en-AU"/>
              </w:rPr>
              <w:t>8</w:t>
            </w:r>
          </w:p>
        </w:tc>
      </w:tr>
      <w:tr w:rsidR="00C8707C" w:rsidTr="00492677">
        <w:tc>
          <w:tcPr>
            <w:cnfStyle w:val="001000000000" w:firstRow="0" w:lastRow="0" w:firstColumn="1" w:lastColumn="0" w:oddVBand="0" w:evenVBand="0" w:oddHBand="0" w:evenHBand="0" w:firstRowFirstColumn="0" w:firstRowLastColumn="0" w:lastRowFirstColumn="0" w:lastRowLastColumn="0"/>
            <w:tcW w:w="9126" w:type="dxa"/>
            <w:gridSpan w:val="5"/>
            <w:hideMark/>
          </w:tcPr>
          <w:p w:rsidR="00C8707C" w:rsidRPr="000B6417" w:rsidRDefault="00C8707C" w:rsidP="00492677">
            <w:pPr>
              <w:rPr>
                <w:bCs/>
                <w:lang w:eastAsia="en-AU"/>
              </w:rPr>
            </w:pPr>
            <w:r w:rsidRPr="000B6417">
              <w:rPr>
                <w:w w:val="99"/>
                <w:lang w:eastAsia="en-AU"/>
              </w:rPr>
              <w:t xml:space="preserve">Supportive </w:t>
            </w:r>
            <w:r w:rsidRPr="000B6417">
              <w:rPr>
                <w:lang w:eastAsia="en-AU"/>
              </w:rPr>
              <w:t>Studies</w:t>
            </w:r>
          </w:p>
        </w:tc>
      </w:tr>
      <w:tr w:rsidR="00C8707C" w:rsidTr="00492677">
        <w:tc>
          <w:tcPr>
            <w:cnfStyle w:val="001000000000" w:firstRow="0" w:lastRow="0" w:firstColumn="1" w:lastColumn="0" w:oddVBand="0" w:evenVBand="0" w:oddHBand="0" w:evenHBand="0" w:firstRowFirstColumn="0" w:firstRowLastColumn="0" w:lastRowFirstColumn="0" w:lastRowLastColumn="0"/>
            <w:tcW w:w="2086" w:type="dxa"/>
            <w:hideMark/>
          </w:tcPr>
          <w:p w:rsidR="00C8707C" w:rsidRPr="000B6417" w:rsidRDefault="00C8707C" w:rsidP="00492677">
            <w:pPr>
              <w:rPr>
                <w:lang w:eastAsia="en-AU"/>
              </w:rPr>
            </w:pPr>
            <w:r w:rsidRPr="000B6417">
              <w:rPr>
                <w:spacing w:val="1"/>
                <w:lang w:eastAsia="en-AU"/>
              </w:rPr>
              <w:t>AI447011</w:t>
            </w:r>
          </w:p>
        </w:tc>
        <w:tc>
          <w:tcPr>
            <w:tcW w:w="1701" w:type="dxa"/>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1</w:t>
            </w:r>
            <w:r w:rsidRPr="000B6417">
              <w:rPr>
                <w:lang w:eastAsia="en-AU"/>
              </w:rPr>
              <w:t>8</w:t>
            </w:r>
          </w:p>
        </w:tc>
        <w:tc>
          <w:tcPr>
            <w:tcW w:w="1701" w:type="dxa"/>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2</w:t>
            </w:r>
            <w:r w:rsidRPr="000B6417">
              <w:rPr>
                <w:lang w:eastAsia="en-AU"/>
              </w:rPr>
              <w:t>0</w:t>
            </w:r>
          </w:p>
        </w:tc>
        <w:tc>
          <w:tcPr>
            <w:tcW w:w="1937" w:type="dxa"/>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w:t>
            </w:r>
          </w:p>
        </w:tc>
        <w:tc>
          <w:tcPr>
            <w:tcW w:w="1701" w:type="dxa"/>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lang w:eastAsia="en-AU"/>
              </w:rPr>
            </w:pPr>
            <w:r w:rsidRPr="000B6417">
              <w:rPr>
                <w:bCs/>
                <w:spacing w:val="1"/>
                <w:lang w:eastAsia="en-AU"/>
              </w:rPr>
              <w:t>38</w:t>
            </w:r>
          </w:p>
        </w:tc>
      </w:tr>
      <w:tr w:rsidR="00C8707C" w:rsidTr="00492677">
        <w:tc>
          <w:tcPr>
            <w:cnfStyle w:val="001000000000" w:firstRow="0" w:lastRow="0" w:firstColumn="1" w:lastColumn="0" w:oddVBand="0" w:evenVBand="0" w:oddHBand="0" w:evenHBand="0" w:firstRowFirstColumn="0" w:firstRowLastColumn="0" w:lastRowFirstColumn="0" w:lastRowLastColumn="0"/>
            <w:tcW w:w="2086" w:type="dxa"/>
            <w:hideMark/>
          </w:tcPr>
          <w:p w:rsidR="00C8707C" w:rsidRPr="000B6417" w:rsidRDefault="00C8707C" w:rsidP="00492677">
            <w:pPr>
              <w:rPr>
                <w:lang w:eastAsia="en-AU"/>
              </w:rPr>
            </w:pPr>
            <w:r w:rsidRPr="000B6417">
              <w:rPr>
                <w:spacing w:val="1"/>
                <w:lang w:eastAsia="en-AU"/>
              </w:rPr>
              <w:t>AI447017</w:t>
            </w:r>
          </w:p>
        </w:tc>
        <w:tc>
          <w:tcPr>
            <w:tcW w:w="1701" w:type="dxa"/>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lang w:eastAsia="en-AU"/>
              </w:rPr>
            </w:pPr>
            <w:r w:rsidRPr="000B6417">
              <w:rPr>
                <w:spacing w:val="1"/>
                <w:lang w:eastAsia="en-AU"/>
              </w:rPr>
              <w:t>3</w:t>
            </w:r>
            <w:r w:rsidRPr="000B6417">
              <w:rPr>
                <w:lang w:eastAsia="en-AU"/>
              </w:rPr>
              <w:t>3</w:t>
            </w:r>
          </w:p>
        </w:tc>
        <w:tc>
          <w:tcPr>
            <w:tcW w:w="1701" w:type="dxa"/>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w:t>
            </w:r>
          </w:p>
        </w:tc>
        <w:tc>
          <w:tcPr>
            <w:tcW w:w="1937" w:type="dxa"/>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w:t>
            </w:r>
          </w:p>
        </w:tc>
        <w:tc>
          <w:tcPr>
            <w:tcW w:w="1701" w:type="dxa"/>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kern w:val="16"/>
                <w:lang w:eastAsia="en-AU"/>
              </w:rPr>
            </w:pPr>
            <w:r w:rsidRPr="000B6417">
              <w:rPr>
                <w:bCs/>
                <w:spacing w:val="1"/>
                <w:lang w:eastAsia="en-AU"/>
              </w:rPr>
              <w:t>33</w:t>
            </w:r>
          </w:p>
        </w:tc>
      </w:tr>
      <w:tr w:rsidR="00C8707C" w:rsidTr="00492677">
        <w:tc>
          <w:tcPr>
            <w:cnfStyle w:val="001000000000" w:firstRow="0" w:lastRow="0" w:firstColumn="1" w:lastColumn="0" w:oddVBand="0" w:evenVBand="0" w:oddHBand="0" w:evenHBand="0" w:firstRowFirstColumn="0" w:firstRowLastColumn="0" w:lastRowFirstColumn="0" w:lastRowLastColumn="0"/>
            <w:tcW w:w="9126" w:type="dxa"/>
            <w:gridSpan w:val="5"/>
            <w:hideMark/>
          </w:tcPr>
          <w:p w:rsidR="00C8707C" w:rsidRPr="000B6417" w:rsidRDefault="00C8707C" w:rsidP="00492677">
            <w:pPr>
              <w:rPr>
                <w:lang w:eastAsia="en-AU"/>
              </w:rPr>
            </w:pPr>
            <w:r w:rsidRPr="000B6417">
              <w:rPr>
                <w:lang w:eastAsia="en-AU"/>
              </w:rPr>
              <w:t>Other</w:t>
            </w:r>
            <w:r w:rsidRPr="000B6417">
              <w:rPr>
                <w:spacing w:val="-9"/>
                <w:lang w:eastAsia="en-AU"/>
              </w:rPr>
              <w:t xml:space="preserve"> </w:t>
            </w:r>
            <w:r w:rsidRPr="000B6417">
              <w:rPr>
                <w:lang w:eastAsia="en-AU"/>
              </w:rPr>
              <w:t>Studies</w:t>
            </w:r>
          </w:p>
        </w:tc>
      </w:tr>
      <w:tr w:rsidR="00C8707C" w:rsidTr="00492677">
        <w:tc>
          <w:tcPr>
            <w:cnfStyle w:val="001000000000" w:firstRow="0" w:lastRow="0" w:firstColumn="1" w:lastColumn="0" w:oddVBand="0" w:evenVBand="0" w:oddHBand="0" w:evenHBand="0" w:firstRowFirstColumn="0" w:firstRowLastColumn="0" w:lastRowFirstColumn="0" w:lastRowLastColumn="0"/>
            <w:tcW w:w="2086" w:type="dxa"/>
            <w:hideMark/>
          </w:tcPr>
          <w:p w:rsidR="00C8707C" w:rsidRPr="000B6417" w:rsidRDefault="00C8707C" w:rsidP="00492677">
            <w:pPr>
              <w:rPr>
                <w:spacing w:val="1"/>
                <w:lang w:eastAsia="en-AU"/>
              </w:rPr>
            </w:pPr>
            <w:r w:rsidRPr="000B6417">
              <w:rPr>
                <w:spacing w:val="1"/>
                <w:lang w:eastAsia="en-AU"/>
              </w:rPr>
              <w:t>AI447016</w:t>
            </w:r>
          </w:p>
        </w:tc>
        <w:tc>
          <w:tcPr>
            <w:tcW w:w="1701" w:type="dxa"/>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w:t>
            </w:r>
          </w:p>
        </w:tc>
        <w:tc>
          <w:tcPr>
            <w:tcW w:w="1701" w:type="dxa"/>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lang w:eastAsia="en-AU"/>
              </w:rPr>
            </w:pPr>
            <w:r w:rsidRPr="000B6417">
              <w:rPr>
                <w:lang w:eastAsia="en-AU"/>
              </w:rPr>
              <w:t>---</w:t>
            </w:r>
          </w:p>
        </w:tc>
        <w:tc>
          <w:tcPr>
            <w:tcW w:w="1937" w:type="dxa"/>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bCs/>
                <w:spacing w:val="1"/>
                <w:lang w:eastAsia="en-AU"/>
              </w:rPr>
            </w:pPr>
            <w:r w:rsidRPr="000B6417">
              <w:rPr>
                <w:spacing w:val="1"/>
                <w:lang w:eastAsia="en-AU"/>
              </w:rPr>
              <w:t>18</w:t>
            </w:r>
            <w:r w:rsidRPr="000B6417">
              <w:rPr>
                <w:lang w:eastAsia="en-AU"/>
              </w:rPr>
              <w:t>9</w:t>
            </w:r>
          </w:p>
        </w:tc>
        <w:tc>
          <w:tcPr>
            <w:tcW w:w="1701" w:type="dxa"/>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lang w:eastAsia="en-AU"/>
              </w:rPr>
            </w:pPr>
            <w:r w:rsidRPr="000B6417">
              <w:rPr>
                <w:bCs/>
                <w:spacing w:val="1"/>
                <w:lang w:eastAsia="en-AU"/>
              </w:rPr>
              <w:t>189</w:t>
            </w:r>
          </w:p>
        </w:tc>
      </w:tr>
      <w:tr w:rsidR="00C8707C" w:rsidTr="00492677">
        <w:tc>
          <w:tcPr>
            <w:cnfStyle w:val="001000000000" w:firstRow="0" w:lastRow="0" w:firstColumn="1" w:lastColumn="0" w:oddVBand="0" w:evenVBand="0" w:oddHBand="0" w:evenHBand="0" w:firstRowFirstColumn="0" w:firstRowLastColumn="0" w:lastRowFirstColumn="0" w:lastRowLastColumn="0"/>
            <w:tcW w:w="2086" w:type="dxa"/>
            <w:hideMark/>
          </w:tcPr>
          <w:p w:rsidR="00C8707C" w:rsidRPr="000B6417" w:rsidRDefault="00C8707C" w:rsidP="00492677">
            <w:pPr>
              <w:rPr>
                <w:spacing w:val="1"/>
                <w:lang w:eastAsia="en-AU"/>
              </w:rPr>
            </w:pPr>
            <w:r w:rsidRPr="000B6417">
              <w:rPr>
                <w:spacing w:val="1"/>
                <w:lang w:eastAsia="en-AU"/>
              </w:rPr>
              <w:t>Tota</w:t>
            </w:r>
            <w:r w:rsidRPr="000B6417">
              <w:rPr>
                <w:lang w:eastAsia="en-AU"/>
              </w:rPr>
              <w:t xml:space="preserve">l </w:t>
            </w:r>
          </w:p>
        </w:tc>
        <w:tc>
          <w:tcPr>
            <w:tcW w:w="1701" w:type="dxa"/>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lang w:eastAsia="en-AU"/>
              </w:rPr>
            </w:pPr>
            <w:r w:rsidRPr="000B6417">
              <w:rPr>
                <w:bCs/>
                <w:spacing w:val="1"/>
                <w:lang w:eastAsia="en-AU"/>
              </w:rPr>
              <w:t>91</w:t>
            </w:r>
            <w:r w:rsidRPr="000B6417">
              <w:rPr>
                <w:bCs/>
                <w:lang w:eastAsia="en-AU"/>
              </w:rPr>
              <w:t>8</w:t>
            </w:r>
          </w:p>
        </w:tc>
        <w:tc>
          <w:tcPr>
            <w:tcW w:w="1701" w:type="dxa"/>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lang w:eastAsia="en-AU"/>
              </w:rPr>
            </w:pPr>
            <w:r w:rsidRPr="000B6417">
              <w:rPr>
                <w:bCs/>
                <w:spacing w:val="1"/>
                <w:lang w:eastAsia="en-AU"/>
              </w:rPr>
              <w:t>41</w:t>
            </w:r>
            <w:r w:rsidRPr="000B6417">
              <w:rPr>
                <w:bCs/>
                <w:lang w:eastAsia="en-AU"/>
              </w:rPr>
              <w:t>8</w:t>
            </w:r>
          </w:p>
        </w:tc>
        <w:tc>
          <w:tcPr>
            <w:tcW w:w="1937" w:type="dxa"/>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bCs/>
                <w:spacing w:val="1"/>
                <w:lang w:eastAsia="en-AU"/>
              </w:rPr>
            </w:pPr>
            <w:r w:rsidRPr="000B6417">
              <w:rPr>
                <w:bCs/>
                <w:spacing w:val="1"/>
                <w:lang w:eastAsia="en-AU"/>
              </w:rPr>
              <w:t>18</w:t>
            </w:r>
            <w:r w:rsidRPr="000B6417">
              <w:rPr>
                <w:bCs/>
                <w:lang w:eastAsia="en-AU"/>
              </w:rPr>
              <w:t>9</w:t>
            </w:r>
          </w:p>
        </w:tc>
        <w:tc>
          <w:tcPr>
            <w:tcW w:w="1701" w:type="dxa"/>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lang w:eastAsia="en-AU"/>
              </w:rPr>
            </w:pPr>
            <w:r w:rsidRPr="000B6417">
              <w:rPr>
                <w:bCs/>
                <w:spacing w:val="1"/>
                <w:lang w:eastAsia="en-AU"/>
              </w:rPr>
              <w:t>1,52</w:t>
            </w:r>
            <w:r w:rsidRPr="000B6417">
              <w:rPr>
                <w:bCs/>
                <w:lang w:eastAsia="en-AU"/>
              </w:rPr>
              <w:t>5</w:t>
            </w:r>
          </w:p>
        </w:tc>
      </w:tr>
    </w:tbl>
    <w:p w:rsidR="00C8707C" w:rsidRDefault="00C8707C" w:rsidP="00492677">
      <w:pPr>
        <w:pStyle w:val="TableDescription"/>
        <w:rPr>
          <w:kern w:val="16"/>
        </w:rPr>
      </w:pPr>
      <w:r>
        <w:lastRenderedPageBreak/>
        <w:t xml:space="preserve">Safety data from DCV 60 mg QD in combination with a dose of ASV other than ASV 100 mg BD </w:t>
      </w:r>
      <w:proofErr w:type="spellStart"/>
      <w:r>
        <w:t>softgel</w:t>
      </w:r>
      <w:proofErr w:type="spellEnd"/>
      <w:r>
        <w:t xml:space="preserve"> capsule or ASV 200 mg BD (i.e., ASV at 600 mg BD and ASV at 200 mg QD) are not integrated in the overall by-regimen safety analyses; however, these data are summarised by cohort in this SCS.</w:t>
      </w:r>
    </w:p>
    <w:p w:rsidR="00C8707C" w:rsidRDefault="00C8707C" w:rsidP="00C8707C">
      <w:pPr>
        <w:pStyle w:val="Tabletitle"/>
      </w:pPr>
      <w:bookmarkStart w:id="259" w:name="_Toc401831793"/>
      <w:bookmarkStart w:id="260" w:name="_Toc269112508"/>
      <w:r>
        <w:t xml:space="preserve">Table 15A: Exposure to </w:t>
      </w:r>
      <w:proofErr w:type="spellStart"/>
      <w:r>
        <w:t>asunaprevir</w:t>
      </w:r>
      <w:proofErr w:type="spellEnd"/>
      <w:r>
        <w:t xml:space="preserve"> in clinical studies according to dose and duration</w:t>
      </w:r>
      <w:bookmarkEnd w:id="259"/>
      <w:bookmarkEnd w:id="260"/>
      <w:r>
        <w:t xml:space="preserve"> DCV/ASV regimen</w:t>
      </w:r>
    </w:p>
    <w:tbl>
      <w:tblPr>
        <w:tblStyle w:val="TableTGAblue"/>
        <w:tblW w:w="0" w:type="auto"/>
        <w:tblLook w:val="04A0" w:firstRow="1" w:lastRow="0" w:firstColumn="1" w:lastColumn="0" w:noHBand="0" w:noVBand="1"/>
      </w:tblPr>
      <w:tblGrid>
        <w:gridCol w:w="1668"/>
        <w:gridCol w:w="2433"/>
        <w:gridCol w:w="2811"/>
        <w:gridCol w:w="2307"/>
      </w:tblGrid>
      <w:tr w:rsidR="00C8707C" w:rsidTr="004926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8" w:type="dxa"/>
            <w:hideMark/>
          </w:tcPr>
          <w:p w:rsidR="00C8707C" w:rsidRPr="000B6417" w:rsidRDefault="00C8707C" w:rsidP="00492677">
            <w:pPr>
              <w:rPr>
                <w:b w:val="0"/>
                <w:kern w:val="16"/>
                <w:lang w:eastAsia="en-AU"/>
              </w:rPr>
            </w:pPr>
            <w:r w:rsidRPr="000B6417">
              <w:rPr>
                <w:b w:val="0"/>
                <w:lang w:eastAsia="en-AU"/>
              </w:rPr>
              <w:t>Study</w:t>
            </w:r>
          </w:p>
        </w:tc>
        <w:tc>
          <w:tcPr>
            <w:tcW w:w="2433" w:type="dxa"/>
            <w:hideMark/>
          </w:tcPr>
          <w:p w:rsidR="00C8707C" w:rsidRPr="000B6417" w:rsidRDefault="00C8707C" w:rsidP="00492677">
            <w:pPr>
              <w:cnfStyle w:val="100000000000" w:firstRow="1" w:lastRow="0" w:firstColumn="0" w:lastColumn="0" w:oddVBand="0" w:evenVBand="0" w:oddHBand="0" w:evenHBand="0" w:firstRowFirstColumn="0" w:firstRowLastColumn="0" w:lastRowFirstColumn="0" w:lastRowLastColumn="0"/>
              <w:rPr>
                <w:b w:val="0"/>
                <w:kern w:val="16"/>
                <w:lang w:eastAsia="en-AU"/>
              </w:rPr>
            </w:pPr>
            <w:r w:rsidRPr="000B6417">
              <w:rPr>
                <w:b w:val="0"/>
                <w:lang w:eastAsia="en-AU"/>
              </w:rPr>
              <w:t>DCV median dose (range)</w:t>
            </w:r>
          </w:p>
        </w:tc>
        <w:tc>
          <w:tcPr>
            <w:tcW w:w="2811" w:type="dxa"/>
            <w:hideMark/>
          </w:tcPr>
          <w:p w:rsidR="00C8707C" w:rsidRPr="000B6417" w:rsidRDefault="00C8707C" w:rsidP="00492677">
            <w:pPr>
              <w:cnfStyle w:val="100000000000" w:firstRow="1" w:lastRow="0" w:firstColumn="0" w:lastColumn="0" w:oddVBand="0" w:evenVBand="0" w:oddHBand="0" w:evenHBand="0" w:firstRowFirstColumn="0" w:firstRowLastColumn="0" w:lastRowFirstColumn="0" w:lastRowLastColumn="0"/>
              <w:rPr>
                <w:b w:val="0"/>
                <w:kern w:val="16"/>
                <w:lang w:eastAsia="en-AU"/>
              </w:rPr>
            </w:pPr>
            <w:r w:rsidRPr="000B6417">
              <w:rPr>
                <w:b w:val="0"/>
                <w:lang w:eastAsia="en-AU"/>
              </w:rPr>
              <w:t>ASV median dose (range)</w:t>
            </w:r>
          </w:p>
        </w:tc>
        <w:tc>
          <w:tcPr>
            <w:tcW w:w="2307" w:type="dxa"/>
            <w:hideMark/>
          </w:tcPr>
          <w:p w:rsidR="00C8707C" w:rsidRPr="000B6417" w:rsidRDefault="00C8707C" w:rsidP="00492677">
            <w:pPr>
              <w:cnfStyle w:val="100000000000" w:firstRow="1" w:lastRow="0" w:firstColumn="0" w:lastColumn="0" w:oddVBand="0" w:evenVBand="0" w:oddHBand="0" w:evenHBand="0" w:firstRowFirstColumn="0" w:firstRowLastColumn="0" w:lastRowFirstColumn="0" w:lastRowLastColumn="0"/>
              <w:rPr>
                <w:b w:val="0"/>
                <w:kern w:val="16"/>
                <w:lang w:eastAsia="en-AU"/>
              </w:rPr>
            </w:pPr>
            <w:r w:rsidRPr="000B6417">
              <w:rPr>
                <w:b w:val="0"/>
                <w:lang w:eastAsia="en-AU"/>
              </w:rPr>
              <w:t>Median duration (weeks)</w:t>
            </w:r>
          </w:p>
        </w:tc>
      </w:tr>
      <w:tr w:rsidR="00C8707C" w:rsidTr="00492677">
        <w:tc>
          <w:tcPr>
            <w:cnfStyle w:val="001000000000" w:firstRow="0" w:lastRow="0" w:firstColumn="1" w:lastColumn="0" w:oddVBand="0" w:evenVBand="0" w:oddHBand="0" w:evenHBand="0" w:firstRowFirstColumn="0" w:firstRowLastColumn="0" w:lastRowFirstColumn="0" w:lastRowLastColumn="0"/>
            <w:tcW w:w="1668" w:type="dxa"/>
            <w:hideMark/>
          </w:tcPr>
          <w:p w:rsidR="00C8707C" w:rsidRPr="000B6417" w:rsidRDefault="00C8707C" w:rsidP="00492677">
            <w:pPr>
              <w:rPr>
                <w:kern w:val="16"/>
                <w:lang w:eastAsia="en-AU"/>
              </w:rPr>
            </w:pPr>
            <w:r w:rsidRPr="000B6417">
              <w:rPr>
                <w:rFonts w:eastAsia="TimesNewRoman" w:cs="TimesNewRoman"/>
                <w:lang w:eastAsia="en-AU"/>
              </w:rPr>
              <w:t>AI447028 and AI447026</w:t>
            </w:r>
          </w:p>
        </w:tc>
        <w:tc>
          <w:tcPr>
            <w:tcW w:w="2433" w:type="dxa"/>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kern w:val="16"/>
                <w:lang w:eastAsia="en-AU"/>
              </w:rPr>
            </w:pPr>
            <w:r w:rsidRPr="000B6417">
              <w:rPr>
                <w:rFonts w:eastAsia="TimesNewRoman" w:cs="TimesNewRoman"/>
                <w:lang w:eastAsia="en-AU"/>
              </w:rPr>
              <w:t>60 mg (51.1 - 80.5 mg)</w:t>
            </w:r>
          </w:p>
        </w:tc>
        <w:tc>
          <w:tcPr>
            <w:tcW w:w="2811" w:type="dxa"/>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kern w:val="16"/>
                <w:lang w:eastAsia="en-AU"/>
              </w:rPr>
            </w:pPr>
            <w:r w:rsidRPr="000B6417">
              <w:rPr>
                <w:rFonts w:eastAsia="TimesNewRoman" w:cs="TimesNewRoman"/>
                <w:lang w:eastAsia="en-AU"/>
              </w:rPr>
              <w:t>200 mg* (157.0 - 210.7 mg)</w:t>
            </w:r>
          </w:p>
        </w:tc>
        <w:tc>
          <w:tcPr>
            <w:tcW w:w="2307" w:type="dxa"/>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kern w:val="16"/>
                <w:lang w:eastAsia="en-AU"/>
              </w:rPr>
            </w:pPr>
            <w:r w:rsidRPr="000B6417">
              <w:rPr>
                <w:rFonts w:eastAsia="TimesNewRoman" w:cs="TimesNewRoman"/>
                <w:lang w:eastAsia="en-AU"/>
              </w:rPr>
              <w:t>24 (0.3 - 28.7)</w:t>
            </w:r>
          </w:p>
        </w:tc>
      </w:tr>
      <w:tr w:rsidR="00C8707C" w:rsidTr="00492677">
        <w:tc>
          <w:tcPr>
            <w:cnfStyle w:val="001000000000" w:firstRow="0" w:lastRow="0" w:firstColumn="1" w:lastColumn="0" w:oddVBand="0" w:evenVBand="0" w:oddHBand="0" w:evenHBand="0" w:firstRowFirstColumn="0" w:firstRowLastColumn="0" w:lastRowFirstColumn="0" w:lastRowLastColumn="0"/>
            <w:tcW w:w="1668" w:type="dxa"/>
            <w:hideMark/>
          </w:tcPr>
          <w:p w:rsidR="00C8707C" w:rsidRPr="000B6417" w:rsidRDefault="00C8707C" w:rsidP="00492677">
            <w:pPr>
              <w:rPr>
                <w:kern w:val="16"/>
                <w:lang w:eastAsia="en-AU"/>
              </w:rPr>
            </w:pPr>
            <w:r w:rsidRPr="000B6417">
              <w:rPr>
                <w:rFonts w:eastAsia="TimesNewRoman" w:cs="TimesNewRoman"/>
                <w:lang w:eastAsia="en-AU"/>
              </w:rPr>
              <w:t>AI447017 and AI447011</w:t>
            </w:r>
          </w:p>
        </w:tc>
        <w:tc>
          <w:tcPr>
            <w:tcW w:w="2433" w:type="dxa"/>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kern w:val="16"/>
                <w:lang w:eastAsia="en-AU"/>
              </w:rPr>
            </w:pPr>
            <w:r w:rsidRPr="000B6417">
              <w:rPr>
                <w:rFonts w:eastAsia="TimesNewRoman" w:cs="TimesNewRoman"/>
                <w:lang w:eastAsia="en-AU"/>
              </w:rPr>
              <w:t>60 mg (57.0 - 60.0 mg)</w:t>
            </w:r>
          </w:p>
        </w:tc>
        <w:tc>
          <w:tcPr>
            <w:tcW w:w="2811" w:type="dxa"/>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kern w:val="16"/>
                <w:lang w:eastAsia="en-AU"/>
              </w:rPr>
            </w:pPr>
            <w:r w:rsidRPr="000B6417">
              <w:rPr>
                <w:rFonts w:eastAsia="TimesNewRoman" w:cs="TimesNewRoman"/>
                <w:lang w:eastAsia="en-AU"/>
              </w:rPr>
              <w:t>400 mg* (346.4 - 400.0 mg)</w:t>
            </w:r>
          </w:p>
        </w:tc>
        <w:tc>
          <w:tcPr>
            <w:tcW w:w="2307" w:type="dxa"/>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kern w:val="16"/>
                <w:lang w:eastAsia="en-AU"/>
              </w:rPr>
            </w:pPr>
            <w:r w:rsidRPr="000B6417">
              <w:rPr>
                <w:rFonts w:eastAsia="TimesNewRoman" w:cs="TimesNewRoman"/>
                <w:lang w:eastAsia="en-AU"/>
              </w:rPr>
              <w:t>24 (0.3 - 28.7)</w:t>
            </w:r>
          </w:p>
        </w:tc>
      </w:tr>
    </w:tbl>
    <w:p w:rsidR="00C8707C" w:rsidRDefault="00C8707C" w:rsidP="00492677">
      <w:pPr>
        <w:pStyle w:val="TableDescription"/>
        <w:rPr>
          <w:kern w:val="16"/>
        </w:rPr>
      </w:pPr>
      <w:r>
        <w:t>* In studies AI447028 and AI447026 ASV soft gel capsules were used. In studies AI447017 and AI447011 ASV tablets were used – doses are stated to be comparable.</w:t>
      </w:r>
    </w:p>
    <w:p w:rsidR="00C8707C" w:rsidRDefault="00C8707C" w:rsidP="00C8707C">
      <w:pPr>
        <w:pStyle w:val="Tabletitle"/>
      </w:pPr>
      <w:r>
        <w:t xml:space="preserve">Table 15B: DCV Quad </w:t>
      </w:r>
      <w:r w:rsidR="00492677">
        <w:t>r</w:t>
      </w:r>
      <w:r>
        <w:t>egimen</w:t>
      </w:r>
    </w:p>
    <w:tbl>
      <w:tblPr>
        <w:tblStyle w:val="TableTGAblue"/>
        <w:tblW w:w="5038" w:type="pct"/>
        <w:tblLook w:val="04A0" w:firstRow="1" w:lastRow="0" w:firstColumn="1" w:lastColumn="0" w:noHBand="0" w:noVBand="1"/>
      </w:tblPr>
      <w:tblGrid>
        <w:gridCol w:w="1496"/>
        <w:gridCol w:w="1667"/>
        <w:gridCol w:w="1768"/>
        <w:gridCol w:w="1365"/>
        <w:gridCol w:w="1550"/>
        <w:gridCol w:w="1466"/>
      </w:tblGrid>
      <w:tr w:rsidR="00C8707C" w:rsidTr="004926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89" w:type="pct"/>
            <w:hideMark/>
          </w:tcPr>
          <w:p w:rsidR="00C8707C" w:rsidRPr="000B6417" w:rsidRDefault="00C8707C" w:rsidP="00492677">
            <w:pPr>
              <w:rPr>
                <w:b w:val="0"/>
                <w:kern w:val="16"/>
                <w:lang w:eastAsia="en-AU"/>
              </w:rPr>
            </w:pPr>
            <w:r w:rsidRPr="000B6417">
              <w:rPr>
                <w:b w:val="0"/>
                <w:lang w:eastAsia="en-AU"/>
              </w:rPr>
              <w:t>Study</w:t>
            </w:r>
          </w:p>
        </w:tc>
        <w:tc>
          <w:tcPr>
            <w:tcW w:w="938" w:type="pct"/>
            <w:hideMark/>
          </w:tcPr>
          <w:p w:rsidR="00C8707C" w:rsidRPr="000B6417" w:rsidRDefault="00C8707C" w:rsidP="00492677">
            <w:pPr>
              <w:cnfStyle w:val="100000000000" w:firstRow="1" w:lastRow="0" w:firstColumn="0" w:lastColumn="0" w:oddVBand="0" w:evenVBand="0" w:oddHBand="0" w:evenHBand="0" w:firstRowFirstColumn="0" w:firstRowLastColumn="0" w:lastRowFirstColumn="0" w:lastRowLastColumn="0"/>
              <w:rPr>
                <w:b w:val="0"/>
                <w:kern w:val="16"/>
                <w:lang w:eastAsia="en-AU"/>
              </w:rPr>
            </w:pPr>
            <w:r w:rsidRPr="000B6417">
              <w:rPr>
                <w:b w:val="0"/>
                <w:lang w:eastAsia="en-AU"/>
              </w:rPr>
              <w:t>DCV median dose (range)</w:t>
            </w:r>
          </w:p>
        </w:tc>
        <w:tc>
          <w:tcPr>
            <w:tcW w:w="992" w:type="pct"/>
            <w:hideMark/>
          </w:tcPr>
          <w:p w:rsidR="00C8707C" w:rsidRPr="000B6417" w:rsidRDefault="00C8707C" w:rsidP="00492677">
            <w:pPr>
              <w:cnfStyle w:val="100000000000" w:firstRow="1" w:lastRow="0" w:firstColumn="0" w:lastColumn="0" w:oddVBand="0" w:evenVBand="0" w:oddHBand="0" w:evenHBand="0" w:firstRowFirstColumn="0" w:firstRowLastColumn="0" w:lastRowFirstColumn="0" w:lastRowLastColumn="0"/>
              <w:rPr>
                <w:b w:val="0"/>
                <w:kern w:val="16"/>
                <w:lang w:eastAsia="en-AU"/>
              </w:rPr>
            </w:pPr>
            <w:r w:rsidRPr="000B6417">
              <w:rPr>
                <w:b w:val="0"/>
                <w:lang w:eastAsia="en-AU"/>
              </w:rPr>
              <w:t>ASV median dose</w:t>
            </w:r>
          </w:p>
          <w:p w:rsidR="00C8707C" w:rsidRPr="000B6417" w:rsidRDefault="00C8707C" w:rsidP="00492677">
            <w:pPr>
              <w:cnfStyle w:val="100000000000" w:firstRow="1" w:lastRow="0" w:firstColumn="0" w:lastColumn="0" w:oddVBand="0" w:evenVBand="0" w:oddHBand="0" w:evenHBand="0" w:firstRowFirstColumn="0" w:firstRowLastColumn="0" w:lastRowFirstColumn="0" w:lastRowLastColumn="0"/>
              <w:rPr>
                <w:b w:val="0"/>
                <w:kern w:val="16"/>
                <w:lang w:eastAsia="en-AU"/>
              </w:rPr>
            </w:pPr>
            <w:r w:rsidRPr="000B6417">
              <w:rPr>
                <w:b w:val="0"/>
                <w:lang w:eastAsia="en-AU"/>
              </w:rPr>
              <w:t>(range)</w:t>
            </w:r>
          </w:p>
        </w:tc>
        <w:tc>
          <w:tcPr>
            <w:tcW w:w="776" w:type="pct"/>
            <w:hideMark/>
          </w:tcPr>
          <w:p w:rsidR="00C8707C" w:rsidRPr="000B6417" w:rsidRDefault="00C8707C" w:rsidP="00492677">
            <w:pPr>
              <w:cnfStyle w:val="100000000000" w:firstRow="1" w:lastRow="0" w:firstColumn="0" w:lastColumn="0" w:oddVBand="0" w:evenVBand="0" w:oddHBand="0" w:evenHBand="0" w:firstRowFirstColumn="0" w:firstRowLastColumn="0" w:lastRowFirstColumn="0" w:lastRowLastColumn="0"/>
              <w:rPr>
                <w:b w:val="0"/>
                <w:kern w:val="16"/>
                <w:lang w:eastAsia="en-AU"/>
              </w:rPr>
            </w:pPr>
            <w:proofErr w:type="spellStart"/>
            <w:r w:rsidRPr="000B6417">
              <w:rPr>
                <w:b w:val="0"/>
                <w:lang w:eastAsia="en-AU"/>
              </w:rPr>
              <w:t>PegIFN</w:t>
            </w:r>
            <w:proofErr w:type="spellEnd"/>
            <w:r w:rsidRPr="000B6417">
              <w:rPr>
                <w:b w:val="0"/>
                <w:lang w:eastAsia="en-AU"/>
              </w:rPr>
              <w:t>α median dose</w:t>
            </w:r>
          </w:p>
          <w:p w:rsidR="00C8707C" w:rsidRPr="000B6417" w:rsidRDefault="00C8707C" w:rsidP="00492677">
            <w:pPr>
              <w:cnfStyle w:val="100000000000" w:firstRow="1" w:lastRow="0" w:firstColumn="0" w:lastColumn="0" w:oddVBand="0" w:evenVBand="0" w:oddHBand="0" w:evenHBand="0" w:firstRowFirstColumn="0" w:firstRowLastColumn="0" w:lastRowFirstColumn="0" w:lastRowLastColumn="0"/>
              <w:rPr>
                <w:b w:val="0"/>
                <w:kern w:val="16"/>
                <w:lang w:eastAsia="en-AU"/>
              </w:rPr>
            </w:pPr>
            <w:r w:rsidRPr="000B6417">
              <w:rPr>
                <w:b w:val="0"/>
                <w:lang w:eastAsia="en-AU"/>
              </w:rPr>
              <w:t>(range)</w:t>
            </w:r>
          </w:p>
        </w:tc>
        <w:tc>
          <w:tcPr>
            <w:tcW w:w="875" w:type="pct"/>
            <w:hideMark/>
          </w:tcPr>
          <w:p w:rsidR="00C8707C" w:rsidRPr="000B6417" w:rsidRDefault="00C8707C" w:rsidP="00492677">
            <w:pPr>
              <w:cnfStyle w:val="100000000000" w:firstRow="1" w:lastRow="0" w:firstColumn="0" w:lastColumn="0" w:oddVBand="0" w:evenVBand="0" w:oddHBand="0" w:evenHBand="0" w:firstRowFirstColumn="0" w:firstRowLastColumn="0" w:lastRowFirstColumn="0" w:lastRowLastColumn="0"/>
              <w:rPr>
                <w:b w:val="0"/>
                <w:kern w:val="16"/>
                <w:lang w:eastAsia="en-AU"/>
              </w:rPr>
            </w:pPr>
            <w:r w:rsidRPr="000B6417">
              <w:rPr>
                <w:b w:val="0"/>
                <w:lang w:eastAsia="en-AU"/>
              </w:rPr>
              <w:t>RBV median dose*</w:t>
            </w:r>
          </w:p>
          <w:p w:rsidR="00C8707C" w:rsidRPr="000B6417" w:rsidRDefault="00C8707C" w:rsidP="00492677">
            <w:pPr>
              <w:cnfStyle w:val="100000000000" w:firstRow="1" w:lastRow="0" w:firstColumn="0" w:lastColumn="0" w:oddVBand="0" w:evenVBand="0" w:oddHBand="0" w:evenHBand="0" w:firstRowFirstColumn="0" w:firstRowLastColumn="0" w:lastRowFirstColumn="0" w:lastRowLastColumn="0"/>
              <w:rPr>
                <w:b w:val="0"/>
                <w:kern w:val="16"/>
                <w:lang w:eastAsia="en-AU"/>
              </w:rPr>
            </w:pPr>
            <w:r w:rsidRPr="000B6417">
              <w:rPr>
                <w:b w:val="0"/>
                <w:lang w:eastAsia="en-AU"/>
              </w:rPr>
              <w:t>(range)</w:t>
            </w:r>
          </w:p>
        </w:tc>
        <w:tc>
          <w:tcPr>
            <w:tcW w:w="830" w:type="pct"/>
            <w:hideMark/>
          </w:tcPr>
          <w:p w:rsidR="00C8707C" w:rsidRPr="000B6417" w:rsidRDefault="00C8707C" w:rsidP="00492677">
            <w:pPr>
              <w:cnfStyle w:val="100000000000" w:firstRow="1" w:lastRow="0" w:firstColumn="0" w:lastColumn="0" w:oddVBand="0" w:evenVBand="0" w:oddHBand="0" w:evenHBand="0" w:firstRowFirstColumn="0" w:firstRowLastColumn="0" w:lastRowFirstColumn="0" w:lastRowLastColumn="0"/>
              <w:rPr>
                <w:b w:val="0"/>
                <w:kern w:val="16"/>
                <w:lang w:eastAsia="en-AU"/>
              </w:rPr>
            </w:pPr>
            <w:r w:rsidRPr="000B6417">
              <w:rPr>
                <w:b w:val="0"/>
                <w:lang w:eastAsia="en-AU"/>
              </w:rPr>
              <w:t>Median duration</w:t>
            </w:r>
          </w:p>
          <w:p w:rsidR="00C8707C" w:rsidRPr="000B6417" w:rsidRDefault="00C8707C" w:rsidP="00492677">
            <w:pPr>
              <w:cnfStyle w:val="100000000000" w:firstRow="1" w:lastRow="0" w:firstColumn="0" w:lastColumn="0" w:oddVBand="0" w:evenVBand="0" w:oddHBand="0" w:evenHBand="0" w:firstRowFirstColumn="0" w:firstRowLastColumn="0" w:lastRowFirstColumn="0" w:lastRowLastColumn="0"/>
              <w:rPr>
                <w:b w:val="0"/>
                <w:kern w:val="16"/>
                <w:lang w:eastAsia="en-AU"/>
              </w:rPr>
            </w:pPr>
            <w:r w:rsidRPr="000B6417">
              <w:rPr>
                <w:b w:val="0"/>
                <w:lang w:eastAsia="en-AU"/>
              </w:rPr>
              <w:t>(Weeks)</w:t>
            </w:r>
          </w:p>
        </w:tc>
      </w:tr>
      <w:tr w:rsidR="00C8707C" w:rsidTr="00492677">
        <w:tc>
          <w:tcPr>
            <w:cnfStyle w:val="001000000000" w:firstRow="0" w:lastRow="0" w:firstColumn="1" w:lastColumn="0" w:oddVBand="0" w:evenVBand="0" w:oddHBand="0" w:evenHBand="0" w:firstRowFirstColumn="0" w:firstRowLastColumn="0" w:lastRowFirstColumn="0" w:lastRowLastColumn="0"/>
            <w:tcW w:w="589" w:type="pct"/>
            <w:hideMark/>
          </w:tcPr>
          <w:p w:rsidR="00C8707C" w:rsidRPr="000B6417" w:rsidRDefault="00C8707C" w:rsidP="00492677">
            <w:pPr>
              <w:rPr>
                <w:kern w:val="16"/>
                <w:lang w:eastAsia="en-AU"/>
              </w:rPr>
            </w:pPr>
            <w:r w:rsidRPr="000B6417">
              <w:rPr>
                <w:rFonts w:eastAsia="TimesNewRoman" w:cs="TimesNewRoman"/>
                <w:lang w:eastAsia="en-AU"/>
              </w:rPr>
              <w:t>AI447029</w:t>
            </w:r>
          </w:p>
        </w:tc>
        <w:tc>
          <w:tcPr>
            <w:tcW w:w="938" w:type="pct"/>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kern w:val="16"/>
                <w:lang w:eastAsia="en-AU"/>
              </w:rPr>
            </w:pPr>
            <w:r w:rsidRPr="000B6417">
              <w:rPr>
                <w:rFonts w:eastAsia="TimesNewRoman" w:cs="TimesNewRoman"/>
                <w:lang w:eastAsia="en-AU"/>
              </w:rPr>
              <w:t>60 mg</w:t>
            </w:r>
            <w:r w:rsidR="00492677">
              <w:rPr>
                <w:rFonts w:eastAsia="TimesNewRoman" w:cs="TimesNewRoman"/>
                <w:lang w:eastAsia="en-AU"/>
              </w:rPr>
              <w:t xml:space="preserve"> </w:t>
            </w:r>
            <w:r w:rsidRPr="000B6417">
              <w:rPr>
                <w:rFonts w:eastAsia="TimesNewRoman" w:cs="TimesNewRoman"/>
                <w:lang w:eastAsia="en-AU"/>
              </w:rPr>
              <w:t>(48.6 - 64.9 mg)</w:t>
            </w:r>
          </w:p>
        </w:tc>
        <w:tc>
          <w:tcPr>
            <w:tcW w:w="992" w:type="pct"/>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kern w:val="16"/>
                <w:lang w:eastAsia="en-AU"/>
              </w:rPr>
            </w:pPr>
            <w:r w:rsidRPr="000B6417">
              <w:rPr>
                <w:rFonts w:eastAsia="TimesNewRoman" w:cs="TimesNewRoman"/>
                <w:lang w:eastAsia="en-AU"/>
              </w:rPr>
              <w:t>200 mg*</w:t>
            </w:r>
            <w:r w:rsidR="00492677">
              <w:rPr>
                <w:rFonts w:eastAsia="TimesNewRoman" w:cs="TimesNewRoman"/>
                <w:lang w:eastAsia="en-AU"/>
              </w:rPr>
              <w:t xml:space="preserve"> </w:t>
            </w:r>
            <w:r w:rsidRPr="000B6417">
              <w:rPr>
                <w:rFonts w:eastAsia="TimesNewRoman" w:cs="TimesNewRoman"/>
                <w:lang w:eastAsia="en-AU"/>
              </w:rPr>
              <w:t>(100.0 - 203.0 mg)</w:t>
            </w:r>
          </w:p>
        </w:tc>
        <w:tc>
          <w:tcPr>
            <w:tcW w:w="776" w:type="pct"/>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rFonts w:eastAsia="TimesNewRoman" w:cs="TimesNewRoman"/>
                <w:lang w:eastAsia="en-AU"/>
              </w:rPr>
            </w:pPr>
            <w:r w:rsidRPr="000B6417">
              <w:rPr>
                <w:rFonts w:eastAsia="TimesNewRoman" w:cs="TimesNewRoman"/>
                <w:lang w:eastAsia="en-AU"/>
              </w:rPr>
              <w:t xml:space="preserve">180 </w:t>
            </w:r>
            <w:proofErr w:type="spellStart"/>
            <w:r w:rsidRPr="000B6417">
              <w:rPr>
                <w:rFonts w:eastAsia="TimesNewRoman" w:cs="TimesNewRoman"/>
                <w:lang w:eastAsia="en-AU"/>
              </w:rPr>
              <w:t>μg</w:t>
            </w:r>
            <w:proofErr w:type="spellEnd"/>
            <w:r w:rsidR="00492677">
              <w:rPr>
                <w:rFonts w:eastAsia="TimesNewRoman" w:cs="TimesNewRoman"/>
                <w:lang w:eastAsia="en-AU"/>
              </w:rPr>
              <w:t xml:space="preserve"> </w:t>
            </w:r>
            <w:r w:rsidRPr="000B6417">
              <w:rPr>
                <w:rFonts w:eastAsia="TimesNewRoman" w:cs="TimesNewRoman"/>
                <w:lang w:eastAsia="en-AU"/>
              </w:rPr>
              <w:t>(73.8 - 187.5)</w:t>
            </w:r>
          </w:p>
        </w:tc>
        <w:tc>
          <w:tcPr>
            <w:tcW w:w="875" w:type="pct"/>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rFonts w:eastAsia="TimesNewRoman" w:cs="TimesNewRoman"/>
                <w:lang w:eastAsia="en-AU"/>
              </w:rPr>
            </w:pPr>
            <w:r w:rsidRPr="000B6417">
              <w:rPr>
                <w:rFonts w:eastAsia="TimesNewRoman" w:cs="TimesNewRoman"/>
                <w:lang w:eastAsia="en-AU"/>
              </w:rPr>
              <w:t>1056.7 mg (422.2 - 1200.0)</w:t>
            </w:r>
          </w:p>
        </w:tc>
        <w:tc>
          <w:tcPr>
            <w:tcW w:w="830" w:type="pct"/>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rFonts w:eastAsia="TimesNewRoman" w:cs="TimesNewRoman"/>
                <w:lang w:eastAsia="en-AU"/>
              </w:rPr>
            </w:pPr>
            <w:r w:rsidRPr="000B6417">
              <w:rPr>
                <w:rFonts w:eastAsia="TimesNewRoman" w:cs="TimesNewRoman"/>
                <w:lang w:eastAsia="en-AU"/>
              </w:rPr>
              <w:t>24.0</w:t>
            </w:r>
            <w:r w:rsidR="00492677">
              <w:rPr>
                <w:rFonts w:eastAsia="TimesNewRoman" w:cs="TimesNewRoman"/>
                <w:lang w:eastAsia="en-AU"/>
              </w:rPr>
              <w:t xml:space="preserve"> </w:t>
            </w:r>
            <w:r w:rsidRPr="000B6417">
              <w:rPr>
                <w:rFonts w:eastAsia="TimesNewRoman" w:cs="TimesNewRoman"/>
                <w:lang w:eastAsia="en-AU"/>
              </w:rPr>
              <w:t>(4.0 - 25.0)</w:t>
            </w:r>
          </w:p>
        </w:tc>
      </w:tr>
      <w:tr w:rsidR="00C8707C" w:rsidTr="00492677">
        <w:tc>
          <w:tcPr>
            <w:cnfStyle w:val="001000000000" w:firstRow="0" w:lastRow="0" w:firstColumn="1" w:lastColumn="0" w:oddVBand="0" w:evenVBand="0" w:oddHBand="0" w:evenHBand="0" w:firstRowFirstColumn="0" w:firstRowLastColumn="0" w:lastRowFirstColumn="0" w:lastRowLastColumn="0"/>
            <w:tcW w:w="589" w:type="pct"/>
            <w:hideMark/>
          </w:tcPr>
          <w:p w:rsidR="00C8707C" w:rsidRPr="000B6417" w:rsidRDefault="00C8707C" w:rsidP="00492677">
            <w:pPr>
              <w:rPr>
                <w:rFonts w:eastAsia="TimesNewRoman" w:cs="TimesNewRoman"/>
                <w:lang w:eastAsia="en-AU"/>
              </w:rPr>
            </w:pPr>
            <w:r w:rsidRPr="000B6417">
              <w:rPr>
                <w:rFonts w:eastAsia="TimesNewRoman" w:cs="TimesNewRoman"/>
                <w:lang w:eastAsia="en-AU"/>
              </w:rPr>
              <w:t>AI447011</w:t>
            </w:r>
            <w:r w:rsidR="00492677">
              <w:rPr>
                <w:rFonts w:eastAsia="TimesNewRoman" w:cs="TimesNewRoman"/>
                <w:lang w:eastAsia="en-AU"/>
              </w:rPr>
              <w:t xml:space="preserve"> </w:t>
            </w:r>
            <w:r w:rsidRPr="000B6417">
              <w:rPr>
                <w:rFonts w:eastAsia="TimesNewRoman" w:cs="TimesNewRoman"/>
                <w:lang w:eastAsia="en-AU"/>
              </w:rPr>
              <w:t>(Group B1)</w:t>
            </w:r>
          </w:p>
        </w:tc>
        <w:tc>
          <w:tcPr>
            <w:tcW w:w="938" w:type="pct"/>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rFonts w:eastAsia="TimesNewRoman" w:cs="TimesNewRoman"/>
                <w:lang w:eastAsia="en-AU"/>
              </w:rPr>
            </w:pPr>
            <w:r w:rsidRPr="000B6417">
              <w:rPr>
                <w:rFonts w:eastAsia="TimesNewRoman" w:cs="TimesNewRoman"/>
                <w:lang w:eastAsia="en-AU"/>
              </w:rPr>
              <w:t>60.0 mg</w:t>
            </w:r>
            <w:r w:rsidR="00492677">
              <w:rPr>
                <w:rFonts w:eastAsia="TimesNewRoman" w:cs="TimesNewRoman"/>
                <w:lang w:eastAsia="en-AU"/>
              </w:rPr>
              <w:t xml:space="preserve"> </w:t>
            </w:r>
            <w:r w:rsidRPr="000B6417">
              <w:rPr>
                <w:rFonts w:eastAsia="TimesNewRoman" w:cs="TimesNewRoman"/>
                <w:lang w:eastAsia="en-AU"/>
              </w:rPr>
              <w:t>(55.5 - 65.9)</w:t>
            </w:r>
          </w:p>
        </w:tc>
        <w:tc>
          <w:tcPr>
            <w:tcW w:w="992" w:type="pct"/>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rFonts w:eastAsia="TimesNewRoman" w:cs="TimesNewRoman"/>
                <w:lang w:eastAsia="en-AU"/>
              </w:rPr>
            </w:pPr>
            <w:r w:rsidRPr="000B6417">
              <w:rPr>
                <w:rFonts w:eastAsia="TimesNewRoman" w:cs="TimesNewRoman"/>
                <w:lang w:eastAsia="en-AU"/>
              </w:rPr>
              <w:t xml:space="preserve">400.0 </w:t>
            </w:r>
            <w:proofErr w:type="spellStart"/>
            <w:r w:rsidRPr="000B6417">
              <w:rPr>
                <w:rFonts w:eastAsia="TimesNewRoman" w:cs="TimesNewRoman"/>
                <w:lang w:eastAsia="en-AU"/>
              </w:rPr>
              <w:t>mg</w:t>
            </w:r>
            <w:r w:rsidRPr="000B6417">
              <w:rPr>
                <w:vertAlign w:val="superscript"/>
                <w:lang w:eastAsia="en-AU"/>
              </w:rPr>
              <w:t>ϯ</w:t>
            </w:r>
            <w:proofErr w:type="spellEnd"/>
            <w:r w:rsidR="00492677">
              <w:rPr>
                <w:vertAlign w:val="superscript"/>
                <w:lang w:eastAsia="en-AU"/>
              </w:rPr>
              <w:t xml:space="preserve"> </w:t>
            </w:r>
            <w:r w:rsidRPr="000B6417">
              <w:rPr>
                <w:rFonts w:eastAsia="TimesNewRoman" w:cs="TimesNewRoman"/>
                <w:lang w:eastAsia="en-AU"/>
              </w:rPr>
              <w:t>(359.3 - 400.0)</w:t>
            </w:r>
          </w:p>
        </w:tc>
        <w:tc>
          <w:tcPr>
            <w:tcW w:w="776" w:type="pct"/>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rFonts w:eastAsia="TimesNewRoman" w:cs="TimesNewRoman"/>
                <w:lang w:eastAsia="en-AU"/>
              </w:rPr>
            </w:pPr>
            <w:r w:rsidRPr="000B6417">
              <w:rPr>
                <w:rFonts w:eastAsia="TimesNewRoman" w:cs="TimesNewRoman"/>
                <w:lang w:eastAsia="en-AU"/>
              </w:rPr>
              <w:t xml:space="preserve">180.0 </w:t>
            </w:r>
            <w:proofErr w:type="spellStart"/>
            <w:r w:rsidRPr="000B6417">
              <w:rPr>
                <w:rFonts w:eastAsia="TimesNewRoman" w:cs="TimesNewRoman"/>
                <w:lang w:eastAsia="en-AU"/>
              </w:rPr>
              <w:t>μg</w:t>
            </w:r>
            <w:proofErr w:type="spellEnd"/>
            <w:r w:rsidR="00492677">
              <w:rPr>
                <w:rFonts w:eastAsia="TimesNewRoman" w:cs="TimesNewRoman"/>
                <w:lang w:eastAsia="en-AU"/>
              </w:rPr>
              <w:t xml:space="preserve"> </w:t>
            </w:r>
            <w:r w:rsidRPr="000B6417">
              <w:rPr>
                <w:rFonts w:eastAsia="TimesNewRoman" w:cs="TimesNewRoman"/>
                <w:lang w:eastAsia="en-AU"/>
              </w:rPr>
              <w:t>(144.4 - 180.0)</w:t>
            </w:r>
          </w:p>
        </w:tc>
        <w:tc>
          <w:tcPr>
            <w:tcW w:w="875" w:type="pct"/>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rFonts w:eastAsia="TimesNewRoman" w:cs="TimesNewRoman"/>
                <w:lang w:eastAsia="en-AU"/>
              </w:rPr>
            </w:pPr>
            <w:r w:rsidRPr="000B6417">
              <w:rPr>
                <w:rFonts w:eastAsia="TimesNewRoman" w:cs="TimesNewRoman"/>
                <w:lang w:eastAsia="en-AU"/>
              </w:rPr>
              <w:t>1098.2 mg</w:t>
            </w:r>
            <w:r w:rsidR="00492677">
              <w:rPr>
                <w:rFonts w:eastAsia="TimesNewRoman" w:cs="TimesNewRoman"/>
                <w:lang w:eastAsia="en-AU"/>
              </w:rPr>
              <w:t xml:space="preserve"> </w:t>
            </w:r>
            <w:r w:rsidRPr="000B6417">
              <w:rPr>
                <w:rFonts w:eastAsia="TimesNewRoman" w:cs="TimesNewRoman"/>
                <w:lang w:eastAsia="en-AU"/>
              </w:rPr>
              <w:t>(717.9 - 1207.1)</w:t>
            </w:r>
          </w:p>
        </w:tc>
        <w:tc>
          <w:tcPr>
            <w:tcW w:w="830" w:type="pct"/>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rFonts w:eastAsia="TimesNewRoman" w:cs="TimesNewRoman"/>
                <w:lang w:eastAsia="en-AU"/>
              </w:rPr>
            </w:pPr>
            <w:r w:rsidRPr="000B6417">
              <w:rPr>
                <w:rFonts w:eastAsia="TimesNewRoman" w:cs="TimesNewRoman"/>
                <w:lang w:eastAsia="en-AU"/>
              </w:rPr>
              <w:t>23.9</w:t>
            </w:r>
            <w:r w:rsidR="00492677">
              <w:rPr>
                <w:rFonts w:eastAsia="TimesNewRoman" w:cs="TimesNewRoman"/>
                <w:lang w:eastAsia="en-AU"/>
              </w:rPr>
              <w:t xml:space="preserve"> </w:t>
            </w:r>
            <w:r w:rsidRPr="000B6417">
              <w:rPr>
                <w:rFonts w:eastAsia="TimesNewRoman" w:cs="TimesNewRoman"/>
                <w:lang w:eastAsia="en-AU"/>
              </w:rPr>
              <w:t>(23.7 - 24.1)</w:t>
            </w:r>
          </w:p>
        </w:tc>
      </w:tr>
    </w:tbl>
    <w:p w:rsidR="00C8707C" w:rsidRDefault="00C8707C" w:rsidP="00492677">
      <w:pPr>
        <w:pStyle w:val="TableDescription"/>
      </w:pPr>
      <w:r>
        <w:t xml:space="preserve">* Capsule formulation. </w:t>
      </w:r>
      <w:proofErr w:type="gramStart"/>
      <w:r>
        <w:rPr>
          <w:b/>
          <w:vertAlign w:val="superscript"/>
        </w:rPr>
        <w:t>ϯ</w:t>
      </w:r>
      <w:proofErr w:type="gramEnd"/>
      <w:r>
        <w:rPr>
          <w:b/>
          <w:vertAlign w:val="superscript"/>
        </w:rPr>
        <w:t xml:space="preserve"> </w:t>
      </w:r>
      <w:r>
        <w:t>Tablet formulation</w:t>
      </w:r>
    </w:p>
    <w:p w:rsidR="00C8707C" w:rsidRDefault="00C8707C" w:rsidP="00C8707C">
      <w:pPr>
        <w:pStyle w:val="Tabletitle"/>
      </w:pPr>
      <w:r>
        <w:t>Table 15C</w:t>
      </w:r>
      <w:proofErr w:type="gramStart"/>
      <w:r>
        <w:t>:ASV</w:t>
      </w:r>
      <w:proofErr w:type="gramEnd"/>
      <w:r>
        <w:t>/IFN/RBV regimen</w:t>
      </w:r>
    </w:p>
    <w:tbl>
      <w:tblPr>
        <w:tblStyle w:val="TableTGAblue"/>
        <w:tblW w:w="4824" w:type="pct"/>
        <w:tblLook w:val="04A0" w:firstRow="1" w:lastRow="0" w:firstColumn="1" w:lastColumn="0" w:noHBand="0" w:noVBand="1"/>
      </w:tblPr>
      <w:tblGrid>
        <w:gridCol w:w="1496"/>
        <w:gridCol w:w="1875"/>
        <w:gridCol w:w="2031"/>
        <w:gridCol w:w="1896"/>
        <w:gridCol w:w="1619"/>
      </w:tblGrid>
      <w:tr w:rsidR="00C8707C" w:rsidTr="004926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78" w:type="pct"/>
            <w:hideMark/>
          </w:tcPr>
          <w:p w:rsidR="00C8707C" w:rsidRPr="000B6417" w:rsidRDefault="00C8707C" w:rsidP="00492677">
            <w:pPr>
              <w:rPr>
                <w:b w:val="0"/>
                <w:kern w:val="16"/>
                <w:lang w:eastAsia="en-AU"/>
              </w:rPr>
            </w:pPr>
            <w:r w:rsidRPr="000B6417">
              <w:rPr>
                <w:b w:val="0"/>
                <w:lang w:eastAsia="en-AU"/>
              </w:rPr>
              <w:t>Study</w:t>
            </w:r>
          </w:p>
        </w:tc>
        <w:tc>
          <w:tcPr>
            <w:tcW w:w="1067" w:type="pct"/>
            <w:hideMark/>
          </w:tcPr>
          <w:p w:rsidR="00C8707C" w:rsidRPr="000B6417" w:rsidRDefault="00C8707C" w:rsidP="00492677">
            <w:pPr>
              <w:cnfStyle w:val="100000000000" w:firstRow="1" w:lastRow="0" w:firstColumn="0" w:lastColumn="0" w:oddVBand="0" w:evenVBand="0" w:oddHBand="0" w:evenHBand="0" w:firstRowFirstColumn="0" w:firstRowLastColumn="0" w:lastRowFirstColumn="0" w:lastRowLastColumn="0"/>
              <w:rPr>
                <w:b w:val="0"/>
                <w:kern w:val="16"/>
                <w:lang w:eastAsia="en-AU"/>
              </w:rPr>
            </w:pPr>
            <w:r w:rsidRPr="000B6417">
              <w:rPr>
                <w:b w:val="0"/>
                <w:lang w:eastAsia="en-AU"/>
              </w:rPr>
              <w:t>ASV median dose</w:t>
            </w:r>
            <w:r w:rsidR="00492677">
              <w:rPr>
                <w:b w:val="0"/>
                <w:lang w:eastAsia="en-AU"/>
              </w:rPr>
              <w:t xml:space="preserve"> </w:t>
            </w:r>
            <w:r w:rsidRPr="000B6417">
              <w:rPr>
                <w:b w:val="0"/>
                <w:lang w:eastAsia="en-AU"/>
              </w:rPr>
              <w:t>(range)</w:t>
            </w:r>
          </w:p>
        </w:tc>
        <w:tc>
          <w:tcPr>
            <w:tcW w:w="1154" w:type="pct"/>
            <w:hideMark/>
          </w:tcPr>
          <w:p w:rsidR="00C8707C" w:rsidRPr="000B6417" w:rsidRDefault="00C8707C" w:rsidP="00492677">
            <w:pPr>
              <w:cnfStyle w:val="100000000000" w:firstRow="1" w:lastRow="0" w:firstColumn="0" w:lastColumn="0" w:oddVBand="0" w:evenVBand="0" w:oddHBand="0" w:evenHBand="0" w:firstRowFirstColumn="0" w:firstRowLastColumn="0" w:lastRowFirstColumn="0" w:lastRowLastColumn="0"/>
              <w:rPr>
                <w:b w:val="0"/>
                <w:kern w:val="16"/>
                <w:lang w:eastAsia="en-AU"/>
              </w:rPr>
            </w:pPr>
            <w:proofErr w:type="spellStart"/>
            <w:r w:rsidRPr="000B6417">
              <w:rPr>
                <w:b w:val="0"/>
                <w:lang w:eastAsia="en-AU"/>
              </w:rPr>
              <w:t>PegIFN</w:t>
            </w:r>
            <w:proofErr w:type="spellEnd"/>
            <w:r w:rsidRPr="000B6417">
              <w:rPr>
                <w:b w:val="0"/>
                <w:lang w:eastAsia="en-AU"/>
              </w:rPr>
              <w:t>α median dose</w:t>
            </w:r>
            <w:r w:rsidR="00492677">
              <w:rPr>
                <w:b w:val="0"/>
                <w:lang w:eastAsia="en-AU"/>
              </w:rPr>
              <w:t xml:space="preserve"> </w:t>
            </w:r>
            <w:r w:rsidRPr="000B6417">
              <w:rPr>
                <w:b w:val="0"/>
                <w:lang w:eastAsia="en-AU"/>
              </w:rPr>
              <w:t>(range)</w:t>
            </w:r>
          </w:p>
        </w:tc>
        <w:tc>
          <w:tcPr>
            <w:tcW w:w="1078" w:type="pct"/>
            <w:hideMark/>
          </w:tcPr>
          <w:p w:rsidR="00C8707C" w:rsidRPr="000B6417" w:rsidRDefault="00C8707C" w:rsidP="00492677">
            <w:pPr>
              <w:cnfStyle w:val="100000000000" w:firstRow="1" w:lastRow="0" w:firstColumn="0" w:lastColumn="0" w:oddVBand="0" w:evenVBand="0" w:oddHBand="0" w:evenHBand="0" w:firstRowFirstColumn="0" w:firstRowLastColumn="0" w:lastRowFirstColumn="0" w:lastRowLastColumn="0"/>
              <w:rPr>
                <w:b w:val="0"/>
                <w:kern w:val="16"/>
                <w:lang w:eastAsia="en-AU"/>
              </w:rPr>
            </w:pPr>
            <w:r w:rsidRPr="000B6417">
              <w:rPr>
                <w:b w:val="0"/>
                <w:lang w:eastAsia="en-AU"/>
              </w:rPr>
              <w:t>RBV median dose*</w:t>
            </w:r>
            <w:r w:rsidR="00492677">
              <w:rPr>
                <w:b w:val="0"/>
                <w:lang w:eastAsia="en-AU"/>
              </w:rPr>
              <w:t xml:space="preserve"> </w:t>
            </w:r>
            <w:r w:rsidRPr="000B6417">
              <w:rPr>
                <w:b w:val="0"/>
                <w:lang w:eastAsia="en-AU"/>
              </w:rPr>
              <w:t>(range)</w:t>
            </w:r>
          </w:p>
        </w:tc>
        <w:tc>
          <w:tcPr>
            <w:tcW w:w="924" w:type="pct"/>
            <w:hideMark/>
          </w:tcPr>
          <w:p w:rsidR="00C8707C" w:rsidRPr="000B6417" w:rsidRDefault="00C8707C" w:rsidP="00492677">
            <w:pPr>
              <w:cnfStyle w:val="100000000000" w:firstRow="1" w:lastRow="0" w:firstColumn="0" w:lastColumn="0" w:oddVBand="0" w:evenVBand="0" w:oddHBand="0" w:evenHBand="0" w:firstRowFirstColumn="0" w:firstRowLastColumn="0" w:lastRowFirstColumn="0" w:lastRowLastColumn="0"/>
              <w:rPr>
                <w:b w:val="0"/>
                <w:kern w:val="16"/>
                <w:lang w:eastAsia="en-AU"/>
              </w:rPr>
            </w:pPr>
            <w:r w:rsidRPr="000B6417">
              <w:rPr>
                <w:b w:val="0"/>
                <w:lang w:eastAsia="en-AU"/>
              </w:rPr>
              <w:t>Median duration</w:t>
            </w:r>
            <w:r w:rsidR="00492677">
              <w:rPr>
                <w:b w:val="0"/>
                <w:lang w:eastAsia="en-AU"/>
              </w:rPr>
              <w:t xml:space="preserve"> </w:t>
            </w:r>
            <w:r w:rsidRPr="000B6417">
              <w:rPr>
                <w:b w:val="0"/>
                <w:lang w:eastAsia="en-AU"/>
              </w:rPr>
              <w:t>(Weeks)</w:t>
            </w:r>
          </w:p>
        </w:tc>
      </w:tr>
      <w:tr w:rsidR="00C8707C" w:rsidTr="00492677">
        <w:tc>
          <w:tcPr>
            <w:cnfStyle w:val="001000000000" w:firstRow="0" w:lastRow="0" w:firstColumn="1" w:lastColumn="0" w:oddVBand="0" w:evenVBand="0" w:oddHBand="0" w:evenHBand="0" w:firstRowFirstColumn="0" w:firstRowLastColumn="0" w:lastRowFirstColumn="0" w:lastRowLastColumn="0"/>
            <w:tcW w:w="778" w:type="pct"/>
            <w:hideMark/>
          </w:tcPr>
          <w:p w:rsidR="00C8707C" w:rsidRPr="000B6417" w:rsidRDefault="00C8707C" w:rsidP="00492677">
            <w:pPr>
              <w:rPr>
                <w:kern w:val="16"/>
                <w:lang w:eastAsia="en-AU"/>
              </w:rPr>
            </w:pPr>
            <w:r w:rsidRPr="000B6417">
              <w:rPr>
                <w:rFonts w:eastAsia="TimesNewRoman" w:cs="TimesNewRoman"/>
                <w:lang w:eastAsia="en-AU"/>
              </w:rPr>
              <w:t>AI447016</w:t>
            </w:r>
          </w:p>
        </w:tc>
        <w:tc>
          <w:tcPr>
            <w:tcW w:w="1067" w:type="pct"/>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rFonts w:eastAsia="TimesNewRoman" w:cs="TimesNewRoman"/>
                <w:lang w:eastAsia="en-AU"/>
              </w:rPr>
            </w:pPr>
            <w:r w:rsidRPr="000B6417">
              <w:rPr>
                <w:rFonts w:eastAsia="TimesNewRoman" w:cs="TimesNewRoman"/>
                <w:lang w:eastAsia="en-AU"/>
              </w:rPr>
              <w:t>400.0 mg*</w:t>
            </w:r>
            <w:r w:rsidR="00492677">
              <w:rPr>
                <w:rFonts w:eastAsia="TimesNewRoman" w:cs="TimesNewRoman"/>
                <w:lang w:eastAsia="en-AU"/>
              </w:rPr>
              <w:t xml:space="preserve"> </w:t>
            </w:r>
            <w:r w:rsidRPr="000B6417">
              <w:rPr>
                <w:rFonts w:eastAsia="TimesNewRoman" w:cs="TimesNewRoman"/>
                <w:lang w:eastAsia="en-AU"/>
              </w:rPr>
              <w:t>(272.9 - 536.5)</w:t>
            </w:r>
          </w:p>
        </w:tc>
        <w:tc>
          <w:tcPr>
            <w:tcW w:w="1154" w:type="pct"/>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rFonts w:eastAsia="TimesNewRoman" w:cs="TimesNewRoman"/>
                <w:lang w:eastAsia="en-AU"/>
              </w:rPr>
            </w:pPr>
            <w:r w:rsidRPr="000B6417">
              <w:rPr>
                <w:rFonts w:eastAsia="TimesNewRoman" w:cs="TimesNewRoman"/>
                <w:lang w:eastAsia="en-AU"/>
              </w:rPr>
              <w:t xml:space="preserve">180 </w:t>
            </w:r>
            <w:proofErr w:type="spellStart"/>
            <w:r w:rsidRPr="000B6417">
              <w:rPr>
                <w:rFonts w:eastAsia="TimesNewRoman" w:cs="TimesNewRoman"/>
                <w:lang w:eastAsia="en-AU"/>
              </w:rPr>
              <w:t>μg</w:t>
            </w:r>
            <w:proofErr w:type="spellEnd"/>
            <w:r w:rsidR="00492677">
              <w:rPr>
                <w:rFonts w:eastAsia="TimesNewRoman" w:cs="TimesNewRoman"/>
                <w:lang w:eastAsia="en-AU"/>
              </w:rPr>
              <w:t xml:space="preserve"> </w:t>
            </w:r>
            <w:r w:rsidRPr="000B6417">
              <w:rPr>
                <w:rFonts w:eastAsia="TimesNewRoman" w:cs="TimesNewRoman"/>
                <w:lang w:eastAsia="en-AU"/>
              </w:rPr>
              <w:t>(105.0 - 187.5)</w:t>
            </w:r>
          </w:p>
        </w:tc>
        <w:tc>
          <w:tcPr>
            <w:tcW w:w="1078" w:type="pct"/>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rFonts w:eastAsia="TimesNewRoman" w:cs="TimesNewRoman"/>
                <w:lang w:eastAsia="en-AU"/>
              </w:rPr>
            </w:pPr>
            <w:r w:rsidRPr="000B6417">
              <w:rPr>
                <w:rFonts w:eastAsia="TimesNewRoman" w:cs="TimesNewRoman"/>
                <w:lang w:eastAsia="en-AU"/>
              </w:rPr>
              <w:t>1084.0 mg</w:t>
            </w:r>
            <w:r w:rsidR="00492677">
              <w:rPr>
                <w:rFonts w:eastAsia="TimesNewRoman" w:cs="TimesNewRoman"/>
                <w:lang w:eastAsia="en-AU"/>
              </w:rPr>
              <w:t xml:space="preserve"> </w:t>
            </w:r>
            <w:r w:rsidRPr="000B6417">
              <w:rPr>
                <w:rFonts w:eastAsia="TimesNewRoman" w:cs="TimesNewRoman"/>
                <w:lang w:eastAsia="en-AU"/>
              </w:rPr>
              <w:t>(533.7 - 1285.7)</w:t>
            </w:r>
          </w:p>
        </w:tc>
        <w:tc>
          <w:tcPr>
            <w:tcW w:w="924" w:type="pct"/>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rFonts w:eastAsia="TimesNewRoman" w:cs="TimesNewRoman"/>
                <w:lang w:eastAsia="en-AU"/>
              </w:rPr>
            </w:pPr>
            <w:r w:rsidRPr="000B6417">
              <w:rPr>
                <w:rFonts w:eastAsia="TimesNewRoman" w:cs="TimesNewRoman"/>
                <w:lang w:eastAsia="en-AU"/>
              </w:rPr>
              <w:t>24.0</w:t>
            </w:r>
            <w:r w:rsidR="00492677">
              <w:rPr>
                <w:rFonts w:eastAsia="TimesNewRoman" w:cs="TimesNewRoman"/>
                <w:lang w:eastAsia="en-AU"/>
              </w:rPr>
              <w:t xml:space="preserve"> </w:t>
            </w:r>
            <w:r w:rsidRPr="000B6417">
              <w:rPr>
                <w:rFonts w:eastAsia="TimesNewRoman" w:cs="TimesNewRoman"/>
                <w:lang w:eastAsia="en-AU"/>
              </w:rPr>
              <w:t>(0.1 - 68.0)</w:t>
            </w:r>
          </w:p>
        </w:tc>
      </w:tr>
    </w:tbl>
    <w:p w:rsidR="00C8707C" w:rsidRPr="00C21E54" w:rsidRDefault="00C8707C" w:rsidP="00492677">
      <w:pPr>
        <w:pStyle w:val="TableDescription"/>
      </w:pPr>
      <w:r w:rsidRPr="00C21E54">
        <w:t xml:space="preserve">* Tablet formulation. </w:t>
      </w:r>
      <w:proofErr w:type="gramStart"/>
      <w:r w:rsidRPr="00C21E54">
        <w:t xml:space="preserve">Studies </w:t>
      </w:r>
      <w:r w:rsidRPr="00C21E54">
        <w:rPr>
          <w:spacing w:val="1"/>
        </w:rPr>
        <w:t>AI447028</w:t>
      </w:r>
      <w:r w:rsidRPr="00C21E54">
        <w:t xml:space="preserve">, </w:t>
      </w:r>
      <w:r w:rsidRPr="00C21E54">
        <w:rPr>
          <w:spacing w:val="1"/>
        </w:rPr>
        <w:t>AI447026</w:t>
      </w:r>
      <w:r w:rsidRPr="00C21E54">
        <w:t xml:space="preserve">, </w:t>
      </w:r>
      <w:r w:rsidRPr="00C21E54">
        <w:rPr>
          <w:spacing w:val="1"/>
        </w:rPr>
        <w:t>AI447029, AI447011</w:t>
      </w:r>
      <w:r w:rsidRPr="00C21E54">
        <w:t xml:space="preserve"> and </w:t>
      </w:r>
      <w:r w:rsidRPr="00C21E54">
        <w:rPr>
          <w:spacing w:val="1"/>
        </w:rPr>
        <w:t>AI447017: DCV CER (</w:t>
      </w:r>
      <w:r w:rsidRPr="00C21E54">
        <w:t xml:space="preserve">see </w:t>
      </w:r>
      <w:proofErr w:type="spellStart"/>
      <w:r w:rsidRPr="00C21E54">
        <w:t>AusPAR</w:t>
      </w:r>
      <w:proofErr w:type="spellEnd"/>
      <w:r w:rsidRPr="00C21E54">
        <w:t xml:space="preserve"> for </w:t>
      </w:r>
      <w:proofErr w:type="spellStart"/>
      <w:r w:rsidRPr="00C21E54">
        <w:t>Daklinza</w:t>
      </w:r>
      <w:proofErr w:type="spellEnd"/>
      <w:r w:rsidRPr="00C21E54">
        <w:t xml:space="preserve"> Attachment 2</w:t>
      </w:r>
      <w:r w:rsidRPr="00C21E54">
        <w:rPr>
          <w:spacing w:val="1"/>
        </w:rPr>
        <w:t>).</w:t>
      </w:r>
      <w:proofErr w:type="gramEnd"/>
      <w:r w:rsidRPr="00C21E54">
        <w:rPr>
          <w:spacing w:val="1"/>
        </w:rPr>
        <w:t xml:space="preserve"> Study AI447016: section </w:t>
      </w:r>
      <w:r w:rsidRPr="00C21E54">
        <w:rPr>
          <w:i/>
        </w:rPr>
        <w:t>Dosage selection for the pivotal studies</w:t>
      </w:r>
      <w:r w:rsidRPr="00C21E54">
        <w:t xml:space="preserve"> </w:t>
      </w:r>
      <w:r w:rsidRPr="00C21E54">
        <w:rPr>
          <w:spacing w:val="1"/>
        </w:rPr>
        <w:t>above</w:t>
      </w:r>
    </w:p>
    <w:p w:rsidR="00C8707C" w:rsidRDefault="00C8707C" w:rsidP="00C8707C">
      <w:pPr>
        <w:pStyle w:val="Heading3"/>
        <w:numPr>
          <w:ilvl w:val="1"/>
          <w:numId w:val="5"/>
        </w:numPr>
      </w:pPr>
      <w:bookmarkStart w:id="261" w:name="_Toc401659989"/>
      <w:bookmarkStart w:id="262" w:name="_Toc431369691"/>
      <w:bookmarkStart w:id="263" w:name="_Toc438116091"/>
      <w:r>
        <w:lastRenderedPageBreak/>
        <w:t>Summary of safety by dosing regimen</w:t>
      </w:r>
      <w:bookmarkEnd w:id="261"/>
      <w:bookmarkEnd w:id="262"/>
      <w:bookmarkEnd w:id="263"/>
    </w:p>
    <w:p w:rsidR="00C8707C" w:rsidRDefault="00C8707C" w:rsidP="00C8707C">
      <w:pPr>
        <w:pStyle w:val="Heading4"/>
        <w:numPr>
          <w:ilvl w:val="2"/>
          <w:numId w:val="5"/>
        </w:numPr>
      </w:pPr>
      <w:bookmarkStart w:id="264" w:name="_Toc401659990"/>
      <w:r>
        <w:t>DCV/ASV regimen</w:t>
      </w:r>
      <w:bookmarkEnd w:id="264"/>
    </w:p>
    <w:p w:rsidR="00C8707C" w:rsidRDefault="00C8707C" w:rsidP="00C8707C">
      <w:pPr>
        <w:pStyle w:val="ListBullet"/>
        <w:numPr>
          <w:ilvl w:val="0"/>
          <w:numId w:val="1"/>
        </w:numPr>
      </w:pPr>
      <w:r>
        <w:t>No deaths were reported while taking the DCV/ASV regimen.</w:t>
      </w:r>
    </w:p>
    <w:p w:rsidR="00C8707C" w:rsidRDefault="00C8707C" w:rsidP="00C8707C">
      <w:pPr>
        <w:pStyle w:val="ListBullet"/>
        <w:numPr>
          <w:ilvl w:val="0"/>
          <w:numId w:val="1"/>
        </w:numPr>
      </w:pPr>
      <w:r>
        <w:t>The frequency of treatment related SAEs was low (9 subjects, 1%). Pyrexia (3 subjects, 0.3%) and increased ALT (2 subjects, 0.2%) were the only treatment related SAEs reported in &gt; 1 subject.</w:t>
      </w:r>
    </w:p>
    <w:p w:rsidR="00C8707C" w:rsidRDefault="00C8707C" w:rsidP="00C8707C">
      <w:pPr>
        <w:pStyle w:val="ListBullet"/>
        <w:numPr>
          <w:ilvl w:val="0"/>
          <w:numId w:val="1"/>
        </w:numPr>
      </w:pPr>
      <w:r>
        <w:t>AEs led to discontinuation in 23 (2.5%) subjects and included 6 (2.9%) treatment naïve, 5 (1.6%) non-responder and 12 (3.1%) intolerant/ineligible subjects. AEs leading to discontinuations in &gt; 1 subject were increased ALT (15, 1.6%), increased AST (12, 1.3%), increased bilirubin (3, 0.3%) and increased transaminases (2, 0.2%).</w:t>
      </w:r>
    </w:p>
    <w:p w:rsidR="00C8707C" w:rsidRDefault="00C8707C" w:rsidP="00C8707C">
      <w:pPr>
        <w:pStyle w:val="ListBullet"/>
        <w:numPr>
          <w:ilvl w:val="0"/>
          <w:numId w:val="1"/>
        </w:numPr>
      </w:pPr>
      <w:r>
        <w:t xml:space="preserve">Most subjects reported an AE (89.6%). The most frequently reported were fatigue, diarrhoea, </w:t>
      </w:r>
      <w:proofErr w:type="spellStart"/>
      <w:r>
        <w:t>nasopharyngitis</w:t>
      </w:r>
      <w:proofErr w:type="spellEnd"/>
      <w:r>
        <w:t>, headache and nausea. Grade 3/4 AEs were reported in 10.2% of subjects.</w:t>
      </w:r>
    </w:p>
    <w:p w:rsidR="00C8707C" w:rsidRDefault="00C8707C" w:rsidP="00C8707C">
      <w:pPr>
        <w:pStyle w:val="ListBullet"/>
        <w:numPr>
          <w:ilvl w:val="0"/>
          <w:numId w:val="1"/>
        </w:numPr>
      </w:pPr>
      <w:r>
        <w:t>50 (5.4%) subjects reported Grade 3/4 treatment related AEs. The most frequently reported were increased ALT (2.8%) and increased AST (1.9%). The median time to ALT/ASV elevations was approximately 13 weeks.</w:t>
      </w:r>
    </w:p>
    <w:p w:rsidR="00C8707C" w:rsidRDefault="00C8707C" w:rsidP="00C8707C">
      <w:pPr>
        <w:pStyle w:val="ListBullet"/>
        <w:numPr>
          <w:ilvl w:val="0"/>
          <w:numId w:val="1"/>
        </w:numPr>
      </w:pPr>
      <w:r>
        <w:t xml:space="preserve">3 cases met the laboratory criteria for </w:t>
      </w:r>
      <w:proofErr w:type="spellStart"/>
      <w:r>
        <w:t>pDILI</w:t>
      </w:r>
      <w:proofErr w:type="spellEnd"/>
      <w:r>
        <w:t xml:space="preserve"> but one subject did not meet the clinical criteria for </w:t>
      </w:r>
      <w:proofErr w:type="spellStart"/>
      <w:r>
        <w:t>pDILI</w:t>
      </w:r>
      <w:proofErr w:type="spellEnd"/>
      <w:r>
        <w:t xml:space="preserve"> due to baseline Gilbert’s syndrome.</w:t>
      </w:r>
    </w:p>
    <w:p w:rsidR="00C8707C" w:rsidRDefault="00C8707C" w:rsidP="00C8707C">
      <w:pPr>
        <w:pStyle w:val="ListBullet"/>
        <w:numPr>
          <w:ilvl w:val="0"/>
          <w:numId w:val="1"/>
        </w:numPr>
      </w:pPr>
      <w:r>
        <w:t>Within the treatment naïve cohort the safety profile was similar between those who received DSV/ASV and those who received the placebo control.</w:t>
      </w:r>
    </w:p>
    <w:p w:rsidR="00C8707C" w:rsidRDefault="00C8707C" w:rsidP="00C8707C">
      <w:pPr>
        <w:pStyle w:val="Heading4"/>
        <w:numPr>
          <w:ilvl w:val="2"/>
          <w:numId w:val="5"/>
        </w:numPr>
      </w:pPr>
      <w:bookmarkStart w:id="265" w:name="_Toc401659991"/>
      <w:r>
        <w:t>DCV QUAD regimen</w:t>
      </w:r>
      <w:bookmarkEnd w:id="265"/>
    </w:p>
    <w:p w:rsidR="00C8707C" w:rsidRDefault="00C8707C" w:rsidP="00C8707C">
      <w:pPr>
        <w:autoSpaceDE w:val="0"/>
        <w:autoSpaceDN w:val="0"/>
        <w:adjustRightInd w:val="0"/>
      </w:pPr>
      <w:r>
        <w:t xml:space="preserve">The safety profile of the DCV Quad regimen (DCV/ASV in combination with </w:t>
      </w:r>
      <w:proofErr w:type="spellStart"/>
      <w:r>
        <w:t>pegIFN</w:t>
      </w:r>
      <w:proofErr w:type="spellEnd"/>
      <w:r>
        <w:t xml:space="preserve">α/RBV) in HCV GT 1 or 4 subjects who failed previous IFN/RBV-based therapy, was similar to that reported historically with </w:t>
      </w:r>
      <w:proofErr w:type="spellStart"/>
      <w:r>
        <w:t>pegIFN</w:t>
      </w:r>
      <w:proofErr w:type="spellEnd"/>
      <w:r>
        <w:t xml:space="preserve">α/RBV alone (that is, Grade 3-4 </w:t>
      </w:r>
      <w:proofErr w:type="spellStart"/>
      <w:r>
        <w:t>haematologic</w:t>
      </w:r>
      <w:proofErr w:type="spellEnd"/>
      <w:r>
        <w:t xml:space="preserve"> abnormalities), with the exception of similar elevated transaminase levels as observed in the other ASV studies.</w:t>
      </w:r>
    </w:p>
    <w:p w:rsidR="00C8707C" w:rsidRDefault="00C8707C" w:rsidP="00C8707C">
      <w:pPr>
        <w:pStyle w:val="ListBullet"/>
        <w:numPr>
          <w:ilvl w:val="0"/>
          <w:numId w:val="1"/>
        </w:numPr>
      </w:pPr>
      <w:r>
        <w:t>No deaths were reported on treatment. One death was reported during the follow up Week 12 due to an SAE of Grade 4 pneumonia, which was judged by the investigator as not related to study drug.</w:t>
      </w:r>
    </w:p>
    <w:p w:rsidR="00C8707C" w:rsidRDefault="00C8707C" w:rsidP="00C8707C">
      <w:pPr>
        <w:pStyle w:val="ListBullet"/>
        <w:numPr>
          <w:ilvl w:val="0"/>
          <w:numId w:val="1"/>
        </w:numPr>
      </w:pPr>
      <w:r>
        <w:t xml:space="preserve">The frequency of treatment related SAEs was low (2.3% in Study AI447029 and 5% in Study AI447011 [see </w:t>
      </w:r>
      <w:proofErr w:type="spellStart"/>
      <w:r>
        <w:t>AusPAR</w:t>
      </w:r>
      <w:proofErr w:type="spellEnd"/>
      <w:r>
        <w:t xml:space="preserve"> for </w:t>
      </w:r>
      <w:proofErr w:type="spellStart"/>
      <w:r>
        <w:t>Daklinza</w:t>
      </w:r>
      <w:proofErr w:type="spellEnd"/>
      <w:r>
        <w:t xml:space="preserve"> Attachment 2 </w:t>
      </w:r>
      <w:r>
        <w:rPr>
          <w:i/>
        </w:rPr>
        <w:t>Efficacy</w:t>
      </w:r>
      <w:r>
        <w:t>]). Anaemia was the only treatment related SAE reported in more than 1 subject.</w:t>
      </w:r>
    </w:p>
    <w:p w:rsidR="00C8707C" w:rsidRDefault="00C8707C" w:rsidP="00C8707C">
      <w:pPr>
        <w:pStyle w:val="ListBullet"/>
        <w:numPr>
          <w:ilvl w:val="0"/>
          <w:numId w:val="1"/>
        </w:numPr>
      </w:pPr>
      <w:r>
        <w:t xml:space="preserve">AEs led to discontinuations in 18 (4.5%) subjects in Study AI447029 and none in Study AI447011 (see </w:t>
      </w:r>
      <w:proofErr w:type="spellStart"/>
      <w:r>
        <w:t>AusPAR</w:t>
      </w:r>
      <w:proofErr w:type="spellEnd"/>
      <w:r>
        <w:t xml:space="preserve"> for </w:t>
      </w:r>
      <w:proofErr w:type="spellStart"/>
      <w:r>
        <w:t>Daklinza</w:t>
      </w:r>
      <w:proofErr w:type="spellEnd"/>
      <w:r>
        <w:t xml:space="preserve"> Attachment 2 </w:t>
      </w:r>
      <w:r>
        <w:rPr>
          <w:i/>
        </w:rPr>
        <w:t>Efficacy</w:t>
      </w:r>
      <w:r>
        <w:t>). 7 subjects discontinued due to skin and subcutaneous tissue disorders although none were reported as serious. 1 subject discontinued to the an AE of increased hepatic enzymes.</w:t>
      </w:r>
    </w:p>
    <w:p w:rsidR="00C8707C" w:rsidRDefault="00C8707C" w:rsidP="00C8707C">
      <w:pPr>
        <w:pStyle w:val="ListBullet"/>
        <w:numPr>
          <w:ilvl w:val="0"/>
          <w:numId w:val="1"/>
        </w:numPr>
      </w:pPr>
      <w:r>
        <w:t>The most commonly reported AEs were fatigue, headache, pruritus, asthenia, flu-like symptoms, insomnia, rash, anaemia, cough, dry skin, diarrhoea, nausea, alopecia, irritability, pyrexia, myalgia, neutropenia, dyspnoea, decreased appetite and arthralgia.</w:t>
      </w:r>
    </w:p>
    <w:p w:rsidR="00C8707C" w:rsidRDefault="00C8707C" w:rsidP="00C8707C">
      <w:pPr>
        <w:pStyle w:val="ListBullet"/>
        <w:numPr>
          <w:ilvl w:val="0"/>
          <w:numId w:val="1"/>
        </w:numPr>
      </w:pPr>
      <w:r>
        <w:t xml:space="preserve">The most frequently reported on treatment Grade 3/4 laboratory abnormalities were </w:t>
      </w:r>
      <w:proofErr w:type="spellStart"/>
      <w:r>
        <w:t>haematologic</w:t>
      </w:r>
      <w:proofErr w:type="spellEnd"/>
      <w:r>
        <w:t xml:space="preserve">. In the few on treatment Grade 3/4 ALT/AST elevations the median time to onset was approximately 8 weeks and the median time to reversal was approximately 3-4 weeks. 1 subject treated in Study </w:t>
      </w:r>
      <w:proofErr w:type="gramStart"/>
      <w:r>
        <w:t>AI447011  met</w:t>
      </w:r>
      <w:proofErr w:type="gramEnd"/>
      <w:r>
        <w:t xml:space="preserve"> the laboratory criteria for </w:t>
      </w:r>
      <w:proofErr w:type="spellStart"/>
      <w:r>
        <w:t>pDILI</w:t>
      </w:r>
      <w:proofErr w:type="spellEnd"/>
      <w:r>
        <w:t xml:space="preserve"> (see </w:t>
      </w:r>
      <w:proofErr w:type="spellStart"/>
      <w:r>
        <w:t>AusPAR</w:t>
      </w:r>
      <w:proofErr w:type="spellEnd"/>
      <w:r>
        <w:t xml:space="preserve"> for </w:t>
      </w:r>
      <w:proofErr w:type="spellStart"/>
      <w:r>
        <w:t>Daklinza</w:t>
      </w:r>
      <w:proofErr w:type="spellEnd"/>
      <w:r>
        <w:t xml:space="preserve"> Attachment 2 </w:t>
      </w:r>
      <w:r>
        <w:rPr>
          <w:i/>
        </w:rPr>
        <w:t>Efficacy</w:t>
      </w:r>
      <w:r>
        <w:t>).</w:t>
      </w:r>
    </w:p>
    <w:p w:rsidR="00C8707C" w:rsidRDefault="00C8707C" w:rsidP="00C8707C">
      <w:pPr>
        <w:pStyle w:val="Heading4"/>
        <w:numPr>
          <w:ilvl w:val="2"/>
          <w:numId w:val="5"/>
        </w:numPr>
      </w:pPr>
      <w:bookmarkStart w:id="266" w:name="_Toc401659992"/>
      <w:r>
        <w:lastRenderedPageBreak/>
        <w:t>ASV/IFNα/RBV</w:t>
      </w:r>
      <w:bookmarkEnd w:id="266"/>
    </w:p>
    <w:p w:rsidR="00C8707C" w:rsidRDefault="00C8707C" w:rsidP="00C8707C">
      <w:pPr>
        <w:pStyle w:val="ListBullet"/>
        <w:numPr>
          <w:ilvl w:val="0"/>
          <w:numId w:val="1"/>
        </w:numPr>
      </w:pPr>
      <w:r>
        <w:t>2 subjects died: 1 during the treatment period of sepsis and septic shock due to unknown causes and 1 during the follow up due to multi-organ failure, both judged not related to study drug.</w:t>
      </w:r>
    </w:p>
    <w:p w:rsidR="00C8707C" w:rsidRDefault="00C8707C" w:rsidP="00C8707C">
      <w:pPr>
        <w:pStyle w:val="ListBullet"/>
        <w:numPr>
          <w:ilvl w:val="0"/>
          <w:numId w:val="1"/>
        </w:numPr>
      </w:pPr>
      <w:r>
        <w:t>SAEs were reported in 16 (8.5%) subjects on ASV/IFNα/RBV and 3 (4.2%) on placebo/ IFNα/RBV: those reported by more than 1 patient were increased ALT (2 subjects in ASV/IFNα/RBV) and abdominal pain (1 subjects in each group).</w:t>
      </w:r>
    </w:p>
    <w:p w:rsidR="00C8707C" w:rsidRDefault="00C8707C" w:rsidP="00C8707C">
      <w:pPr>
        <w:pStyle w:val="ListBullet"/>
        <w:numPr>
          <w:ilvl w:val="0"/>
          <w:numId w:val="1"/>
        </w:numPr>
      </w:pPr>
      <w:r>
        <w:t>AEs leading to discontinuation of study drugs were reported in 10 (5.3%) subjects on ASV/IFNα/RBV and 4 (5.6%) on placebo/IFNα/RBV. AEs leading to discontinuation of study drugs were generally similar across the treatments with only rash (ASV/IFNα/RBV) being reported by more than 1 subject.</w:t>
      </w:r>
    </w:p>
    <w:p w:rsidR="00C8707C" w:rsidRDefault="00C8707C" w:rsidP="00C8707C">
      <w:pPr>
        <w:pStyle w:val="ListBullet"/>
        <w:numPr>
          <w:ilvl w:val="0"/>
          <w:numId w:val="1"/>
        </w:numPr>
      </w:pPr>
      <w:r>
        <w:t>The most frequently reported AEs were headache, fatigue, asthenia, decreased appetite, flu-like symptoms, pruritus, insomnia, and rash.</w:t>
      </w:r>
    </w:p>
    <w:p w:rsidR="00C8707C" w:rsidRDefault="00C8707C" w:rsidP="00C8707C">
      <w:pPr>
        <w:pStyle w:val="ListBullet"/>
        <w:numPr>
          <w:ilvl w:val="0"/>
          <w:numId w:val="1"/>
        </w:numPr>
      </w:pPr>
      <w:r>
        <w:t>Grade 3/4 elevations in ALT and AST occurred in 17 (9.0%) and 19 (10.1%) subjects respectively in the ASV/IFNα/RBV vs 1 subject in the placebo/IFNα/RBV group.</w:t>
      </w:r>
    </w:p>
    <w:p w:rsidR="00C8707C" w:rsidRDefault="00C8707C" w:rsidP="00C8707C">
      <w:pPr>
        <w:pStyle w:val="ListBullet"/>
        <w:numPr>
          <w:ilvl w:val="0"/>
          <w:numId w:val="1"/>
        </w:numPr>
      </w:pPr>
      <w:r>
        <w:t>ALT/ASV levels increased in about 10% of subjects approximately 10.5 weeks of treatment and all showed improvement after ASV was either discontinued or interrupted. The median time from elevation to reversal was approximately 2.5 weeks. 16 subjects had reversal of their ALT/AST levels by end of treatment.</w:t>
      </w:r>
    </w:p>
    <w:p w:rsidR="00C8707C" w:rsidRDefault="00C8707C" w:rsidP="00C8707C">
      <w:pPr>
        <w:pStyle w:val="ListBullet"/>
        <w:numPr>
          <w:ilvl w:val="0"/>
          <w:numId w:val="1"/>
        </w:numPr>
      </w:pPr>
      <w:r>
        <w:t xml:space="preserve">No subject met the </w:t>
      </w:r>
      <w:proofErr w:type="spellStart"/>
      <w:r>
        <w:t>pDILI</w:t>
      </w:r>
      <w:proofErr w:type="spellEnd"/>
      <w:r>
        <w:t xml:space="preserve"> definition and there were no additional signs of liver decompensation associated with Grade 3 or 4 ALT elevations.</w:t>
      </w:r>
    </w:p>
    <w:p w:rsidR="00C8707C" w:rsidRDefault="00C8707C" w:rsidP="00C8707C">
      <w:pPr>
        <w:pStyle w:val="Heading3"/>
        <w:numPr>
          <w:ilvl w:val="1"/>
          <w:numId w:val="5"/>
        </w:numPr>
      </w:pPr>
      <w:bookmarkStart w:id="267" w:name="_Toc401659993"/>
      <w:bookmarkStart w:id="268" w:name="_Toc290846317"/>
      <w:bookmarkStart w:id="269" w:name="_Toc272414679"/>
      <w:bookmarkStart w:id="270" w:name="_Ref272333048"/>
      <w:bookmarkStart w:id="271" w:name="_Toc241374326"/>
      <w:bookmarkStart w:id="272" w:name="_Toc431369692"/>
      <w:bookmarkStart w:id="273" w:name="_Toc438116092"/>
      <w:r>
        <w:t>Post-marketing experience</w:t>
      </w:r>
      <w:bookmarkEnd w:id="267"/>
      <w:bookmarkEnd w:id="268"/>
      <w:bookmarkEnd w:id="269"/>
      <w:bookmarkEnd w:id="270"/>
      <w:bookmarkEnd w:id="271"/>
      <w:bookmarkEnd w:id="272"/>
      <w:bookmarkEnd w:id="273"/>
    </w:p>
    <w:p w:rsidR="00C8707C" w:rsidRDefault="00C8707C" w:rsidP="00C8707C">
      <w:pPr>
        <w:autoSpaceDE w:val="0"/>
        <w:autoSpaceDN w:val="0"/>
        <w:adjustRightInd w:val="0"/>
      </w:pPr>
      <w:r>
        <w:t>There is no post-marketing experience as the product has not been marketed in any country.</w:t>
      </w:r>
    </w:p>
    <w:p w:rsidR="00C8707C" w:rsidRDefault="00C8707C" w:rsidP="00C8707C">
      <w:pPr>
        <w:pStyle w:val="Heading3"/>
        <w:numPr>
          <w:ilvl w:val="1"/>
          <w:numId w:val="5"/>
        </w:numPr>
      </w:pPr>
      <w:bookmarkStart w:id="274" w:name="_Toc272414680"/>
      <w:bookmarkStart w:id="275" w:name="_Ref272333005"/>
      <w:bookmarkStart w:id="276" w:name="_Toc401659994"/>
      <w:bookmarkStart w:id="277" w:name="_Toc290846318"/>
      <w:bookmarkStart w:id="278" w:name="_Toc431369693"/>
      <w:bookmarkStart w:id="279" w:name="_Toc438116093"/>
      <w:r>
        <w:t>Safety issues with the potential for major regulatory imp</w:t>
      </w:r>
      <w:bookmarkEnd w:id="274"/>
      <w:bookmarkEnd w:id="275"/>
      <w:r>
        <w:t>act</w:t>
      </w:r>
      <w:bookmarkEnd w:id="276"/>
      <w:bookmarkEnd w:id="277"/>
      <w:bookmarkEnd w:id="278"/>
      <w:bookmarkEnd w:id="279"/>
    </w:p>
    <w:p w:rsidR="00C8707C" w:rsidRDefault="00C8707C" w:rsidP="00C8707C">
      <w:pPr>
        <w:pStyle w:val="Heading4"/>
        <w:numPr>
          <w:ilvl w:val="2"/>
          <w:numId w:val="5"/>
        </w:numPr>
      </w:pPr>
      <w:bookmarkStart w:id="280" w:name="_Toc401659995"/>
      <w:bookmarkStart w:id="281" w:name="_Toc290846319"/>
      <w:bookmarkStart w:id="282" w:name="_Toc272414681"/>
      <w:r>
        <w:t>Liver toxicity</w:t>
      </w:r>
      <w:bookmarkEnd w:id="280"/>
      <w:bookmarkEnd w:id="281"/>
      <w:bookmarkEnd w:id="282"/>
    </w:p>
    <w:p w:rsidR="00C8707C" w:rsidRDefault="00C8707C" w:rsidP="00C8707C">
      <w:pPr>
        <w:pStyle w:val="Heading5"/>
        <w:numPr>
          <w:ilvl w:val="3"/>
          <w:numId w:val="5"/>
        </w:numPr>
      </w:pPr>
      <w:r>
        <w:t>Safety in subjects with cirrhosis</w:t>
      </w:r>
    </w:p>
    <w:p w:rsidR="00C8707C" w:rsidRDefault="00C8707C" w:rsidP="00C8707C">
      <w:pPr>
        <w:autoSpaceDE w:val="0"/>
        <w:autoSpaceDN w:val="0"/>
        <w:adjustRightInd w:val="0"/>
      </w:pPr>
      <w:r>
        <w:t>A total of 229 subjects were enrolled with baseline cirrhosis it the DCV/ASV studies, 93 subjects in DCV/ASV Quad regimen studies and 16 in the ASV/peg INF/RBV studies.</w:t>
      </w:r>
    </w:p>
    <w:p w:rsidR="00C8707C" w:rsidRDefault="00C8707C" w:rsidP="00C8707C">
      <w:pPr>
        <w:pStyle w:val="ListBullet"/>
        <w:numPr>
          <w:ilvl w:val="0"/>
          <w:numId w:val="1"/>
        </w:numPr>
      </w:pPr>
      <w:r>
        <w:t>The frequency of SAEs regardless of study drugs was low and similar among subjects with cirrhosis and those without</w:t>
      </w:r>
    </w:p>
    <w:p w:rsidR="00C8707C" w:rsidRDefault="00C8707C" w:rsidP="00C8707C">
      <w:pPr>
        <w:pStyle w:val="ListBullet2"/>
        <w:numPr>
          <w:ilvl w:val="1"/>
          <w:numId w:val="1"/>
        </w:numPr>
      </w:pPr>
      <w:r>
        <w:t>DCV/ASV regimen: 15 (6.6%) with cirrhosis and 41 (6.0%) without cirrhosis</w:t>
      </w:r>
    </w:p>
    <w:p w:rsidR="00C8707C" w:rsidRDefault="00C8707C" w:rsidP="00C8707C">
      <w:pPr>
        <w:pStyle w:val="ListBullet2"/>
        <w:numPr>
          <w:ilvl w:val="1"/>
          <w:numId w:val="1"/>
        </w:numPr>
      </w:pPr>
      <w:r>
        <w:t>DCV/ASV QUAD regimen: 4 (4.3%) with cirrhosis and 18 (5.9%) without cirrhosis</w:t>
      </w:r>
    </w:p>
    <w:p w:rsidR="00C8707C" w:rsidRDefault="00C8707C" w:rsidP="00C8707C">
      <w:pPr>
        <w:pStyle w:val="ListBullet2"/>
        <w:numPr>
          <w:ilvl w:val="1"/>
          <w:numId w:val="1"/>
        </w:numPr>
      </w:pPr>
      <w:r>
        <w:t>ASV/</w:t>
      </w:r>
      <w:proofErr w:type="spellStart"/>
      <w:r>
        <w:t>pegIFN</w:t>
      </w:r>
      <w:proofErr w:type="spellEnd"/>
      <w:r>
        <w:t>/RBV regimen: 3 (18.8%) with cirrhosis and 13 (7.5%) without cirrhosis</w:t>
      </w:r>
    </w:p>
    <w:p w:rsidR="00C8707C" w:rsidRDefault="00C8707C" w:rsidP="00C8707C">
      <w:pPr>
        <w:pStyle w:val="Heading4"/>
        <w:numPr>
          <w:ilvl w:val="2"/>
          <w:numId w:val="5"/>
        </w:numPr>
      </w:pPr>
      <w:bookmarkStart w:id="283" w:name="_Toc401659996"/>
      <w:r>
        <w:t>Resistance</w:t>
      </w:r>
      <w:bookmarkEnd w:id="283"/>
    </w:p>
    <w:p w:rsidR="00C8707C" w:rsidRDefault="00C8707C" w:rsidP="00C8707C">
      <w:r>
        <w:t xml:space="preserve">Genotypic and phenotypic assays were performed in all ASV studies to identify the individual and combinations of substitutions known to confer resistance to specific antiviral agents. The impact to certain baseline NS5A and NS3 polymorphisms and IL-28B (RS12979860) GT on </w:t>
      </w:r>
      <w:proofErr w:type="spellStart"/>
      <w:r>
        <w:t>virologic</w:t>
      </w:r>
      <w:proofErr w:type="spellEnd"/>
      <w:r>
        <w:t xml:space="preserve"> response appeared to be treatment specific. Baseline NS5A polymorphism at L31 and Y93H appeared to be associated with </w:t>
      </w:r>
      <w:proofErr w:type="spellStart"/>
      <w:r>
        <w:t>virologic</w:t>
      </w:r>
      <w:proofErr w:type="spellEnd"/>
      <w:r>
        <w:t xml:space="preserve"> failure in the DCV/ASV therapy in subjects infected with GT-1b, while baseline NS3-D168E appeared to be associated with </w:t>
      </w:r>
      <w:proofErr w:type="spellStart"/>
      <w:r>
        <w:t>virologic</w:t>
      </w:r>
      <w:proofErr w:type="spellEnd"/>
      <w:r>
        <w:t xml:space="preserve"> failure to a lesser extent. The non-CC IL-28B (RS12979860) GT appeared to correlate more with </w:t>
      </w:r>
      <w:proofErr w:type="spellStart"/>
      <w:r>
        <w:t>virologic</w:t>
      </w:r>
      <w:proofErr w:type="spellEnd"/>
      <w:r>
        <w:t xml:space="preserve"> failures in subjects receiving a DAA add on to </w:t>
      </w:r>
      <w:proofErr w:type="spellStart"/>
      <w:r>
        <w:t>pegIFN</w:t>
      </w:r>
      <w:proofErr w:type="spellEnd"/>
      <w:r>
        <w:t xml:space="preserve">α/RBV therapy. Baseline </w:t>
      </w:r>
      <w:r>
        <w:lastRenderedPageBreak/>
        <w:t>polymorphisms had no or minimal impact on SVR in the DCV QUAD regimen (confounded by small numbers of subjects failing treatment).</w:t>
      </w:r>
    </w:p>
    <w:p w:rsidR="00C8707C" w:rsidRDefault="00C8707C" w:rsidP="00C8707C">
      <w:r>
        <w:t xml:space="preserve">With the DCV/ASV and the QUAD regimen the majority of subjects with </w:t>
      </w:r>
      <w:proofErr w:type="spellStart"/>
      <w:r>
        <w:t>virologic</w:t>
      </w:r>
      <w:proofErr w:type="spellEnd"/>
      <w:r>
        <w:t xml:space="preserve"> failure who met the criteria for resistance testing had resistance associated substitutions to both DCV and ASV.</w:t>
      </w:r>
    </w:p>
    <w:p w:rsidR="00C8707C" w:rsidRDefault="00C8707C" w:rsidP="00C8707C">
      <w:proofErr w:type="gramStart"/>
      <w:r>
        <w:t>Once a subject failed a DCV/ASV regimen.</w:t>
      </w:r>
      <w:proofErr w:type="gramEnd"/>
      <w:r>
        <w:t xml:space="preserve"> Emergent NS5A RAVs generally persisted in the majority of subjects throughout the duration of the study (follow up Week 48), whereas NS3 RAVs were more likely to be replaced or partially replaced by baseline sequence during this time frame.</w:t>
      </w:r>
    </w:p>
    <w:p w:rsidR="00C8707C" w:rsidRDefault="00C8707C" w:rsidP="00C8707C">
      <w:pPr>
        <w:pStyle w:val="Heading3"/>
        <w:numPr>
          <w:ilvl w:val="1"/>
          <w:numId w:val="5"/>
        </w:numPr>
      </w:pPr>
      <w:bookmarkStart w:id="284" w:name="_Toc401659997"/>
      <w:bookmarkStart w:id="285" w:name="_Toc290846324"/>
      <w:bookmarkStart w:id="286" w:name="_Ref273005527"/>
      <w:bookmarkStart w:id="287" w:name="_Toc272414686"/>
      <w:bookmarkStart w:id="288" w:name="_Toc431369694"/>
      <w:bookmarkStart w:id="289" w:name="_Toc438116094"/>
      <w:r>
        <w:t>Other safety issues</w:t>
      </w:r>
      <w:bookmarkEnd w:id="284"/>
      <w:bookmarkEnd w:id="285"/>
      <w:bookmarkEnd w:id="286"/>
      <w:bookmarkEnd w:id="287"/>
      <w:bookmarkEnd w:id="288"/>
      <w:bookmarkEnd w:id="289"/>
    </w:p>
    <w:p w:rsidR="00C8707C" w:rsidRDefault="00C8707C" w:rsidP="00C8707C">
      <w:pPr>
        <w:pStyle w:val="Heading4"/>
        <w:numPr>
          <w:ilvl w:val="2"/>
          <w:numId w:val="5"/>
        </w:numPr>
      </w:pPr>
      <w:bookmarkStart w:id="290" w:name="_Toc401659998"/>
      <w:bookmarkStart w:id="291" w:name="_Toc290846326"/>
      <w:bookmarkStart w:id="292" w:name="_Toc272414688"/>
      <w:bookmarkStart w:id="293" w:name="_Ref272331214"/>
      <w:bookmarkStart w:id="294" w:name="_Toc241374324"/>
      <w:r>
        <w:t>Safety related to drug-drug interactions and other interactions</w:t>
      </w:r>
      <w:bookmarkEnd w:id="290"/>
      <w:bookmarkEnd w:id="291"/>
      <w:bookmarkEnd w:id="292"/>
      <w:bookmarkEnd w:id="293"/>
      <w:bookmarkEnd w:id="294"/>
    </w:p>
    <w:p w:rsidR="00C8707C" w:rsidRDefault="00C8707C" w:rsidP="00C8707C">
      <w:pPr>
        <w:autoSpaceDE w:val="0"/>
        <w:autoSpaceDN w:val="0"/>
        <w:adjustRightInd w:val="0"/>
      </w:pPr>
      <w:r>
        <w:t>See separate clinical pharmacology report.</w:t>
      </w:r>
    </w:p>
    <w:p w:rsidR="00C8707C" w:rsidRDefault="00C8707C" w:rsidP="00C8707C">
      <w:pPr>
        <w:pStyle w:val="Heading3"/>
        <w:numPr>
          <w:ilvl w:val="1"/>
          <w:numId w:val="5"/>
        </w:numPr>
      </w:pPr>
      <w:bookmarkStart w:id="295" w:name="_Toc401659999"/>
      <w:bookmarkStart w:id="296" w:name="_Toc290846329"/>
      <w:bookmarkStart w:id="297" w:name="_Toc272414691"/>
      <w:bookmarkStart w:id="298" w:name="_Toc241374328"/>
      <w:bookmarkStart w:id="299" w:name="_Toc431369695"/>
      <w:bookmarkStart w:id="300" w:name="_Toc438116095"/>
      <w:r>
        <w:t>Evaluator’s overall conclusions on clinical safety</w:t>
      </w:r>
      <w:bookmarkEnd w:id="295"/>
      <w:bookmarkEnd w:id="296"/>
      <w:bookmarkEnd w:id="297"/>
      <w:bookmarkEnd w:id="298"/>
      <w:bookmarkEnd w:id="299"/>
      <w:bookmarkEnd w:id="300"/>
    </w:p>
    <w:p w:rsidR="00C8707C" w:rsidRDefault="00C8707C" w:rsidP="00C8707C">
      <w:r>
        <w:t>The all-oral therapy of DCV (60 mg QD) in combination with ASV (100 mg BD) has a favourable safety and tolerability profile compared to the currently approved standard therapy regimens in HCV GT-1b subjects who are treatment-naïve, treatment-experienced, or ineligible/intolerant to IFN/RBV-based therapy, including subjects with compensated cirrhosis and the elderly.</w:t>
      </w:r>
    </w:p>
    <w:p w:rsidR="00C8707C" w:rsidRDefault="00C8707C" w:rsidP="00C8707C">
      <w:r>
        <w:t xml:space="preserve">The AEs reported for </w:t>
      </w:r>
      <w:proofErr w:type="spellStart"/>
      <w:r>
        <w:t>PegIFN</w:t>
      </w:r>
      <w:proofErr w:type="spellEnd"/>
      <w:r>
        <w:t xml:space="preserve">α/RBV or TVR or BOC plus </w:t>
      </w:r>
      <w:proofErr w:type="spellStart"/>
      <w:r>
        <w:t>pegIFN</w:t>
      </w:r>
      <w:proofErr w:type="spellEnd"/>
      <w:r>
        <w:t xml:space="preserve">α/RBV such as </w:t>
      </w:r>
      <w:proofErr w:type="spellStart"/>
      <w:r>
        <w:t>haematologic</w:t>
      </w:r>
      <w:proofErr w:type="spellEnd"/>
      <w:r>
        <w:t xml:space="preserve"> disorders (anaemia, neutropenia and </w:t>
      </w:r>
      <w:proofErr w:type="spellStart"/>
      <w:r>
        <w:t>thrombocytopaenia</w:t>
      </w:r>
      <w:proofErr w:type="spellEnd"/>
      <w:r>
        <w:t>), psychiatric disorders (depression), flu-like symptoms, rash and anorectal disorders) were reported infrequently with the DCV/ASV regimen.</w:t>
      </w:r>
    </w:p>
    <w:p w:rsidR="00C8707C" w:rsidRDefault="00C8707C" w:rsidP="00C8707C">
      <w:r>
        <w:t>The major AE for the combination is ALT/AST elevations, which appears to be due to both ASV and DCV components. Concurrent (within ±4 weeks of each other) Grade 3/4 ALT and Grade 3/4 AST laboratory abnormalities were reported in 2.9% of DCV/ASV-treated subjects. The events appeared to be easily monitored and readily corrected after cessation of study therapy.</w:t>
      </w:r>
    </w:p>
    <w:p w:rsidR="00C8707C" w:rsidRDefault="00C8707C" w:rsidP="00C8707C">
      <w:r>
        <w:t xml:space="preserve">The safety profile of the DCV Quad regimen (DCV/ASV in combination with </w:t>
      </w:r>
      <w:proofErr w:type="spellStart"/>
      <w:r>
        <w:t>pegIFN</w:t>
      </w:r>
      <w:proofErr w:type="spellEnd"/>
      <w:r>
        <w:t xml:space="preserve">α/RBV) in HCV GT 1 or 4 subjects who failed previous IFN/RBV-based therapy, was similar to that reported historically with </w:t>
      </w:r>
      <w:proofErr w:type="spellStart"/>
      <w:r>
        <w:t>pegIFN</w:t>
      </w:r>
      <w:proofErr w:type="spellEnd"/>
      <w:r>
        <w:t xml:space="preserve">α/RBV alone (that is, Grade 3-4 </w:t>
      </w:r>
      <w:proofErr w:type="spellStart"/>
      <w:r>
        <w:t>haematologic</w:t>
      </w:r>
      <w:proofErr w:type="spellEnd"/>
      <w:r>
        <w:t xml:space="preserve"> abnormalities and other AEs characteristic of </w:t>
      </w:r>
      <w:proofErr w:type="spellStart"/>
      <w:r>
        <w:t>pegIFN</w:t>
      </w:r>
      <w:proofErr w:type="spellEnd"/>
      <w:r>
        <w:t>α/RBV therapy), with the exception of similar elevated transaminase levels as observed in the other ASV studies.</w:t>
      </w:r>
    </w:p>
    <w:p w:rsidR="00C8707C" w:rsidRDefault="00C8707C" w:rsidP="00C8707C">
      <w:pPr>
        <w:pStyle w:val="Heading2"/>
        <w:numPr>
          <w:ilvl w:val="0"/>
          <w:numId w:val="5"/>
        </w:numPr>
      </w:pPr>
      <w:bookmarkStart w:id="301" w:name="_Toc431369696"/>
      <w:bookmarkStart w:id="302" w:name="_Toc438116096"/>
      <w:r>
        <w:t>First round benefit-risk assessment</w:t>
      </w:r>
      <w:bookmarkEnd w:id="301"/>
      <w:bookmarkEnd w:id="302"/>
    </w:p>
    <w:p w:rsidR="00C8707C" w:rsidRDefault="00C8707C" w:rsidP="00C8707C">
      <w:pPr>
        <w:pStyle w:val="Heading3"/>
        <w:numPr>
          <w:ilvl w:val="1"/>
          <w:numId w:val="5"/>
        </w:numPr>
      </w:pPr>
      <w:bookmarkStart w:id="303" w:name="_Toc401660001"/>
      <w:bookmarkStart w:id="304" w:name="_Toc290846331"/>
      <w:bookmarkStart w:id="305" w:name="_Toc272414693"/>
      <w:bookmarkStart w:id="306" w:name="_Ref272160836"/>
      <w:bookmarkStart w:id="307" w:name="_Toc241374331"/>
      <w:bookmarkStart w:id="308" w:name="_Toc236802592"/>
      <w:bookmarkStart w:id="309" w:name="_Toc431369697"/>
      <w:bookmarkStart w:id="310" w:name="_Toc438116097"/>
      <w:r>
        <w:t>First round assessment of benefits</w:t>
      </w:r>
      <w:bookmarkEnd w:id="303"/>
      <w:bookmarkEnd w:id="304"/>
      <w:bookmarkEnd w:id="305"/>
      <w:bookmarkEnd w:id="306"/>
      <w:bookmarkEnd w:id="307"/>
      <w:bookmarkEnd w:id="308"/>
      <w:bookmarkEnd w:id="309"/>
      <w:bookmarkEnd w:id="310"/>
    </w:p>
    <w:p w:rsidR="00C8707C" w:rsidRDefault="00C8707C" w:rsidP="00C8707C">
      <w:r>
        <w:t xml:space="preserve">The benefits of </w:t>
      </w:r>
      <w:proofErr w:type="spellStart"/>
      <w:r>
        <w:t>asunaprevir</w:t>
      </w:r>
      <w:proofErr w:type="spellEnd"/>
      <w:r>
        <w:t xml:space="preserve"> in the proposed usage are:</w:t>
      </w:r>
    </w:p>
    <w:p w:rsidR="00C8707C" w:rsidRDefault="00C8707C" w:rsidP="00C8707C">
      <w:pPr>
        <w:pStyle w:val="ListBullet"/>
        <w:numPr>
          <w:ilvl w:val="0"/>
          <w:numId w:val="1"/>
        </w:numPr>
      </w:pPr>
      <w:r>
        <w:t>High rates of SVR12 (and SVR24) in patients infected with HCV GT-1b treated with ASV in combination with DCV treated for 24 weeks:</w:t>
      </w:r>
    </w:p>
    <w:p w:rsidR="00C8707C" w:rsidRDefault="00C8707C" w:rsidP="00C8707C">
      <w:pPr>
        <w:pStyle w:val="ListBullet2"/>
        <w:numPr>
          <w:ilvl w:val="1"/>
          <w:numId w:val="1"/>
        </w:numPr>
      </w:pPr>
      <w:r>
        <w:t>Treatment naïve: 90.6% (184/205)</w:t>
      </w:r>
    </w:p>
    <w:p w:rsidR="00C8707C" w:rsidRDefault="00C8707C" w:rsidP="00C8707C">
      <w:pPr>
        <w:pStyle w:val="ListBullet2"/>
        <w:numPr>
          <w:ilvl w:val="1"/>
          <w:numId w:val="1"/>
        </w:numPr>
      </w:pPr>
      <w:r>
        <w:t xml:space="preserve">Prior non-responders to </w:t>
      </w:r>
      <w:proofErr w:type="spellStart"/>
      <w:r>
        <w:t>pegIFN</w:t>
      </w:r>
      <w:proofErr w:type="spellEnd"/>
      <w:r>
        <w:t>α or IFNβ/RBV: 80.5% - 90.9%</w:t>
      </w:r>
    </w:p>
    <w:p w:rsidR="00C8707C" w:rsidRDefault="00C8707C" w:rsidP="00C8707C">
      <w:pPr>
        <w:pStyle w:val="ListBullet2"/>
        <w:numPr>
          <w:ilvl w:val="1"/>
          <w:numId w:val="1"/>
        </w:numPr>
      </w:pPr>
      <w:proofErr w:type="spellStart"/>
      <w:r>
        <w:t>PegIFN</w:t>
      </w:r>
      <w:proofErr w:type="spellEnd"/>
      <w:r>
        <w:t>α/RBV intolerant/ineligible subjects: 63.6% - 82.6%</w:t>
      </w:r>
    </w:p>
    <w:p w:rsidR="00C8707C" w:rsidRDefault="00C8707C" w:rsidP="00C8707C">
      <w:pPr>
        <w:pStyle w:val="ListBullet"/>
        <w:numPr>
          <w:ilvl w:val="0"/>
          <w:numId w:val="1"/>
        </w:numPr>
      </w:pPr>
      <w:r>
        <w:t>High rates of SVR12 in prior non-responders (partial and null responders) with:</w:t>
      </w:r>
    </w:p>
    <w:p w:rsidR="00C8707C" w:rsidRDefault="00C8707C" w:rsidP="00C8707C">
      <w:pPr>
        <w:pStyle w:val="ListBullet2"/>
        <w:numPr>
          <w:ilvl w:val="1"/>
          <w:numId w:val="1"/>
        </w:numPr>
      </w:pPr>
      <w:r>
        <w:lastRenderedPageBreak/>
        <w:t>GT-1: 93% (330/354) and 95% (19/20)</w:t>
      </w:r>
    </w:p>
    <w:p w:rsidR="00C8707C" w:rsidRDefault="00C8707C" w:rsidP="00C8707C">
      <w:pPr>
        <w:pStyle w:val="ListBullet2"/>
        <w:numPr>
          <w:ilvl w:val="1"/>
          <w:numId w:val="1"/>
        </w:numPr>
      </w:pPr>
      <w:r>
        <w:t>GT-4: 100% (44/44)</w:t>
      </w:r>
    </w:p>
    <w:p w:rsidR="00C8707C" w:rsidRDefault="00C8707C" w:rsidP="00C8707C">
      <w:pPr>
        <w:pStyle w:val="ListBullet"/>
        <w:numPr>
          <w:ilvl w:val="0"/>
          <w:numId w:val="1"/>
        </w:numPr>
      </w:pPr>
      <w:r>
        <w:t>Similar rates were seen across various baseline factors including males and females, patients ≥ 65 and &lt;65 years, with and without cirrhosis and HCV RNA ≥ 800,000 IU/mL and &lt; 800,000 IU/mL and subjects with IL28B and non-CC genotypes</w:t>
      </w:r>
    </w:p>
    <w:p w:rsidR="00C8707C" w:rsidRDefault="00C8707C" w:rsidP="00C8707C">
      <w:pPr>
        <w:pStyle w:val="ListBullet"/>
        <w:numPr>
          <w:ilvl w:val="0"/>
          <w:numId w:val="1"/>
        </w:numPr>
      </w:pPr>
      <w:r>
        <w:t>There were no deaths attributable to ASV and low rates of SAEs, and AEs of increased hepatic transaminases were generally reversible on discontinuation and most patients with increases achieved SVR12</w:t>
      </w:r>
    </w:p>
    <w:p w:rsidR="00C8707C" w:rsidRDefault="00C8707C" w:rsidP="00C8707C">
      <w:pPr>
        <w:pStyle w:val="Heading3"/>
        <w:numPr>
          <w:ilvl w:val="1"/>
          <w:numId w:val="5"/>
        </w:numPr>
      </w:pPr>
      <w:bookmarkStart w:id="311" w:name="_Toc401660002"/>
      <w:bookmarkStart w:id="312" w:name="_Toc290846332"/>
      <w:bookmarkStart w:id="313" w:name="_Toc272414694"/>
      <w:bookmarkStart w:id="314" w:name="_Ref272160964"/>
      <w:bookmarkStart w:id="315" w:name="_Toc241374334"/>
      <w:bookmarkStart w:id="316" w:name="_Toc236802596"/>
      <w:bookmarkStart w:id="317" w:name="_Toc431369698"/>
      <w:bookmarkStart w:id="318" w:name="_Toc438116098"/>
      <w:r>
        <w:t>First round assessment of risks</w:t>
      </w:r>
      <w:bookmarkEnd w:id="311"/>
      <w:bookmarkEnd w:id="312"/>
      <w:bookmarkEnd w:id="313"/>
      <w:bookmarkEnd w:id="314"/>
      <w:bookmarkEnd w:id="315"/>
      <w:bookmarkEnd w:id="316"/>
      <w:bookmarkEnd w:id="317"/>
      <w:bookmarkEnd w:id="318"/>
    </w:p>
    <w:p w:rsidR="00C8707C" w:rsidRDefault="00C8707C" w:rsidP="00C8707C">
      <w:r>
        <w:t xml:space="preserve">The risks of </w:t>
      </w:r>
      <w:proofErr w:type="spellStart"/>
      <w:r>
        <w:t>asunaprevir</w:t>
      </w:r>
      <w:proofErr w:type="spellEnd"/>
      <w:r>
        <w:t xml:space="preserve"> in the proposed usage are:</w:t>
      </w:r>
    </w:p>
    <w:p w:rsidR="00C8707C" w:rsidRDefault="00C8707C" w:rsidP="00C8707C">
      <w:pPr>
        <w:pStyle w:val="ListBullet"/>
        <w:numPr>
          <w:ilvl w:val="0"/>
          <w:numId w:val="1"/>
        </w:numPr>
      </w:pPr>
      <w:r>
        <w:t>Increases in hepatic transaminases were reported across all treatment groups</w:t>
      </w:r>
    </w:p>
    <w:p w:rsidR="00C8707C" w:rsidRDefault="00C8707C" w:rsidP="00C8707C">
      <w:pPr>
        <w:pStyle w:val="ListBullet"/>
        <w:numPr>
          <w:ilvl w:val="0"/>
          <w:numId w:val="1"/>
        </w:numPr>
      </w:pPr>
      <w:r>
        <w:t>Increased risk of Grade 3/4 transaminase elevations in combination with DCV</w:t>
      </w:r>
    </w:p>
    <w:p w:rsidR="00C8707C" w:rsidRDefault="00C8707C" w:rsidP="00C8707C">
      <w:pPr>
        <w:pStyle w:val="Heading3"/>
        <w:numPr>
          <w:ilvl w:val="1"/>
          <w:numId w:val="5"/>
        </w:numPr>
      </w:pPr>
      <w:bookmarkStart w:id="319" w:name="_Toc401660003"/>
      <w:bookmarkStart w:id="320" w:name="_Toc290846333"/>
      <w:bookmarkStart w:id="321" w:name="_Toc272414695"/>
      <w:bookmarkStart w:id="322" w:name="_Toc241374335"/>
      <w:bookmarkStart w:id="323" w:name="_Toc236802597"/>
      <w:bookmarkStart w:id="324" w:name="_Toc431369699"/>
      <w:bookmarkStart w:id="325" w:name="_Toc438116099"/>
      <w:r>
        <w:t>First round assessment of benefit-risk balance</w:t>
      </w:r>
      <w:bookmarkEnd w:id="319"/>
      <w:bookmarkEnd w:id="320"/>
      <w:bookmarkEnd w:id="321"/>
      <w:bookmarkEnd w:id="322"/>
      <w:bookmarkEnd w:id="323"/>
      <w:bookmarkEnd w:id="324"/>
      <w:bookmarkEnd w:id="325"/>
    </w:p>
    <w:p w:rsidR="00C8707C" w:rsidRDefault="00C8707C" w:rsidP="00C8707C">
      <w:r>
        <w:t xml:space="preserve">The benefit-risk balance of </w:t>
      </w:r>
      <w:proofErr w:type="spellStart"/>
      <w:r>
        <w:t>asunaprevir</w:t>
      </w:r>
      <w:proofErr w:type="spellEnd"/>
      <w:r>
        <w:t>, given the proposed usage, is favourable.</w:t>
      </w:r>
    </w:p>
    <w:p w:rsidR="002C4CAD" w:rsidRDefault="00C8707C" w:rsidP="00C8707C">
      <w:pPr>
        <w:pStyle w:val="Heading2"/>
        <w:numPr>
          <w:ilvl w:val="0"/>
          <w:numId w:val="5"/>
        </w:numPr>
      </w:pPr>
      <w:bookmarkStart w:id="326" w:name="_Toc401660004"/>
      <w:bookmarkStart w:id="327" w:name="_Toc290846334"/>
      <w:bookmarkStart w:id="328" w:name="_Toc272414697"/>
      <w:bookmarkStart w:id="329" w:name="_Ref272161481"/>
      <w:bookmarkStart w:id="330" w:name="_Ref272160564"/>
      <w:bookmarkStart w:id="331" w:name="_Toc431369700"/>
      <w:bookmarkStart w:id="332" w:name="_Toc438116100"/>
      <w:r>
        <w:t>First round recommendation regarding authorisation</w:t>
      </w:r>
      <w:bookmarkEnd w:id="326"/>
      <w:bookmarkEnd w:id="327"/>
      <w:bookmarkEnd w:id="328"/>
      <w:bookmarkEnd w:id="329"/>
      <w:bookmarkEnd w:id="330"/>
      <w:bookmarkEnd w:id="331"/>
      <w:bookmarkEnd w:id="332"/>
    </w:p>
    <w:p w:rsidR="00C8707C" w:rsidRDefault="00C8707C" w:rsidP="00C8707C">
      <w:r>
        <w:t xml:space="preserve">Based on the clinical efficacy and safety data provided it is recommended that </w:t>
      </w:r>
      <w:proofErr w:type="spellStart"/>
      <w:r>
        <w:t>asunaprevir</w:t>
      </w:r>
      <w:proofErr w:type="spellEnd"/>
      <w:r>
        <w:t xml:space="preserve"> be approved.</w:t>
      </w:r>
    </w:p>
    <w:p w:rsidR="00C8707C" w:rsidRDefault="00C8707C" w:rsidP="00C8707C">
      <w:pPr>
        <w:pStyle w:val="Heading2"/>
        <w:numPr>
          <w:ilvl w:val="0"/>
          <w:numId w:val="5"/>
        </w:numPr>
      </w:pPr>
      <w:bookmarkStart w:id="333" w:name="_Toc431369701"/>
      <w:bookmarkStart w:id="334" w:name="_Toc438116101"/>
      <w:r w:rsidRPr="0012297E">
        <w:t>Clinical</w:t>
      </w:r>
      <w:r>
        <w:t xml:space="preserve"> questions</w:t>
      </w:r>
      <w:bookmarkEnd w:id="333"/>
      <w:bookmarkEnd w:id="334"/>
    </w:p>
    <w:p w:rsidR="00C8707C" w:rsidRPr="00586F98" w:rsidRDefault="00C8707C" w:rsidP="00C8707C">
      <w:pPr>
        <w:rPr>
          <w:lang w:eastAsia="ja-JP"/>
        </w:rPr>
      </w:pPr>
      <w:proofErr w:type="gramStart"/>
      <w:r>
        <w:rPr>
          <w:lang w:eastAsia="ja-JP"/>
        </w:rPr>
        <w:t>Nil.</w:t>
      </w:r>
      <w:proofErr w:type="gramEnd"/>
    </w:p>
    <w:p w:rsidR="00C8707C" w:rsidRDefault="00C8707C" w:rsidP="00C8707C">
      <w:pPr>
        <w:pStyle w:val="Heading2"/>
        <w:numPr>
          <w:ilvl w:val="0"/>
          <w:numId w:val="5"/>
        </w:numPr>
      </w:pPr>
      <w:bookmarkStart w:id="335" w:name="_Toc431369702"/>
      <w:bookmarkStart w:id="336" w:name="_Toc438116102"/>
      <w:r>
        <w:t xml:space="preserve">Second round </w:t>
      </w:r>
      <w:r w:rsidRPr="0012297E">
        <w:t>evaluation</w:t>
      </w:r>
      <w:r>
        <w:t xml:space="preserve"> of clinical data submitted in response to questions</w:t>
      </w:r>
      <w:bookmarkEnd w:id="335"/>
      <w:bookmarkEnd w:id="336"/>
    </w:p>
    <w:p w:rsidR="00C8707C" w:rsidRDefault="00C8707C" w:rsidP="00C8707C">
      <w:r>
        <w:t xml:space="preserve">No clinical questions were raised in the first round evaluation. Despite this the sponsor has provided 25 pages of comments on the first round evaluation. Some of the comments are duplicated from those provided for the </w:t>
      </w:r>
      <w:proofErr w:type="spellStart"/>
      <w:r>
        <w:t>daclatasvir</w:t>
      </w:r>
      <w:proofErr w:type="spellEnd"/>
      <w:r>
        <w:t xml:space="preserve"> evaluation (see </w:t>
      </w:r>
      <w:proofErr w:type="spellStart"/>
      <w:r>
        <w:t>AusPAR</w:t>
      </w:r>
      <w:proofErr w:type="spellEnd"/>
      <w:r>
        <w:t xml:space="preserve"> for </w:t>
      </w:r>
      <w:proofErr w:type="spellStart"/>
      <w:r>
        <w:t>Daklinza</w:t>
      </w:r>
      <w:proofErr w:type="spellEnd"/>
      <w:r>
        <w:t xml:space="preserve"> Attachment 2). As these issues were dealt with in that evaluation they have not been repeated in detail here. The sponsor has provided some important new data on the safety of ASV which is relevant to the recommendations in the Product Information.</w:t>
      </w:r>
    </w:p>
    <w:p w:rsidR="00C8707C" w:rsidRDefault="00C8707C" w:rsidP="00C8707C">
      <w:pPr>
        <w:pStyle w:val="Heading3"/>
        <w:numPr>
          <w:ilvl w:val="1"/>
          <w:numId w:val="5"/>
        </w:numPr>
      </w:pPr>
      <w:bookmarkStart w:id="337" w:name="_Toc431369703"/>
      <w:bookmarkStart w:id="338" w:name="_Toc438116103"/>
      <w:r>
        <w:t xml:space="preserve">Overseas </w:t>
      </w:r>
      <w:r w:rsidR="00492677">
        <w:t>r</w:t>
      </w:r>
      <w:r>
        <w:t xml:space="preserve">egulatory </w:t>
      </w:r>
      <w:r w:rsidR="00492677">
        <w:t>s</w:t>
      </w:r>
      <w:r>
        <w:t>tatus</w:t>
      </w:r>
      <w:bookmarkEnd w:id="337"/>
      <w:bookmarkEnd w:id="338"/>
    </w:p>
    <w:p w:rsidR="00C8707C" w:rsidRDefault="00C8707C" w:rsidP="00C8707C">
      <w:r>
        <w:t xml:space="preserve">As noted in the </w:t>
      </w:r>
      <w:proofErr w:type="spellStart"/>
      <w:r>
        <w:t>daclatasvir</w:t>
      </w:r>
      <w:proofErr w:type="spellEnd"/>
      <w:r>
        <w:t xml:space="preserve"> evaluation the sponsor withdrew its new drug application for ASV in the USA on 6 October 2014. The decision was not based on any new safety data from the DCV/ASV studies but on a commercial decision that the DCV/ASV regimen would not be competitive in the US marketplace. The sponsor has noted that ASV has been approved in Japan for the treatment of patients with GT-1b CHC with or without compensated cirrhosis, who have failed or are </w:t>
      </w:r>
      <w:proofErr w:type="gramStart"/>
      <w:r>
        <w:t>ineligible/intolerant</w:t>
      </w:r>
      <w:proofErr w:type="gramEnd"/>
      <w:r>
        <w:t xml:space="preserve"> to interferon based therapy. A supplemental application is under review for use in treatment naïve patients.</w:t>
      </w:r>
    </w:p>
    <w:p w:rsidR="002C4CAD" w:rsidRDefault="00C8707C" w:rsidP="00C8707C">
      <w:r>
        <w:lastRenderedPageBreak/>
        <w:t>Applications for the DCV/ASV combination regimen (using the same data package as submitted in Australia) ha</w:t>
      </w:r>
      <w:r w:rsidR="00DA707A">
        <w:t>ve</w:t>
      </w:r>
      <w:r>
        <w:t xml:space="preserve"> been submitted to Canada, Taiwan, Korea, Colombia, Chile, Singapore, Russia, Thailand</w:t>
      </w:r>
      <w:r w:rsidR="00DA707A">
        <w:t xml:space="preserve"> and</w:t>
      </w:r>
      <w:r>
        <w:t xml:space="preserve"> Israel</w:t>
      </w:r>
      <w:r w:rsidR="00DA707A">
        <w:t>.</w:t>
      </w:r>
    </w:p>
    <w:p w:rsidR="00C8707C" w:rsidRDefault="00C8707C" w:rsidP="00C8707C">
      <w:pPr>
        <w:pStyle w:val="Heading3"/>
        <w:numPr>
          <w:ilvl w:val="1"/>
          <w:numId w:val="5"/>
        </w:numPr>
      </w:pPr>
      <w:bookmarkStart w:id="339" w:name="_Toc431369704"/>
      <w:bookmarkStart w:id="340" w:name="_Toc438116104"/>
      <w:r>
        <w:t>Safety</w:t>
      </w:r>
      <w:bookmarkEnd w:id="339"/>
      <w:bookmarkEnd w:id="340"/>
    </w:p>
    <w:p w:rsidR="00C8707C" w:rsidRDefault="00C8707C" w:rsidP="00C8707C">
      <w:r>
        <w:t>The sponsor has provided new information on the safety of ASV in relation to the following:</w:t>
      </w:r>
    </w:p>
    <w:p w:rsidR="00C8707C" w:rsidRDefault="00C8707C" w:rsidP="00C8707C">
      <w:pPr>
        <w:pStyle w:val="ListBullet"/>
        <w:numPr>
          <w:ilvl w:val="0"/>
          <w:numId w:val="1"/>
        </w:numPr>
      </w:pPr>
      <w:r>
        <w:t>A new review of the hepatic safety based on the data in the submission as well as data from studies that were ongoing at the time of the submission</w:t>
      </w:r>
    </w:p>
    <w:p w:rsidR="00C8707C" w:rsidRDefault="00C8707C" w:rsidP="00C8707C">
      <w:pPr>
        <w:pStyle w:val="ListBullet"/>
        <w:numPr>
          <w:ilvl w:val="0"/>
          <w:numId w:val="1"/>
        </w:numPr>
      </w:pPr>
      <w:r>
        <w:t xml:space="preserve">A new recommendation for ASV dose reduction to once daily dosing for patients with severe renal impairment not receiving haemodialysis based on a new study of a fixed dose combination of DCV/ASV and </w:t>
      </w:r>
      <w:proofErr w:type="spellStart"/>
      <w:r>
        <w:t>beclabuvir</w:t>
      </w:r>
      <w:proofErr w:type="spellEnd"/>
      <w:r>
        <w:t xml:space="preserve"> (Study </w:t>
      </w:r>
      <w:r>
        <w:rPr>
          <w:b/>
        </w:rPr>
        <w:t>AI443110</w:t>
      </w:r>
      <w:r>
        <w:t>)</w:t>
      </w:r>
    </w:p>
    <w:p w:rsidR="00C8707C" w:rsidRDefault="00C8707C" w:rsidP="00C8707C">
      <w:pPr>
        <w:pStyle w:val="Heading4"/>
        <w:numPr>
          <w:ilvl w:val="2"/>
          <w:numId w:val="5"/>
        </w:numPr>
      </w:pPr>
      <w:r>
        <w:t>Hepatic safety</w:t>
      </w:r>
    </w:p>
    <w:p w:rsidR="00C8707C" w:rsidRDefault="00C8707C" w:rsidP="00C8707C">
      <w:pPr>
        <w:tabs>
          <w:tab w:val="left" w:pos="720"/>
        </w:tabs>
        <w:autoSpaceDE w:val="0"/>
        <w:autoSpaceDN w:val="0"/>
        <w:adjustRightInd w:val="0"/>
      </w:pPr>
      <w:r>
        <w:t>Preliminary hepatic safety data are briefly presented for 2 hepatic cases of clinical interest from ongoing studies in the DCV/ASV/BCV (DCV 3DAA) clinical program. The combination regimen includes DCV, a HCV NS5A replication complex inhibitor, ASV, a HCV NS3/4A protease inhibitor, and BCV (BMS-791325), a HCV NS5B thumb 1 nonnucleoside polymerase inhibitor.</w:t>
      </w:r>
    </w:p>
    <w:p w:rsidR="00C8707C" w:rsidRDefault="00C8707C" w:rsidP="00C8707C">
      <w:r>
        <w:t>Ongoing DCV 3DAA studies include:</w:t>
      </w:r>
    </w:p>
    <w:p w:rsidR="00C8707C" w:rsidRDefault="00C8707C" w:rsidP="00C8707C">
      <w:pPr>
        <w:pStyle w:val="ListBullet"/>
        <w:numPr>
          <w:ilvl w:val="0"/>
          <w:numId w:val="1"/>
        </w:numPr>
      </w:pPr>
      <w:r>
        <w:t>Three global studies conducted in the United States (US), France, Canada, and Australia:</w:t>
      </w:r>
    </w:p>
    <w:p w:rsidR="00C8707C" w:rsidRDefault="00C8707C" w:rsidP="00C8707C">
      <w:pPr>
        <w:pStyle w:val="ListBullet2"/>
        <w:numPr>
          <w:ilvl w:val="1"/>
          <w:numId w:val="1"/>
        </w:numPr>
      </w:pPr>
      <w:r>
        <w:rPr>
          <w:b/>
        </w:rPr>
        <w:t>AI443102</w:t>
      </w:r>
      <w:r>
        <w:t>: A Phase III, two-cohort (treatment naïve and treatment experienced), open-label two-arm study comparing DCV, ASV, and BCV (DCV/ASV/BCV) administered as a fixed dose combination (FDC) tablet BD versus historical control in 416 randomised subjects with GT-1 HCV infection without cirrhosis. All subjects received DCV/ASV/BCV FDC BD for 12 weeks and were followed for 24 weeks post treatment. GT-1b enrolment was capped at 40%.</w:t>
      </w:r>
    </w:p>
    <w:p w:rsidR="00C8707C" w:rsidRDefault="00C8707C" w:rsidP="00C8707C">
      <w:pPr>
        <w:pStyle w:val="ListBullet2"/>
        <w:numPr>
          <w:ilvl w:val="1"/>
          <w:numId w:val="1"/>
        </w:numPr>
      </w:pPr>
      <w:r>
        <w:rPr>
          <w:b/>
        </w:rPr>
        <w:t>AI443113</w:t>
      </w:r>
      <w:r>
        <w:t>: A Phase III, two-cohort (treatment naïve and treatment experienced), open-label, four-arm, blinded placebo-controlled RBV study comparing DCV/ASV/BCV FDC BD administered with or without RBV in 202 randomised subjects with GT-1 HCV infection and compensated cirrhosis. All subjects received DCV/ASV/BCV BD with or without RBV for 12 weeks and were followed for 24 weeks post treatment. Enrolment was capped at approximately 40% for GT-1b subjects and at 100 for treatment-experienced subjects.</w:t>
      </w:r>
    </w:p>
    <w:p w:rsidR="00C8707C" w:rsidRDefault="00C8707C" w:rsidP="00C8707C">
      <w:pPr>
        <w:pStyle w:val="ListBullet2"/>
        <w:numPr>
          <w:ilvl w:val="1"/>
          <w:numId w:val="1"/>
        </w:numPr>
      </w:pPr>
      <w:r>
        <w:rPr>
          <w:b/>
        </w:rPr>
        <w:t>AI443014</w:t>
      </w:r>
      <w:r>
        <w:t xml:space="preserve">: A Phase II open-label proof of concept study assessing single agent </w:t>
      </w:r>
      <w:proofErr w:type="spellStart"/>
      <w:r>
        <w:t>daclatasvir</w:t>
      </w:r>
      <w:proofErr w:type="spellEnd"/>
      <w:r>
        <w:t xml:space="preserve"> (DCV 60 mg QD or 30 mg BD), in combination with </w:t>
      </w:r>
      <w:proofErr w:type="spellStart"/>
      <w:r>
        <w:t>asunaprevir</w:t>
      </w:r>
      <w:proofErr w:type="spellEnd"/>
      <w:r>
        <w:t xml:space="preserve"> (ASV 200 mg BD), and BMS-791325 75 mg or 150 mg, administered for 12 or 24 weeks in 320 subjects. Subjects had GT-1 (n=299/320) or GT-4 (n=21/320) HCV infection, were treatment-naïve (n=274/320) or null responders to previous </w:t>
      </w:r>
      <w:proofErr w:type="spellStart"/>
      <w:r>
        <w:t>pegIFN</w:t>
      </w:r>
      <w:proofErr w:type="spellEnd"/>
      <w:r>
        <w:t>α/RBV treatment (n=46/320), and were not cirrhotic (n=300/320) or had compensated cirrhosis (n=20/320). All subjects were followed for 48 weeks post treatment.</w:t>
      </w:r>
    </w:p>
    <w:p w:rsidR="00C8707C" w:rsidRDefault="00C8707C" w:rsidP="00C8707C">
      <w:pPr>
        <w:pStyle w:val="ListBullet"/>
        <w:numPr>
          <w:ilvl w:val="0"/>
          <w:numId w:val="1"/>
        </w:numPr>
      </w:pPr>
      <w:r>
        <w:t>One ongoing DCV 3DAA study was conducted in Japan:</w:t>
      </w:r>
    </w:p>
    <w:p w:rsidR="00C8707C" w:rsidRDefault="00C8707C" w:rsidP="00C8707C">
      <w:pPr>
        <w:pStyle w:val="ListBullet2"/>
        <w:numPr>
          <w:ilvl w:val="1"/>
          <w:numId w:val="1"/>
        </w:numPr>
      </w:pPr>
      <w:r>
        <w:rPr>
          <w:b/>
        </w:rPr>
        <w:t>AI443117</w:t>
      </w:r>
      <w:r>
        <w:t xml:space="preserve">: A Phase III two-cohort study. Cohort 1 is a double-blind, two-arm comparison of DCV 3DAA for 12 weeks versus DCV/ASV for 24 weeks in treatment-naïve subjects with GT-1b HCV infection (n = 216 planned to be randomized 1:1); GT-1a subjects in Cohort 1 were not randomised but received open-label DCV 3DAA. Cohort 2 is an open-label, single-arm study of DCV 3DAA for 12 weeks in IFN experienced subjects with GT-1a/1b (n = 60) planned). All subjects are to be followed for 24 weeks post treatment. Approximately 20% of compensated </w:t>
      </w:r>
      <w:proofErr w:type="spellStart"/>
      <w:r>
        <w:t>cirrhotics</w:t>
      </w:r>
      <w:proofErr w:type="spellEnd"/>
      <w:r>
        <w:t xml:space="preserve"> were enrolled.</w:t>
      </w:r>
    </w:p>
    <w:p w:rsidR="00C8707C" w:rsidRDefault="00C8707C" w:rsidP="00C8707C">
      <w:pPr>
        <w:tabs>
          <w:tab w:val="left" w:pos="720"/>
        </w:tabs>
        <w:autoSpaceDE w:val="0"/>
        <w:autoSpaceDN w:val="0"/>
        <w:adjustRightInd w:val="0"/>
      </w:pPr>
      <w:r>
        <w:lastRenderedPageBreak/>
        <w:t>From these ongoing studies2 further</w:t>
      </w:r>
      <w:r w:rsidR="005517FC">
        <w:t xml:space="preserve"> </w:t>
      </w:r>
      <w:r>
        <w:t xml:space="preserve">cases of </w:t>
      </w:r>
      <w:proofErr w:type="spellStart"/>
      <w:r>
        <w:t>pDILI</w:t>
      </w:r>
      <w:proofErr w:type="spellEnd"/>
      <w:r>
        <w:t xml:space="preserve"> were reported.</w:t>
      </w:r>
      <w:r w:rsidR="000050C2">
        <w:rPr>
          <w:rStyle w:val="FootnoteReference"/>
        </w:rPr>
        <w:footnoteReference w:id="5"/>
      </w:r>
      <w:r>
        <w:t xml:space="preserve"> One patient developed Grade 4 abnormal AST/ALT elevation on Day 43 of treatment but returned to normal with cessation of study drugs. The other patient had study drug ceased on Day 42 when he presented with jaundice and was hospitalised due to </w:t>
      </w:r>
      <w:proofErr w:type="spellStart"/>
      <w:r>
        <w:t>hyperbilirubinaemia</w:t>
      </w:r>
      <w:proofErr w:type="spellEnd"/>
      <w:r>
        <w:t xml:space="preserve"> (Grade 4), AST increased (Grade 4), ALT increased (Grade 4), ALP increased (Grade 1). He experienced clinical signs of hepatic encephalopathy (</w:t>
      </w:r>
      <w:proofErr w:type="spellStart"/>
      <w:r>
        <w:t>asterixis</w:t>
      </w:r>
      <w:proofErr w:type="spellEnd"/>
      <w:r>
        <w:t>) which was resolving but not normal at time of follow up.</w:t>
      </w:r>
    </w:p>
    <w:p w:rsidR="002C4CAD" w:rsidRDefault="00C8707C" w:rsidP="00C8707C">
      <w:pPr>
        <w:tabs>
          <w:tab w:val="left" w:pos="720"/>
        </w:tabs>
        <w:autoSpaceDE w:val="0"/>
        <w:autoSpaceDN w:val="0"/>
        <w:adjustRightInd w:val="0"/>
      </w:pPr>
      <w:r>
        <w:t>The conclusions of the sponsor were:</w:t>
      </w:r>
    </w:p>
    <w:p w:rsidR="00C8707C" w:rsidRPr="0012297E" w:rsidRDefault="00C8707C" w:rsidP="00C8707C">
      <w:pPr>
        <w:pStyle w:val="ListBullet"/>
        <w:numPr>
          <w:ilvl w:val="0"/>
          <w:numId w:val="1"/>
        </w:numPr>
        <w:rPr>
          <w:i/>
        </w:rPr>
      </w:pPr>
      <w:r w:rsidRPr="0012297E">
        <w:rPr>
          <w:i/>
        </w:rPr>
        <w:t xml:space="preserve">When ASV was combined with DCV </w:t>
      </w:r>
      <w:r w:rsidRPr="0012297E">
        <w:rPr>
          <w:rFonts w:cs="Cambria"/>
          <w:i/>
        </w:rPr>
        <w:t>±</w:t>
      </w:r>
      <w:r w:rsidRPr="0012297E">
        <w:rPr>
          <w:i/>
        </w:rPr>
        <w:t xml:space="preserve"> </w:t>
      </w:r>
      <w:proofErr w:type="spellStart"/>
      <w:r w:rsidRPr="0012297E">
        <w:rPr>
          <w:i/>
        </w:rPr>
        <w:t>pegIFN</w:t>
      </w:r>
      <w:proofErr w:type="spellEnd"/>
      <w:r w:rsidRPr="0012297E">
        <w:rPr>
          <w:i/>
        </w:rPr>
        <w:t>α/RBV), ALT elevations were observed, which are associated with ASV use</w:t>
      </w:r>
    </w:p>
    <w:p w:rsidR="00C8707C" w:rsidRPr="0012297E" w:rsidRDefault="00C8707C" w:rsidP="00C8707C">
      <w:pPr>
        <w:pStyle w:val="ListBullet"/>
        <w:numPr>
          <w:ilvl w:val="0"/>
          <w:numId w:val="1"/>
        </w:numPr>
        <w:rPr>
          <w:i/>
        </w:rPr>
      </w:pPr>
      <w:r w:rsidRPr="0012297E">
        <w:rPr>
          <w:i/>
        </w:rPr>
        <w:t>In general, these ALT elevations to date have been reversible after study drug has been discontinued</w:t>
      </w:r>
    </w:p>
    <w:p w:rsidR="00C8707C" w:rsidRPr="0012297E" w:rsidRDefault="00C8707C" w:rsidP="00C8707C">
      <w:pPr>
        <w:pStyle w:val="ListBullet"/>
        <w:numPr>
          <w:ilvl w:val="0"/>
          <w:numId w:val="1"/>
        </w:numPr>
        <w:rPr>
          <w:i/>
        </w:rPr>
      </w:pPr>
      <w:r w:rsidRPr="0012297E">
        <w:rPr>
          <w:i/>
        </w:rPr>
        <w:t xml:space="preserve">Infrequently, these ALT elevations are associated with increased bilirubin (subjects meeting biochemical criteria for </w:t>
      </w:r>
      <w:proofErr w:type="spellStart"/>
      <w:r w:rsidRPr="0012297E">
        <w:rPr>
          <w:i/>
        </w:rPr>
        <w:t>Hy’s</w:t>
      </w:r>
      <w:proofErr w:type="spellEnd"/>
      <w:r w:rsidRPr="0012297E">
        <w:rPr>
          <w:i/>
        </w:rPr>
        <w:t xml:space="preserve"> law or </w:t>
      </w:r>
      <w:proofErr w:type="spellStart"/>
      <w:r w:rsidRPr="0012297E">
        <w:rPr>
          <w:i/>
        </w:rPr>
        <w:t>pDILI</w:t>
      </w:r>
      <w:proofErr w:type="spellEnd"/>
      <w:r w:rsidRPr="0012297E">
        <w:rPr>
          <w:i/>
        </w:rPr>
        <w:t xml:space="preserve"> criteria) without clinical evidence of hepatic decompensation. However, one case of a subject with severe liver injury, who exhibited evidence of hepatic encephalopathy, has been reported among subjects receiving HCV 3DAA (DCV/ASV/BCV); further evaluation of this case is ongoing.</w:t>
      </w:r>
    </w:p>
    <w:p w:rsidR="00C8707C" w:rsidRDefault="00C8707C" w:rsidP="00C8707C">
      <w:pPr>
        <w:tabs>
          <w:tab w:val="left" w:pos="720"/>
        </w:tabs>
        <w:autoSpaceDE w:val="0"/>
        <w:autoSpaceDN w:val="0"/>
        <w:adjustRightInd w:val="0"/>
        <w:rPr>
          <w:i/>
        </w:rPr>
      </w:pPr>
      <w:r>
        <w:rPr>
          <w:i/>
        </w:rPr>
        <w:t>Given the above, patients receiving DCV/ASV or DCV/ASV/</w:t>
      </w:r>
      <w:proofErr w:type="spellStart"/>
      <w:r>
        <w:rPr>
          <w:i/>
        </w:rPr>
        <w:t>pegIFN</w:t>
      </w:r>
      <w:proofErr w:type="spellEnd"/>
      <w:r>
        <w:rPr>
          <w:i/>
        </w:rPr>
        <w:t>α/RBV, should have close monitoring of liver enzymes: at least once every 2 weeks for the initial 12 weeks of treatment, and every 4 weeks thereafter until completion of therapy. Any upward trend in ALT/AST levels warrants more frequent monitoring. If on-treatment elevations in ALT levels 10 times ULN or greater occur, treatment should be discontinued immediately and not be resumed.</w:t>
      </w:r>
    </w:p>
    <w:p w:rsidR="00C8707C" w:rsidRDefault="00C8707C" w:rsidP="00C8707C">
      <w:pPr>
        <w:tabs>
          <w:tab w:val="left" w:pos="720"/>
        </w:tabs>
        <w:autoSpaceDE w:val="0"/>
        <w:autoSpaceDN w:val="0"/>
        <w:adjustRightInd w:val="0"/>
      </w:pPr>
      <w:r>
        <w:t>It is noted that this recommendation for monitoring is now included in the revised PI.</w:t>
      </w:r>
    </w:p>
    <w:p w:rsidR="00C8707C" w:rsidRDefault="00C8707C" w:rsidP="00C8707C">
      <w:pPr>
        <w:pStyle w:val="Heading4"/>
        <w:numPr>
          <w:ilvl w:val="2"/>
          <w:numId w:val="5"/>
        </w:numPr>
      </w:pPr>
      <w:r>
        <w:t xml:space="preserve">Renal </w:t>
      </w:r>
      <w:r w:rsidR="00492677">
        <w:t>s</w:t>
      </w:r>
      <w:r>
        <w:t>afety</w:t>
      </w:r>
    </w:p>
    <w:p w:rsidR="00C8707C" w:rsidRDefault="00C8707C" w:rsidP="00C8707C">
      <w:r>
        <w:t>In the submission and the clinical evaluation report there was no recommendation for dose adjustment in subjects with any degree of renal impairment based on the results of the PK study (</w:t>
      </w:r>
      <w:r>
        <w:rPr>
          <w:b/>
        </w:rPr>
        <w:t>AI447033</w:t>
      </w:r>
      <w:r>
        <w:t>) in normal subjects and those with end stage renal disease on dialysis. The sponsor has now provided the synopsis and brief summary of a new study (</w:t>
      </w:r>
      <w:r>
        <w:rPr>
          <w:b/>
        </w:rPr>
        <w:t>AI443110</w:t>
      </w:r>
      <w:r>
        <w:t>) of the DCV/ASV/BCV (DCV 3DAA) combination. In this study the effect of renal impairment on the PK of all 3 components was evaluated.</w:t>
      </w:r>
    </w:p>
    <w:p w:rsidR="00C8707C" w:rsidRDefault="00C8707C" w:rsidP="00C8707C">
      <w:r>
        <w:t xml:space="preserve">Study </w:t>
      </w:r>
      <w:r>
        <w:rPr>
          <w:b/>
        </w:rPr>
        <w:t>AI443110</w:t>
      </w:r>
      <w:r>
        <w:t xml:space="preserve"> was an open label, multi-dose study that assessed the PK of the DCV 3DAA FDC tablet (that is, DCV 30 mg/ASV 200 mg/ BCV 75 mg) administered BD to HCV uninfected subjects with normal renal function and various degrees of renal impairment (normal, mild moderate, severe and ESRD) for 10 to 12 days. The sponsor reports the results as showing:</w:t>
      </w:r>
    </w:p>
    <w:p w:rsidR="00C8707C" w:rsidRDefault="00C8707C" w:rsidP="00C8707C">
      <w:pPr>
        <w:rPr>
          <w:i/>
        </w:rPr>
      </w:pPr>
      <w:r>
        <w:rPr>
          <w:i/>
        </w:rPr>
        <w:t xml:space="preserve">The PK properties of ASV were studied across a total of 41 subjects with normal renal function (N = 8), mild renal impairment (N = 9), moderate renal impairment (N = 8), severe renal impairment not on haemodialysis (N = 8), and ESRD on haemodialysis (N = 8) groups. Compared with subjects with normal renal function, the </w:t>
      </w:r>
      <w:proofErr w:type="spellStart"/>
      <w:r>
        <w:rPr>
          <w:i/>
        </w:rPr>
        <w:t>Cmax</w:t>
      </w:r>
      <w:proofErr w:type="spellEnd"/>
      <w:r>
        <w:rPr>
          <w:i/>
        </w:rPr>
        <w:t xml:space="preserve"> of ASV was estimated to be 29%, 65% and 88% higher, and the AUC of ASV was estimated to be 33%, 76% and 109% higher in subjects with mild, moderate and severe renal impairment, respectively. </w:t>
      </w:r>
      <w:proofErr w:type="spellStart"/>
      <w:r>
        <w:rPr>
          <w:i/>
        </w:rPr>
        <w:t>Asunaprevir</w:t>
      </w:r>
      <w:proofErr w:type="spellEnd"/>
      <w:r>
        <w:rPr>
          <w:i/>
        </w:rPr>
        <w:t xml:space="preserve"> unbound </w:t>
      </w:r>
      <w:proofErr w:type="spellStart"/>
      <w:r>
        <w:rPr>
          <w:i/>
        </w:rPr>
        <w:t>Cmax</w:t>
      </w:r>
      <w:proofErr w:type="spellEnd"/>
      <w:r>
        <w:rPr>
          <w:i/>
        </w:rPr>
        <w:t xml:space="preserve"> was estimated to be 37%, 87% and 119% higher, and ASV unbound AUC was estimated to be 41%, 99% and 137% higher for subjects with mild, moderate and severe renal impairment, respectively, compared with subjects with normal renal function. Subjects with ESRD requiring haemodialysis had an 11% decrease in ASV </w:t>
      </w:r>
      <w:proofErr w:type="spellStart"/>
      <w:r>
        <w:rPr>
          <w:i/>
        </w:rPr>
        <w:t>Cmax</w:t>
      </w:r>
      <w:proofErr w:type="spellEnd"/>
      <w:r>
        <w:rPr>
          <w:i/>
        </w:rPr>
        <w:t xml:space="preserve"> and a 16% decrease in AUC soon after haemodialysis compared with subjects with normal renal function. </w:t>
      </w:r>
      <w:proofErr w:type="spellStart"/>
      <w:r>
        <w:rPr>
          <w:i/>
        </w:rPr>
        <w:t>Asunaprevir</w:t>
      </w:r>
      <w:proofErr w:type="spellEnd"/>
      <w:r>
        <w:rPr>
          <w:i/>
        </w:rPr>
        <w:t xml:space="preserve"> unbound </w:t>
      </w:r>
      <w:proofErr w:type="spellStart"/>
      <w:r>
        <w:rPr>
          <w:i/>
        </w:rPr>
        <w:t>Cmax</w:t>
      </w:r>
      <w:proofErr w:type="spellEnd"/>
      <w:r>
        <w:rPr>
          <w:i/>
        </w:rPr>
        <w:t xml:space="preserve"> and AUC decreased 2% and 6%, respectively, soon after haemodialysis in subjects with ESRD requiring haemodialysis compared with subjects with normal renal function.</w:t>
      </w:r>
    </w:p>
    <w:p w:rsidR="00C8707C" w:rsidRDefault="00C8707C" w:rsidP="00C8707C">
      <w:pPr>
        <w:rPr>
          <w:rFonts w:eastAsia="TimesNewRoman" w:cs="TimesNewRomanPSMT"/>
          <w:color w:val="000000"/>
        </w:rPr>
      </w:pPr>
      <w:r>
        <w:lastRenderedPageBreak/>
        <w:t>As a result of this study the sponsor is now recommending that for patients with severe renal impairment (</w:t>
      </w:r>
      <w:proofErr w:type="spellStart"/>
      <w:r>
        <w:t>CrCl</w:t>
      </w:r>
      <w:proofErr w:type="spellEnd"/>
      <w:r>
        <w:t xml:space="preserve"> less than 30 mL/min) who are not receiving haemodialysis, the recommended dose of ASV should be reduced to 100 mg once daily. No dose adjustment of ASV is recommended for those patients with mild or moderate renal impairment (</w:t>
      </w:r>
      <w:proofErr w:type="spellStart"/>
      <w:r>
        <w:t>CrCl</w:t>
      </w:r>
      <w:proofErr w:type="spellEnd"/>
      <w:r>
        <w:t xml:space="preserve"> 30 mL/min or greater) or those receiving haemodialysis</w:t>
      </w:r>
      <w:r>
        <w:rPr>
          <w:rFonts w:eastAsia="TimesNewRoman" w:cs="TimesNewRomanPSMT"/>
          <w:i/>
          <w:color w:val="000000"/>
        </w:rPr>
        <w:t>.</w:t>
      </w:r>
    </w:p>
    <w:p w:rsidR="00C8707C" w:rsidRDefault="00C8707C" w:rsidP="00C8707C">
      <w:pPr>
        <w:rPr>
          <w:rFonts w:eastAsia="TimesNewRoman" w:cs="TimesNewRomanPSMT"/>
          <w:color w:val="000000"/>
        </w:rPr>
      </w:pPr>
      <w:r>
        <w:rPr>
          <w:rFonts w:eastAsia="TimesNewRoman" w:cs="TimesNewRomanPSMT"/>
          <w:color w:val="000000"/>
        </w:rPr>
        <w:t>In light of this new study the sponsor’s recommendation for the dose reduction is supported.</w:t>
      </w:r>
    </w:p>
    <w:p w:rsidR="00C8707C" w:rsidRDefault="00C8707C" w:rsidP="00C8707C">
      <w:pPr>
        <w:pStyle w:val="Heading2"/>
        <w:numPr>
          <w:ilvl w:val="0"/>
          <w:numId w:val="5"/>
        </w:numPr>
      </w:pPr>
      <w:bookmarkStart w:id="341" w:name="_Toc431369705"/>
      <w:bookmarkStart w:id="342" w:name="_Toc438116105"/>
      <w:r>
        <w:t>Second round benefit-risk assessment</w:t>
      </w:r>
      <w:bookmarkEnd w:id="341"/>
      <w:bookmarkEnd w:id="342"/>
    </w:p>
    <w:p w:rsidR="00C8707C" w:rsidRDefault="00C8707C" w:rsidP="00C8707C">
      <w:pPr>
        <w:pStyle w:val="Heading3"/>
        <w:numPr>
          <w:ilvl w:val="1"/>
          <w:numId w:val="5"/>
        </w:numPr>
      </w:pPr>
      <w:bookmarkStart w:id="343" w:name="_Toc401660013"/>
      <w:bookmarkStart w:id="344" w:name="_Toc290846349"/>
      <w:bookmarkStart w:id="345" w:name="_Toc272414709"/>
      <w:bookmarkStart w:id="346" w:name="_Toc431369706"/>
      <w:bookmarkStart w:id="347" w:name="_Toc438116106"/>
      <w:r>
        <w:t>Second round assessment of benefits</w:t>
      </w:r>
      <w:bookmarkEnd w:id="343"/>
      <w:bookmarkEnd w:id="344"/>
      <w:bookmarkEnd w:id="345"/>
      <w:bookmarkEnd w:id="346"/>
      <w:bookmarkEnd w:id="347"/>
    </w:p>
    <w:p w:rsidR="00C8707C" w:rsidRDefault="00C8707C" w:rsidP="00C8707C">
      <w:r>
        <w:t xml:space="preserve">No new clinical information was submitted in response to questions. Accordingly the benefits of </w:t>
      </w:r>
      <w:proofErr w:type="spellStart"/>
      <w:r>
        <w:t>asunaprevir</w:t>
      </w:r>
      <w:proofErr w:type="spellEnd"/>
      <w:r>
        <w:t xml:space="preserve"> are unchanged from those identified in the First round evaluation.</w:t>
      </w:r>
    </w:p>
    <w:p w:rsidR="00C8707C" w:rsidRDefault="00C8707C" w:rsidP="00C8707C">
      <w:pPr>
        <w:pStyle w:val="Heading3"/>
        <w:numPr>
          <w:ilvl w:val="1"/>
          <w:numId w:val="5"/>
        </w:numPr>
      </w:pPr>
      <w:bookmarkStart w:id="348" w:name="_Toc401660014"/>
      <w:bookmarkStart w:id="349" w:name="_Toc290846351"/>
      <w:bookmarkStart w:id="350" w:name="_Toc272414711"/>
      <w:bookmarkStart w:id="351" w:name="_Toc431369707"/>
      <w:bookmarkStart w:id="352" w:name="_Toc438116107"/>
      <w:r>
        <w:t>Second round assessment of benefit-risk balance</w:t>
      </w:r>
      <w:bookmarkEnd w:id="348"/>
      <w:bookmarkEnd w:id="349"/>
      <w:bookmarkEnd w:id="350"/>
      <w:bookmarkEnd w:id="351"/>
      <w:bookmarkEnd w:id="352"/>
    </w:p>
    <w:p w:rsidR="00C8707C" w:rsidRDefault="00C8707C" w:rsidP="00C8707C">
      <w:r>
        <w:t xml:space="preserve">No new clinical information was submitted in response to questions. New information was provided on the safety of </w:t>
      </w:r>
      <w:proofErr w:type="spellStart"/>
      <w:r>
        <w:t>asunaprevir</w:t>
      </w:r>
      <w:proofErr w:type="spellEnd"/>
      <w:r>
        <w:t xml:space="preserve">. After consideration of this new data the risks of </w:t>
      </w:r>
      <w:proofErr w:type="spellStart"/>
      <w:r>
        <w:t>asunaprevir</w:t>
      </w:r>
      <w:proofErr w:type="spellEnd"/>
      <w:r>
        <w:t xml:space="preserve"> are unchanged from those identified in the First round evaluation.</w:t>
      </w:r>
    </w:p>
    <w:p w:rsidR="00C8707C" w:rsidRDefault="00C8707C" w:rsidP="00C8707C">
      <w:pPr>
        <w:pStyle w:val="Heading2"/>
        <w:numPr>
          <w:ilvl w:val="0"/>
          <w:numId w:val="5"/>
        </w:numPr>
      </w:pPr>
      <w:bookmarkStart w:id="353" w:name="_Toc401660015"/>
      <w:bookmarkStart w:id="354" w:name="_Toc290846352"/>
      <w:bookmarkStart w:id="355" w:name="_Toc272414713"/>
      <w:bookmarkStart w:id="356" w:name="_Ref272160677"/>
      <w:bookmarkStart w:id="357" w:name="_Toc431369708"/>
      <w:bookmarkStart w:id="358" w:name="_Toc438116108"/>
      <w:r>
        <w:t>Second round recommendation regarding authorisation</w:t>
      </w:r>
      <w:bookmarkEnd w:id="353"/>
      <w:bookmarkEnd w:id="354"/>
      <w:bookmarkEnd w:id="355"/>
      <w:bookmarkEnd w:id="356"/>
      <w:bookmarkEnd w:id="357"/>
      <w:bookmarkEnd w:id="358"/>
    </w:p>
    <w:p w:rsidR="00C8707C" w:rsidRDefault="00C8707C" w:rsidP="00C8707C">
      <w:r>
        <w:t xml:space="preserve">Based on the review of the new information provided by the sponsor in response to the First round evaluation the recommendation is unchanged from that stated the First round evaluation, that is, </w:t>
      </w:r>
      <w:proofErr w:type="spellStart"/>
      <w:r>
        <w:t>asunaprevir</w:t>
      </w:r>
      <w:proofErr w:type="spellEnd"/>
      <w:r>
        <w:t xml:space="preserve"> is recommended for approval as requested by the sponsor:</w:t>
      </w:r>
    </w:p>
    <w:p w:rsidR="00C8707C" w:rsidRDefault="00C8707C" w:rsidP="00C8707C">
      <w:pPr>
        <w:pStyle w:val="Tabletitle"/>
      </w:pPr>
      <w:r>
        <w:t xml:space="preserve">Table 16: Recommended Regimens for </w:t>
      </w:r>
      <w:proofErr w:type="spellStart"/>
      <w:r>
        <w:t>Sunvepra</w:t>
      </w:r>
      <w:proofErr w:type="spellEnd"/>
      <w:r>
        <w:t xml:space="preserve"> 100 mg Twice Daily Combination Therapy</w:t>
      </w:r>
    </w:p>
    <w:tbl>
      <w:tblPr>
        <w:tblStyle w:val="TableTGAblue"/>
        <w:tblW w:w="4850" w:type="pct"/>
        <w:tblLook w:val="04A0" w:firstRow="1" w:lastRow="0" w:firstColumn="1" w:lastColumn="0" w:noHBand="0" w:noVBand="1"/>
      </w:tblPr>
      <w:tblGrid>
        <w:gridCol w:w="1967"/>
        <w:gridCol w:w="5087"/>
        <w:gridCol w:w="1911"/>
      </w:tblGrid>
      <w:tr w:rsidR="00C8707C" w:rsidTr="004926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97" w:type="pct"/>
            <w:hideMark/>
          </w:tcPr>
          <w:p w:rsidR="00C8707C" w:rsidRPr="000B6417" w:rsidRDefault="00C8707C" w:rsidP="00492677">
            <w:pPr>
              <w:rPr>
                <w:b w:val="0"/>
                <w:kern w:val="16"/>
                <w:lang w:eastAsia="en-AU"/>
              </w:rPr>
            </w:pPr>
            <w:r w:rsidRPr="000B6417">
              <w:rPr>
                <w:b w:val="0"/>
                <w:lang w:eastAsia="en-AU"/>
              </w:rPr>
              <w:t xml:space="preserve">HCV </w:t>
            </w:r>
            <w:proofErr w:type="spellStart"/>
            <w:r w:rsidRPr="000B6417">
              <w:rPr>
                <w:b w:val="0"/>
                <w:lang w:eastAsia="en-AU"/>
              </w:rPr>
              <w:t>Genotype</w:t>
            </w:r>
            <w:r w:rsidRPr="000B6417">
              <w:rPr>
                <w:b w:val="0"/>
                <w:vertAlign w:val="superscript"/>
                <w:lang w:eastAsia="en-AU"/>
              </w:rPr>
              <w:t>a</w:t>
            </w:r>
            <w:proofErr w:type="spellEnd"/>
          </w:p>
        </w:tc>
        <w:tc>
          <w:tcPr>
            <w:tcW w:w="2837" w:type="pct"/>
            <w:hideMark/>
          </w:tcPr>
          <w:p w:rsidR="00C8707C" w:rsidRPr="000B6417" w:rsidRDefault="00C8707C" w:rsidP="00492677">
            <w:pPr>
              <w:cnfStyle w:val="100000000000" w:firstRow="1" w:lastRow="0" w:firstColumn="0" w:lastColumn="0" w:oddVBand="0" w:evenVBand="0" w:oddHBand="0" w:evenHBand="0" w:firstRowFirstColumn="0" w:firstRowLastColumn="0" w:lastRowFirstColumn="0" w:lastRowLastColumn="0"/>
              <w:rPr>
                <w:b w:val="0"/>
                <w:kern w:val="16"/>
                <w:lang w:eastAsia="en-AU"/>
              </w:rPr>
            </w:pPr>
            <w:r w:rsidRPr="000B6417">
              <w:rPr>
                <w:b w:val="0"/>
                <w:lang w:eastAsia="en-AU"/>
              </w:rPr>
              <w:t>Treatment</w:t>
            </w:r>
          </w:p>
        </w:tc>
        <w:tc>
          <w:tcPr>
            <w:tcW w:w="1066" w:type="pct"/>
            <w:hideMark/>
          </w:tcPr>
          <w:p w:rsidR="00C8707C" w:rsidRPr="000B6417" w:rsidRDefault="00C8707C" w:rsidP="00492677">
            <w:pPr>
              <w:cnfStyle w:val="100000000000" w:firstRow="1" w:lastRow="0" w:firstColumn="0" w:lastColumn="0" w:oddVBand="0" w:evenVBand="0" w:oddHBand="0" w:evenHBand="0" w:firstRowFirstColumn="0" w:firstRowLastColumn="0" w:lastRowFirstColumn="0" w:lastRowLastColumn="0"/>
              <w:rPr>
                <w:b w:val="0"/>
                <w:kern w:val="16"/>
                <w:lang w:eastAsia="en-AU"/>
              </w:rPr>
            </w:pPr>
            <w:r w:rsidRPr="000B6417">
              <w:rPr>
                <w:b w:val="0"/>
                <w:lang w:eastAsia="en-AU"/>
              </w:rPr>
              <w:t>Duration</w:t>
            </w:r>
          </w:p>
        </w:tc>
      </w:tr>
      <w:tr w:rsidR="00C8707C" w:rsidTr="00492677">
        <w:tc>
          <w:tcPr>
            <w:cnfStyle w:val="001000000000" w:firstRow="0" w:lastRow="0" w:firstColumn="1" w:lastColumn="0" w:oddVBand="0" w:evenVBand="0" w:oddHBand="0" w:evenHBand="0" w:firstRowFirstColumn="0" w:firstRowLastColumn="0" w:lastRowFirstColumn="0" w:lastRowLastColumn="0"/>
            <w:tcW w:w="1097" w:type="pct"/>
            <w:hideMark/>
          </w:tcPr>
          <w:p w:rsidR="00C8707C" w:rsidRPr="000B6417" w:rsidRDefault="00C8707C" w:rsidP="00492677">
            <w:pPr>
              <w:rPr>
                <w:kern w:val="16"/>
                <w:lang w:eastAsia="en-AU"/>
              </w:rPr>
            </w:pPr>
            <w:r w:rsidRPr="000B6417">
              <w:rPr>
                <w:lang w:eastAsia="en-AU"/>
              </w:rPr>
              <w:t>Genotype 1b</w:t>
            </w:r>
          </w:p>
        </w:tc>
        <w:tc>
          <w:tcPr>
            <w:tcW w:w="2837" w:type="pct"/>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kern w:val="16"/>
                <w:lang w:eastAsia="en-AU"/>
              </w:rPr>
            </w:pPr>
            <w:proofErr w:type="spellStart"/>
            <w:r w:rsidRPr="000B6417">
              <w:rPr>
                <w:lang w:eastAsia="en-AU"/>
              </w:rPr>
              <w:t>Sunvepra</w:t>
            </w:r>
            <w:proofErr w:type="spellEnd"/>
            <w:r w:rsidRPr="000B6417">
              <w:rPr>
                <w:lang w:eastAsia="en-AU"/>
              </w:rPr>
              <w:t xml:space="preserve"> and </w:t>
            </w:r>
            <w:proofErr w:type="spellStart"/>
            <w:r w:rsidRPr="000B6417">
              <w:rPr>
                <w:lang w:eastAsia="en-AU"/>
              </w:rPr>
              <w:t>Daklinza</w:t>
            </w:r>
            <w:proofErr w:type="spellEnd"/>
          </w:p>
        </w:tc>
        <w:tc>
          <w:tcPr>
            <w:tcW w:w="1066" w:type="pct"/>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kern w:val="16"/>
                <w:lang w:eastAsia="en-AU"/>
              </w:rPr>
            </w:pPr>
            <w:r w:rsidRPr="000B6417">
              <w:rPr>
                <w:lang w:eastAsia="en-AU"/>
              </w:rPr>
              <w:t>24 weeks</w:t>
            </w:r>
          </w:p>
        </w:tc>
      </w:tr>
      <w:tr w:rsidR="00C8707C" w:rsidTr="00492677">
        <w:tc>
          <w:tcPr>
            <w:cnfStyle w:val="001000000000" w:firstRow="0" w:lastRow="0" w:firstColumn="1" w:lastColumn="0" w:oddVBand="0" w:evenVBand="0" w:oddHBand="0" w:evenHBand="0" w:firstRowFirstColumn="0" w:firstRowLastColumn="0" w:lastRowFirstColumn="0" w:lastRowLastColumn="0"/>
            <w:tcW w:w="1097" w:type="pct"/>
            <w:hideMark/>
          </w:tcPr>
          <w:p w:rsidR="00C8707C" w:rsidRPr="000B6417" w:rsidRDefault="00C8707C" w:rsidP="00492677">
            <w:pPr>
              <w:rPr>
                <w:kern w:val="16"/>
                <w:lang w:eastAsia="en-AU"/>
              </w:rPr>
            </w:pPr>
            <w:r w:rsidRPr="000B6417">
              <w:rPr>
                <w:lang w:eastAsia="en-AU"/>
              </w:rPr>
              <w:t>Genotype 1 and 4</w:t>
            </w:r>
          </w:p>
        </w:tc>
        <w:tc>
          <w:tcPr>
            <w:tcW w:w="2837" w:type="pct"/>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kern w:val="16"/>
                <w:lang w:eastAsia="en-AU"/>
              </w:rPr>
            </w:pPr>
            <w:proofErr w:type="spellStart"/>
            <w:r w:rsidRPr="000B6417">
              <w:rPr>
                <w:lang w:eastAsia="en-AU"/>
              </w:rPr>
              <w:t>Sunvepra</w:t>
            </w:r>
            <w:proofErr w:type="spellEnd"/>
            <w:r w:rsidRPr="000B6417">
              <w:rPr>
                <w:lang w:eastAsia="en-AU"/>
              </w:rPr>
              <w:t xml:space="preserve">, </w:t>
            </w:r>
            <w:proofErr w:type="spellStart"/>
            <w:r w:rsidRPr="000B6417">
              <w:rPr>
                <w:lang w:eastAsia="en-AU"/>
              </w:rPr>
              <w:t>Daklinza</w:t>
            </w:r>
            <w:proofErr w:type="spellEnd"/>
            <w:r w:rsidRPr="000B6417">
              <w:rPr>
                <w:lang w:eastAsia="en-AU"/>
              </w:rPr>
              <w:t xml:space="preserve">, </w:t>
            </w:r>
            <w:proofErr w:type="spellStart"/>
            <w:r w:rsidRPr="000B6417">
              <w:rPr>
                <w:lang w:eastAsia="en-AU"/>
              </w:rPr>
              <w:t>peginterferon</w:t>
            </w:r>
            <w:proofErr w:type="spellEnd"/>
            <w:r w:rsidRPr="000B6417">
              <w:rPr>
                <w:lang w:eastAsia="en-AU"/>
              </w:rPr>
              <w:t xml:space="preserve"> </w:t>
            </w:r>
            <w:proofErr w:type="spellStart"/>
            <w:r w:rsidRPr="000B6417">
              <w:rPr>
                <w:lang w:eastAsia="en-AU"/>
              </w:rPr>
              <w:t>alfa</w:t>
            </w:r>
            <w:proofErr w:type="spellEnd"/>
            <w:r w:rsidRPr="000B6417">
              <w:rPr>
                <w:lang w:eastAsia="en-AU"/>
              </w:rPr>
              <w:t>, and ribavirin</w:t>
            </w:r>
          </w:p>
        </w:tc>
        <w:tc>
          <w:tcPr>
            <w:tcW w:w="1066" w:type="pct"/>
            <w:hideMark/>
          </w:tcPr>
          <w:p w:rsidR="00C8707C" w:rsidRPr="000B6417" w:rsidRDefault="00C8707C" w:rsidP="00492677">
            <w:pPr>
              <w:cnfStyle w:val="000000000000" w:firstRow="0" w:lastRow="0" w:firstColumn="0" w:lastColumn="0" w:oddVBand="0" w:evenVBand="0" w:oddHBand="0" w:evenHBand="0" w:firstRowFirstColumn="0" w:firstRowLastColumn="0" w:lastRowFirstColumn="0" w:lastRowLastColumn="0"/>
              <w:rPr>
                <w:kern w:val="16"/>
                <w:lang w:eastAsia="en-AU"/>
              </w:rPr>
            </w:pPr>
            <w:r w:rsidRPr="000B6417">
              <w:rPr>
                <w:lang w:eastAsia="en-AU"/>
              </w:rPr>
              <w:t>24 weeks</w:t>
            </w:r>
          </w:p>
        </w:tc>
      </w:tr>
    </w:tbl>
    <w:p w:rsidR="00C8707C" w:rsidRDefault="00C8707C" w:rsidP="00492677">
      <w:pPr>
        <w:pStyle w:val="TableDescription"/>
        <w:rPr>
          <w:kern w:val="16"/>
        </w:rPr>
      </w:pPr>
      <w:proofErr w:type="gramStart"/>
      <w:r>
        <w:t>a</w:t>
      </w:r>
      <w:proofErr w:type="gramEnd"/>
      <w:r>
        <w:t xml:space="preserve"> Treatment-naïve or failed prior treatment with </w:t>
      </w:r>
      <w:proofErr w:type="spellStart"/>
      <w:r>
        <w:t>peginterferon</w:t>
      </w:r>
      <w:proofErr w:type="spellEnd"/>
      <w:r>
        <w:t xml:space="preserve"> </w:t>
      </w:r>
      <w:proofErr w:type="spellStart"/>
      <w:r>
        <w:t>alfa</w:t>
      </w:r>
      <w:proofErr w:type="spellEnd"/>
      <w:r>
        <w:t>/ribavirin</w:t>
      </w:r>
    </w:p>
    <w:p w:rsidR="00C8707C" w:rsidRDefault="00C8707C" w:rsidP="00C8707C">
      <w:r>
        <w:t xml:space="preserve">This approval matches the recommended approval for </w:t>
      </w:r>
      <w:proofErr w:type="spellStart"/>
      <w:r>
        <w:t>daclatasvir</w:t>
      </w:r>
      <w:proofErr w:type="spellEnd"/>
      <w:r>
        <w:t xml:space="preserve"> (see </w:t>
      </w:r>
      <w:proofErr w:type="spellStart"/>
      <w:r>
        <w:t>AusPAR</w:t>
      </w:r>
      <w:proofErr w:type="spellEnd"/>
      <w:r>
        <w:t xml:space="preserve"> for </w:t>
      </w:r>
      <w:proofErr w:type="spellStart"/>
      <w:r>
        <w:t>Daklinza</w:t>
      </w:r>
      <w:proofErr w:type="spellEnd"/>
      <w:r>
        <w:t>).</w:t>
      </w:r>
    </w:p>
    <w:p w:rsidR="00C8707C" w:rsidRDefault="00C8707C" w:rsidP="00C8707C">
      <w:pPr>
        <w:pStyle w:val="Heading2"/>
        <w:numPr>
          <w:ilvl w:val="0"/>
          <w:numId w:val="5"/>
        </w:numPr>
      </w:pPr>
      <w:bookmarkStart w:id="359" w:name="_Toc431369709"/>
      <w:bookmarkStart w:id="360" w:name="_Toc438116109"/>
      <w:r>
        <w:t>References</w:t>
      </w:r>
      <w:bookmarkEnd w:id="359"/>
      <w:bookmarkEnd w:id="360"/>
    </w:p>
    <w:p w:rsidR="00C8707C" w:rsidRPr="009819E1" w:rsidRDefault="00C8707C" w:rsidP="00C8707C">
      <w:pPr>
        <w:pStyle w:val="Numberbullet0"/>
      </w:pPr>
      <w:r w:rsidRPr="009819E1">
        <w:t>Dore G.J., Law M., MacDonald M. et al.</w:t>
      </w:r>
      <w:r>
        <w:t xml:space="preserve"> </w:t>
      </w:r>
      <w:r w:rsidRPr="009819E1">
        <w:t>Epidemiology of Hepatitis C virus infection in Australia. Journal of Clinical Virology 2003; 26(2):171-84.</w:t>
      </w:r>
    </w:p>
    <w:p w:rsidR="00C8707C" w:rsidRPr="009819E1" w:rsidRDefault="00C8707C" w:rsidP="00C8707C">
      <w:pPr>
        <w:pStyle w:val="Numberbullet0"/>
      </w:pPr>
      <w:proofErr w:type="spellStart"/>
      <w:r w:rsidRPr="009819E1">
        <w:t>Kaba</w:t>
      </w:r>
      <w:proofErr w:type="spellEnd"/>
      <w:r w:rsidRPr="009819E1">
        <w:t xml:space="preserve"> S., Dutta U, </w:t>
      </w:r>
      <w:proofErr w:type="spellStart"/>
      <w:r w:rsidRPr="009819E1">
        <w:t>Byth</w:t>
      </w:r>
      <w:proofErr w:type="spellEnd"/>
      <w:r w:rsidRPr="009819E1">
        <w:t xml:space="preserve"> K., Crewe E. B., Khan M, H., Coverdale S. A., Lin R., </w:t>
      </w:r>
      <w:proofErr w:type="spellStart"/>
      <w:r w:rsidRPr="009819E1">
        <w:t>Liddle</w:t>
      </w:r>
      <w:proofErr w:type="spellEnd"/>
      <w:r w:rsidRPr="009819E1">
        <w:t xml:space="preserve"> C., and Farrell C. Molecular Epidemiology of Hepatitis C in Australia. Journal of </w:t>
      </w:r>
      <w:proofErr w:type="spellStart"/>
      <w:r w:rsidRPr="009819E1">
        <w:t>Gastroepidemiology</w:t>
      </w:r>
      <w:proofErr w:type="spellEnd"/>
      <w:r w:rsidRPr="009819E1">
        <w:t xml:space="preserve"> and </w:t>
      </w:r>
      <w:proofErr w:type="spellStart"/>
      <w:r w:rsidRPr="009819E1">
        <w:t>Hepatology</w:t>
      </w:r>
      <w:proofErr w:type="spellEnd"/>
      <w:r w:rsidRPr="009819E1">
        <w:t xml:space="preserve"> 1998; 13: 914-920</w:t>
      </w:r>
    </w:p>
    <w:p w:rsidR="00C8707C" w:rsidRPr="009819E1" w:rsidRDefault="00C8707C" w:rsidP="00C8707C">
      <w:pPr>
        <w:pStyle w:val="Numberbullet0"/>
      </w:pPr>
      <w:r w:rsidRPr="009819E1">
        <w:lastRenderedPageBreak/>
        <w:t>Chan J. Hepatitis C. Disease-a-Month; 2014; 60: 201-212.</w:t>
      </w:r>
    </w:p>
    <w:p w:rsidR="00C8707C" w:rsidRPr="009819E1" w:rsidRDefault="00C8707C" w:rsidP="00C8707C">
      <w:pPr>
        <w:pStyle w:val="Numberbullet0"/>
      </w:pPr>
      <w:proofErr w:type="spellStart"/>
      <w:r w:rsidRPr="009819E1">
        <w:t>Kohli</w:t>
      </w:r>
      <w:proofErr w:type="spellEnd"/>
      <w:r w:rsidRPr="009819E1">
        <w:t xml:space="preserve"> A, Shaffer A, Sherman </w:t>
      </w:r>
      <w:proofErr w:type="gramStart"/>
      <w:r w:rsidRPr="009819E1">
        <w:t>A</w:t>
      </w:r>
      <w:proofErr w:type="gramEnd"/>
      <w:r w:rsidRPr="009819E1">
        <w:t xml:space="preserve"> et al. Treatment of Hepatitis C - A Systematic Review. JAMA. 2014. 312: (6): 631-640.</w:t>
      </w:r>
    </w:p>
    <w:p w:rsidR="00C8707C" w:rsidRPr="009819E1" w:rsidRDefault="00C8707C" w:rsidP="00C8707C">
      <w:pPr>
        <w:pStyle w:val="Numberbullet0"/>
      </w:pPr>
      <w:r w:rsidRPr="009819E1">
        <w:t xml:space="preserve">European Medicines Agency. Pharmacokinetic studies in man. 1987. Available from: </w:t>
      </w:r>
      <w:hyperlink r:id="rId17" w:anchor="clinical" w:history="1">
        <w:r w:rsidRPr="009819E1">
          <w:rPr>
            <w:rStyle w:val="Hyperlink"/>
          </w:rPr>
          <w:t>http://www.tga.gov.au/industry/pm-euguidelines-adopted-clinical.htm#clinical</w:t>
        </w:r>
      </w:hyperlink>
    </w:p>
    <w:p w:rsidR="00C8707C" w:rsidRPr="009819E1" w:rsidRDefault="00C8707C" w:rsidP="00C8707C">
      <w:pPr>
        <w:pStyle w:val="Numberbullet0"/>
      </w:pPr>
      <w:r w:rsidRPr="009819E1">
        <w:t xml:space="preserve">European Medicines Agency. Note for Guidance on the Evaluation of the Pharmacokinetics of Medicinal Products in Patients with Impaired Renal Function (CHMP/EWP/225/02); 2004. Available from: </w:t>
      </w:r>
      <w:hyperlink r:id="rId18" w:anchor="clinical" w:history="1">
        <w:r w:rsidRPr="009819E1">
          <w:rPr>
            <w:rStyle w:val="Hyperlink"/>
          </w:rPr>
          <w:t>http://www.tga.gov.au/industry/pm-euguidelines-adopted-clinical.htm#clinical</w:t>
        </w:r>
      </w:hyperlink>
    </w:p>
    <w:p w:rsidR="00C8707C" w:rsidRPr="009819E1" w:rsidRDefault="00C8707C" w:rsidP="00C8707C">
      <w:pPr>
        <w:pStyle w:val="Numberbullet0"/>
      </w:pPr>
      <w:r w:rsidRPr="009819E1">
        <w:t xml:space="preserve">European Medicines Agency. Concept paper on the need for revision of the Note for guidance on the evaluation of the pharmacokinetics of medicinal products in patients with impaired renal function (EMA/CHMP/203926/2012); 2012 Available from: </w:t>
      </w:r>
      <w:hyperlink r:id="rId19" w:anchor="clinical" w:history="1">
        <w:r w:rsidRPr="009819E1">
          <w:rPr>
            <w:rStyle w:val="Hyperlink"/>
          </w:rPr>
          <w:t>http://www.tga.gov.au/industry/pm-euguidelines-adopted-clinical.htm#clinical</w:t>
        </w:r>
      </w:hyperlink>
    </w:p>
    <w:p w:rsidR="00C8707C" w:rsidRPr="009819E1" w:rsidRDefault="00C8707C" w:rsidP="00C8707C">
      <w:pPr>
        <w:pStyle w:val="Numberbullet0"/>
      </w:pPr>
      <w:r w:rsidRPr="009819E1">
        <w:t xml:space="preserve">European Medicines Agency. Guideline on the evaluation of the pharmacokinetics of medicinal products in patients with impaired hepatic function (CPMP/EWP/2339/02). 2005. Available from: </w:t>
      </w:r>
      <w:hyperlink r:id="rId20" w:anchor="clinical" w:history="1">
        <w:r w:rsidRPr="009819E1">
          <w:rPr>
            <w:rStyle w:val="Hyperlink"/>
          </w:rPr>
          <w:t>http://www.tga.gov.au/industry/pm-euguidelines-adopted-clinical.htm#clinical</w:t>
        </w:r>
      </w:hyperlink>
    </w:p>
    <w:p w:rsidR="00C8707C" w:rsidRPr="009819E1" w:rsidRDefault="00C8707C" w:rsidP="00C8707C">
      <w:pPr>
        <w:pStyle w:val="Numberbullet0"/>
      </w:pPr>
      <w:r w:rsidRPr="009819E1">
        <w:t xml:space="preserve">European Medicines Agency. Guideline on the Investigation of Drug Interactions (CPMP/EWP/560/95/Rev. 1 Corr.) 2012. Available from: </w:t>
      </w:r>
      <w:hyperlink r:id="rId21" w:anchor="clinical" w:history="1">
        <w:r w:rsidRPr="009819E1">
          <w:rPr>
            <w:rStyle w:val="Hyperlink"/>
          </w:rPr>
          <w:t>http://www.tga.gov.au/industry/pm-euguidelines-adopted-clinical.htm#clinical</w:t>
        </w:r>
      </w:hyperlink>
    </w:p>
    <w:p w:rsidR="00C8707C" w:rsidRPr="009819E1" w:rsidRDefault="00C8707C" w:rsidP="00C8707C">
      <w:pPr>
        <w:pStyle w:val="Numberbullet0"/>
      </w:pPr>
      <w:r w:rsidRPr="009819E1">
        <w:t>European Medicines Agency. Note for Guidance on Clinical Evaluation of QT/</w:t>
      </w:r>
      <w:proofErr w:type="spellStart"/>
      <w:r w:rsidRPr="009819E1">
        <w:t>QTc</w:t>
      </w:r>
      <w:proofErr w:type="spellEnd"/>
      <w:r w:rsidRPr="009819E1">
        <w:t xml:space="preserve"> Interval Prolongation and </w:t>
      </w:r>
      <w:proofErr w:type="spellStart"/>
      <w:r w:rsidRPr="009819E1">
        <w:t>Proarrhythmic</w:t>
      </w:r>
      <w:proofErr w:type="spellEnd"/>
      <w:r w:rsidRPr="009819E1">
        <w:t xml:space="preserve"> Potential for Non-Antiarrhythmic Drugs (CHMP/ICH/2/04); 2005. Available from: </w:t>
      </w:r>
      <w:hyperlink r:id="rId22" w:anchor="clinical" w:history="1">
        <w:r w:rsidRPr="009819E1">
          <w:rPr>
            <w:rStyle w:val="Hyperlink"/>
          </w:rPr>
          <w:t>http://www.tga.gov.au/industry/pm-euguidelines-adopted-clinical.htm#clinical</w:t>
        </w:r>
      </w:hyperlink>
    </w:p>
    <w:p w:rsidR="00C8707C" w:rsidRPr="009819E1" w:rsidRDefault="00C8707C" w:rsidP="00C8707C">
      <w:pPr>
        <w:pStyle w:val="Numberbullet0"/>
      </w:pPr>
      <w:r w:rsidRPr="009819E1">
        <w:t xml:space="preserve">European Medicines Agency. Guideline on the clinical evaluation of direct acting antiviral agents intended for treatment of chronic hepatitis C (EMEA/CHMP/EWP/30039/2008). Available from: </w:t>
      </w:r>
      <w:hyperlink r:id="rId23" w:anchor="clinical" w:history="1">
        <w:r w:rsidRPr="009819E1">
          <w:rPr>
            <w:rStyle w:val="Hyperlink"/>
          </w:rPr>
          <w:t>http://www.tga.gov.au/industry/pm-euguidelines-adopted-clinical.htm#clinical</w:t>
        </w:r>
      </w:hyperlink>
    </w:p>
    <w:p w:rsidR="00C8707C" w:rsidRPr="009819E1" w:rsidRDefault="00C8707C" w:rsidP="00C8707C">
      <w:pPr>
        <w:pStyle w:val="Numberbullet0"/>
      </w:pPr>
      <w:r w:rsidRPr="009819E1">
        <w:t>United States Food and Drug Administration. Guidance for Industry Chronic Hepatitis C Virus Infection: Developing Direct-Acting Antiviral Drugs for Treatment. Draft October 2013. Available from: http://www.fda.gov/downloads/drugs/guidancecomplianceregulatoryinformation/guidances/ucm225333.pdf</w:t>
      </w:r>
    </w:p>
    <w:p w:rsidR="00E936E3" w:rsidRDefault="00C8707C" w:rsidP="005517FC">
      <w:pPr>
        <w:pStyle w:val="Numberbullet0"/>
        <w:rPr>
          <w:lang w:eastAsia="ja-JP"/>
        </w:rPr>
      </w:pPr>
      <w:proofErr w:type="spellStart"/>
      <w:r w:rsidRPr="009819E1">
        <w:t>Hadziyannis</w:t>
      </w:r>
      <w:proofErr w:type="spellEnd"/>
      <w:r w:rsidRPr="009819E1">
        <w:t xml:space="preserve"> SJ, </w:t>
      </w:r>
      <w:proofErr w:type="spellStart"/>
      <w:r w:rsidRPr="009819E1">
        <w:t>Sette</w:t>
      </w:r>
      <w:proofErr w:type="spellEnd"/>
      <w:r w:rsidRPr="009819E1">
        <w:t xml:space="preserve"> H, Morgan TR, et al. Peginterferon-alpha2a and ribavirin combination therapy in chronic hepatitis C: a randomized study of treatment duration and ribavirin dose. Ann Intern Med. 2004; 140(5):346-55.</w:t>
      </w:r>
    </w:p>
    <w:p w:rsidR="008D770F" w:rsidRPr="00AE01C2" w:rsidRDefault="008D770F" w:rsidP="008B5A3E">
      <w:pPr>
        <w:rPr>
          <w:lang w:eastAsia="ja-JP"/>
        </w:rPr>
      </w:pPr>
    </w:p>
    <w:p w:rsidR="003D1E62" w:rsidRPr="001D043B" w:rsidRDefault="008E7846" w:rsidP="002666AC">
      <w:pPr>
        <w:sectPr w:rsidR="003D1E62" w:rsidRPr="001D043B" w:rsidSect="008D770F">
          <w:headerReference w:type="even" r:id="rId24"/>
          <w:headerReference w:type="default" r:id="rId25"/>
          <w:headerReference w:type="first" r:id="rId26"/>
          <w:footerReference w:type="first" r:id="rId27"/>
          <w:pgSz w:w="11906" w:h="16838" w:code="9"/>
          <w:pgMar w:top="1440" w:right="1440" w:bottom="1440" w:left="1440" w:header="907" w:footer="216" w:gutter="0"/>
          <w:cols w:space="708"/>
          <w:docGrid w:linePitch="360"/>
        </w:sectPr>
      </w:pPr>
      <w:r>
        <w:br w:type="page"/>
      </w: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B3567E" w:rsidRPr="00487162" w:rsidTr="00C52DE9">
        <w:trPr>
          <w:trHeight w:hRule="exact" w:val="564"/>
        </w:trPr>
        <w:tc>
          <w:tcPr>
            <w:tcW w:w="9175" w:type="dxa"/>
          </w:tcPr>
          <w:p w:rsidR="00B3567E" w:rsidRPr="00487162" w:rsidRDefault="00B3567E" w:rsidP="00C52DE9">
            <w:pPr>
              <w:pStyle w:val="TGASignoff"/>
            </w:pPr>
            <w:r w:rsidRPr="00487162">
              <w:lastRenderedPageBreak/>
              <w:t>Therapeutic Goods Administration</w:t>
            </w:r>
          </w:p>
        </w:tc>
      </w:tr>
      <w:tr w:rsidR="00B3567E" w:rsidRPr="00487162" w:rsidTr="00C52DE9">
        <w:trPr>
          <w:trHeight w:val="1221"/>
        </w:trPr>
        <w:tc>
          <w:tcPr>
            <w:tcW w:w="9175" w:type="dxa"/>
            <w:tcMar>
              <w:top w:w="28" w:type="dxa"/>
            </w:tcMar>
          </w:tcPr>
          <w:p w:rsidR="00B3567E" w:rsidRPr="00487162" w:rsidRDefault="00B3567E" w:rsidP="00C52DE9">
            <w:pPr>
              <w:pStyle w:val="Address"/>
            </w:pPr>
            <w:r w:rsidRPr="00487162">
              <w:t>PO Box 100 Woden ACT 2606 Australia</w:t>
            </w:r>
          </w:p>
          <w:p w:rsidR="00B3567E" w:rsidRPr="00487162" w:rsidRDefault="00B3567E" w:rsidP="00C52DE9">
            <w:pPr>
              <w:pStyle w:val="Address"/>
            </w:pPr>
            <w:r w:rsidRPr="00487162">
              <w:t xml:space="preserve">Email: </w:t>
            </w:r>
            <w:hyperlink r:id="rId28" w:history="1">
              <w:r w:rsidRPr="008D770F">
                <w:rPr>
                  <w:rStyle w:val="Hyperlink"/>
                </w:rPr>
                <w:t>info@tga.gov.au</w:t>
              </w:r>
            </w:hyperlink>
            <w:r w:rsidRPr="00487162">
              <w:t xml:space="preserve">  Phone: 1800 020 653  Fax: 02 6232 8605</w:t>
            </w:r>
          </w:p>
          <w:p w:rsidR="00B3567E" w:rsidRPr="008D770F" w:rsidRDefault="002C4CAD" w:rsidP="00C52DE9">
            <w:pPr>
              <w:pStyle w:val="Address"/>
              <w:spacing w:line="260" w:lineRule="atLeast"/>
              <w:rPr>
                <w:b/>
                <w:color w:val="0000FF"/>
                <w:u w:val="single"/>
              </w:rPr>
            </w:pPr>
            <w:hyperlink r:id="rId29" w:history="1">
              <w:r w:rsidR="00E979F4" w:rsidRPr="00FE02B1">
                <w:rPr>
                  <w:rStyle w:val="Hyperlink"/>
                  <w:b/>
                </w:rPr>
                <w:t>https://www.tga.gov.au</w:t>
              </w:r>
            </w:hyperlink>
          </w:p>
        </w:tc>
      </w:tr>
    </w:tbl>
    <w:p w:rsidR="00774E1D" w:rsidRPr="008A5E0B" w:rsidRDefault="00774E1D" w:rsidP="008A5E0B"/>
    <w:sectPr w:rsidR="00774E1D" w:rsidRPr="008A5E0B" w:rsidSect="00B3567E">
      <w:headerReference w:type="even" r:id="rId30"/>
      <w:headerReference w:type="default" r:id="rId31"/>
      <w:footerReference w:type="default" r:id="rId32"/>
      <w:headerReference w:type="first" r:id="rId33"/>
      <w:footerReference w:type="first" r:id="rId34"/>
      <w:pgSz w:w="11906" w:h="16838" w:code="9"/>
      <w:pgMar w:top="13609" w:right="1701" w:bottom="709" w:left="1701" w:header="907" w:footer="5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CAD" w:rsidRDefault="002C4CAD" w:rsidP="00C40A36">
      <w:pPr>
        <w:spacing w:after="0"/>
      </w:pPr>
      <w:r>
        <w:separator/>
      </w:r>
    </w:p>
  </w:endnote>
  <w:endnote w:type="continuationSeparator" w:id="0">
    <w:p w:rsidR="002C4CAD" w:rsidRDefault="002C4CAD"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797"/>
      <w:gridCol w:w="1064"/>
    </w:tblGrid>
    <w:tr w:rsidR="002C4CAD" w:rsidRPr="00487162" w:rsidTr="00C8707C">
      <w:trPr>
        <w:trHeight w:val="269"/>
      </w:trPr>
      <w:tc>
        <w:tcPr>
          <w:tcW w:w="7797" w:type="dxa"/>
          <w:tcMar>
            <w:top w:w="142" w:type="dxa"/>
            <w:bottom w:w="0" w:type="dxa"/>
          </w:tcMar>
        </w:tcPr>
        <w:p w:rsidR="002C4CAD" w:rsidRPr="00487162" w:rsidRDefault="002C4CAD" w:rsidP="00C137CE">
          <w:pPr>
            <w:pStyle w:val="Footer"/>
          </w:pPr>
          <w:r w:rsidRPr="009819E1">
            <w:t xml:space="preserve">Submission </w:t>
          </w:r>
          <w:r w:rsidRPr="009819E1">
            <w:rPr>
              <w:rFonts w:cs="Arial"/>
              <w:szCs w:val="17"/>
            </w:rPr>
            <w:t xml:space="preserve">PM-2014-00648-1-2 </w:t>
          </w:r>
          <w:r w:rsidRPr="009819E1">
            <w:rPr>
              <w:szCs w:val="17"/>
            </w:rPr>
            <w:t xml:space="preserve">Extract from the Clinical Evaluation Report for </w:t>
          </w:r>
          <w:proofErr w:type="spellStart"/>
          <w:r>
            <w:rPr>
              <w:rFonts w:cs="Arial"/>
              <w:szCs w:val="17"/>
            </w:rPr>
            <w:t>Sunvepra</w:t>
          </w:r>
          <w:proofErr w:type="spellEnd"/>
        </w:p>
      </w:tc>
      <w:tc>
        <w:tcPr>
          <w:tcW w:w="1064" w:type="dxa"/>
          <w:tcMar>
            <w:top w:w="142" w:type="dxa"/>
            <w:bottom w:w="0" w:type="dxa"/>
          </w:tcMar>
        </w:tcPr>
        <w:p w:rsidR="002C4CAD" w:rsidRPr="00981D66" w:rsidRDefault="002C4CAD" w:rsidP="00D855D4">
          <w:pPr>
            <w:pStyle w:val="Footer"/>
            <w:jc w:val="right"/>
          </w:pPr>
          <w:r w:rsidRPr="00981D66">
            <w:t xml:space="preserve">Page </w:t>
          </w:r>
          <w:r w:rsidRPr="00981D66">
            <w:fldChar w:fldCharType="begin"/>
          </w:r>
          <w:r w:rsidRPr="00981D66">
            <w:instrText xml:space="preserve"> PAGE  \* Arabic  \* MERGEFORMAT </w:instrText>
          </w:r>
          <w:r w:rsidRPr="00981D66">
            <w:fldChar w:fldCharType="separate"/>
          </w:r>
          <w:r w:rsidR="009232B8">
            <w:rPr>
              <w:noProof/>
            </w:rPr>
            <w:t>2</w:t>
          </w:r>
          <w:r w:rsidRPr="00981D66">
            <w:fldChar w:fldCharType="end"/>
          </w:r>
          <w:r w:rsidRPr="00981D66">
            <w:t xml:space="preserve"> of </w:t>
          </w:r>
          <w:fldSimple w:instr=" NUMPAGES  \* Arabic  \* MERGEFORMAT ">
            <w:r w:rsidR="009232B8">
              <w:rPr>
                <w:noProof/>
              </w:rPr>
              <w:t>58</w:t>
            </w:r>
          </w:fldSimple>
        </w:p>
      </w:tc>
    </w:tr>
  </w:tbl>
  <w:p w:rsidR="002C4CAD" w:rsidRDefault="002C4CAD" w:rsidP="004379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2C4CAD" w:rsidRPr="00487162" w:rsidTr="00E45619">
      <w:trPr>
        <w:trHeight w:val="269"/>
      </w:trPr>
      <w:tc>
        <w:tcPr>
          <w:tcW w:w="4519" w:type="dxa"/>
          <w:tcBorders>
            <w:top w:val="single" w:sz="4" w:space="0" w:color="auto"/>
          </w:tcBorders>
          <w:tcMar>
            <w:top w:w="142" w:type="dxa"/>
            <w:bottom w:w="0" w:type="dxa"/>
          </w:tcMar>
        </w:tcPr>
        <w:p w:rsidR="002C4CAD" w:rsidRPr="00487162" w:rsidRDefault="002C4CAD" w:rsidP="00FE1DEE">
          <w:pPr>
            <w:pStyle w:val="Footer"/>
          </w:pPr>
          <w:r w:rsidRPr="00487162">
            <w:t>Document title, Part #, Section # - Section title</w:t>
          </w:r>
        </w:p>
        <w:p w:rsidR="002C4CAD" w:rsidRPr="00487162" w:rsidRDefault="002C4CAD" w:rsidP="00FE1DEE">
          <w:pPr>
            <w:pStyle w:val="Footer"/>
          </w:pPr>
          <w:r w:rsidRPr="00487162">
            <w:t>V1.0 October 2010</w:t>
          </w:r>
        </w:p>
      </w:tc>
      <w:tc>
        <w:tcPr>
          <w:tcW w:w="4342" w:type="dxa"/>
          <w:tcBorders>
            <w:top w:val="single" w:sz="4" w:space="0" w:color="auto"/>
          </w:tcBorders>
          <w:tcMar>
            <w:top w:w="142" w:type="dxa"/>
            <w:bottom w:w="0" w:type="dxa"/>
          </w:tcMar>
        </w:tcPr>
        <w:p w:rsidR="002C4CAD" w:rsidRPr="00487162" w:rsidRDefault="002C4CAD"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55</w:t>
            </w:r>
          </w:fldSimple>
        </w:p>
      </w:tc>
    </w:tr>
  </w:tbl>
  <w:p w:rsidR="002C4CAD" w:rsidRDefault="002C4C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CAD" w:rsidRDefault="002C4CAD" w:rsidP="008E7846">
    <w:pPr>
      <w:pStyle w:val="Note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2C4CAD" w:rsidTr="0010601F">
      <w:trPr>
        <w:trHeight w:val="108"/>
      </w:trPr>
      <w:tc>
        <w:tcPr>
          <w:tcW w:w="8875" w:type="dxa"/>
          <w:gridSpan w:val="2"/>
          <w:tcBorders>
            <w:bottom w:val="single" w:sz="4" w:space="0" w:color="auto"/>
          </w:tcBorders>
          <w:tcMar>
            <w:right w:w="284" w:type="dxa"/>
          </w:tcMar>
        </w:tcPr>
        <w:p w:rsidR="002C4CAD" w:rsidRDefault="002C4CAD" w:rsidP="006E08B3">
          <w:pPr>
            <w:pStyle w:val="Heading3"/>
          </w:pPr>
          <w:r>
            <w:t>Copyright</w:t>
          </w:r>
        </w:p>
        <w:p w:rsidR="002C4CAD" w:rsidRDefault="002C4CAD" w:rsidP="006E08B3">
          <w:r>
            <w:rPr>
              <w:rFonts w:cs="Arial"/>
            </w:rPr>
            <w:t>©</w:t>
          </w:r>
          <w:r>
            <w:t xml:space="preserve"> Commonwealth of Australia [add year]</w:t>
          </w:r>
        </w:p>
        <w:p w:rsidR="002C4CAD" w:rsidRDefault="002C4CAD" w:rsidP="006E08B3"/>
        <w:p w:rsidR="002C4CAD" w:rsidRDefault="002C4CAD"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2C4CAD" w:rsidRDefault="002C4CAD" w:rsidP="006E08B3"/>
        <w:p w:rsidR="002C4CAD" w:rsidRDefault="002C4CAD" w:rsidP="006E08B3">
          <w:pPr>
            <w:pStyle w:val="Heading3"/>
          </w:pPr>
          <w:r>
            <w:t>Confidentiality</w:t>
          </w:r>
        </w:p>
        <w:p w:rsidR="002C4CAD" w:rsidRDefault="002C4CAD"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2C4CAD" w:rsidRDefault="002C4CAD" w:rsidP="006E08B3"/>
        <w:p w:rsidR="002C4CAD" w:rsidRDefault="002C4CAD" w:rsidP="006E08B3">
          <w:r>
            <w:t>For submission made by individuals, all personal details, other than your name, will be removed from your submission before it is published on the TGA’s Internet site.</w:t>
          </w:r>
        </w:p>
        <w:p w:rsidR="002C4CAD" w:rsidRDefault="002C4CAD" w:rsidP="006E08B3"/>
        <w:p w:rsidR="002C4CAD" w:rsidRDefault="002C4CAD"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2C4CAD" w:rsidTr="0010601F">
      <w:trPr>
        <w:trHeight w:val="417"/>
      </w:trPr>
      <w:tc>
        <w:tcPr>
          <w:tcW w:w="4519" w:type="dxa"/>
          <w:tcBorders>
            <w:top w:val="single" w:sz="4" w:space="0" w:color="auto"/>
          </w:tcBorders>
          <w:tcMar>
            <w:top w:w="142" w:type="dxa"/>
            <w:bottom w:w="0" w:type="dxa"/>
          </w:tcMar>
        </w:tcPr>
        <w:p w:rsidR="002C4CAD" w:rsidRDefault="002C4CAD" w:rsidP="006E08B3">
          <w:r>
            <w:t>Document title, Part #, Section # - Section title</w:t>
          </w:r>
        </w:p>
        <w:p w:rsidR="002C4CAD" w:rsidRDefault="002C4CAD" w:rsidP="006E08B3">
          <w:r>
            <w:t>V1.0 October 2010</w:t>
          </w:r>
        </w:p>
      </w:tc>
      <w:tc>
        <w:tcPr>
          <w:tcW w:w="4356" w:type="dxa"/>
          <w:tcBorders>
            <w:top w:val="single" w:sz="4" w:space="0" w:color="auto"/>
          </w:tcBorders>
          <w:tcMar>
            <w:top w:w="142" w:type="dxa"/>
            <w:bottom w:w="0" w:type="dxa"/>
          </w:tcMar>
        </w:tcPr>
        <w:p w:rsidR="002C4CAD" w:rsidRDefault="002C4CAD"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55</w:t>
            </w:r>
          </w:fldSimple>
          <w:r>
            <w:t xml:space="preserve">  </w:t>
          </w:r>
        </w:p>
      </w:tc>
    </w:tr>
  </w:tbl>
  <w:p w:rsidR="002C4CAD" w:rsidRDefault="002C4CA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CAD" w:rsidRDefault="002C4CAD" w:rsidP="00C40A36">
      <w:pPr>
        <w:spacing w:after="0"/>
      </w:pPr>
      <w:r>
        <w:separator/>
      </w:r>
    </w:p>
  </w:footnote>
  <w:footnote w:type="continuationSeparator" w:id="0">
    <w:p w:rsidR="002C4CAD" w:rsidRDefault="002C4CAD" w:rsidP="00C40A36">
      <w:pPr>
        <w:spacing w:after="0"/>
      </w:pPr>
      <w:r>
        <w:continuationSeparator/>
      </w:r>
    </w:p>
  </w:footnote>
  <w:footnote w:id="1">
    <w:p w:rsidR="002C4CAD" w:rsidRPr="00D72688" w:rsidRDefault="002C4CAD" w:rsidP="00C8707C">
      <w:pPr>
        <w:tabs>
          <w:tab w:val="left" w:pos="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rPr>
          <w:sz w:val="18"/>
          <w:szCs w:val="18"/>
        </w:rPr>
      </w:pPr>
      <w:r w:rsidRPr="00D72688">
        <w:rPr>
          <w:rStyle w:val="FootnoteReference"/>
          <w:sz w:val="18"/>
          <w:szCs w:val="18"/>
        </w:rPr>
        <w:footnoteRef/>
      </w:r>
      <w:r w:rsidRPr="00D72688">
        <w:rPr>
          <w:sz w:val="18"/>
          <w:szCs w:val="18"/>
        </w:rPr>
        <w:t xml:space="preserve"> Dore G.J., Law M., MacDonald M. et al.  </w:t>
      </w:r>
      <w:proofErr w:type="gramStart"/>
      <w:r w:rsidRPr="00D72688">
        <w:rPr>
          <w:sz w:val="18"/>
          <w:szCs w:val="18"/>
        </w:rPr>
        <w:t>Epidemiology of Hepatitis C virus infection in Australia.</w:t>
      </w:r>
      <w:proofErr w:type="gramEnd"/>
      <w:r w:rsidRPr="00D72688">
        <w:rPr>
          <w:sz w:val="18"/>
          <w:szCs w:val="18"/>
        </w:rPr>
        <w:t xml:space="preserve"> </w:t>
      </w:r>
      <w:r w:rsidRPr="00D72688">
        <w:rPr>
          <w:rStyle w:val="Emphasis"/>
          <w:sz w:val="18"/>
          <w:szCs w:val="18"/>
        </w:rPr>
        <w:t>Journal of Clinical Virology</w:t>
      </w:r>
      <w:r w:rsidRPr="00D72688">
        <w:rPr>
          <w:b/>
          <w:sz w:val="18"/>
          <w:szCs w:val="18"/>
        </w:rPr>
        <w:t xml:space="preserve"> </w:t>
      </w:r>
      <w:r w:rsidRPr="00D72688">
        <w:rPr>
          <w:sz w:val="18"/>
          <w:szCs w:val="18"/>
        </w:rPr>
        <w:t>2003; 26(2):171-84.</w:t>
      </w:r>
    </w:p>
  </w:footnote>
  <w:footnote w:id="2">
    <w:p w:rsidR="002C4CAD" w:rsidRPr="00D72688" w:rsidRDefault="002C4CAD" w:rsidP="00C8707C">
      <w:pPr>
        <w:tabs>
          <w:tab w:val="left" w:pos="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rPr>
          <w:sz w:val="18"/>
          <w:szCs w:val="18"/>
        </w:rPr>
      </w:pPr>
      <w:r w:rsidRPr="00D72688">
        <w:rPr>
          <w:rStyle w:val="FootnoteReference"/>
          <w:sz w:val="18"/>
          <w:szCs w:val="18"/>
        </w:rPr>
        <w:footnoteRef/>
      </w:r>
      <w:r w:rsidRPr="00D72688">
        <w:rPr>
          <w:sz w:val="18"/>
          <w:szCs w:val="18"/>
        </w:rPr>
        <w:t xml:space="preserve"> </w:t>
      </w:r>
      <w:proofErr w:type="spellStart"/>
      <w:r w:rsidRPr="00D72688">
        <w:rPr>
          <w:sz w:val="18"/>
          <w:szCs w:val="18"/>
        </w:rPr>
        <w:t>Kaba</w:t>
      </w:r>
      <w:proofErr w:type="spellEnd"/>
      <w:r w:rsidRPr="00D72688">
        <w:rPr>
          <w:sz w:val="18"/>
          <w:szCs w:val="18"/>
        </w:rPr>
        <w:t xml:space="preserve"> S., Dutta U, </w:t>
      </w:r>
      <w:proofErr w:type="spellStart"/>
      <w:r w:rsidRPr="00D72688">
        <w:rPr>
          <w:sz w:val="18"/>
          <w:szCs w:val="18"/>
        </w:rPr>
        <w:t>Byth</w:t>
      </w:r>
      <w:proofErr w:type="spellEnd"/>
      <w:r w:rsidRPr="00D72688">
        <w:rPr>
          <w:sz w:val="18"/>
          <w:szCs w:val="18"/>
        </w:rPr>
        <w:t xml:space="preserve"> K., Crewe E. B., Khan M, H., Coverdale S. A., Lin R., </w:t>
      </w:r>
      <w:proofErr w:type="spellStart"/>
      <w:r w:rsidRPr="00D72688">
        <w:rPr>
          <w:sz w:val="18"/>
          <w:szCs w:val="18"/>
        </w:rPr>
        <w:t>Liddle</w:t>
      </w:r>
      <w:proofErr w:type="spellEnd"/>
      <w:r w:rsidRPr="00D72688">
        <w:rPr>
          <w:sz w:val="18"/>
          <w:szCs w:val="18"/>
        </w:rPr>
        <w:t xml:space="preserve"> C., and Farrell C. Molecular Epidemiology of Hepatitis C in Australia. Journal of </w:t>
      </w:r>
      <w:proofErr w:type="spellStart"/>
      <w:r w:rsidRPr="00D72688">
        <w:rPr>
          <w:sz w:val="18"/>
          <w:szCs w:val="18"/>
        </w:rPr>
        <w:t>Gastroepidemiology</w:t>
      </w:r>
      <w:proofErr w:type="spellEnd"/>
      <w:r w:rsidRPr="00D72688">
        <w:rPr>
          <w:sz w:val="18"/>
          <w:szCs w:val="18"/>
        </w:rPr>
        <w:t xml:space="preserve"> and </w:t>
      </w:r>
      <w:proofErr w:type="spellStart"/>
      <w:r w:rsidRPr="00D72688">
        <w:rPr>
          <w:sz w:val="18"/>
          <w:szCs w:val="18"/>
        </w:rPr>
        <w:t>Hepatology</w:t>
      </w:r>
      <w:proofErr w:type="spellEnd"/>
      <w:r w:rsidRPr="00D72688">
        <w:rPr>
          <w:sz w:val="18"/>
          <w:szCs w:val="18"/>
        </w:rPr>
        <w:t xml:space="preserve"> 1998; 13: 914-920</w:t>
      </w:r>
    </w:p>
  </w:footnote>
  <w:footnote w:id="3">
    <w:p w:rsidR="002C4CAD" w:rsidRPr="00D72688" w:rsidRDefault="002C4CAD" w:rsidP="00C8707C">
      <w:pPr>
        <w:tabs>
          <w:tab w:val="left" w:pos="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rPr>
          <w:sz w:val="18"/>
          <w:szCs w:val="18"/>
        </w:rPr>
      </w:pPr>
      <w:r w:rsidRPr="00D72688">
        <w:rPr>
          <w:rStyle w:val="FootnoteReference"/>
          <w:sz w:val="18"/>
          <w:szCs w:val="18"/>
        </w:rPr>
        <w:footnoteRef/>
      </w:r>
      <w:r w:rsidRPr="00D72688">
        <w:rPr>
          <w:sz w:val="18"/>
          <w:szCs w:val="18"/>
        </w:rPr>
        <w:t xml:space="preserve"> </w:t>
      </w:r>
      <w:r w:rsidRPr="00D72688">
        <w:rPr>
          <w:rStyle w:val="Hyperlink"/>
          <w:color w:val="auto"/>
          <w:sz w:val="18"/>
          <w:szCs w:val="18"/>
          <w:u w:val="none"/>
        </w:rPr>
        <w:t xml:space="preserve">Chan J. Hepatitis C. </w:t>
      </w:r>
      <w:r w:rsidRPr="00D72688">
        <w:rPr>
          <w:rStyle w:val="Hyperlink"/>
          <w:i/>
          <w:color w:val="auto"/>
          <w:sz w:val="18"/>
          <w:szCs w:val="18"/>
          <w:u w:val="none"/>
        </w:rPr>
        <w:t>Disease-a-Month</w:t>
      </w:r>
      <w:r w:rsidRPr="00D72688">
        <w:rPr>
          <w:rStyle w:val="Hyperlink"/>
          <w:color w:val="auto"/>
          <w:sz w:val="18"/>
          <w:szCs w:val="18"/>
          <w:u w:val="none"/>
        </w:rPr>
        <w:t>; 2014; 60: 201-212.</w:t>
      </w:r>
    </w:p>
  </w:footnote>
  <w:footnote w:id="4">
    <w:p w:rsidR="002C4CAD" w:rsidRPr="00D72688" w:rsidRDefault="002C4CAD" w:rsidP="00C8707C">
      <w:pPr>
        <w:tabs>
          <w:tab w:val="left" w:pos="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rPr>
          <w:sz w:val="18"/>
          <w:szCs w:val="18"/>
        </w:rPr>
      </w:pPr>
      <w:r w:rsidRPr="00D72688">
        <w:rPr>
          <w:rStyle w:val="FootnoteReference"/>
          <w:sz w:val="18"/>
          <w:szCs w:val="18"/>
        </w:rPr>
        <w:footnoteRef/>
      </w:r>
      <w:r w:rsidRPr="00D72688">
        <w:rPr>
          <w:sz w:val="18"/>
          <w:szCs w:val="18"/>
        </w:rPr>
        <w:t xml:space="preserve"> </w:t>
      </w:r>
      <w:proofErr w:type="spellStart"/>
      <w:r w:rsidRPr="00D72688">
        <w:rPr>
          <w:sz w:val="18"/>
          <w:szCs w:val="18"/>
        </w:rPr>
        <w:t>Kohli</w:t>
      </w:r>
      <w:proofErr w:type="spellEnd"/>
      <w:r w:rsidRPr="00D72688">
        <w:rPr>
          <w:sz w:val="18"/>
          <w:szCs w:val="18"/>
        </w:rPr>
        <w:t xml:space="preserve"> A, Shaffer A, Sherman </w:t>
      </w:r>
      <w:proofErr w:type="gramStart"/>
      <w:r w:rsidRPr="00D72688">
        <w:rPr>
          <w:sz w:val="18"/>
          <w:szCs w:val="18"/>
        </w:rPr>
        <w:t>A</w:t>
      </w:r>
      <w:proofErr w:type="gramEnd"/>
      <w:r w:rsidRPr="00D72688">
        <w:rPr>
          <w:sz w:val="18"/>
          <w:szCs w:val="18"/>
        </w:rPr>
        <w:t xml:space="preserve"> et al. Treatment of Hepatitis C - A Systematic Review. </w:t>
      </w:r>
      <w:proofErr w:type="gramStart"/>
      <w:r w:rsidRPr="00D72688">
        <w:rPr>
          <w:i/>
          <w:sz w:val="18"/>
          <w:szCs w:val="18"/>
        </w:rPr>
        <w:t>JAMA</w:t>
      </w:r>
      <w:r w:rsidRPr="00D72688">
        <w:rPr>
          <w:sz w:val="18"/>
          <w:szCs w:val="18"/>
        </w:rPr>
        <w:t>.</w:t>
      </w:r>
      <w:proofErr w:type="gramEnd"/>
      <w:r w:rsidRPr="00D72688">
        <w:rPr>
          <w:sz w:val="18"/>
          <w:szCs w:val="18"/>
        </w:rPr>
        <w:t xml:space="preserve"> 2014. 312: (6): 631-640.</w:t>
      </w:r>
    </w:p>
  </w:footnote>
  <w:footnote w:id="5">
    <w:p w:rsidR="002C4CAD" w:rsidRDefault="002C4CAD" w:rsidP="00492677">
      <w:pPr>
        <w:pStyle w:val="FootnoteText"/>
      </w:pPr>
      <w:r>
        <w:rPr>
          <w:rStyle w:val="FootnoteReference"/>
        </w:rPr>
        <w:footnoteRef/>
      </w:r>
      <w:r>
        <w:t xml:space="preserve"> Sponsor clarification: ‘There were a total of 2 </w:t>
      </w:r>
      <w:proofErr w:type="spellStart"/>
      <w:r>
        <w:t>pDILI</w:t>
      </w:r>
      <w:proofErr w:type="spellEnd"/>
      <w:r>
        <w:t xml:space="preserve"> cases.’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CAD" w:rsidRDefault="002C4CAD"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CAD" w:rsidRDefault="002C4CAD">
    <w:pPr>
      <w:rPr>
        <w:noProof/>
        <w:lang w:eastAsia="en-AU"/>
      </w:rPr>
    </w:pPr>
    <w:r>
      <w:rPr>
        <w:noProof/>
        <w:lang w:eastAsia="en-AU"/>
      </w:rPr>
      <w:drawing>
        <wp:anchor distT="0" distB="0" distL="114300" distR="114300" simplePos="0" relativeHeight="251657728" behindDoc="1" locked="0" layoutInCell="1" allowOverlap="1">
          <wp:simplePos x="0" y="0"/>
          <wp:positionH relativeFrom="column">
            <wp:posOffset>-1089660</wp:posOffset>
          </wp:positionH>
          <wp:positionV relativeFrom="paragraph">
            <wp:posOffset>-585470</wp:posOffset>
          </wp:positionV>
          <wp:extent cx="7572375" cy="10706100"/>
          <wp:effectExtent l="0" t="0" r="9525" b="0"/>
          <wp:wrapNone/>
          <wp:docPr id="2"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herapeutic Goods Administr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2375" cy="10706100"/>
                  </a:xfrm>
                  <a:prstGeom prst="rect">
                    <a:avLst/>
                  </a:prstGeom>
                  <a:noFill/>
                </pic:spPr>
              </pic:pic>
            </a:graphicData>
          </a:graphic>
          <wp14:sizeRelH relativeFrom="page">
            <wp14:pctWidth>0</wp14:pctWidth>
          </wp14:sizeRelH>
          <wp14:sizeRelV relativeFrom="page">
            <wp14:pctHeight>0</wp14:pctHeight>
          </wp14:sizeRelV>
        </wp:anchor>
      </w:drawing>
    </w:r>
  </w:p>
  <w:p w:rsidR="002C4CAD" w:rsidRDefault="002C4CAD" w:rsidP="00593AD1">
    <w:pPr>
      <w:pStyle w:val="HeaderNoLine"/>
    </w:pPr>
    <w:r>
      <w:rPr>
        <w:noProof/>
        <w:lang w:eastAsia="en-AU"/>
      </w:rPr>
      <w:drawing>
        <wp:inline distT="0" distB="0" distL="0" distR="0">
          <wp:extent cx="5400675" cy="7639050"/>
          <wp:effectExtent l="0" t="0" r="9525" b="0"/>
          <wp:docPr id="1" name="Picture 1"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CAD" w:rsidRDefault="002C4CA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CAD" w:rsidRDefault="002C4CAD">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CAD" w:rsidRDefault="002C4CAD">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CAD" w:rsidRDefault="002C4CA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CAD" w:rsidRDefault="002C4CAD" w:rsidP="008D770F">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CAD" w:rsidRDefault="002C4CAD" w:rsidP="006E08B3">
    <w:r>
      <w:t>Therapeutic Goods Administration</w:t>
    </w:r>
  </w:p>
  <w:p w:rsidR="002C4CAD" w:rsidRDefault="002C4CAD"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94615"/>
    <w:multiLevelType w:val="hybridMultilevel"/>
    <w:tmpl w:val="A7561688"/>
    <w:lvl w:ilvl="0" w:tplc="75BE7E8A">
      <w:start w:val="1"/>
      <w:numFmt w:val="bullet"/>
      <w:pStyle w:val="CommentDot"/>
      <w:lvlText w:val="▪"/>
      <w:lvlJc w:val="left"/>
      <w:pPr>
        <w:ind w:left="1854" w:hanging="360"/>
      </w:pPr>
      <w:rPr>
        <w:rFonts w:ascii="Arial" w:hAnsi="Arial" w:cs="Times New Roman" w:hint="default"/>
      </w:rPr>
    </w:lvl>
    <w:lvl w:ilvl="1" w:tplc="0C090003">
      <w:start w:val="1"/>
      <w:numFmt w:val="bullet"/>
      <w:lvlText w:val="o"/>
      <w:lvlJc w:val="left"/>
      <w:pPr>
        <w:ind w:left="2574" w:hanging="360"/>
      </w:pPr>
      <w:rPr>
        <w:rFonts w:ascii="Courier New" w:hAnsi="Courier New" w:cs="Courier New" w:hint="default"/>
      </w:rPr>
    </w:lvl>
    <w:lvl w:ilvl="2" w:tplc="0C090005">
      <w:start w:val="1"/>
      <w:numFmt w:val="bullet"/>
      <w:lvlText w:val=""/>
      <w:lvlJc w:val="left"/>
      <w:pPr>
        <w:ind w:left="3294" w:hanging="360"/>
      </w:pPr>
      <w:rPr>
        <w:rFonts w:ascii="Wingdings" w:hAnsi="Wingdings" w:hint="default"/>
      </w:rPr>
    </w:lvl>
    <w:lvl w:ilvl="3" w:tplc="0C090001">
      <w:start w:val="1"/>
      <w:numFmt w:val="bullet"/>
      <w:lvlText w:val=""/>
      <w:lvlJc w:val="left"/>
      <w:pPr>
        <w:ind w:left="4014" w:hanging="360"/>
      </w:pPr>
      <w:rPr>
        <w:rFonts w:ascii="Symbol" w:hAnsi="Symbol" w:hint="default"/>
      </w:rPr>
    </w:lvl>
    <w:lvl w:ilvl="4" w:tplc="0C090003">
      <w:start w:val="1"/>
      <w:numFmt w:val="bullet"/>
      <w:lvlText w:val="o"/>
      <w:lvlJc w:val="left"/>
      <w:pPr>
        <w:ind w:left="4734" w:hanging="360"/>
      </w:pPr>
      <w:rPr>
        <w:rFonts w:ascii="Courier New" w:hAnsi="Courier New" w:cs="Courier New" w:hint="default"/>
      </w:rPr>
    </w:lvl>
    <w:lvl w:ilvl="5" w:tplc="0C090005">
      <w:start w:val="1"/>
      <w:numFmt w:val="bullet"/>
      <w:lvlText w:val=""/>
      <w:lvlJc w:val="left"/>
      <w:pPr>
        <w:ind w:left="5454" w:hanging="360"/>
      </w:pPr>
      <w:rPr>
        <w:rFonts w:ascii="Wingdings" w:hAnsi="Wingdings" w:hint="default"/>
      </w:rPr>
    </w:lvl>
    <w:lvl w:ilvl="6" w:tplc="0C090001">
      <w:start w:val="1"/>
      <w:numFmt w:val="bullet"/>
      <w:lvlText w:val=""/>
      <w:lvlJc w:val="left"/>
      <w:pPr>
        <w:ind w:left="6174" w:hanging="360"/>
      </w:pPr>
      <w:rPr>
        <w:rFonts w:ascii="Symbol" w:hAnsi="Symbol" w:hint="default"/>
      </w:rPr>
    </w:lvl>
    <w:lvl w:ilvl="7" w:tplc="0C090003">
      <w:start w:val="1"/>
      <w:numFmt w:val="bullet"/>
      <w:lvlText w:val="o"/>
      <w:lvlJc w:val="left"/>
      <w:pPr>
        <w:ind w:left="6894" w:hanging="360"/>
      </w:pPr>
      <w:rPr>
        <w:rFonts w:ascii="Courier New" w:hAnsi="Courier New" w:cs="Courier New" w:hint="default"/>
      </w:rPr>
    </w:lvl>
    <w:lvl w:ilvl="8" w:tplc="0C090005">
      <w:start w:val="1"/>
      <w:numFmt w:val="bullet"/>
      <w:lvlText w:val=""/>
      <w:lvlJc w:val="left"/>
      <w:pPr>
        <w:ind w:left="7614" w:hanging="360"/>
      </w:pPr>
      <w:rPr>
        <w:rFonts w:ascii="Wingdings" w:hAnsi="Wingdings" w:hint="default"/>
      </w:rPr>
    </w:lvl>
  </w:abstractNum>
  <w:abstractNum w:abstractNumId="1">
    <w:nsid w:val="10053F11"/>
    <w:multiLevelType w:val="multilevel"/>
    <w:tmpl w:val="0F36DBE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2">
    <w:nsid w:val="160C116F"/>
    <w:multiLevelType w:val="hybridMultilevel"/>
    <w:tmpl w:val="1FA8D30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nsid w:val="3066740A"/>
    <w:multiLevelType w:val="hybridMultilevel"/>
    <w:tmpl w:val="4AC4A154"/>
    <w:lvl w:ilvl="0" w:tplc="AAAE3F22">
      <w:start w:val="1"/>
      <w:numFmt w:val="bullet"/>
      <w:pStyle w:val="Bullet1"/>
      <w:lvlText w:val="•"/>
      <w:lvlJc w:val="left"/>
      <w:pPr>
        <w:tabs>
          <w:tab w:val="num" w:pos="284"/>
        </w:tabs>
        <w:ind w:left="284" w:hanging="284"/>
      </w:pPr>
      <w:rPr>
        <w:rFonts w:ascii="Times New Roman" w:hAnsi="Times New Roman" w:cs="Times New Roman" w:hint="default"/>
      </w:rPr>
    </w:lvl>
    <w:lvl w:ilvl="1" w:tplc="0C090003">
      <w:start w:val="1"/>
      <w:numFmt w:val="bullet"/>
      <w:lvlText w:val="o"/>
      <w:lvlJc w:val="left"/>
      <w:pPr>
        <w:tabs>
          <w:tab w:val="num" w:pos="1724"/>
        </w:tabs>
        <w:ind w:left="1724" w:hanging="360"/>
      </w:pPr>
      <w:rPr>
        <w:rFonts w:ascii="Courier New" w:hAnsi="Courier New" w:cs="Courier New" w:hint="default"/>
      </w:rPr>
    </w:lvl>
    <w:lvl w:ilvl="2" w:tplc="0C090005">
      <w:start w:val="1"/>
      <w:numFmt w:val="bullet"/>
      <w:lvlText w:val=""/>
      <w:lvlJc w:val="left"/>
      <w:pPr>
        <w:tabs>
          <w:tab w:val="num" w:pos="2444"/>
        </w:tabs>
        <w:ind w:left="2444" w:hanging="360"/>
      </w:pPr>
      <w:rPr>
        <w:rFonts w:ascii="Wingdings" w:hAnsi="Wingdings" w:hint="default"/>
      </w:rPr>
    </w:lvl>
    <w:lvl w:ilvl="3" w:tplc="0C090001">
      <w:start w:val="1"/>
      <w:numFmt w:val="bullet"/>
      <w:lvlText w:val=""/>
      <w:lvlJc w:val="left"/>
      <w:pPr>
        <w:tabs>
          <w:tab w:val="num" w:pos="3164"/>
        </w:tabs>
        <w:ind w:left="3164" w:hanging="360"/>
      </w:pPr>
      <w:rPr>
        <w:rFonts w:ascii="Symbol" w:hAnsi="Symbol" w:hint="default"/>
      </w:rPr>
    </w:lvl>
    <w:lvl w:ilvl="4" w:tplc="0C090003">
      <w:start w:val="1"/>
      <w:numFmt w:val="bullet"/>
      <w:lvlText w:val="o"/>
      <w:lvlJc w:val="left"/>
      <w:pPr>
        <w:tabs>
          <w:tab w:val="num" w:pos="3884"/>
        </w:tabs>
        <w:ind w:left="3884" w:hanging="360"/>
      </w:pPr>
      <w:rPr>
        <w:rFonts w:ascii="Courier New" w:hAnsi="Courier New" w:cs="Courier New" w:hint="default"/>
      </w:rPr>
    </w:lvl>
    <w:lvl w:ilvl="5" w:tplc="0C090005">
      <w:start w:val="1"/>
      <w:numFmt w:val="bullet"/>
      <w:lvlText w:val=""/>
      <w:lvlJc w:val="left"/>
      <w:pPr>
        <w:tabs>
          <w:tab w:val="num" w:pos="4604"/>
        </w:tabs>
        <w:ind w:left="4604" w:hanging="360"/>
      </w:pPr>
      <w:rPr>
        <w:rFonts w:ascii="Wingdings" w:hAnsi="Wingdings" w:hint="default"/>
      </w:rPr>
    </w:lvl>
    <w:lvl w:ilvl="6" w:tplc="0C090001">
      <w:start w:val="1"/>
      <w:numFmt w:val="bullet"/>
      <w:lvlText w:val=""/>
      <w:lvlJc w:val="left"/>
      <w:pPr>
        <w:tabs>
          <w:tab w:val="num" w:pos="5324"/>
        </w:tabs>
        <w:ind w:left="5324" w:hanging="360"/>
      </w:pPr>
      <w:rPr>
        <w:rFonts w:ascii="Symbol" w:hAnsi="Symbol" w:hint="default"/>
      </w:rPr>
    </w:lvl>
    <w:lvl w:ilvl="7" w:tplc="0C090003">
      <w:start w:val="1"/>
      <w:numFmt w:val="bullet"/>
      <w:lvlText w:val="o"/>
      <w:lvlJc w:val="left"/>
      <w:pPr>
        <w:tabs>
          <w:tab w:val="num" w:pos="6044"/>
        </w:tabs>
        <w:ind w:left="6044" w:hanging="360"/>
      </w:pPr>
      <w:rPr>
        <w:rFonts w:ascii="Courier New" w:hAnsi="Courier New" w:cs="Courier New" w:hint="default"/>
      </w:rPr>
    </w:lvl>
    <w:lvl w:ilvl="8" w:tplc="0C090005">
      <w:start w:val="1"/>
      <w:numFmt w:val="bullet"/>
      <w:lvlText w:val=""/>
      <w:lvlJc w:val="left"/>
      <w:pPr>
        <w:tabs>
          <w:tab w:val="num" w:pos="6764"/>
        </w:tabs>
        <w:ind w:left="6764" w:hanging="360"/>
      </w:pPr>
      <w:rPr>
        <w:rFonts w:ascii="Wingdings" w:hAnsi="Wingdings" w:hint="default"/>
      </w:rPr>
    </w:lvl>
  </w:abstractNum>
  <w:abstractNum w:abstractNumId="5">
    <w:nsid w:val="3AC02909"/>
    <w:multiLevelType w:val="hybridMultilevel"/>
    <w:tmpl w:val="0BF2B618"/>
    <w:lvl w:ilvl="0" w:tplc="3B76980A">
      <w:start w:val="1"/>
      <w:numFmt w:val="bullet"/>
      <w:pStyle w:val="Bullet2"/>
      <w:lvlText w:val="-"/>
      <w:lvlJc w:val="left"/>
      <w:pPr>
        <w:tabs>
          <w:tab w:val="num" w:pos="567"/>
        </w:tabs>
        <w:ind w:left="567" w:hanging="283"/>
      </w:pPr>
      <w:rPr>
        <w:rFonts w:ascii="Arial" w:hAnsi="Arial" w:cs="Times New Roman" w:hint="default"/>
      </w:rPr>
    </w:lvl>
    <w:lvl w:ilvl="1" w:tplc="0C090003">
      <w:start w:val="1"/>
      <w:numFmt w:val="bullet"/>
      <w:lvlText w:val="o"/>
      <w:lvlJc w:val="left"/>
      <w:pPr>
        <w:tabs>
          <w:tab w:val="num" w:pos="1724"/>
        </w:tabs>
        <w:ind w:left="1724" w:hanging="360"/>
      </w:pPr>
      <w:rPr>
        <w:rFonts w:ascii="Courier New" w:hAnsi="Courier New" w:cs="Courier New" w:hint="default"/>
      </w:rPr>
    </w:lvl>
    <w:lvl w:ilvl="2" w:tplc="0C090005">
      <w:start w:val="1"/>
      <w:numFmt w:val="bullet"/>
      <w:lvlText w:val=""/>
      <w:lvlJc w:val="left"/>
      <w:pPr>
        <w:tabs>
          <w:tab w:val="num" w:pos="2444"/>
        </w:tabs>
        <w:ind w:left="2444" w:hanging="360"/>
      </w:pPr>
      <w:rPr>
        <w:rFonts w:ascii="Wingdings" w:hAnsi="Wingdings" w:hint="default"/>
      </w:rPr>
    </w:lvl>
    <w:lvl w:ilvl="3" w:tplc="0C090001">
      <w:start w:val="1"/>
      <w:numFmt w:val="bullet"/>
      <w:lvlText w:val=""/>
      <w:lvlJc w:val="left"/>
      <w:pPr>
        <w:tabs>
          <w:tab w:val="num" w:pos="3164"/>
        </w:tabs>
        <w:ind w:left="3164" w:hanging="360"/>
      </w:pPr>
      <w:rPr>
        <w:rFonts w:ascii="Symbol" w:hAnsi="Symbol" w:hint="default"/>
      </w:rPr>
    </w:lvl>
    <w:lvl w:ilvl="4" w:tplc="0C090003">
      <w:start w:val="1"/>
      <w:numFmt w:val="bullet"/>
      <w:lvlText w:val="o"/>
      <w:lvlJc w:val="left"/>
      <w:pPr>
        <w:tabs>
          <w:tab w:val="num" w:pos="3884"/>
        </w:tabs>
        <w:ind w:left="3884" w:hanging="360"/>
      </w:pPr>
      <w:rPr>
        <w:rFonts w:ascii="Courier New" w:hAnsi="Courier New" w:cs="Courier New" w:hint="default"/>
      </w:rPr>
    </w:lvl>
    <w:lvl w:ilvl="5" w:tplc="0C090005">
      <w:start w:val="1"/>
      <w:numFmt w:val="bullet"/>
      <w:lvlText w:val=""/>
      <w:lvlJc w:val="left"/>
      <w:pPr>
        <w:tabs>
          <w:tab w:val="num" w:pos="4604"/>
        </w:tabs>
        <w:ind w:left="4604" w:hanging="360"/>
      </w:pPr>
      <w:rPr>
        <w:rFonts w:ascii="Wingdings" w:hAnsi="Wingdings" w:hint="default"/>
      </w:rPr>
    </w:lvl>
    <w:lvl w:ilvl="6" w:tplc="0C090001">
      <w:start w:val="1"/>
      <w:numFmt w:val="bullet"/>
      <w:lvlText w:val=""/>
      <w:lvlJc w:val="left"/>
      <w:pPr>
        <w:tabs>
          <w:tab w:val="num" w:pos="5324"/>
        </w:tabs>
        <w:ind w:left="5324" w:hanging="360"/>
      </w:pPr>
      <w:rPr>
        <w:rFonts w:ascii="Symbol" w:hAnsi="Symbol" w:hint="default"/>
      </w:rPr>
    </w:lvl>
    <w:lvl w:ilvl="7" w:tplc="0C090003">
      <w:start w:val="1"/>
      <w:numFmt w:val="bullet"/>
      <w:lvlText w:val="o"/>
      <w:lvlJc w:val="left"/>
      <w:pPr>
        <w:tabs>
          <w:tab w:val="num" w:pos="6044"/>
        </w:tabs>
        <w:ind w:left="6044" w:hanging="360"/>
      </w:pPr>
      <w:rPr>
        <w:rFonts w:ascii="Courier New" w:hAnsi="Courier New" w:cs="Courier New" w:hint="default"/>
      </w:rPr>
    </w:lvl>
    <w:lvl w:ilvl="8" w:tplc="0C090005">
      <w:start w:val="1"/>
      <w:numFmt w:val="bullet"/>
      <w:lvlText w:val=""/>
      <w:lvlJc w:val="left"/>
      <w:pPr>
        <w:tabs>
          <w:tab w:val="num" w:pos="6764"/>
        </w:tabs>
        <w:ind w:left="6764" w:hanging="360"/>
      </w:pPr>
      <w:rPr>
        <w:rFonts w:ascii="Wingdings" w:hAnsi="Wingdings" w:hint="default"/>
      </w:rPr>
    </w:lvl>
  </w:abstractNum>
  <w:abstractNum w:abstractNumId="6">
    <w:nsid w:val="663F595D"/>
    <w:multiLevelType w:val="hybridMultilevel"/>
    <w:tmpl w:val="86B69502"/>
    <w:lvl w:ilvl="0" w:tplc="D3142EF2">
      <w:start w:val="1"/>
      <w:numFmt w:val="bullet"/>
      <w:pStyle w:val="Instructions2"/>
      <w:lvlText w:val="­"/>
      <w:lvlJc w:val="left"/>
      <w:pPr>
        <w:ind w:left="644" w:hanging="360"/>
      </w:pPr>
      <w:rPr>
        <w:rFonts w:ascii="Calibri" w:hAnsi="Calibri" w:cs="Times New Roman" w:hint="default"/>
      </w:rPr>
    </w:lvl>
    <w:lvl w:ilvl="1" w:tplc="0C090003">
      <w:start w:val="1"/>
      <w:numFmt w:val="bullet"/>
      <w:lvlText w:val="o"/>
      <w:lvlJc w:val="left"/>
      <w:pPr>
        <w:ind w:left="1610" w:hanging="360"/>
      </w:pPr>
      <w:rPr>
        <w:rFonts w:ascii="Courier New" w:hAnsi="Courier New" w:cs="Courier New" w:hint="default"/>
      </w:rPr>
    </w:lvl>
    <w:lvl w:ilvl="2" w:tplc="0C090005">
      <w:start w:val="1"/>
      <w:numFmt w:val="bullet"/>
      <w:lvlText w:val=""/>
      <w:lvlJc w:val="left"/>
      <w:pPr>
        <w:ind w:left="2330" w:hanging="360"/>
      </w:pPr>
      <w:rPr>
        <w:rFonts w:ascii="Wingdings" w:hAnsi="Wingdings" w:hint="default"/>
      </w:rPr>
    </w:lvl>
    <w:lvl w:ilvl="3" w:tplc="0C090001">
      <w:start w:val="1"/>
      <w:numFmt w:val="bullet"/>
      <w:lvlText w:val=""/>
      <w:lvlJc w:val="left"/>
      <w:pPr>
        <w:ind w:left="3050" w:hanging="360"/>
      </w:pPr>
      <w:rPr>
        <w:rFonts w:ascii="Symbol" w:hAnsi="Symbol" w:hint="default"/>
      </w:rPr>
    </w:lvl>
    <w:lvl w:ilvl="4" w:tplc="0C090003">
      <w:start w:val="1"/>
      <w:numFmt w:val="bullet"/>
      <w:lvlText w:val="o"/>
      <w:lvlJc w:val="left"/>
      <w:pPr>
        <w:ind w:left="3770" w:hanging="360"/>
      </w:pPr>
      <w:rPr>
        <w:rFonts w:ascii="Courier New" w:hAnsi="Courier New" w:cs="Courier New" w:hint="default"/>
      </w:rPr>
    </w:lvl>
    <w:lvl w:ilvl="5" w:tplc="0C090005">
      <w:start w:val="1"/>
      <w:numFmt w:val="bullet"/>
      <w:lvlText w:val=""/>
      <w:lvlJc w:val="left"/>
      <w:pPr>
        <w:ind w:left="4490" w:hanging="360"/>
      </w:pPr>
      <w:rPr>
        <w:rFonts w:ascii="Wingdings" w:hAnsi="Wingdings" w:hint="default"/>
      </w:rPr>
    </w:lvl>
    <w:lvl w:ilvl="6" w:tplc="0C090001">
      <w:start w:val="1"/>
      <w:numFmt w:val="bullet"/>
      <w:lvlText w:val=""/>
      <w:lvlJc w:val="left"/>
      <w:pPr>
        <w:ind w:left="5210" w:hanging="360"/>
      </w:pPr>
      <w:rPr>
        <w:rFonts w:ascii="Symbol" w:hAnsi="Symbol" w:hint="default"/>
      </w:rPr>
    </w:lvl>
    <w:lvl w:ilvl="7" w:tplc="0C090003">
      <w:start w:val="1"/>
      <w:numFmt w:val="bullet"/>
      <w:lvlText w:val="o"/>
      <w:lvlJc w:val="left"/>
      <w:pPr>
        <w:ind w:left="5930" w:hanging="360"/>
      </w:pPr>
      <w:rPr>
        <w:rFonts w:ascii="Courier New" w:hAnsi="Courier New" w:cs="Courier New" w:hint="default"/>
      </w:rPr>
    </w:lvl>
    <w:lvl w:ilvl="8" w:tplc="0C090005">
      <w:start w:val="1"/>
      <w:numFmt w:val="bullet"/>
      <w:lvlText w:val=""/>
      <w:lvlJc w:val="left"/>
      <w:pPr>
        <w:ind w:left="6650" w:hanging="360"/>
      </w:pPr>
      <w:rPr>
        <w:rFonts w:ascii="Wingdings" w:hAnsi="Wingdings" w:hint="default"/>
      </w:rPr>
    </w:lvl>
  </w:abstractNum>
  <w:abstractNum w:abstractNumId="7">
    <w:nsid w:val="6D0B1B75"/>
    <w:multiLevelType w:val="multilevel"/>
    <w:tmpl w:val="D3FAAFB8"/>
    <w:lvl w:ilvl="0">
      <w:start w:val="1"/>
      <w:numFmt w:val="decimal"/>
      <w:pStyle w:val="Heading2"/>
      <w:lvlText w:val="%1."/>
      <w:lvlJc w:val="left"/>
      <w:pPr>
        <w:tabs>
          <w:tab w:val="num" w:pos="567"/>
        </w:tabs>
        <w:ind w:left="567" w:hanging="567"/>
      </w:pPr>
      <w:rPr>
        <w:rFonts w:hint="default"/>
      </w:rPr>
    </w:lvl>
    <w:lvl w:ilvl="1">
      <w:start w:val="1"/>
      <w:numFmt w:val="decimal"/>
      <w:pStyle w:val="Heading3"/>
      <w:lvlText w:val="%1.%2."/>
      <w:lvlJc w:val="left"/>
      <w:pPr>
        <w:tabs>
          <w:tab w:val="num" w:pos="1135"/>
        </w:tabs>
        <w:ind w:left="1135" w:hanging="1022"/>
      </w:pPr>
      <w:rPr>
        <w:rFonts w:hint="default"/>
      </w:rPr>
    </w:lvl>
    <w:lvl w:ilvl="2">
      <w:start w:val="1"/>
      <w:numFmt w:val="decimal"/>
      <w:pStyle w:val="Heading4"/>
      <w:lvlText w:val="%1.%2.%3."/>
      <w:lvlJc w:val="left"/>
      <w:pPr>
        <w:tabs>
          <w:tab w:val="num" w:pos="1134"/>
        </w:tabs>
        <w:ind w:left="1134" w:hanging="964"/>
      </w:pPr>
      <w:rPr>
        <w:rFonts w:hint="default"/>
      </w:rPr>
    </w:lvl>
    <w:lvl w:ilvl="3">
      <w:start w:val="1"/>
      <w:numFmt w:val="decimal"/>
      <w:pStyle w:val="Heading5"/>
      <w:lvlText w:val="%1.%2.%3.%4."/>
      <w:lvlJc w:val="left"/>
      <w:pPr>
        <w:tabs>
          <w:tab w:val="num" w:pos="1418"/>
        </w:tabs>
        <w:ind w:left="1418" w:hanging="1191"/>
      </w:pPr>
      <w:rPr>
        <w:rFonts w:hint="default"/>
      </w:rPr>
    </w:lvl>
    <w:lvl w:ilvl="4">
      <w:start w:val="1"/>
      <w:numFmt w:val="decimal"/>
      <w:pStyle w:val="Heading6"/>
      <w:lvlText w:val="%1.%2.%3.%4.%5."/>
      <w:lvlJc w:val="left"/>
      <w:pPr>
        <w:tabs>
          <w:tab w:val="num" w:pos="1701"/>
        </w:tabs>
        <w:ind w:left="1701" w:hanging="1417"/>
      </w:pPr>
      <w:rPr>
        <w:rFonts w:hint="default"/>
      </w:rPr>
    </w:lvl>
    <w:lvl w:ilvl="5">
      <w:start w:val="1"/>
      <w:numFmt w:val="decimal"/>
      <w:pStyle w:val="Heading7"/>
      <w:lvlText w:val="%1.%2.%3.%4.%5.%6."/>
      <w:lvlJc w:val="left"/>
      <w:pPr>
        <w:tabs>
          <w:tab w:val="num" w:pos="1985"/>
        </w:tabs>
        <w:ind w:left="1985" w:hanging="1645"/>
      </w:pPr>
      <w:rPr>
        <w:rFonts w:hint="default"/>
      </w:rPr>
    </w:lvl>
    <w:lvl w:ilvl="6">
      <w:start w:val="1"/>
      <w:numFmt w:val="decimal"/>
      <w:lvlText w:val="%1.%2.%3.%4.%5.%6.%7."/>
      <w:lvlJc w:val="left"/>
      <w:pPr>
        <w:tabs>
          <w:tab w:val="num" w:pos="2268"/>
        </w:tabs>
        <w:ind w:left="2268" w:hanging="1871"/>
      </w:pPr>
      <w:rPr>
        <w:rFonts w:hint="default"/>
      </w:rPr>
    </w:lvl>
    <w:lvl w:ilvl="7">
      <w:start w:val="1"/>
      <w:numFmt w:val="none"/>
      <w:lvlText w:val=""/>
      <w:lvlJc w:val="left"/>
      <w:pPr>
        <w:tabs>
          <w:tab w:val="num" w:pos="510"/>
        </w:tabs>
        <w:ind w:left="0" w:firstLine="510"/>
      </w:pPr>
      <w:rPr>
        <w:rFonts w:hint="default"/>
      </w:rPr>
    </w:lvl>
    <w:lvl w:ilvl="8">
      <w:start w:val="1"/>
      <w:numFmt w:val="none"/>
      <w:lvlText w:val=""/>
      <w:lvlJc w:val="left"/>
      <w:pPr>
        <w:ind w:left="0" w:firstLine="567"/>
      </w:pPr>
      <w:rPr>
        <w:rFonts w:hint="default"/>
      </w:rPr>
    </w:lvl>
  </w:abstractNum>
  <w:abstractNum w:abstractNumId="8">
    <w:nsid w:val="6D214E8B"/>
    <w:multiLevelType w:val="hybridMultilevel"/>
    <w:tmpl w:val="4426C4F8"/>
    <w:lvl w:ilvl="0" w:tplc="D910F5CC">
      <w:start w:val="1"/>
      <w:numFmt w:val="bullet"/>
      <w:pStyle w:val="TableBullet"/>
      <w:lvlText w:val="•"/>
      <w:lvlJc w:val="left"/>
      <w:pPr>
        <w:tabs>
          <w:tab w:val="num" w:pos="85"/>
        </w:tabs>
        <w:ind w:left="113" w:hanging="113"/>
      </w:pPr>
      <w:rPr>
        <w:rFonts w:ascii="Times New Roman" w:hAnsi="Times New Roman" w:cs="Times New Roman" w:hint="default"/>
        <w:sz w:val="20"/>
        <w:szCs w:val="2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9">
    <w:nsid w:val="719A6805"/>
    <w:multiLevelType w:val="hybridMultilevel"/>
    <w:tmpl w:val="B3BCD670"/>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num w:numId="1">
    <w:abstractNumId w:val="3"/>
  </w:num>
  <w:num w:numId="2">
    <w:abstractNumId w:val="1"/>
  </w:num>
  <w:num w:numId="3">
    <w:abstractNumId w:val="3"/>
  </w:num>
  <w:num w:numId="4">
    <w:abstractNumId w:val="1"/>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5">
    <w:abstractNumId w:val="7"/>
  </w:num>
  <w:num w:numId="6">
    <w:abstractNumId w:val="7"/>
  </w:num>
  <w:num w:numId="7">
    <w:abstractNumId w:val="9"/>
  </w:num>
  <w:num w:numId="8">
    <w:abstractNumId w:val="4"/>
  </w:num>
  <w:num w:numId="9">
    <w:abstractNumId w:val="5"/>
  </w:num>
  <w:num w:numId="10">
    <w:abstractNumId w:val="8"/>
  </w:num>
  <w:num w:numId="11">
    <w:abstractNumId w:val="0"/>
  </w:num>
  <w:num w:numId="12">
    <w:abstractNumId w:val="6"/>
  </w:num>
  <w:num w:numId="1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07C"/>
    <w:rsid w:val="00002031"/>
    <w:rsid w:val="00004734"/>
    <w:rsid w:val="000050C2"/>
    <w:rsid w:val="00006B22"/>
    <w:rsid w:val="0001276A"/>
    <w:rsid w:val="000246AE"/>
    <w:rsid w:val="00025C67"/>
    <w:rsid w:val="00040ACB"/>
    <w:rsid w:val="0005559E"/>
    <w:rsid w:val="00077775"/>
    <w:rsid w:val="00090471"/>
    <w:rsid w:val="00097B5E"/>
    <w:rsid w:val="000A3AED"/>
    <w:rsid w:val="000A63AF"/>
    <w:rsid w:val="000B3532"/>
    <w:rsid w:val="000B3A75"/>
    <w:rsid w:val="000B5AD4"/>
    <w:rsid w:val="000B6417"/>
    <w:rsid w:val="000C690F"/>
    <w:rsid w:val="000D1295"/>
    <w:rsid w:val="000D391B"/>
    <w:rsid w:val="000D3D6D"/>
    <w:rsid w:val="000D4FC7"/>
    <w:rsid w:val="000E4578"/>
    <w:rsid w:val="000F02F9"/>
    <w:rsid w:val="000F4869"/>
    <w:rsid w:val="000F5B42"/>
    <w:rsid w:val="000F6E6F"/>
    <w:rsid w:val="0010193C"/>
    <w:rsid w:val="00104613"/>
    <w:rsid w:val="0010601F"/>
    <w:rsid w:val="0010788A"/>
    <w:rsid w:val="00107A31"/>
    <w:rsid w:val="00110EA5"/>
    <w:rsid w:val="00112F56"/>
    <w:rsid w:val="00125318"/>
    <w:rsid w:val="001305A2"/>
    <w:rsid w:val="00133238"/>
    <w:rsid w:val="0014197B"/>
    <w:rsid w:val="001447CD"/>
    <w:rsid w:val="001516B1"/>
    <w:rsid w:val="00154EBB"/>
    <w:rsid w:val="00156316"/>
    <w:rsid w:val="00165389"/>
    <w:rsid w:val="0017078F"/>
    <w:rsid w:val="0017693F"/>
    <w:rsid w:val="0018110E"/>
    <w:rsid w:val="00181684"/>
    <w:rsid w:val="001843C6"/>
    <w:rsid w:val="001850E0"/>
    <w:rsid w:val="001A2158"/>
    <w:rsid w:val="001A525F"/>
    <w:rsid w:val="001A78EF"/>
    <w:rsid w:val="001B09F9"/>
    <w:rsid w:val="001B5D98"/>
    <w:rsid w:val="001B6448"/>
    <w:rsid w:val="001C657B"/>
    <w:rsid w:val="001E07CF"/>
    <w:rsid w:val="001E59F1"/>
    <w:rsid w:val="001F497A"/>
    <w:rsid w:val="001F49EB"/>
    <w:rsid w:val="001F6CBA"/>
    <w:rsid w:val="00201D4E"/>
    <w:rsid w:val="002076C9"/>
    <w:rsid w:val="00220B8A"/>
    <w:rsid w:val="002257F3"/>
    <w:rsid w:val="00233456"/>
    <w:rsid w:val="002339A5"/>
    <w:rsid w:val="00257848"/>
    <w:rsid w:val="002666AC"/>
    <w:rsid w:val="0027084A"/>
    <w:rsid w:val="00286434"/>
    <w:rsid w:val="00286C59"/>
    <w:rsid w:val="00292113"/>
    <w:rsid w:val="002942D1"/>
    <w:rsid w:val="0029501A"/>
    <w:rsid w:val="002B1638"/>
    <w:rsid w:val="002C4CAD"/>
    <w:rsid w:val="002C63ED"/>
    <w:rsid w:val="002D545C"/>
    <w:rsid w:val="002D6161"/>
    <w:rsid w:val="002E4C9A"/>
    <w:rsid w:val="002E5B56"/>
    <w:rsid w:val="002F11F8"/>
    <w:rsid w:val="002F3F56"/>
    <w:rsid w:val="002F44B5"/>
    <w:rsid w:val="00311AC0"/>
    <w:rsid w:val="0032583B"/>
    <w:rsid w:val="00327883"/>
    <w:rsid w:val="00335504"/>
    <w:rsid w:val="003521E8"/>
    <w:rsid w:val="003728F3"/>
    <w:rsid w:val="0037496E"/>
    <w:rsid w:val="0037623D"/>
    <w:rsid w:val="00386150"/>
    <w:rsid w:val="003874CE"/>
    <w:rsid w:val="00390900"/>
    <w:rsid w:val="00396C92"/>
    <w:rsid w:val="003A7F6C"/>
    <w:rsid w:val="003B1113"/>
    <w:rsid w:val="003B4D60"/>
    <w:rsid w:val="003B634F"/>
    <w:rsid w:val="003B7E39"/>
    <w:rsid w:val="003C58DC"/>
    <w:rsid w:val="003D0A3B"/>
    <w:rsid w:val="003D1E62"/>
    <w:rsid w:val="003E2486"/>
    <w:rsid w:val="003E3208"/>
    <w:rsid w:val="003F0B04"/>
    <w:rsid w:val="0040134E"/>
    <w:rsid w:val="00415D59"/>
    <w:rsid w:val="004214C6"/>
    <w:rsid w:val="0043797D"/>
    <w:rsid w:val="00440A2D"/>
    <w:rsid w:val="00452B65"/>
    <w:rsid w:val="004564A7"/>
    <w:rsid w:val="004617BF"/>
    <w:rsid w:val="00463658"/>
    <w:rsid w:val="004722CC"/>
    <w:rsid w:val="00492677"/>
    <w:rsid w:val="004936E4"/>
    <w:rsid w:val="00494E60"/>
    <w:rsid w:val="00497487"/>
    <w:rsid w:val="004A7E13"/>
    <w:rsid w:val="004B7B76"/>
    <w:rsid w:val="004C2DCA"/>
    <w:rsid w:val="004F0F38"/>
    <w:rsid w:val="004F4AF5"/>
    <w:rsid w:val="00501921"/>
    <w:rsid w:val="00530354"/>
    <w:rsid w:val="0053625B"/>
    <w:rsid w:val="005434C6"/>
    <w:rsid w:val="00543B39"/>
    <w:rsid w:val="00550096"/>
    <w:rsid w:val="005517FC"/>
    <w:rsid w:val="00557FF9"/>
    <w:rsid w:val="00576378"/>
    <w:rsid w:val="00577945"/>
    <w:rsid w:val="00577E38"/>
    <w:rsid w:val="00585322"/>
    <w:rsid w:val="005857C6"/>
    <w:rsid w:val="00586F98"/>
    <w:rsid w:val="00592F6E"/>
    <w:rsid w:val="00593AD1"/>
    <w:rsid w:val="005A68B6"/>
    <w:rsid w:val="005C5570"/>
    <w:rsid w:val="005C79A4"/>
    <w:rsid w:val="005D5442"/>
    <w:rsid w:val="00603F32"/>
    <w:rsid w:val="006041A9"/>
    <w:rsid w:val="006170F0"/>
    <w:rsid w:val="00620406"/>
    <w:rsid w:val="00632398"/>
    <w:rsid w:val="00640FC3"/>
    <w:rsid w:val="00642020"/>
    <w:rsid w:val="00646206"/>
    <w:rsid w:val="0065337B"/>
    <w:rsid w:val="0065419D"/>
    <w:rsid w:val="006604D8"/>
    <w:rsid w:val="00664A5B"/>
    <w:rsid w:val="006763D2"/>
    <w:rsid w:val="00680C08"/>
    <w:rsid w:val="006931B1"/>
    <w:rsid w:val="006A15C0"/>
    <w:rsid w:val="006B4C50"/>
    <w:rsid w:val="006C130C"/>
    <w:rsid w:val="006C3E2A"/>
    <w:rsid w:val="006C642F"/>
    <w:rsid w:val="006D03E5"/>
    <w:rsid w:val="006D5D3E"/>
    <w:rsid w:val="006E08B3"/>
    <w:rsid w:val="006F17AC"/>
    <w:rsid w:val="006F1D37"/>
    <w:rsid w:val="006F26D0"/>
    <w:rsid w:val="006F2796"/>
    <w:rsid w:val="006F572E"/>
    <w:rsid w:val="007046D6"/>
    <w:rsid w:val="00705DB0"/>
    <w:rsid w:val="00722B57"/>
    <w:rsid w:val="0074253D"/>
    <w:rsid w:val="0074429B"/>
    <w:rsid w:val="007513B4"/>
    <w:rsid w:val="007615BC"/>
    <w:rsid w:val="00762F05"/>
    <w:rsid w:val="007652FF"/>
    <w:rsid w:val="00770EF1"/>
    <w:rsid w:val="00773EF7"/>
    <w:rsid w:val="00774E1D"/>
    <w:rsid w:val="0077675A"/>
    <w:rsid w:val="00780355"/>
    <w:rsid w:val="00785721"/>
    <w:rsid w:val="00793A59"/>
    <w:rsid w:val="007B6E9F"/>
    <w:rsid w:val="007C1216"/>
    <w:rsid w:val="007C1AF7"/>
    <w:rsid w:val="007E6E27"/>
    <w:rsid w:val="00805D27"/>
    <w:rsid w:val="00821776"/>
    <w:rsid w:val="008321F5"/>
    <w:rsid w:val="00832369"/>
    <w:rsid w:val="00834660"/>
    <w:rsid w:val="00836BC2"/>
    <w:rsid w:val="008414A0"/>
    <w:rsid w:val="0085641B"/>
    <w:rsid w:val="00857136"/>
    <w:rsid w:val="00886D15"/>
    <w:rsid w:val="00887DD8"/>
    <w:rsid w:val="00896018"/>
    <w:rsid w:val="008960DD"/>
    <w:rsid w:val="0089635C"/>
    <w:rsid w:val="008A2B9D"/>
    <w:rsid w:val="008A5E0B"/>
    <w:rsid w:val="008A6D59"/>
    <w:rsid w:val="008B4B03"/>
    <w:rsid w:val="008B596F"/>
    <w:rsid w:val="008B5A3E"/>
    <w:rsid w:val="008C159F"/>
    <w:rsid w:val="008C1623"/>
    <w:rsid w:val="008C1850"/>
    <w:rsid w:val="008C51A9"/>
    <w:rsid w:val="008D770F"/>
    <w:rsid w:val="008E7846"/>
    <w:rsid w:val="008F1CCC"/>
    <w:rsid w:val="008F2967"/>
    <w:rsid w:val="008F6943"/>
    <w:rsid w:val="008F69AF"/>
    <w:rsid w:val="00902A21"/>
    <w:rsid w:val="00902B4A"/>
    <w:rsid w:val="00920330"/>
    <w:rsid w:val="009219D7"/>
    <w:rsid w:val="00922D53"/>
    <w:rsid w:val="009232B8"/>
    <w:rsid w:val="00923B70"/>
    <w:rsid w:val="00924482"/>
    <w:rsid w:val="00930237"/>
    <w:rsid w:val="009438E8"/>
    <w:rsid w:val="0094614A"/>
    <w:rsid w:val="00946EA5"/>
    <w:rsid w:val="0095160F"/>
    <w:rsid w:val="00963C08"/>
    <w:rsid w:val="00981D66"/>
    <w:rsid w:val="0098585A"/>
    <w:rsid w:val="0098669D"/>
    <w:rsid w:val="00994C95"/>
    <w:rsid w:val="009A4CED"/>
    <w:rsid w:val="009A690D"/>
    <w:rsid w:val="009B1D12"/>
    <w:rsid w:val="009B416B"/>
    <w:rsid w:val="009C4BD5"/>
    <w:rsid w:val="009D7B77"/>
    <w:rsid w:val="009E0BB0"/>
    <w:rsid w:val="009E3FBB"/>
    <w:rsid w:val="00A0082C"/>
    <w:rsid w:val="00A102E4"/>
    <w:rsid w:val="00A12C42"/>
    <w:rsid w:val="00A14DF7"/>
    <w:rsid w:val="00A235D9"/>
    <w:rsid w:val="00A3246D"/>
    <w:rsid w:val="00A36FA7"/>
    <w:rsid w:val="00A475B7"/>
    <w:rsid w:val="00A47AF7"/>
    <w:rsid w:val="00A47C3E"/>
    <w:rsid w:val="00A50226"/>
    <w:rsid w:val="00A52F36"/>
    <w:rsid w:val="00A60BAD"/>
    <w:rsid w:val="00A95EBE"/>
    <w:rsid w:val="00A964D1"/>
    <w:rsid w:val="00AA0ED0"/>
    <w:rsid w:val="00AA3499"/>
    <w:rsid w:val="00AC2B40"/>
    <w:rsid w:val="00AC2BB2"/>
    <w:rsid w:val="00AC2C3C"/>
    <w:rsid w:val="00AC512D"/>
    <w:rsid w:val="00AE01C2"/>
    <w:rsid w:val="00AE65EB"/>
    <w:rsid w:val="00AE67A7"/>
    <w:rsid w:val="00AF1D94"/>
    <w:rsid w:val="00AF60C5"/>
    <w:rsid w:val="00B009C6"/>
    <w:rsid w:val="00B01548"/>
    <w:rsid w:val="00B02208"/>
    <w:rsid w:val="00B1425E"/>
    <w:rsid w:val="00B21D29"/>
    <w:rsid w:val="00B25034"/>
    <w:rsid w:val="00B275F4"/>
    <w:rsid w:val="00B31F81"/>
    <w:rsid w:val="00B33588"/>
    <w:rsid w:val="00B33863"/>
    <w:rsid w:val="00B3567E"/>
    <w:rsid w:val="00B37D17"/>
    <w:rsid w:val="00B4175E"/>
    <w:rsid w:val="00B452CE"/>
    <w:rsid w:val="00B54C25"/>
    <w:rsid w:val="00B76B91"/>
    <w:rsid w:val="00B77EB1"/>
    <w:rsid w:val="00B811C6"/>
    <w:rsid w:val="00B85A87"/>
    <w:rsid w:val="00B92E08"/>
    <w:rsid w:val="00B96EBE"/>
    <w:rsid w:val="00BC622A"/>
    <w:rsid w:val="00BD45E3"/>
    <w:rsid w:val="00BE0A78"/>
    <w:rsid w:val="00BE32A6"/>
    <w:rsid w:val="00BE6252"/>
    <w:rsid w:val="00BE79F0"/>
    <w:rsid w:val="00BF046D"/>
    <w:rsid w:val="00BF1190"/>
    <w:rsid w:val="00BF5D04"/>
    <w:rsid w:val="00C1164D"/>
    <w:rsid w:val="00C137CE"/>
    <w:rsid w:val="00C16861"/>
    <w:rsid w:val="00C16FE9"/>
    <w:rsid w:val="00C22678"/>
    <w:rsid w:val="00C404A6"/>
    <w:rsid w:val="00C40A36"/>
    <w:rsid w:val="00C44419"/>
    <w:rsid w:val="00C45E7B"/>
    <w:rsid w:val="00C4625F"/>
    <w:rsid w:val="00C471B1"/>
    <w:rsid w:val="00C52DE9"/>
    <w:rsid w:val="00C618F7"/>
    <w:rsid w:val="00C6316B"/>
    <w:rsid w:val="00C634A9"/>
    <w:rsid w:val="00C64586"/>
    <w:rsid w:val="00C70D53"/>
    <w:rsid w:val="00C73D0B"/>
    <w:rsid w:val="00C772FF"/>
    <w:rsid w:val="00C801AF"/>
    <w:rsid w:val="00C80256"/>
    <w:rsid w:val="00C811C0"/>
    <w:rsid w:val="00C8707C"/>
    <w:rsid w:val="00CB6BC0"/>
    <w:rsid w:val="00CC1B7C"/>
    <w:rsid w:val="00CC727F"/>
    <w:rsid w:val="00CE1F49"/>
    <w:rsid w:val="00CF15C3"/>
    <w:rsid w:val="00CF2B6F"/>
    <w:rsid w:val="00CF355B"/>
    <w:rsid w:val="00CF58B6"/>
    <w:rsid w:val="00CF71CF"/>
    <w:rsid w:val="00D017ED"/>
    <w:rsid w:val="00D040D3"/>
    <w:rsid w:val="00D04C65"/>
    <w:rsid w:val="00D224FE"/>
    <w:rsid w:val="00D53A31"/>
    <w:rsid w:val="00D6493E"/>
    <w:rsid w:val="00D7301E"/>
    <w:rsid w:val="00D83AE1"/>
    <w:rsid w:val="00D855D4"/>
    <w:rsid w:val="00D87961"/>
    <w:rsid w:val="00D93466"/>
    <w:rsid w:val="00DA1124"/>
    <w:rsid w:val="00DA707A"/>
    <w:rsid w:val="00DB75B7"/>
    <w:rsid w:val="00DC6E02"/>
    <w:rsid w:val="00DE02AE"/>
    <w:rsid w:val="00DF1D7F"/>
    <w:rsid w:val="00DF4BE4"/>
    <w:rsid w:val="00DF7164"/>
    <w:rsid w:val="00E02FB4"/>
    <w:rsid w:val="00E07F15"/>
    <w:rsid w:val="00E20571"/>
    <w:rsid w:val="00E235F7"/>
    <w:rsid w:val="00E23659"/>
    <w:rsid w:val="00E239D4"/>
    <w:rsid w:val="00E26130"/>
    <w:rsid w:val="00E2741C"/>
    <w:rsid w:val="00E40B22"/>
    <w:rsid w:val="00E45619"/>
    <w:rsid w:val="00E4588F"/>
    <w:rsid w:val="00E46DA3"/>
    <w:rsid w:val="00E51BB1"/>
    <w:rsid w:val="00E5275C"/>
    <w:rsid w:val="00E624A5"/>
    <w:rsid w:val="00E7344E"/>
    <w:rsid w:val="00E936E3"/>
    <w:rsid w:val="00E979F4"/>
    <w:rsid w:val="00EB0798"/>
    <w:rsid w:val="00EB40AD"/>
    <w:rsid w:val="00EB586E"/>
    <w:rsid w:val="00EB5FC8"/>
    <w:rsid w:val="00ED3CAD"/>
    <w:rsid w:val="00ED5A41"/>
    <w:rsid w:val="00EE1DE8"/>
    <w:rsid w:val="00F033EC"/>
    <w:rsid w:val="00F04F68"/>
    <w:rsid w:val="00F12670"/>
    <w:rsid w:val="00F14B27"/>
    <w:rsid w:val="00F3148D"/>
    <w:rsid w:val="00F325C5"/>
    <w:rsid w:val="00F32FE0"/>
    <w:rsid w:val="00F35298"/>
    <w:rsid w:val="00F47333"/>
    <w:rsid w:val="00F47E37"/>
    <w:rsid w:val="00F53C07"/>
    <w:rsid w:val="00F54B65"/>
    <w:rsid w:val="00F640B6"/>
    <w:rsid w:val="00F73C84"/>
    <w:rsid w:val="00F80E40"/>
    <w:rsid w:val="00F848D9"/>
    <w:rsid w:val="00FA5B82"/>
    <w:rsid w:val="00FA639E"/>
    <w:rsid w:val="00FC18E9"/>
    <w:rsid w:val="00FC25E4"/>
    <w:rsid w:val="00FC4EF7"/>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iPriority="0" w:unhideWhenUsed="0"/>
    <w:lsdException w:name="footer" w:semiHidden="0" w:unhideWhenUsed="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Body Text" w:uiPriority="0"/>
    <w:lsdException w:name="Body Text Indent" w:uiPriority="0"/>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rsid w:val="00492677"/>
    <w:pPr>
      <w:spacing w:before="120" w:after="120" w:line="240" w:lineRule="atLeast"/>
    </w:pPr>
    <w:rPr>
      <w:sz w:val="22"/>
      <w:szCs w:val="22"/>
      <w:lang w:eastAsia="en-US"/>
    </w:rPr>
  </w:style>
  <w:style w:type="paragraph" w:styleId="Heading1">
    <w:name w:val="heading 1"/>
    <w:basedOn w:val="Heading2"/>
    <w:next w:val="Normal"/>
    <w:link w:val="Heading1Char"/>
    <w:qFormat/>
    <w:rsid w:val="000C690F"/>
    <w:pPr>
      <w:spacing w:before="120" w:after="360"/>
      <w:outlineLvl w:val="0"/>
    </w:pPr>
    <w:rPr>
      <w:rFonts w:cs="Arial"/>
      <w:sz w:val="64"/>
      <w:szCs w:val="64"/>
    </w:rPr>
  </w:style>
  <w:style w:type="paragraph" w:styleId="Heading2">
    <w:name w:val="heading 2"/>
    <w:basedOn w:val="Normal"/>
    <w:next w:val="Normal"/>
    <w:link w:val="Heading2Char"/>
    <w:qFormat/>
    <w:rsid w:val="00586F98"/>
    <w:pPr>
      <w:keepNext/>
      <w:keepLines/>
      <w:numPr>
        <w:numId w:val="6"/>
      </w:numPr>
      <w:adjustRightInd w:val="0"/>
      <w:snapToGrid w:val="0"/>
      <w:spacing w:before="480"/>
      <w:outlineLvl w:val="1"/>
    </w:pPr>
    <w:rPr>
      <w:rFonts w:ascii="Arial" w:eastAsia="Times New Roman" w:hAnsi="Arial"/>
      <w:b/>
      <w:bCs/>
      <w:sz w:val="32"/>
      <w:szCs w:val="26"/>
      <w:lang w:eastAsia="ja-JP"/>
    </w:rPr>
  </w:style>
  <w:style w:type="paragraph" w:styleId="Heading3">
    <w:name w:val="heading 3"/>
    <w:basedOn w:val="Normal"/>
    <w:next w:val="Normal"/>
    <w:link w:val="Heading3Char"/>
    <w:qFormat/>
    <w:rsid w:val="00586F98"/>
    <w:pPr>
      <w:keepNext/>
      <w:keepLines/>
      <w:numPr>
        <w:ilvl w:val="1"/>
        <w:numId w:val="6"/>
      </w:numPr>
      <w:adjustRightInd w:val="0"/>
      <w:snapToGrid w:val="0"/>
      <w:spacing w:before="400" w:line="220" w:lineRule="atLeast"/>
      <w:outlineLvl w:val="2"/>
    </w:pPr>
    <w:rPr>
      <w:rFonts w:ascii="Arial" w:eastAsia="Times New Roman" w:hAnsi="Arial"/>
      <w:b/>
      <w:bCs/>
      <w:szCs w:val="21"/>
      <w:lang w:eastAsia="ja-JP"/>
    </w:rPr>
  </w:style>
  <w:style w:type="paragraph" w:styleId="Heading4">
    <w:name w:val="heading 4"/>
    <w:basedOn w:val="Normal"/>
    <w:next w:val="Normal"/>
    <w:link w:val="Heading4Char"/>
    <w:qFormat/>
    <w:rsid w:val="008D770F"/>
    <w:pPr>
      <w:keepNext/>
      <w:numPr>
        <w:ilvl w:val="2"/>
        <w:numId w:val="6"/>
      </w:numPr>
      <w:adjustRightInd w:val="0"/>
      <w:snapToGrid w:val="0"/>
      <w:spacing w:line="220" w:lineRule="atLeast"/>
      <w:outlineLvl w:val="3"/>
    </w:pPr>
    <w:rPr>
      <w:rFonts w:eastAsia="MS Mincho"/>
      <w:b/>
      <w:bCs/>
      <w:szCs w:val="21"/>
      <w:lang w:eastAsia="ja-JP"/>
    </w:rPr>
  </w:style>
  <w:style w:type="paragraph" w:styleId="Heading5">
    <w:name w:val="heading 5"/>
    <w:basedOn w:val="Normal"/>
    <w:next w:val="Normal"/>
    <w:link w:val="Heading5Char"/>
    <w:qFormat/>
    <w:rsid w:val="000F02F9"/>
    <w:pPr>
      <w:keepNext/>
      <w:keepLines/>
      <w:numPr>
        <w:ilvl w:val="3"/>
        <w:numId w:val="6"/>
      </w:numPr>
      <w:spacing w:line="220" w:lineRule="atLeast"/>
      <w:outlineLvl w:val="4"/>
    </w:pPr>
    <w:rPr>
      <w:rFonts w:eastAsia="Times New Roman"/>
      <w:b/>
      <w:bCs/>
      <w:i/>
      <w:color w:val="001523"/>
      <w:szCs w:val="21"/>
    </w:rPr>
  </w:style>
  <w:style w:type="paragraph" w:styleId="Heading6">
    <w:name w:val="heading 6"/>
    <w:basedOn w:val="Normal"/>
    <w:next w:val="Normal"/>
    <w:link w:val="Heading6Char"/>
    <w:qFormat/>
    <w:rsid w:val="000F02F9"/>
    <w:pPr>
      <w:keepNext/>
      <w:numPr>
        <w:ilvl w:val="4"/>
        <w:numId w:val="6"/>
      </w:numPr>
      <w:spacing w:line="220" w:lineRule="atLeast"/>
      <w:ind w:left="1702" w:hanging="1418"/>
      <w:outlineLvl w:val="5"/>
    </w:pPr>
    <w:rPr>
      <w:rFonts w:eastAsia="Times New Roman"/>
      <w:bCs/>
      <w:i/>
      <w:szCs w:val="21"/>
    </w:rPr>
  </w:style>
  <w:style w:type="paragraph" w:styleId="Heading7">
    <w:name w:val="heading 7"/>
    <w:basedOn w:val="Normal"/>
    <w:next w:val="Normal"/>
    <w:link w:val="Heading7Char"/>
    <w:qFormat/>
    <w:rsid w:val="000F02F9"/>
    <w:pPr>
      <w:keepNext/>
      <w:numPr>
        <w:ilvl w:val="5"/>
        <w:numId w:val="6"/>
      </w:numPr>
      <w:spacing w:after="60" w:line="180" w:lineRule="atLeast"/>
      <w:ind w:left="1984" w:hanging="1644"/>
      <w:outlineLvl w:val="6"/>
    </w:pPr>
    <w:rPr>
      <w:rFonts w:eastAsia="Times New Roman"/>
      <w:bCs/>
      <w:sz w:val="18"/>
      <w:szCs w:val="24"/>
    </w:rPr>
  </w:style>
  <w:style w:type="paragraph" w:styleId="Heading8">
    <w:name w:val="heading 8"/>
    <w:basedOn w:val="Normal"/>
    <w:next w:val="Normal"/>
    <w:link w:val="Heading8Char"/>
    <w:semiHidden/>
    <w:unhideWhenUsed/>
    <w:qFormat/>
    <w:rsid w:val="00C8707C"/>
    <w:pPr>
      <w:keepNext/>
      <w:spacing w:before="0" w:line="240" w:lineRule="auto"/>
      <w:outlineLvl w:val="7"/>
    </w:pPr>
    <w:rPr>
      <w:rFonts w:ascii="Arial" w:eastAsia="Times New Roman" w:hAnsi="Arial"/>
      <w:b/>
      <w:i/>
      <w:iCs/>
      <w:kern w:val="16"/>
      <w:szCs w:val="24"/>
      <w:lang w:eastAsia="en-AU"/>
    </w:rPr>
  </w:style>
  <w:style w:type="paragraph" w:styleId="Heading9">
    <w:name w:val="heading 9"/>
    <w:basedOn w:val="Normal"/>
    <w:next w:val="Normal"/>
    <w:link w:val="Heading9Char"/>
    <w:semiHidden/>
    <w:unhideWhenUsed/>
    <w:qFormat/>
    <w:rsid w:val="00C8707C"/>
    <w:pPr>
      <w:keepNext/>
      <w:spacing w:before="0" w:line="240" w:lineRule="auto"/>
      <w:outlineLvl w:val="8"/>
    </w:pPr>
    <w:rPr>
      <w:rFonts w:ascii="Arial" w:eastAsia="Times New Roman" w:hAnsi="Arial" w:cs="Arial"/>
      <w:kern w:val="16"/>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C690F"/>
    <w:rPr>
      <w:rFonts w:ascii="Arial" w:eastAsia="Times New Roman" w:hAnsi="Arial" w:cs="Arial"/>
      <w:b/>
      <w:bCs/>
      <w:sz w:val="64"/>
      <w:szCs w:val="64"/>
      <w:lang w:eastAsia="ja-JP"/>
    </w:rPr>
  </w:style>
  <w:style w:type="character" w:customStyle="1" w:styleId="Heading2Char">
    <w:name w:val="Heading 2 Char"/>
    <w:link w:val="Heading2"/>
    <w:rsid w:val="00586F98"/>
    <w:rPr>
      <w:rFonts w:ascii="Arial" w:eastAsia="Times New Roman" w:hAnsi="Arial" w:cs="Times New Roman"/>
      <w:b/>
      <w:bCs/>
      <w:sz w:val="32"/>
      <w:szCs w:val="26"/>
      <w:lang w:eastAsia="ja-JP"/>
    </w:rPr>
  </w:style>
  <w:style w:type="character" w:customStyle="1" w:styleId="Heading3Char">
    <w:name w:val="Heading 3 Char"/>
    <w:link w:val="Heading3"/>
    <w:rsid w:val="008960DD"/>
    <w:rPr>
      <w:rFonts w:ascii="Arial" w:eastAsia="Times New Roman" w:hAnsi="Arial" w:cs="Times New Roman"/>
      <w:b/>
      <w:bCs/>
      <w:szCs w:val="21"/>
      <w:lang w:eastAsia="ja-JP"/>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semiHidden/>
    <w:unhideWhenUsed/>
    <w:rsid w:val="00F3148D"/>
    <w:pPr>
      <w:spacing w:after="0"/>
    </w:pPr>
    <w:rPr>
      <w:rFonts w:ascii="Tahoma" w:hAnsi="Tahoma" w:cs="Tahoma"/>
      <w:sz w:val="16"/>
      <w:szCs w:val="16"/>
    </w:rPr>
  </w:style>
  <w:style w:type="character" w:customStyle="1" w:styleId="BalloonTextChar">
    <w:name w:val="Balloon Text Char"/>
    <w:link w:val="BalloonText"/>
    <w:semiHidden/>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2C4CAD"/>
    <w:pPr>
      <w:keepNext/>
      <w:keepLines/>
      <w:spacing w:line="220" w:lineRule="atLeast"/>
    </w:pPr>
    <w:rPr>
      <w:b/>
    </w:rPr>
  </w:style>
  <w:style w:type="character" w:customStyle="1" w:styleId="Heading4Char">
    <w:name w:val="Heading 4 Char"/>
    <w:link w:val="Heading4"/>
    <w:rsid w:val="008D770F"/>
    <w:rPr>
      <w:rFonts w:ascii="Cambria" w:eastAsia="MS Mincho" w:hAnsi="Cambria" w:cs="Times New Roman"/>
      <w:b/>
      <w:bCs/>
      <w:szCs w:val="21"/>
      <w:lang w:eastAsia="ja-JP"/>
    </w:rPr>
  </w:style>
  <w:style w:type="character" w:styleId="FollowedHyperlink">
    <w:name w:val="FollowedHyperlink"/>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link w:val="Footer"/>
    <w:uiPriority w:val="99"/>
    <w:rsid w:val="003B4D60"/>
    <w:rPr>
      <w:rFonts w:ascii="Cambria" w:eastAsia="Cambria" w:hAnsi="Cambria" w:cs="Times New Roman"/>
      <w:sz w:val="17"/>
    </w:rPr>
  </w:style>
  <w:style w:type="paragraph" w:styleId="Header">
    <w:name w:val="header"/>
    <w:basedOn w:val="Normal"/>
    <w:link w:val="HeaderChar"/>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link w:val="Header"/>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link w:val="Heading5"/>
    <w:rsid w:val="000F02F9"/>
    <w:rPr>
      <w:rFonts w:ascii="Cambria" w:eastAsia="Times New Roman" w:hAnsi="Cambria" w:cs="Times New Roman"/>
      <w:b/>
      <w:bCs/>
      <w:i/>
      <w:color w:val="001523"/>
      <w:szCs w:val="21"/>
    </w:rPr>
  </w:style>
  <w:style w:type="character" w:customStyle="1" w:styleId="Heading6Char">
    <w:name w:val="Heading 6 Char"/>
    <w:link w:val="Heading6"/>
    <w:rsid w:val="000F02F9"/>
    <w:rPr>
      <w:rFonts w:ascii="Cambria" w:eastAsia="Times New Roman" w:hAnsi="Cambria" w:cs="Times New Roman"/>
      <w:bCs/>
      <w:i/>
      <w:szCs w:val="21"/>
    </w:rPr>
  </w:style>
  <w:style w:type="character" w:customStyle="1" w:styleId="Heading7Char">
    <w:name w:val="Heading 7 Char"/>
    <w:link w:val="Heading7"/>
    <w:rsid w:val="000F02F9"/>
    <w:rPr>
      <w:rFonts w:ascii="Cambria" w:eastAsia="Times New Roman" w:hAnsi="Cambria" w:cs="Times New Roman"/>
      <w:bCs/>
      <w:sz w:val="18"/>
      <w:szCs w:val="24"/>
    </w:rPr>
  </w:style>
  <w:style w:type="character" w:styleId="Hyperlink">
    <w:name w:val="Hyperlink"/>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3D1E62"/>
    <w:pPr>
      <w:spacing w:after="240"/>
    </w:pPr>
    <w:rPr>
      <w:szCs w:val="19"/>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rsid w:val="00F3148D"/>
    <w:rPr>
      <w:rFonts w:ascii="Calibri" w:eastAsia="Calibri" w:hAnsi="Calibri"/>
      <w:b/>
      <w:color w:val="FFFFFF"/>
      <w:sz w:val="20"/>
    </w:r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0A63AF"/>
    <w:pPr>
      <w:ind w:left="170" w:right="170"/>
    </w:pPr>
    <w:rPr>
      <w:color w:val="000000"/>
      <w:szCs w:val="21"/>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0A63AF"/>
    <w:pPr>
      <w:spacing w:before="60"/>
      <w:ind w:left="170" w:right="170"/>
    </w:pPr>
    <w:rPr>
      <w:color w:val="000000"/>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Quotation">
    <w:name w:val="Quotation"/>
    <w:basedOn w:val="Normal"/>
    <w:next w:val="Normal"/>
    <w:uiPriority w:val="4"/>
    <w:qFormat/>
    <w:rsid w:val="00994C95"/>
    <w:pPr>
      <w:spacing w:after="180"/>
      <w:ind w:left="425"/>
    </w:pPr>
    <w:rPr>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contextualSpacing/>
    </w:pPr>
    <w:rPr>
      <w:rFonts w:ascii="Arial" w:eastAsia="Times New Roman" w:hAnsi="Arial"/>
      <w:spacing w:val="5"/>
      <w:kern w:val="28"/>
      <w:sz w:val="52"/>
      <w:szCs w:val="52"/>
      <w:lang w:eastAsia="en-US"/>
    </w:rPr>
  </w:style>
  <w:style w:type="character" w:customStyle="1" w:styleId="TitleChar">
    <w:name w:val="Title Char"/>
    <w:link w:val="Title"/>
    <w:uiPriority w:val="10"/>
    <w:rsid w:val="00F3148D"/>
    <w:rPr>
      <w:rFonts w:ascii="Arial" w:eastAsia="Times New Roman" w:hAnsi="Arial"/>
      <w:spacing w:val="5"/>
      <w:kern w:val="28"/>
      <w:sz w:val="52"/>
      <w:szCs w:val="52"/>
      <w:lang w:val="en-AU" w:eastAsia="en-US" w:bidi="ar-SA"/>
    </w:rPr>
  </w:style>
  <w:style w:type="paragraph" w:styleId="TOC1">
    <w:name w:val="toc 1"/>
    <w:basedOn w:val="Normal"/>
    <w:next w:val="Normal"/>
    <w:uiPriority w:val="39"/>
    <w:semiHidden/>
    <w:unhideWhenUsed/>
    <w:rsid w:val="00F3148D"/>
    <w:pPr>
      <w:tabs>
        <w:tab w:val="right" w:pos="8505"/>
      </w:tabs>
      <w:spacing w:after="200"/>
    </w:pPr>
    <w:rPr>
      <w:rFonts w:ascii="Arial" w:hAnsi="Arial"/>
      <w:b/>
      <w:sz w:val="32"/>
    </w:rPr>
  </w:style>
  <w:style w:type="paragraph" w:styleId="TOC2">
    <w:name w:val="toc 2"/>
    <w:basedOn w:val="Normal"/>
    <w:next w:val="Normal"/>
    <w:uiPriority w:val="39"/>
    <w:unhideWhenUsed/>
    <w:rsid w:val="00F3148D"/>
    <w:pPr>
      <w:tabs>
        <w:tab w:val="right" w:leader="underscore" w:pos="8505"/>
      </w:tabs>
      <w:spacing w:after="100"/>
      <w:ind w:left="624"/>
    </w:pPr>
    <w:rPr>
      <w:b/>
      <w:sz w:val="25"/>
    </w:rPr>
  </w:style>
  <w:style w:type="paragraph" w:styleId="TOC3">
    <w:name w:val="toc 3"/>
    <w:basedOn w:val="Normal"/>
    <w:next w:val="Normal"/>
    <w:uiPriority w:val="39"/>
    <w:unhideWhenUsed/>
    <w:rsid w:val="00F3148D"/>
    <w:pPr>
      <w:tabs>
        <w:tab w:val="right" w:leader="underscore" w:pos="8505"/>
      </w:tabs>
      <w:spacing w:after="100"/>
      <w:ind w:left="1021"/>
    </w:pPr>
  </w:style>
  <w:style w:type="paragraph" w:styleId="TOCHeading">
    <w:name w:val="TOC Heading"/>
    <w:basedOn w:val="Heading1"/>
    <w:next w:val="Normal"/>
    <w:semiHidden/>
    <w:unhideWhenUsed/>
    <w:qFormat/>
    <w:rsid w:val="00F3148D"/>
    <w:pPr>
      <w:framePr w:wrap="around" w:hAnchor="text"/>
      <w:spacing w:before="480" w:after="0" w:line="276" w:lineRule="auto"/>
      <w:outlineLvl w:val="9"/>
    </w:pPr>
    <w:rPr>
      <w:rFonts w:cs="Times New Roman"/>
      <w:color w:val="002035"/>
      <w:sz w:val="28"/>
      <w:lang w:val="en-US"/>
    </w:rPr>
  </w:style>
  <w:style w:type="paragraph" w:customStyle="1" w:styleId="Tabletitle">
    <w:name w:val="Table title"/>
    <w:basedOn w:val="Normal"/>
    <w:next w:val="Normal"/>
    <w:rsid w:val="00994C95"/>
    <w:pPr>
      <w:keepNext/>
      <w:spacing w:after="180"/>
      <w:outlineLvl w:val="4"/>
    </w:pPr>
    <w:rPr>
      <w:b/>
    </w:rPr>
  </w:style>
  <w:style w:type="paragraph" w:customStyle="1" w:styleId="Comment">
    <w:name w:val="Comment"/>
    <w:basedOn w:val="Normal"/>
    <w:next w:val="Normal"/>
    <w:uiPriority w:val="1"/>
    <w:qFormat/>
    <w:rsid w:val="00C137CE"/>
    <w:pPr>
      <w:ind w:left="1134" w:hanging="1134"/>
    </w:pPr>
  </w:style>
  <w:style w:type="character" w:styleId="CommentReference">
    <w:name w:val="annotation reference"/>
    <w:semiHidden/>
    <w:unhideWhenUsed/>
    <w:rsid w:val="001C657B"/>
    <w:rPr>
      <w:sz w:val="16"/>
      <w:szCs w:val="16"/>
    </w:rPr>
  </w:style>
  <w:style w:type="paragraph" w:styleId="CommentText">
    <w:name w:val="annotation text"/>
    <w:basedOn w:val="Normal"/>
    <w:link w:val="CommentTextChar"/>
    <w:uiPriority w:val="99"/>
    <w:semiHidden/>
    <w:unhideWhenUsed/>
    <w:rsid w:val="001C657B"/>
    <w:pPr>
      <w:spacing w:line="240" w:lineRule="auto"/>
    </w:pPr>
    <w:rPr>
      <w:sz w:val="20"/>
      <w:szCs w:val="20"/>
    </w:rPr>
  </w:style>
  <w:style w:type="character" w:customStyle="1" w:styleId="CommentTextChar">
    <w:name w:val="Comment Text Char"/>
    <w:link w:val="CommentText"/>
    <w:uiPriority w:val="99"/>
    <w:semiHidden/>
    <w:rsid w:val="001C657B"/>
    <w:rPr>
      <w:rFonts w:ascii="Cambria" w:eastAsia="Cambria" w:hAnsi="Cambria" w:cs="Times New Roman"/>
      <w:sz w:val="20"/>
      <w:szCs w:val="20"/>
    </w:rPr>
  </w:style>
  <w:style w:type="paragraph" w:styleId="CommentSubject">
    <w:name w:val="annotation subject"/>
    <w:basedOn w:val="CommentText"/>
    <w:next w:val="CommentText"/>
    <w:link w:val="CommentSubjectChar"/>
    <w:semiHidden/>
    <w:unhideWhenUsed/>
    <w:rsid w:val="001C657B"/>
    <w:rPr>
      <w:b/>
      <w:bCs/>
    </w:rPr>
  </w:style>
  <w:style w:type="character" w:customStyle="1" w:styleId="CommentSubjectChar">
    <w:name w:val="Comment Subject Char"/>
    <w:link w:val="CommentSubject"/>
    <w:semiHidden/>
    <w:rsid w:val="001C657B"/>
    <w:rPr>
      <w:rFonts w:ascii="Cambria" w:eastAsia="Cambria" w:hAnsi="Cambria" w:cs="Times New Roman"/>
      <w:b/>
      <w:bCs/>
      <w:sz w:val="20"/>
      <w:szCs w:val="20"/>
    </w:rPr>
  </w:style>
  <w:style w:type="paragraph" w:styleId="Revision">
    <w:name w:val="Revision"/>
    <w:hidden/>
    <w:uiPriority w:val="99"/>
    <w:semiHidden/>
    <w:rsid w:val="006B4C50"/>
    <w:rPr>
      <w:sz w:val="22"/>
      <w:szCs w:val="22"/>
      <w:lang w:eastAsia="en-US"/>
    </w:rPr>
  </w:style>
  <w:style w:type="character" w:customStyle="1" w:styleId="Heading8Char">
    <w:name w:val="Heading 8 Char"/>
    <w:link w:val="Heading8"/>
    <w:semiHidden/>
    <w:rsid w:val="00C8707C"/>
    <w:rPr>
      <w:rFonts w:ascii="Arial" w:eastAsia="Times New Roman" w:hAnsi="Arial" w:cs="Times New Roman"/>
      <w:b/>
      <w:i/>
      <w:iCs/>
      <w:kern w:val="16"/>
      <w:szCs w:val="24"/>
      <w:lang w:eastAsia="en-AU"/>
    </w:rPr>
  </w:style>
  <w:style w:type="character" w:customStyle="1" w:styleId="Heading9Char">
    <w:name w:val="Heading 9 Char"/>
    <w:link w:val="Heading9"/>
    <w:semiHidden/>
    <w:rsid w:val="00C8707C"/>
    <w:rPr>
      <w:rFonts w:ascii="Arial" w:eastAsia="Times New Roman" w:hAnsi="Arial" w:cs="Arial"/>
      <w:kern w:val="16"/>
      <w:u w:val="single"/>
      <w:lang w:eastAsia="en-AU"/>
    </w:rPr>
  </w:style>
  <w:style w:type="paragraph" w:styleId="ListParagraph">
    <w:name w:val="List Paragraph"/>
    <w:basedOn w:val="Normal"/>
    <w:uiPriority w:val="34"/>
    <w:qFormat/>
    <w:rsid w:val="00C8707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contextualSpacing/>
    </w:pPr>
    <w:rPr>
      <w:rFonts w:eastAsia="Times New Roman"/>
      <w:kern w:val="16"/>
      <w:szCs w:val="24"/>
      <w:lang w:eastAsia="en-AU"/>
    </w:rPr>
  </w:style>
  <w:style w:type="paragraph" w:customStyle="1" w:styleId="Bullet1">
    <w:name w:val="Bullet 1"/>
    <w:basedOn w:val="Normal"/>
    <w:rsid w:val="00C8707C"/>
    <w:pPr>
      <w:numPr>
        <w:numId w:val="8"/>
      </w:numPr>
      <w:spacing w:after="0" w:line="240" w:lineRule="auto"/>
    </w:pPr>
    <w:rPr>
      <w:rFonts w:eastAsia="Times New Roman"/>
      <w:kern w:val="24"/>
      <w:szCs w:val="24"/>
      <w:lang w:eastAsia="en-AU"/>
    </w:rPr>
  </w:style>
  <w:style w:type="paragraph" w:customStyle="1" w:styleId="Bullet2">
    <w:name w:val="Bullet 2"/>
    <w:basedOn w:val="Bullet1"/>
    <w:rsid w:val="00C8707C"/>
    <w:pPr>
      <w:numPr>
        <w:numId w:val="9"/>
      </w:numPr>
    </w:pPr>
  </w:style>
  <w:style w:type="paragraph" w:customStyle="1" w:styleId="Comment1">
    <w:name w:val="Comment 1"/>
    <w:basedOn w:val="Normal"/>
    <w:next w:val="Normal"/>
    <w:qFormat/>
    <w:rsid w:val="00C8707C"/>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hanging="1134"/>
    </w:pPr>
    <w:rPr>
      <w:rFonts w:ascii="Calibri" w:eastAsia="Times New Roman" w:hAnsi="Calibri" w:cs="Arial"/>
      <w:kern w:val="16"/>
      <w:szCs w:val="20"/>
      <w:lang w:eastAsia="en-AU"/>
    </w:rPr>
  </w:style>
  <w:style w:type="paragraph" w:styleId="TOC4">
    <w:name w:val="toc 4"/>
    <w:basedOn w:val="Normal"/>
    <w:next w:val="Normal"/>
    <w:autoRedefine/>
    <w:uiPriority w:val="39"/>
    <w:semiHidden/>
    <w:unhideWhenUsed/>
    <w:rsid w:val="00C8707C"/>
    <w:pPr>
      <w:tabs>
        <w:tab w:val="left" w:pos="1247"/>
        <w:tab w:val="right" w:leader="dot" w:pos="9356"/>
      </w:tabs>
      <w:spacing w:before="0" w:after="0" w:line="240" w:lineRule="auto"/>
      <w:ind w:left="1247" w:hanging="907"/>
    </w:pPr>
    <w:rPr>
      <w:rFonts w:eastAsia="Times New Roman"/>
      <w:kern w:val="16"/>
      <w:sz w:val="20"/>
      <w:szCs w:val="24"/>
      <w:lang w:eastAsia="en-AU"/>
    </w:rPr>
  </w:style>
  <w:style w:type="paragraph" w:styleId="TOC5">
    <w:name w:val="toc 5"/>
    <w:basedOn w:val="Normal"/>
    <w:next w:val="Normal"/>
    <w:autoRedefine/>
    <w:uiPriority w:val="39"/>
    <w:semiHidden/>
    <w:unhideWhenUsed/>
    <w:rsid w:val="00C8707C"/>
    <w:pPr>
      <w:spacing w:before="0" w:after="0" w:line="240" w:lineRule="auto"/>
      <w:ind w:left="454"/>
    </w:pPr>
    <w:rPr>
      <w:rFonts w:eastAsia="Times New Roman"/>
      <w:kern w:val="16"/>
      <w:sz w:val="20"/>
      <w:szCs w:val="24"/>
      <w:lang w:eastAsia="en-AU"/>
    </w:rPr>
  </w:style>
  <w:style w:type="paragraph" w:styleId="TOC6">
    <w:name w:val="toc 6"/>
    <w:basedOn w:val="Normal"/>
    <w:next w:val="Normal"/>
    <w:autoRedefine/>
    <w:uiPriority w:val="39"/>
    <w:semiHidden/>
    <w:unhideWhenUsed/>
    <w:rsid w:val="00C8707C"/>
    <w:pPr>
      <w:spacing w:before="0" w:after="0" w:line="240" w:lineRule="auto"/>
      <w:ind w:left="567"/>
    </w:pPr>
    <w:rPr>
      <w:rFonts w:eastAsia="Times New Roman"/>
      <w:kern w:val="16"/>
      <w:sz w:val="20"/>
      <w:szCs w:val="24"/>
      <w:lang w:eastAsia="en-AU"/>
    </w:rPr>
  </w:style>
  <w:style w:type="paragraph" w:styleId="TOC7">
    <w:name w:val="toc 7"/>
    <w:basedOn w:val="Normal"/>
    <w:next w:val="Normal"/>
    <w:autoRedefine/>
    <w:uiPriority w:val="39"/>
    <w:semiHidden/>
    <w:unhideWhenUsed/>
    <w:rsid w:val="00C8707C"/>
    <w:pPr>
      <w:spacing w:before="0" w:after="0" w:line="240" w:lineRule="auto"/>
      <w:ind w:left="680"/>
    </w:pPr>
    <w:rPr>
      <w:rFonts w:eastAsia="Times New Roman"/>
      <w:kern w:val="16"/>
      <w:sz w:val="20"/>
      <w:szCs w:val="24"/>
      <w:lang w:eastAsia="en-AU"/>
    </w:rPr>
  </w:style>
  <w:style w:type="paragraph" w:styleId="TOC8">
    <w:name w:val="toc 8"/>
    <w:basedOn w:val="Normal"/>
    <w:next w:val="Normal"/>
    <w:autoRedefine/>
    <w:uiPriority w:val="39"/>
    <w:semiHidden/>
    <w:unhideWhenUsed/>
    <w:rsid w:val="00C8707C"/>
    <w:pPr>
      <w:spacing w:before="0" w:after="0" w:line="240" w:lineRule="auto"/>
      <w:ind w:left="907"/>
    </w:pPr>
    <w:rPr>
      <w:rFonts w:eastAsia="Times New Roman"/>
      <w:kern w:val="16"/>
      <w:sz w:val="20"/>
      <w:szCs w:val="24"/>
      <w:lang w:eastAsia="en-AU"/>
    </w:rPr>
  </w:style>
  <w:style w:type="paragraph" w:styleId="TOC9">
    <w:name w:val="toc 9"/>
    <w:basedOn w:val="Normal"/>
    <w:next w:val="Normal"/>
    <w:autoRedefine/>
    <w:uiPriority w:val="39"/>
    <w:semiHidden/>
    <w:unhideWhenUsed/>
    <w:rsid w:val="00C8707C"/>
    <w:pPr>
      <w:spacing w:before="0" w:after="0" w:line="240" w:lineRule="auto"/>
      <w:ind w:left="1134"/>
    </w:pPr>
    <w:rPr>
      <w:rFonts w:eastAsia="Times New Roman"/>
      <w:kern w:val="16"/>
      <w:sz w:val="20"/>
      <w:szCs w:val="24"/>
      <w:lang w:eastAsia="en-AU"/>
    </w:rPr>
  </w:style>
  <w:style w:type="paragraph" w:styleId="FootnoteText">
    <w:name w:val="footnote text"/>
    <w:basedOn w:val="Normal"/>
    <w:link w:val="FootnoteTextChar"/>
    <w:unhideWhenUsed/>
    <w:rsid w:val="00C8707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0"/>
      <w:lang w:eastAsia="en-AU"/>
    </w:rPr>
  </w:style>
  <w:style w:type="character" w:customStyle="1" w:styleId="FootnoteTextChar">
    <w:name w:val="Footnote Text Char"/>
    <w:link w:val="FootnoteText"/>
    <w:rsid w:val="00C8707C"/>
    <w:rPr>
      <w:rFonts w:ascii="Cambria" w:eastAsia="Times New Roman" w:hAnsi="Cambria" w:cs="Times New Roman"/>
      <w:kern w:val="16"/>
      <w:sz w:val="20"/>
      <w:szCs w:val="20"/>
      <w:lang w:eastAsia="en-AU"/>
    </w:rPr>
  </w:style>
  <w:style w:type="paragraph" w:styleId="TableofFigures">
    <w:name w:val="table of figures"/>
    <w:basedOn w:val="Normal"/>
    <w:next w:val="Normal"/>
    <w:uiPriority w:val="99"/>
    <w:semiHidden/>
    <w:unhideWhenUsed/>
    <w:rsid w:val="00C8707C"/>
    <w:pPr>
      <w:spacing w:before="0" w:after="0" w:line="240" w:lineRule="auto"/>
      <w:ind w:left="1134" w:hanging="1134"/>
    </w:pPr>
    <w:rPr>
      <w:rFonts w:eastAsia="Times New Roman" w:cs="Calibri"/>
      <w:kern w:val="16"/>
      <w:szCs w:val="20"/>
      <w:lang w:eastAsia="en-AU"/>
    </w:rPr>
  </w:style>
  <w:style w:type="paragraph" w:styleId="EndnoteText">
    <w:name w:val="endnote text"/>
    <w:basedOn w:val="Normal"/>
    <w:link w:val="EndnoteTextChar"/>
    <w:semiHidden/>
    <w:unhideWhenUsed/>
    <w:rsid w:val="00C8707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0"/>
      <w:lang w:eastAsia="en-AU"/>
    </w:rPr>
  </w:style>
  <w:style w:type="character" w:customStyle="1" w:styleId="EndnoteTextChar">
    <w:name w:val="Endnote Text Char"/>
    <w:link w:val="EndnoteText"/>
    <w:semiHidden/>
    <w:rsid w:val="00C8707C"/>
    <w:rPr>
      <w:rFonts w:ascii="Cambria" w:eastAsia="Times New Roman" w:hAnsi="Cambria" w:cs="Times New Roman"/>
      <w:kern w:val="16"/>
      <w:sz w:val="20"/>
      <w:szCs w:val="20"/>
      <w:lang w:eastAsia="en-AU"/>
    </w:rPr>
  </w:style>
  <w:style w:type="paragraph" w:styleId="BodyText">
    <w:name w:val="Body Text"/>
    <w:basedOn w:val="Normal"/>
    <w:link w:val="BodyTextChar"/>
    <w:semiHidden/>
    <w:unhideWhenUsed/>
    <w:rsid w:val="00C8707C"/>
    <w:pPr>
      <w:widowControl w:val="0"/>
      <w:snapToGrid w:val="0"/>
      <w:spacing w:before="0" w:after="0" w:line="240" w:lineRule="auto"/>
      <w:jc w:val="both"/>
    </w:pPr>
    <w:rPr>
      <w:rFonts w:ascii="Times New Roman" w:eastAsia="Times New Roman" w:hAnsi="Times New Roman"/>
      <w:sz w:val="24"/>
      <w:szCs w:val="20"/>
    </w:rPr>
  </w:style>
  <w:style w:type="character" w:customStyle="1" w:styleId="BodyTextChar">
    <w:name w:val="Body Text Char"/>
    <w:link w:val="BodyText"/>
    <w:semiHidden/>
    <w:rsid w:val="00C8707C"/>
    <w:rPr>
      <w:rFonts w:ascii="Times New Roman" w:eastAsia="Times New Roman" w:hAnsi="Times New Roman" w:cs="Times New Roman"/>
      <w:sz w:val="24"/>
      <w:szCs w:val="20"/>
    </w:rPr>
  </w:style>
  <w:style w:type="paragraph" w:styleId="BodyTextIndent">
    <w:name w:val="Body Text Indent"/>
    <w:basedOn w:val="Normal"/>
    <w:link w:val="BodyTextIndentChar"/>
    <w:semiHidden/>
    <w:unhideWhenUsed/>
    <w:rsid w:val="00C8707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line="240" w:lineRule="auto"/>
      <w:ind w:left="283"/>
    </w:pPr>
    <w:rPr>
      <w:rFonts w:eastAsia="Times New Roman"/>
      <w:kern w:val="16"/>
      <w:szCs w:val="24"/>
      <w:lang w:eastAsia="en-AU"/>
    </w:rPr>
  </w:style>
  <w:style w:type="character" w:customStyle="1" w:styleId="BodyTextIndentChar">
    <w:name w:val="Body Text Indent Char"/>
    <w:link w:val="BodyTextIndent"/>
    <w:semiHidden/>
    <w:rsid w:val="00C8707C"/>
    <w:rPr>
      <w:rFonts w:ascii="Cambria" w:eastAsia="Times New Roman" w:hAnsi="Cambria" w:cs="Times New Roman"/>
      <w:kern w:val="16"/>
      <w:szCs w:val="24"/>
      <w:lang w:eastAsia="en-AU"/>
    </w:rPr>
  </w:style>
  <w:style w:type="paragraph" w:styleId="DocumentMap">
    <w:name w:val="Document Map"/>
    <w:basedOn w:val="Normal"/>
    <w:link w:val="DocumentMapChar"/>
    <w:semiHidden/>
    <w:unhideWhenUsed/>
    <w:rsid w:val="00C8707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ascii="Lucida Grande" w:eastAsia="Times New Roman" w:hAnsi="Lucida Grande" w:cs="Lucida Grande"/>
      <w:kern w:val="16"/>
      <w:sz w:val="24"/>
      <w:szCs w:val="24"/>
      <w:lang w:eastAsia="en-AU"/>
    </w:rPr>
  </w:style>
  <w:style w:type="character" w:customStyle="1" w:styleId="DocumentMapChar">
    <w:name w:val="Document Map Char"/>
    <w:link w:val="DocumentMap"/>
    <w:semiHidden/>
    <w:rsid w:val="00C8707C"/>
    <w:rPr>
      <w:rFonts w:ascii="Lucida Grande" w:eastAsia="Times New Roman" w:hAnsi="Lucida Grande" w:cs="Lucida Grande"/>
      <w:kern w:val="16"/>
      <w:sz w:val="24"/>
      <w:szCs w:val="24"/>
      <w:lang w:eastAsia="en-AU"/>
    </w:rPr>
  </w:style>
  <w:style w:type="paragraph" w:customStyle="1" w:styleId="Heading0inTOC">
    <w:name w:val="Heading 0 (in TOC)"/>
    <w:basedOn w:val="Heading1"/>
    <w:next w:val="Normal"/>
    <w:rsid w:val="00C8707C"/>
    <w:pPr>
      <w:keepLines w:val="0"/>
      <w:numPr>
        <w:numId w:val="0"/>
      </w:numPr>
      <w:adjustRightInd/>
      <w:snapToGrid/>
      <w:spacing w:before="0" w:after="120" w:line="240" w:lineRule="auto"/>
    </w:pPr>
    <w:rPr>
      <w:rFonts w:cs="Times New Roman"/>
      <w:bCs w:val="0"/>
      <w:kern w:val="16"/>
      <w:sz w:val="28"/>
      <w:szCs w:val="24"/>
      <w:lang w:eastAsia="en-AU"/>
    </w:rPr>
  </w:style>
  <w:style w:type="paragraph" w:customStyle="1" w:styleId="TableBullet">
    <w:name w:val="Table Bullet"/>
    <w:basedOn w:val="Normal"/>
    <w:rsid w:val="00C8707C"/>
    <w:pPr>
      <w:numPr>
        <w:numId w:val="10"/>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4"/>
      <w:lang w:eastAsia="en-AU"/>
    </w:rPr>
  </w:style>
  <w:style w:type="paragraph" w:customStyle="1" w:styleId="Abbreviations">
    <w:name w:val="Abbreviations"/>
    <w:basedOn w:val="Normal"/>
    <w:rsid w:val="00C8707C"/>
    <w:pPr>
      <w:tabs>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Cs w:val="24"/>
      <w:lang w:eastAsia="en-AU"/>
    </w:rPr>
  </w:style>
  <w:style w:type="paragraph" w:customStyle="1" w:styleId="Comment2">
    <w:name w:val="Comment 2"/>
    <w:basedOn w:val="Normal"/>
    <w:qFormat/>
    <w:rsid w:val="00C8707C"/>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pPr>
    <w:rPr>
      <w:rFonts w:ascii="Calibri" w:eastAsia="Times New Roman" w:hAnsi="Calibri" w:cs="Arial"/>
      <w:kern w:val="16"/>
      <w:lang w:eastAsia="en-AU"/>
    </w:rPr>
  </w:style>
  <w:style w:type="paragraph" w:customStyle="1" w:styleId="CommentDot">
    <w:name w:val="Comment Dot"/>
    <w:basedOn w:val="Comment2"/>
    <w:qFormat/>
    <w:rsid w:val="00C8707C"/>
    <w:pPr>
      <w:numPr>
        <w:numId w:val="11"/>
      </w:numPr>
      <w:tabs>
        <w:tab w:val="clear" w:pos="1134"/>
      </w:tabs>
      <w:spacing w:before="120"/>
      <w:ind w:left="1418" w:hanging="284"/>
    </w:pPr>
  </w:style>
  <w:style w:type="paragraph" w:customStyle="1" w:styleId="Instructions1">
    <w:name w:val="Instructions 1"/>
    <w:basedOn w:val="Normal"/>
    <w:qFormat/>
    <w:rsid w:val="00C8707C"/>
    <w:pPr>
      <w:pBdr>
        <w:top w:val="single" w:sz="4" w:space="1" w:color="FF0000"/>
        <w:left w:val="single" w:sz="4" w:space="4" w:color="FF0000"/>
        <w:bottom w:val="single" w:sz="4" w:space="1" w:color="FF0000"/>
        <w:right w:val="single" w:sz="4" w:space="4" w:color="FF0000"/>
      </w:pBdr>
      <w:tabs>
        <w:tab w:val="left" w:pos="318"/>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60" w:line="240" w:lineRule="auto"/>
    </w:pPr>
    <w:rPr>
      <w:rFonts w:ascii="Calibri" w:eastAsia="Times New Roman" w:hAnsi="Calibri" w:cs="Calibri"/>
      <w:color w:val="FF0000"/>
      <w:kern w:val="16"/>
      <w:lang w:eastAsia="en-AU"/>
    </w:rPr>
  </w:style>
  <w:style w:type="paragraph" w:customStyle="1" w:styleId="Instructions2">
    <w:name w:val="Instructions 2"/>
    <w:basedOn w:val="Normal"/>
    <w:qFormat/>
    <w:rsid w:val="00C8707C"/>
    <w:pPr>
      <w:numPr>
        <w:numId w:val="12"/>
      </w:numPr>
      <w:pBdr>
        <w:top w:val="single" w:sz="4" w:space="1" w:color="FF0000"/>
        <w:left w:val="single" w:sz="4" w:space="4" w:color="FF0000"/>
        <w:bottom w:val="single" w:sz="4" w:space="1" w:color="FF0000"/>
        <w:right w:val="single" w:sz="4" w:space="4" w:color="FF0000"/>
      </w:pBdr>
      <w:tabs>
        <w:tab w:val="left" w:pos="170"/>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60" w:line="240" w:lineRule="auto"/>
      <w:ind w:left="170" w:hanging="170"/>
    </w:pPr>
    <w:rPr>
      <w:rFonts w:ascii="Calibri" w:eastAsia="Times New Roman" w:hAnsi="Calibri" w:cs="Calibri"/>
      <w:color w:val="FF0000"/>
      <w:kern w:val="16"/>
      <w:lang w:eastAsia="en-AU"/>
    </w:rPr>
  </w:style>
  <w:style w:type="paragraph" w:customStyle="1" w:styleId="Contentslist1">
    <w:name w:val="Contents list 1"/>
    <w:basedOn w:val="Normal"/>
    <w:qFormat/>
    <w:rsid w:val="00C8707C"/>
    <w:pPr>
      <w:tabs>
        <w:tab w:val="right" w:leader="dot" w:pos="9356"/>
      </w:tabs>
      <w:spacing w:line="240" w:lineRule="auto"/>
    </w:pPr>
    <w:rPr>
      <w:rFonts w:eastAsia="Times New Roman"/>
      <w:b/>
      <w:kern w:val="16"/>
      <w:sz w:val="20"/>
      <w:szCs w:val="24"/>
      <w:lang w:eastAsia="en-AU"/>
    </w:rPr>
  </w:style>
  <w:style w:type="paragraph" w:customStyle="1" w:styleId="Contentslist2">
    <w:name w:val="Contents list 2"/>
    <w:basedOn w:val="Contentslist1"/>
    <w:qFormat/>
    <w:rsid w:val="00C8707C"/>
    <w:pPr>
      <w:spacing w:before="0" w:after="0"/>
    </w:pPr>
    <w:rPr>
      <w:b w:val="0"/>
    </w:rPr>
  </w:style>
  <w:style w:type="paragraph" w:customStyle="1" w:styleId="Default">
    <w:name w:val="Default"/>
    <w:rsid w:val="00C8707C"/>
    <w:pPr>
      <w:autoSpaceDE w:val="0"/>
      <w:autoSpaceDN w:val="0"/>
      <w:adjustRightInd w:val="0"/>
    </w:pPr>
    <w:rPr>
      <w:rFonts w:ascii="Times New Roman" w:hAnsi="Times New Roman"/>
      <w:color w:val="000000"/>
      <w:sz w:val="24"/>
      <w:szCs w:val="24"/>
    </w:rPr>
  </w:style>
  <w:style w:type="character" w:styleId="FootnoteReference">
    <w:name w:val="footnote reference"/>
    <w:semiHidden/>
    <w:unhideWhenUsed/>
    <w:rsid w:val="00C8707C"/>
    <w:rPr>
      <w:vertAlign w:val="superscript"/>
    </w:rPr>
  </w:style>
  <w:style w:type="character" w:styleId="PageNumber">
    <w:name w:val="page number"/>
    <w:semiHidden/>
    <w:unhideWhenUsed/>
    <w:rsid w:val="00C8707C"/>
    <w:rPr>
      <w:sz w:val="20"/>
    </w:rPr>
  </w:style>
  <w:style w:type="character" w:styleId="EndnoteReference">
    <w:name w:val="endnote reference"/>
    <w:semiHidden/>
    <w:unhideWhenUsed/>
    <w:rsid w:val="00C8707C"/>
    <w:rPr>
      <w:strike w:val="0"/>
      <w:dstrike w:val="0"/>
      <w:u w:val="none"/>
      <w:effect w:val="none"/>
      <w:vertAlign w:val="baseline"/>
    </w:rPr>
  </w:style>
  <w:style w:type="table" w:customStyle="1" w:styleId="LightList-Accent11">
    <w:name w:val="Light List - Accent 11"/>
    <w:basedOn w:val="TableNormal"/>
    <w:uiPriority w:val="61"/>
    <w:rsid w:val="00C8707C"/>
    <w:rPr>
      <w:rFonts w:ascii="Times New Roman" w:eastAsia="Times New Roman" w:hAnsi="Times New Roman"/>
    </w:rPr>
    <w:tblPr>
      <w:tblStyleRowBandSize w:val="1"/>
      <w:tblStyleColBandSize w:val="1"/>
      <w:tblInd w:w="0" w:type="nil"/>
      <w:tblBorders>
        <w:top w:val="single" w:sz="8" w:space="0" w:color="002C47"/>
        <w:left w:val="single" w:sz="8" w:space="0" w:color="002C47"/>
        <w:bottom w:val="single" w:sz="8" w:space="0" w:color="002C47"/>
        <w:right w:val="single" w:sz="8" w:space="0" w:color="002C47"/>
      </w:tblBorders>
    </w:tblPr>
    <w:tblStylePr w:type="firstRow">
      <w:pPr>
        <w:spacing w:beforeLines="0" w:beforeAutospacing="0" w:afterLines="0" w:afterAutospacing="0" w:line="240" w:lineRule="auto"/>
      </w:pPr>
      <w:rPr>
        <w:b/>
        <w:bCs/>
        <w:color w:val="FFFFFF"/>
      </w:rPr>
      <w:tblPr/>
      <w:tcPr>
        <w:shd w:val="clear" w:color="auto" w:fill="002C47"/>
      </w:tcPr>
    </w:tblStylePr>
    <w:tblStylePr w:type="lastRow">
      <w:pPr>
        <w:spacing w:beforeLines="0" w:beforeAutospacing="0" w:afterLines="0" w:afterAutospacing="0" w:line="240" w:lineRule="auto"/>
      </w:pPr>
      <w:rPr>
        <w:b/>
        <w:bCs/>
      </w:rPr>
      <w:tblPr/>
      <w:tcPr>
        <w:tcBorders>
          <w:top w:val="double" w:sz="6" w:space="0" w:color="002C47"/>
          <w:left w:val="single" w:sz="8" w:space="0" w:color="002C47"/>
          <w:bottom w:val="single" w:sz="8" w:space="0" w:color="002C47"/>
          <w:right w:val="single" w:sz="8" w:space="0" w:color="002C47"/>
        </w:tcBorders>
      </w:tcPr>
    </w:tblStylePr>
    <w:tblStylePr w:type="firstCol">
      <w:rPr>
        <w:b/>
        <w:bCs/>
      </w:rPr>
    </w:tblStylePr>
    <w:tblStylePr w:type="lastCol">
      <w:rPr>
        <w:b/>
        <w:bCs/>
      </w:rPr>
    </w:tblStylePr>
    <w:tblStylePr w:type="band1Vert">
      <w:tblPr/>
      <w:tcPr>
        <w:tcBorders>
          <w:top w:val="single" w:sz="8" w:space="0" w:color="002C47"/>
          <w:left w:val="single" w:sz="8" w:space="0" w:color="002C47"/>
          <w:bottom w:val="single" w:sz="8" w:space="0" w:color="002C47"/>
          <w:right w:val="single" w:sz="8" w:space="0" w:color="002C47"/>
        </w:tcBorders>
      </w:tcPr>
    </w:tblStylePr>
    <w:tblStylePr w:type="band1Horz">
      <w:tblPr/>
      <w:tcPr>
        <w:tcBorders>
          <w:top w:val="single" w:sz="8" w:space="0" w:color="002C47"/>
          <w:left w:val="single" w:sz="8" w:space="0" w:color="002C47"/>
          <w:bottom w:val="single" w:sz="8" w:space="0" w:color="002C47"/>
          <w:right w:val="single" w:sz="8" w:space="0" w:color="002C47"/>
        </w:tcBorders>
      </w:tcPr>
    </w:tblStylePr>
  </w:style>
  <w:style w:type="character" w:styleId="Emphasis">
    <w:name w:val="Emphasis"/>
    <w:uiPriority w:val="20"/>
    <w:qFormat/>
    <w:rsid w:val="00C8707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iPriority="0" w:unhideWhenUsed="0"/>
    <w:lsdException w:name="footer" w:semiHidden="0" w:unhideWhenUsed="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Body Text" w:uiPriority="0"/>
    <w:lsdException w:name="Body Text Indent" w:uiPriority="0"/>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rsid w:val="00492677"/>
    <w:pPr>
      <w:spacing w:before="120" w:after="120" w:line="240" w:lineRule="atLeast"/>
    </w:pPr>
    <w:rPr>
      <w:sz w:val="22"/>
      <w:szCs w:val="22"/>
      <w:lang w:eastAsia="en-US"/>
    </w:rPr>
  </w:style>
  <w:style w:type="paragraph" w:styleId="Heading1">
    <w:name w:val="heading 1"/>
    <w:basedOn w:val="Heading2"/>
    <w:next w:val="Normal"/>
    <w:link w:val="Heading1Char"/>
    <w:qFormat/>
    <w:rsid w:val="000C690F"/>
    <w:pPr>
      <w:spacing w:before="120" w:after="360"/>
      <w:outlineLvl w:val="0"/>
    </w:pPr>
    <w:rPr>
      <w:rFonts w:cs="Arial"/>
      <w:sz w:val="64"/>
      <w:szCs w:val="64"/>
    </w:rPr>
  </w:style>
  <w:style w:type="paragraph" w:styleId="Heading2">
    <w:name w:val="heading 2"/>
    <w:basedOn w:val="Normal"/>
    <w:next w:val="Normal"/>
    <w:link w:val="Heading2Char"/>
    <w:qFormat/>
    <w:rsid w:val="00586F98"/>
    <w:pPr>
      <w:keepNext/>
      <w:keepLines/>
      <w:numPr>
        <w:numId w:val="6"/>
      </w:numPr>
      <w:adjustRightInd w:val="0"/>
      <w:snapToGrid w:val="0"/>
      <w:spacing w:before="480"/>
      <w:outlineLvl w:val="1"/>
    </w:pPr>
    <w:rPr>
      <w:rFonts w:ascii="Arial" w:eastAsia="Times New Roman" w:hAnsi="Arial"/>
      <w:b/>
      <w:bCs/>
      <w:sz w:val="32"/>
      <w:szCs w:val="26"/>
      <w:lang w:eastAsia="ja-JP"/>
    </w:rPr>
  </w:style>
  <w:style w:type="paragraph" w:styleId="Heading3">
    <w:name w:val="heading 3"/>
    <w:basedOn w:val="Normal"/>
    <w:next w:val="Normal"/>
    <w:link w:val="Heading3Char"/>
    <w:qFormat/>
    <w:rsid w:val="00586F98"/>
    <w:pPr>
      <w:keepNext/>
      <w:keepLines/>
      <w:numPr>
        <w:ilvl w:val="1"/>
        <w:numId w:val="6"/>
      </w:numPr>
      <w:adjustRightInd w:val="0"/>
      <w:snapToGrid w:val="0"/>
      <w:spacing w:before="400" w:line="220" w:lineRule="atLeast"/>
      <w:outlineLvl w:val="2"/>
    </w:pPr>
    <w:rPr>
      <w:rFonts w:ascii="Arial" w:eastAsia="Times New Roman" w:hAnsi="Arial"/>
      <w:b/>
      <w:bCs/>
      <w:szCs w:val="21"/>
      <w:lang w:eastAsia="ja-JP"/>
    </w:rPr>
  </w:style>
  <w:style w:type="paragraph" w:styleId="Heading4">
    <w:name w:val="heading 4"/>
    <w:basedOn w:val="Normal"/>
    <w:next w:val="Normal"/>
    <w:link w:val="Heading4Char"/>
    <w:qFormat/>
    <w:rsid w:val="008D770F"/>
    <w:pPr>
      <w:keepNext/>
      <w:numPr>
        <w:ilvl w:val="2"/>
        <w:numId w:val="6"/>
      </w:numPr>
      <w:adjustRightInd w:val="0"/>
      <w:snapToGrid w:val="0"/>
      <w:spacing w:line="220" w:lineRule="atLeast"/>
      <w:outlineLvl w:val="3"/>
    </w:pPr>
    <w:rPr>
      <w:rFonts w:eastAsia="MS Mincho"/>
      <w:b/>
      <w:bCs/>
      <w:szCs w:val="21"/>
      <w:lang w:eastAsia="ja-JP"/>
    </w:rPr>
  </w:style>
  <w:style w:type="paragraph" w:styleId="Heading5">
    <w:name w:val="heading 5"/>
    <w:basedOn w:val="Normal"/>
    <w:next w:val="Normal"/>
    <w:link w:val="Heading5Char"/>
    <w:qFormat/>
    <w:rsid w:val="000F02F9"/>
    <w:pPr>
      <w:keepNext/>
      <w:keepLines/>
      <w:numPr>
        <w:ilvl w:val="3"/>
        <w:numId w:val="6"/>
      </w:numPr>
      <w:spacing w:line="220" w:lineRule="atLeast"/>
      <w:outlineLvl w:val="4"/>
    </w:pPr>
    <w:rPr>
      <w:rFonts w:eastAsia="Times New Roman"/>
      <w:b/>
      <w:bCs/>
      <w:i/>
      <w:color w:val="001523"/>
      <w:szCs w:val="21"/>
    </w:rPr>
  </w:style>
  <w:style w:type="paragraph" w:styleId="Heading6">
    <w:name w:val="heading 6"/>
    <w:basedOn w:val="Normal"/>
    <w:next w:val="Normal"/>
    <w:link w:val="Heading6Char"/>
    <w:qFormat/>
    <w:rsid w:val="000F02F9"/>
    <w:pPr>
      <w:keepNext/>
      <w:numPr>
        <w:ilvl w:val="4"/>
        <w:numId w:val="6"/>
      </w:numPr>
      <w:spacing w:line="220" w:lineRule="atLeast"/>
      <w:ind w:left="1702" w:hanging="1418"/>
      <w:outlineLvl w:val="5"/>
    </w:pPr>
    <w:rPr>
      <w:rFonts w:eastAsia="Times New Roman"/>
      <w:bCs/>
      <w:i/>
      <w:szCs w:val="21"/>
    </w:rPr>
  </w:style>
  <w:style w:type="paragraph" w:styleId="Heading7">
    <w:name w:val="heading 7"/>
    <w:basedOn w:val="Normal"/>
    <w:next w:val="Normal"/>
    <w:link w:val="Heading7Char"/>
    <w:qFormat/>
    <w:rsid w:val="000F02F9"/>
    <w:pPr>
      <w:keepNext/>
      <w:numPr>
        <w:ilvl w:val="5"/>
        <w:numId w:val="6"/>
      </w:numPr>
      <w:spacing w:after="60" w:line="180" w:lineRule="atLeast"/>
      <w:ind w:left="1984" w:hanging="1644"/>
      <w:outlineLvl w:val="6"/>
    </w:pPr>
    <w:rPr>
      <w:rFonts w:eastAsia="Times New Roman"/>
      <w:bCs/>
      <w:sz w:val="18"/>
      <w:szCs w:val="24"/>
    </w:rPr>
  </w:style>
  <w:style w:type="paragraph" w:styleId="Heading8">
    <w:name w:val="heading 8"/>
    <w:basedOn w:val="Normal"/>
    <w:next w:val="Normal"/>
    <w:link w:val="Heading8Char"/>
    <w:semiHidden/>
    <w:unhideWhenUsed/>
    <w:qFormat/>
    <w:rsid w:val="00C8707C"/>
    <w:pPr>
      <w:keepNext/>
      <w:spacing w:before="0" w:line="240" w:lineRule="auto"/>
      <w:outlineLvl w:val="7"/>
    </w:pPr>
    <w:rPr>
      <w:rFonts w:ascii="Arial" w:eastAsia="Times New Roman" w:hAnsi="Arial"/>
      <w:b/>
      <w:i/>
      <w:iCs/>
      <w:kern w:val="16"/>
      <w:szCs w:val="24"/>
      <w:lang w:eastAsia="en-AU"/>
    </w:rPr>
  </w:style>
  <w:style w:type="paragraph" w:styleId="Heading9">
    <w:name w:val="heading 9"/>
    <w:basedOn w:val="Normal"/>
    <w:next w:val="Normal"/>
    <w:link w:val="Heading9Char"/>
    <w:semiHidden/>
    <w:unhideWhenUsed/>
    <w:qFormat/>
    <w:rsid w:val="00C8707C"/>
    <w:pPr>
      <w:keepNext/>
      <w:spacing w:before="0" w:line="240" w:lineRule="auto"/>
      <w:outlineLvl w:val="8"/>
    </w:pPr>
    <w:rPr>
      <w:rFonts w:ascii="Arial" w:eastAsia="Times New Roman" w:hAnsi="Arial" w:cs="Arial"/>
      <w:kern w:val="16"/>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C690F"/>
    <w:rPr>
      <w:rFonts w:ascii="Arial" w:eastAsia="Times New Roman" w:hAnsi="Arial" w:cs="Arial"/>
      <w:b/>
      <w:bCs/>
      <w:sz w:val="64"/>
      <w:szCs w:val="64"/>
      <w:lang w:eastAsia="ja-JP"/>
    </w:rPr>
  </w:style>
  <w:style w:type="character" w:customStyle="1" w:styleId="Heading2Char">
    <w:name w:val="Heading 2 Char"/>
    <w:link w:val="Heading2"/>
    <w:rsid w:val="00586F98"/>
    <w:rPr>
      <w:rFonts w:ascii="Arial" w:eastAsia="Times New Roman" w:hAnsi="Arial" w:cs="Times New Roman"/>
      <w:b/>
      <w:bCs/>
      <w:sz w:val="32"/>
      <w:szCs w:val="26"/>
      <w:lang w:eastAsia="ja-JP"/>
    </w:rPr>
  </w:style>
  <w:style w:type="character" w:customStyle="1" w:styleId="Heading3Char">
    <w:name w:val="Heading 3 Char"/>
    <w:link w:val="Heading3"/>
    <w:rsid w:val="008960DD"/>
    <w:rPr>
      <w:rFonts w:ascii="Arial" w:eastAsia="Times New Roman" w:hAnsi="Arial" w:cs="Times New Roman"/>
      <w:b/>
      <w:bCs/>
      <w:szCs w:val="21"/>
      <w:lang w:eastAsia="ja-JP"/>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semiHidden/>
    <w:unhideWhenUsed/>
    <w:rsid w:val="00F3148D"/>
    <w:pPr>
      <w:spacing w:after="0"/>
    </w:pPr>
    <w:rPr>
      <w:rFonts w:ascii="Tahoma" w:hAnsi="Tahoma" w:cs="Tahoma"/>
      <w:sz w:val="16"/>
      <w:szCs w:val="16"/>
    </w:rPr>
  </w:style>
  <w:style w:type="character" w:customStyle="1" w:styleId="BalloonTextChar">
    <w:name w:val="Balloon Text Char"/>
    <w:link w:val="BalloonText"/>
    <w:semiHidden/>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2C4CAD"/>
    <w:pPr>
      <w:keepNext/>
      <w:keepLines/>
      <w:spacing w:line="220" w:lineRule="atLeast"/>
    </w:pPr>
    <w:rPr>
      <w:b/>
    </w:rPr>
  </w:style>
  <w:style w:type="character" w:customStyle="1" w:styleId="Heading4Char">
    <w:name w:val="Heading 4 Char"/>
    <w:link w:val="Heading4"/>
    <w:rsid w:val="008D770F"/>
    <w:rPr>
      <w:rFonts w:ascii="Cambria" w:eastAsia="MS Mincho" w:hAnsi="Cambria" w:cs="Times New Roman"/>
      <w:b/>
      <w:bCs/>
      <w:szCs w:val="21"/>
      <w:lang w:eastAsia="ja-JP"/>
    </w:rPr>
  </w:style>
  <w:style w:type="character" w:styleId="FollowedHyperlink">
    <w:name w:val="FollowedHyperlink"/>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link w:val="Footer"/>
    <w:uiPriority w:val="99"/>
    <w:rsid w:val="003B4D60"/>
    <w:rPr>
      <w:rFonts w:ascii="Cambria" w:eastAsia="Cambria" w:hAnsi="Cambria" w:cs="Times New Roman"/>
      <w:sz w:val="17"/>
    </w:rPr>
  </w:style>
  <w:style w:type="paragraph" w:styleId="Header">
    <w:name w:val="header"/>
    <w:basedOn w:val="Normal"/>
    <w:link w:val="HeaderChar"/>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link w:val="Header"/>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link w:val="Heading5"/>
    <w:rsid w:val="000F02F9"/>
    <w:rPr>
      <w:rFonts w:ascii="Cambria" w:eastAsia="Times New Roman" w:hAnsi="Cambria" w:cs="Times New Roman"/>
      <w:b/>
      <w:bCs/>
      <w:i/>
      <w:color w:val="001523"/>
      <w:szCs w:val="21"/>
    </w:rPr>
  </w:style>
  <w:style w:type="character" w:customStyle="1" w:styleId="Heading6Char">
    <w:name w:val="Heading 6 Char"/>
    <w:link w:val="Heading6"/>
    <w:rsid w:val="000F02F9"/>
    <w:rPr>
      <w:rFonts w:ascii="Cambria" w:eastAsia="Times New Roman" w:hAnsi="Cambria" w:cs="Times New Roman"/>
      <w:bCs/>
      <w:i/>
      <w:szCs w:val="21"/>
    </w:rPr>
  </w:style>
  <w:style w:type="character" w:customStyle="1" w:styleId="Heading7Char">
    <w:name w:val="Heading 7 Char"/>
    <w:link w:val="Heading7"/>
    <w:rsid w:val="000F02F9"/>
    <w:rPr>
      <w:rFonts w:ascii="Cambria" w:eastAsia="Times New Roman" w:hAnsi="Cambria" w:cs="Times New Roman"/>
      <w:bCs/>
      <w:sz w:val="18"/>
      <w:szCs w:val="24"/>
    </w:rPr>
  </w:style>
  <w:style w:type="character" w:styleId="Hyperlink">
    <w:name w:val="Hyperlink"/>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3D1E62"/>
    <w:pPr>
      <w:spacing w:after="240"/>
    </w:pPr>
    <w:rPr>
      <w:szCs w:val="19"/>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rsid w:val="00F3148D"/>
    <w:rPr>
      <w:rFonts w:ascii="Calibri" w:eastAsia="Calibri" w:hAnsi="Calibri"/>
      <w:b/>
      <w:color w:val="FFFFFF"/>
      <w:sz w:val="20"/>
    </w:r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0A63AF"/>
    <w:pPr>
      <w:ind w:left="170" w:right="170"/>
    </w:pPr>
    <w:rPr>
      <w:color w:val="000000"/>
      <w:szCs w:val="21"/>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0A63AF"/>
    <w:pPr>
      <w:spacing w:before="60"/>
      <w:ind w:left="170" w:right="170"/>
    </w:pPr>
    <w:rPr>
      <w:color w:val="000000"/>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Quotation">
    <w:name w:val="Quotation"/>
    <w:basedOn w:val="Normal"/>
    <w:next w:val="Normal"/>
    <w:uiPriority w:val="4"/>
    <w:qFormat/>
    <w:rsid w:val="00994C95"/>
    <w:pPr>
      <w:spacing w:after="180"/>
      <w:ind w:left="425"/>
    </w:pPr>
    <w:rPr>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contextualSpacing/>
    </w:pPr>
    <w:rPr>
      <w:rFonts w:ascii="Arial" w:eastAsia="Times New Roman" w:hAnsi="Arial"/>
      <w:spacing w:val="5"/>
      <w:kern w:val="28"/>
      <w:sz w:val="52"/>
      <w:szCs w:val="52"/>
      <w:lang w:eastAsia="en-US"/>
    </w:rPr>
  </w:style>
  <w:style w:type="character" w:customStyle="1" w:styleId="TitleChar">
    <w:name w:val="Title Char"/>
    <w:link w:val="Title"/>
    <w:uiPriority w:val="10"/>
    <w:rsid w:val="00F3148D"/>
    <w:rPr>
      <w:rFonts w:ascii="Arial" w:eastAsia="Times New Roman" w:hAnsi="Arial"/>
      <w:spacing w:val="5"/>
      <w:kern w:val="28"/>
      <w:sz w:val="52"/>
      <w:szCs w:val="52"/>
      <w:lang w:val="en-AU" w:eastAsia="en-US" w:bidi="ar-SA"/>
    </w:rPr>
  </w:style>
  <w:style w:type="paragraph" w:styleId="TOC1">
    <w:name w:val="toc 1"/>
    <w:basedOn w:val="Normal"/>
    <w:next w:val="Normal"/>
    <w:uiPriority w:val="39"/>
    <w:semiHidden/>
    <w:unhideWhenUsed/>
    <w:rsid w:val="00F3148D"/>
    <w:pPr>
      <w:tabs>
        <w:tab w:val="right" w:pos="8505"/>
      </w:tabs>
      <w:spacing w:after="200"/>
    </w:pPr>
    <w:rPr>
      <w:rFonts w:ascii="Arial" w:hAnsi="Arial"/>
      <w:b/>
      <w:sz w:val="32"/>
    </w:rPr>
  </w:style>
  <w:style w:type="paragraph" w:styleId="TOC2">
    <w:name w:val="toc 2"/>
    <w:basedOn w:val="Normal"/>
    <w:next w:val="Normal"/>
    <w:uiPriority w:val="39"/>
    <w:unhideWhenUsed/>
    <w:rsid w:val="00F3148D"/>
    <w:pPr>
      <w:tabs>
        <w:tab w:val="right" w:leader="underscore" w:pos="8505"/>
      </w:tabs>
      <w:spacing w:after="100"/>
      <w:ind w:left="624"/>
    </w:pPr>
    <w:rPr>
      <w:b/>
      <w:sz w:val="25"/>
    </w:rPr>
  </w:style>
  <w:style w:type="paragraph" w:styleId="TOC3">
    <w:name w:val="toc 3"/>
    <w:basedOn w:val="Normal"/>
    <w:next w:val="Normal"/>
    <w:uiPriority w:val="39"/>
    <w:unhideWhenUsed/>
    <w:rsid w:val="00F3148D"/>
    <w:pPr>
      <w:tabs>
        <w:tab w:val="right" w:leader="underscore" w:pos="8505"/>
      </w:tabs>
      <w:spacing w:after="100"/>
      <w:ind w:left="1021"/>
    </w:pPr>
  </w:style>
  <w:style w:type="paragraph" w:styleId="TOCHeading">
    <w:name w:val="TOC Heading"/>
    <w:basedOn w:val="Heading1"/>
    <w:next w:val="Normal"/>
    <w:semiHidden/>
    <w:unhideWhenUsed/>
    <w:qFormat/>
    <w:rsid w:val="00F3148D"/>
    <w:pPr>
      <w:framePr w:wrap="around" w:hAnchor="text"/>
      <w:spacing w:before="480" w:after="0" w:line="276" w:lineRule="auto"/>
      <w:outlineLvl w:val="9"/>
    </w:pPr>
    <w:rPr>
      <w:rFonts w:cs="Times New Roman"/>
      <w:color w:val="002035"/>
      <w:sz w:val="28"/>
      <w:lang w:val="en-US"/>
    </w:rPr>
  </w:style>
  <w:style w:type="paragraph" w:customStyle="1" w:styleId="Tabletitle">
    <w:name w:val="Table title"/>
    <w:basedOn w:val="Normal"/>
    <w:next w:val="Normal"/>
    <w:rsid w:val="00994C95"/>
    <w:pPr>
      <w:keepNext/>
      <w:spacing w:after="180"/>
      <w:outlineLvl w:val="4"/>
    </w:pPr>
    <w:rPr>
      <w:b/>
    </w:rPr>
  </w:style>
  <w:style w:type="paragraph" w:customStyle="1" w:styleId="Comment">
    <w:name w:val="Comment"/>
    <w:basedOn w:val="Normal"/>
    <w:next w:val="Normal"/>
    <w:uiPriority w:val="1"/>
    <w:qFormat/>
    <w:rsid w:val="00C137CE"/>
    <w:pPr>
      <w:ind w:left="1134" w:hanging="1134"/>
    </w:pPr>
  </w:style>
  <w:style w:type="character" w:styleId="CommentReference">
    <w:name w:val="annotation reference"/>
    <w:semiHidden/>
    <w:unhideWhenUsed/>
    <w:rsid w:val="001C657B"/>
    <w:rPr>
      <w:sz w:val="16"/>
      <w:szCs w:val="16"/>
    </w:rPr>
  </w:style>
  <w:style w:type="paragraph" w:styleId="CommentText">
    <w:name w:val="annotation text"/>
    <w:basedOn w:val="Normal"/>
    <w:link w:val="CommentTextChar"/>
    <w:uiPriority w:val="99"/>
    <w:semiHidden/>
    <w:unhideWhenUsed/>
    <w:rsid w:val="001C657B"/>
    <w:pPr>
      <w:spacing w:line="240" w:lineRule="auto"/>
    </w:pPr>
    <w:rPr>
      <w:sz w:val="20"/>
      <w:szCs w:val="20"/>
    </w:rPr>
  </w:style>
  <w:style w:type="character" w:customStyle="1" w:styleId="CommentTextChar">
    <w:name w:val="Comment Text Char"/>
    <w:link w:val="CommentText"/>
    <w:uiPriority w:val="99"/>
    <w:semiHidden/>
    <w:rsid w:val="001C657B"/>
    <w:rPr>
      <w:rFonts w:ascii="Cambria" w:eastAsia="Cambria" w:hAnsi="Cambria" w:cs="Times New Roman"/>
      <w:sz w:val="20"/>
      <w:szCs w:val="20"/>
    </w:rPr>
  </w:style>
  <w:style w:type="paragraph" w:styleId="CommentSubject">
    <w:name w:val="annotation subject"/>
    <w:basedOn w:val="CommentText"/>
    <w:next w:val="CommentText"/>
    <w:link w:val="CommentSubjectChar"/>
    <w:semiHidden/>
    <w:unhideWhenUsed/>
    <w:rsid w:val="001C657B"/>
    <w:rPr>
      <w:b/>
      <w:bCs/>
    </w:rPr>
  </w:style>
  <w:style w:type="character" w:customStyle="1" w:styleId="CommentSubjectChar">
    <w:name w:val="Comment Subject Char"/>
    <w:link w:val="CommentSubject"/>
    <w:semiHidden/>
    <w:rsid w:val="001C657B"/>
    <w:rPr>
      <w:rFonts w:ascii="Cambria" w:eastAsia="Cambria" w:hAnsi="Cambria" w:cs="Times New Roman"/>
      <w:b/>
      <w:bCs/>
      <w:sz w:val="20"/>
      <w:szCs w:val="20"/>
    </w:rPr>
  </w:style>
  <w:style w:type="paragraph" w:styleId="Revision">
    <w:name w:val="Revision"/>
    <w:hidden/>
    <w:uiPriority w:val="99"/>
    <w:semiHidden/>
    <w:rsid w:val="006B4C50"/>
    <w:rPr>
      <w:sz w:val="22"/>
      <w:szCs w:val="22"/>
      <w:lang w:eastAsia="en-US"/>
    </w:rPr>
  </w:style>
  <w:style w:type="character" w:customStyle="1" w:styleId="Heading8Char">
    <w:name w:val="Heading 8 Char"/>
    <w:link w:val="Heading8"/>
    <w:semiHidden/>
    <w:rsid w:val="00C8707C"/>
    <w:rPr>
      <w:rFonts w:ascii="Arial" w:eastAsia="Times New Roman" w:hAnsi="Arial" w:cs="Times New Roman"/>
      <w:b/>
      <w:i/>
      <w:iCs/>
      <w:kern w:val="16"/>
      <w:szCs w:val="24"/>
      <w:lang w:eastAsia="en-AU"/>
    </w:rPr>
  </w:style>
  <w:style w:type="character" w:customStyle="1" w:styleId="Heading9Char">
    <w:name w:val="Heading 9 Char"/>
    <w:link w:val="Heading9"/>
    <w:semiHidden/>
    <w:rsid w:val="00C8707C"/>
    <w:rPr>
      <w:rFonts w:ascii="Arial" w:eastAsia="Times New Roman" w:hAnsi="Arial" w:cs="Arial"/>
      <w:kern w:val="16"/>
      <w:u w:val="single"/>
      <w:lang w:eastAsia="en-AU"/>
    </w:rPr>
  </w:style>
  <w:style w:type="paragraph" w:styleId="ListParagraph">
    <w:name w:val="List Paragraph"/>
    <w:basedOn w:val="Normal"/>
    <w:uiPriority w:val="34"/>
    <w:qFormat/>
    <w:rsid w:val="00C8707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contextualSpacing/>
    </w:pPr>
    <w:rPr>
      <w:rFonts w:eastAsia="Times New Roman"/>
      <w:kern w:val="16"/>
      <w:szCs w:val="24"/>
      <w:lang w:eastAsia="en-AU"/>
    </w:rPr>
  </w:style>
  <w:style w:type="paragraph" w:customStyle="1" w:styleId="Bullet1">
    <w:name w:val="Bullet 1"/>
    <w:basedOn w:val="Normal"/>
    <w:rsid w:val="00C8707C"/>
    <w:pPr>
      <w:numPr>
        <w:numId w:val="8"/>
      </w:numPr>
      <w:spacing w:after="0" w:line="240" w:lineRule="auto"/>
    </w:pPr>
    <w:rPr>
      <w:rFonts w:eastAsia="Times New Roman"/>
      <w:kern w:val="24"/>
      <w:szCs w:val="24"/>
      <w:lang w:eastAsia="en-AU"/>
    </w:rPr>
  </w:style>
  <w:style w:type="paragraph" w:customStyle="1" w:styleId="Bullet2">
    <w:name w:val="Bullet 2"/>
    <w:basedOn w:val="Bullet1"/>
    <w:rsid w:val="00C8707C"/>
    <w:pPr>
      <w:numPr>
        <w:numId w:val="9"/>
      </w:numPr>
    </w:pPr>
  </w:style>
  <w:style w:type="paragraph" w:customStyle="1" w:styleId="Comment1">
    <w:name w:val="Comment 1"/>
    <w:basedOn w:val="Normal"/>
    <w:next w:val="Normal"/>
    <w:qFormat/>
    <w:rsid w:val="00C8707C"/>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hanging="1134"/>
    </w:pPr>
    <w:rPr>
      <w:rFonts w:ascii="Calibri" w:eastAsia="Times New Roman" w:hAnsi="Calibri" w:cs="Arial"/>
      <w:kern w:val="16"/>
      <w:szCs w:val="20"/>
      <w:lang w:eastAsia="en-AU"/>
    </w:rPr>
  </w:style>
  <w:style w:type="paragraph" w:styleId="TOC4">
    <w:name w:val="toc 4"/>
    <w:basedOn w:val="Normal"/>
    <w:next w:val="Normal"/>
    <w:autoRedefine/>
    <w:uiPriority w:val="39"/>
    <w:semiHidden/>
    <w:unhideWhenUsed/>
    <w:rsid w:val="00C8707C"/>
    <w:pPr>
      <w:tabs>
        <w:tab w:val="left" w:pos="1247"/>
        <w:tab w:val="right" w:leader="dot" w:pos="9356"/>
      </w:tabs>
      <w:spacing w:before="0" w:after="0" w:line="240" w:lineRule="auto"/>
      <w:ind w:left="1247" w:hanging="907"/>
    </w:pPr>
    <w:rPr>
      <w:rFonts w:eastAsia="Times New Roman"/>
      <w:kern w:val="16"/>
      <w:sz w:val="20"/>
      <w:szCs w:val="24"/>
      <w:lang w:eastAsia="en-AU"/>
    </w:rPr>
  </w:style>
  <w:style w:type="paragraph" w:styleId="TOC5">
    <w:name w:val="toc 5"/>
    <w:basedOn w:val="Normal"/>
    <w:next w:val="Normal"/>
    <w:autoRedefine/>
    <w:uiPriority w:val="39"/>
    <w:semiHidden/>
    <w:unhideWhenUsed/>
    <w:rsid w:val="00C8707C"/>
    <w:pPr>
      <w:spacing w:before="0" w:after="0" w:line="240" w:lineRule="auto"/>
      <w:ind w:left="454"/>
    </w:pPr>
    <w:rPr>
      <w:rFonts w:eastAsia="Times New Roman"/>
      <w:kern w:val="16"/>
      <w:sz w:val="20"/>
      <w:szCs w:val="24"/>
      <w:lang w:eastAsia="en-AU"/>
    </w:rPr>
  </w:style>
  <w:style w:type="paragraph" w:styleId="TOC6">
    <w:name w:val="toc 6"/>
    <w:basedOn w:val="Normal"/>
    <w:next w:val="Normal"/>
    <w:autoRedefine/>
    <w:uiPriority w:val="39"/>
    <w:semiHidden/>
    <w:unhideWhenUsed/>
    <w:rsid w:val="00C8707C"/>
    <w:pPr>
      <w:spacing w:before="0" w:after="0" w:line="240" w:lineRule="auto"/>
      <w:ind w:left="567"/>
    </w:pPr>
    <w:rPr>
      <w:rFonts w:eastAsia="Times New Roman"/>
      <w:kern w:val="16"/>
      <w:sz w:val="20"/>
      <w:szCs w:val="24"/>
      <w:lang w:eastAsia="en-AU"/>
    </w:rPr>
  </w:style>
  <w:style w:type="paragraph" w:styleId="TOC7">
    <w:name w:val="toc 7"/>
    <w:basedOn w:val="Normal"/>
    <w:next w:val="Normal"/>
    <w:autoRedefine/>
    <w:uiPriority w:val="39"/>
    <w:semiHidden/>
    <w:unhideWhenUsed/>
    <w:rsid w:val="00C8707C"/>
    <w:pPr>
      <w:spacing w:before="0" w:after="0" w:line="240" w:lineRule="auto"/>
      <w:ind w:left="680"/>
    </w:pPr>
    <w:rPr>
      <w:rFonts w:eastAsia="Times New Roman"/>
      <w:kern w:val="16"/>
      <w:sz w:val="20"/>
      <w:szCs w:val="24"/>
      <w:lang w:eastAsia="en-AU"/>
    </w:rPr>
  </w:style>
  <w:style w:type="paragraph" w:styleId="TOC8">
    <w:name w:val="toc 8"/>
    <w:basedOn w:val="Normal"/>
    <w:next w:val="Normal"/>
    <w:autoRedefine/>
    <w:uiPriority w:val="39"/>
    <w:semiHidden/>
    <w:unhideWhenUsed/>
    <w:rsid w:val="00C8707C"/>
    <w:pPr>
      <w:spacing w:before="0" w:after="0" w:line="240" w:lineRule="auto"/>
      <w:ind w:left="907"/>
    </w:pPr>
    <w:rPr>
      <w:rFonts w:eastAsia="Times New Roman"/>
      <w:kern w:val="16"/>
      <w:sz w:val="20"/>
      <w:szCs w:val="24"/>
      <w:lang w:eastAsia="en-AU"/>
    </w:rPr>
  </w:style>
  <w:style w:type="paragraph" w:styleId="TOC9">
    <w:name w:val="toc 9"/>
    <w:basedOn w:val="Normal"/>
    <w:next w:val="Normal"/>
    <w:autoRedefine/>
    <w:uiPriority w:val="39"/>
    <w:semiHidden/>
    <w:unhideWhenUsed/>
    <w:rsid w:val="00C8707C"/>
    <w:pPr>
      <w:spacing w:before="0" w:after="0" w:line="240" w:lineRule="auto"/>
      <w:ind w:left="1134"/>
    </w:pPr>
    <w:rPr>
      <w:rFonts w:eastAsia="Times New Roman"/>
      <w:kern w:val="16"/>
      <w:sz w:val="20"/>
      <w:szCs w:val="24"/>
      <w:lang w:eastAsia="en-AU"/>
    </w:rPr>
  </w:style>
  <w:style w:type="paragraph" w:styleId="FootnoteText">
    <w:name w:val="footnote text"/>
    <w:basedOn w:val="Normal"/>
    <w:link w:val="FootnoteTextChar"/>
    <w:unhideWhenUsed/>
    <w:rsid w:val="00C8707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0"/>
      <w:lang w:eastAsia="en-AU"/>
    </w:rPr>
  </w:style>
  <w:style w:type="character" w:customStyle="1" w:styleId="FootnoteTextChar">
    <w:name w:val="Footnote Text Char"/>
    <w:link w:val="FootnoteText"/>
    <w:rsid w:val="00C8707C"/>
    <w:rPr>
      <w:rFonts w:ascii="Cambria" w:eastAsia="Times New Roman" w:hAnsi="Cambria" w:cs="Times New Roman"/>
      <w:kern w:val="16"/>
      <w:sz w:val="20"/>
      <w:szCs w:val="20"/>
      <w:lang w:eastAsia="en-AU"/>
    </w:rPr>
  </w:style>
  <w:style w:type="paragraph" w:styleId="TableofFigures">
    <w:name w:val="table of figures"/>
    <w:basedOn w:val="Normal"/>
    <w:next w:val="Normal"/>
    <w:uiPriority w:val="99"/>
    <w:semiHidden/>
    <w:unhideWhenUsed/>
    <w:rsid w:val="00C8707C"/>
    <w:pPr>
      <w:spacing w:before="0" w:after="0" w:line="240" w:lineRule="auto"/>
      <w:ind w:left="1134" w:hanging="1134"/>
    </w:pPr>
    <w:rPr>
      <w:rFonts w:eastAsia="Times New Roman" w:cs="Calibri"/>
      <w:kern w:val="16"/>
      <w:szCs w:val="20"/>
      <w:lang w:eastAsia="en-AU"/>
    </w:rPr>
  </w:style>
  <w:style w:type="paragraph" w:styleId="EndnoteText">
    <w:name w:val="endnote text"/>
    <w:basedOn w:val="Normal"/>
    <w:link w:val="EndnoteTextChar"/>
    <w:semiHidden/>
    <w:unhideWhenUsed/>
    <w:rsid w:val="00C8707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0"/>
      <w:lang w:eastAsia="en-AU"/>
    </w:rPr>
  </w:style>
  <w:style w:type="character" w:customStyle="1" w:styleId="EndnoteTextChar">
    <w:name w:val="Endnote Text Char"/>
    <w:link w:val="EndnoteText"/>
    <w:semiHidden/>
    <w:rsid w:val="00C8707C"/>
    <w:rPr>
      <w:rFonts w:ascii="Cambria" w:eastAsia="Times New Roman" w:hAnsi="Cambria" w:cs="Times New Roman"/>
      <w:kern w:val="16"/>
      <w:sz w:val="20"/>
      <w:szCs w:val="20"/>
      <w:lang w:eastAsia="en-AU"/>
    </w:rPr>
  </w:style>
  <w:style w:type="paragraph" w:styleId="BodyText">
    <w:name w:val="Body Text"/>
    <w:basedOn w:val="Normal"/>
    <w:link w:val="BodyTextChar"/>
    <w:semiHidden/>
    <w:unhideWhenUsed/>
    <w:rsid w:val="00C8707C"/>
    <w:pPr>
      <w:widowControl w:val="0"/>
      <w:snapToGrid w:val="0"/>
      <w:spacing w:before="0" w:after="0" w:line="240" w:lineRule="auto"/>
      <w:jc w:val="both"/>
    </w:pPr>
    <w:rPr>
      <w:rFonts w:ascii="Times New Roman" w:eastAsia="Times New Roman" w:hAnsi="Times New Roman"/>
      <w:sz w:val="24"/>
      <w:szCs w:val="20"/>
    </w:rPr>
  </w:style>
  <w:style w:type="character" w:customStyle="1" w:styleId="BodyTextChar">
    <w:name w:val="Body Text Char"/>
    <w:link w:val="BodyText"/>
    <w:semiHidden/>
    <w:rsid w:val="00C8707C"/>
    <w:rPr>
      <w:rFonts w:ascii="Times New Roman" w:eastAsia="Times New Roman" w:hAnsi="Times New Roman" w:cs="Times New Roman"/>
      <w:sz w:val="24"/>
      <w:szCs w:val="20"/>
    </w:rPr>
  </w:style>
  <w:style w:type="paragraph" w:styleId="BodyTextIndent">
    <w:name w:val="Body Text Indent"/>
    <w:basedOn w:val="Normal"/>
    <w:link w:val="BodyTextIndentChar"/>
    <w:semiHidden/>
    <w:unhideWhenUsed/>
    <w:rsid w:val="00C8707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line="240" w:lineRule="auto"/>
      <w:ind w:left="283"/>
    </w:pPr>
    <w:rPr>
      <w:rFonts w:eastAsia="Times New Roman"/>
      <w:kern w:val="16"/>
      <w:szCs w:val="24"/>
      <w:lang w:eastAsia="en-AU"/>
    </w:rPr>
  </w:style>
  <w:style w:type="character" w:customStyle="1" w:styleId="BodyTextIndentChar">
    <w:name w:val="Body Text Indent Char"/>
    <w:link w:val="BodyTextIndent"/>
    <w:semiHidden/>
    <w:rsid w:val="00C8707C"/>
    <w:rPr>
      <w:rFonts w:ascii="Cambria" w:eastAsia="Times New Roman" w:hAnsi="Cambria" w:cs="Times New Roman"/>
      <w:kern w:val="16"/>
      <w:szCs w:val="24"/>
      <w:lang w:eastAsia="en-AU"/>
    </w:rPr>
  </w:style>
  <w:style w:type="paragraph" w:styleId="DocumentMap">
    <w:name w:val="Document Map"/>
    <w:basedOn w:val="Normal"/>
    <w:link w:val="DocumentMapChar"/>
    <w:semiHidden/>
    <w:unhideWhenUsed/>
    <w:rsid w:val="00C8707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ascii="Lucida Grande" w:eastAsia="Times New Roman" w:hAnsi="Lucida Grande" w:cs="Lucida Grande"/>
      <w:kern w:val="16"/>
      <w:sz w:val="24"/>
      <w:szCs w:val="24"/>
      <w:lang w:eastAsia="en-AU"/>
    </w:rPr>
  </w:style>
  <w:style w:type="character" w:customStyle="1" w:styleId="DocumentMapChar">
    <w:name w:val="Document Map Char"/>
    <w:link w:val="DocumentMap"/>
    <w:semiHidden/>
    <w:rsid w:val="00C8707C"/>
    <w:rPr>
      <w:rFonts w:ascii="Lucida Grande" w:eastAsia="Times New Roman" w:hAnsi="Lucida Grande" w:cs="Lucida Grande"/>
      <w:kern w:val="16"/>
      <w:sz w:val="24"/>
      <w:szCs w:val="24"/>
      <w:lang w:eastAsia="en-AU"/>
    </w:rPr>
  </w:style>
  <w:style w:type="paragraph" w:customStyle="1" w:styleId="Heading0inTOC">
    <w:name w:val="Heading 0 (in TOC)"/>
    <w:basedOn w:val="Heading1"/>
    <w:next w:val="Normal"/>
    <w:rsid w:val="00C8707C"/>
    <w:pPr>
      <w:keepLines w:val="0"/>
      <w:numPr>
        <w:numId w:val="0"/>
      </w:numPr>
      <w:adjustRightInd/>
      <w:snapToGrid/>
      <w:spacing w:before="0" w:after="120" w:line="240" w:lineRule="auto"/>
    </w:pPr>
    <w:rPr>
      <w:rFonts w:cs="Times New Roman"/>
      <w:bCs w:val="0"/>
      <w:kern w:val="16"/>
      <w:sz w:val="28"/>
      <w:szCs w:val="24"/>
      <w:lang w:eastAsia="en-AU"/>
    </w:rPr>
  </w:style>
  <w:style w:type="paragraph" w:customStyle="1" w:styleId="TableBullet">
    <w:name w:val="Table Bullet"/>
    <w:basedOn w:val="Normal"/>
    <w:rsid w:val="00C8707C"/>
    <w:pPr>
      <w:numPr>
        <w:numId w:val="10"/>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4"/>
      <w:lang w:eastAsia="en-AU"/>
    </w:rPr>
  </w:style>
  <w:style w:type="paragraph" w:customStyle="1" w:styleId="Abbreviations">
    <w:name w:val="Abbreviations"/>
    <w:basedOn w:val="Normal"/>
    <w:rsid w:val="00C8707C"/>
    <w:pPr>
      <w:tabs>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Cs w:val="24"/>
      <w:lang w:eastAsia="en-AU"/>
    </w:rPr>
  </w:style>
  <w:style w:type="paragraph" w:customStyle="1" w:styleId="Comment2">
    <w:name w:val="Comment 2"/>
    <w:basedOn w:val="Normal"/>
    <w:qFormat/>
    <w:rsid w:val="00C8707C"/>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pPr>
    <w:rPr>
      <w:rFonts w:ascii="Calibri" w:eastAsia="Times New Roman" w:hAnsi="Calibri" w:cs="Arial"/>
      <w:kern w:val="16"/>
      <w:lang w:eastAsia="en-AU"/>
    </w:rPr>
  </w:style>
  <w:style w:type="paragraph" w:customStyle="1" w:styleId="CommentDot">
    <w:name w:val="Comment Dot"/>
    <w:basedOn w:val="Comment2"/>
    <w:qFormat/>
    <w:rsid w:val="00C8707C"/>
    <w:pPr>
      <w:numPr>
        <w:numId w:val="11"/>
      </w:numPr>
      <w:tabs>
        <w:tab w:val="clear" w:pos="1134"/>
      </w:tabs>
      <w:spacing w:before="120"/>
      <w:ind w:left="1418" w:hanging="284"/>
    </w:pPr>
  </w:style>
  <w:style w:type="paragraph" w:customStyle="1" w:styleId="Instructions1">
    <w:name w:val="Instructions 1"/>
    <w:basedOn w:val="Normal"/>
    <w:qFormat/>
    <w:rsid w:val="00C8707C"/>
    <w:pPr>
      <w:pBdr>
        <w:top w:val="single" w:sz="4" w:space="1" w:color="FF0000"/>
        <w:left w:val="single" w:sz="4" w:space="4" w:color="FF0000"/>
        <w:bottom w:val="single" w:sz="4" w:space="1" w:color="FF0000"/>
        <w:right w:val="single" w:sz="4" w:space="4" w:color="FF0000"/>
      </w:pBdr>
      <w:tabs>
        <w:tab w:val="left" w:pos="318"/>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60" w:line="240" w:lineRule="auto"/>
    </w:pPr>
    <w:rPr>
      <w:rFonts w:ascii="Calibri" w:eastAsia="Times New Roman" w:hAnsi="Calibri" w:cs="Calibri"/>
      <w:color w:val="FF0000"/>
      <w:kern w:val="16"/>
      <w:lang w:eastAsia="en-AU"/>
    </w:rPr>
  </w:style>
  <w:style w:type="paragraph" w:customStyle="1" w:styleId="Instructions2">
    <w:name w:val="Instructions 2"/>
    <w:basedOn w:val="Normal"/>
    <w:qFormat/>
    <w:rsid w:val="00C8707C"/>
    <w:pPr>
      <w:numPr>
        <w:numId w:val="12"/>
      </w:numPr>
      <w:pBdr>
        <w:top w:val="single" w:sz="4" w:space="1" w:color="FF0000"/>
        <w:left w:val="single" w:sz="4" w:space="4" w:color="FF0000"/>
        <w:bottom w:val="single" w:sz="4" w:space="1" w:color="FF0000"/>
        <w:right w:val="single" w:sz="4" w:space="4" w:color="FF0000"/>
      </w:pBdr>
      <w:tabs>
        <w:tab w:val="left" w:pos="170"/>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60" w:line="240" w:lineRule="auto"/>
      <w:ind w:left="170" w:hanging="170"/>
    </w:pPr>
    <w:rPr>
      <w:rFonts w:ascii="Calibri" w:eastAsia="Times New Roman" w:hAnsi="Calibri" w:cs="Calibri"/>
      <w:color w:val="FF0000"/>
      <w:kern w:val="16"/>
      <w:lang w:eastAsia="en-AU"/>
    </w:rPr>
  </w:style>
  <w:style w:type="paragraph" w:customStyle="1" w:styleId="Contentslist1">
    <w:name w:val="Contents list 1"/>
    <w:basedOn w:val="Normal"/>
    <w:qFormat/>
    <w:rsid w:val="00C8707C"/>
    <w:pPr>
      <w:tabs>
        <w:tab w:val="right" w:leader="dot" w:pos="9356"/>
      </w:tabs>
      <w:spacing w:line="240" w:lineRule="auto"/>
    </w:pPr>
    <w:rPr>
      <w:rFonts w:eastAsia="Times New Roman"/>
      <w:b/>
      <w:kern w:val="16"/>
      <w:sz w:val="20"/>
      <w:szCs w:val="24"/>
      <w:lang w:eastAsia="en-AU"/>
    </w:rPr>
  </w:style>
  <w:style w:type="paragraph" w:customStyle="1" w:styleId="Contentslist2">
    <w:name w:val="Contents list 2"/>
    <w:basedOn w:val="Contentslist1"/>
    <w:qFormat/>
    <w:rsid w:val="00C8707C"/>
    <w:pPr>
      <w:spacing w:before="0" w:after="0"/>
    </w:pPr>
    <w:rPr>
      <w:b w:val="0"/>
    </w:rPr>
  </w:style>
  <w:style w:type="paragraph" w:customStyle="1" w:styleId="Default">
    <w:name w:val="Default"/>
    <w:rsid w:val="00C8707C"/>
    <w:pPr>
      <w:autoSpaceDE w:val="0"/>
      <w:autoSpaceDN w:val="0"/>
      <w:adjustRightInd w:val="0"/>
    </w:pPr>
    <w:rPr>
      <w:rFonts w:ascii="Times New Roman" w:hAnsi="Times New Roman"/>
      <w:color w:val="000000"/>
      <w:sz w:val="24"/>
      <w:szCs w:val="24"/>
    </w:rPr>
  </w:style>
  <w:style w:type="character" w:styleId="FootnoteReference">
    <w:name w:val="footnote reference"/>
    <w:semiHidden/>
    <w:unhideWhenUsed/>
    <w:rsid w:val="00C8707C"/>
    <w:rPr>
      <w:vertAlign w:val="superscript"/>
    </w:rPr>
  </w:style>
  <w:style w:type="character" w:styleId="PageNumber">
    <w:name w:val="page number"/>
    <w:semiHidden/>
    <w:unhideWhenUsed/>
    <w:rsid w:val="00C8707C"/>
    <w:rPr>
      <w:sz w:val="20"/>
    </w:rPr>
  </w:style>
  <w:style w:type="character" w:styleId="EndnoteReference">
    <w:name w:val="endnote reference"/>
    <w:semiHidden/>
    <w:unhideWhenUsed/>
    <w:rsid w:val="00C8707C"/>
    <w:rPr>
      <w:strike w:val="0"/>
      <w:dstrike w:val="0"/>
      <w:u w:val="none"/>
      <w:effect w:val="none"/>
      <w:vertAlign w:val="baseline"/>
    </w:rPr>
  </w:style>
  <w:style w:type="table" w:customStyle="1" w:styleId="LightList-Accent11">
    <w:name w:val="Light List - Accent 11"/>
    <w:basedOn w:val="TableNormal"/>
    <w:uiPriority w:val="61"/>
    <w:rsid w:val="00C8707C"/>
    <w:rPr>
      <w:rFonts w:ascii="Times New Roman" w:eastAsia="Times New Roman" w:hAnsi="Times New Roman"/>
    </w:rPr>
    <w:tblPr>
      <w:tblStyleRowBandSize w:val="1"/>
      <w:tblStyleColBandSize w:val="1"/>
      <w:tblInd w:w="0" w:type="nil"/>
      <w:tblBorders>
        <w:top w:val="single" w:sz="8" w:space="0" w:color="002C47"/>
        <w:left w:val="single" w:sz="8" w:space="0" w:color="002C47"/>
        <w:bottom w:val="single" w:sz="8" w:space="0" w:color="002C47"/>
        <w:right w:val="single" w:sz="8" w:space="0" w:color="002C47"/>
      </w:tblBorders>
    </w:tblPr>
    <w:tblStylePr w:type="firstRow">
      <w:pPr>
        <w:spacing w:beforeLines="0" w:beforeAutospacing="0" w:afterLines="0" w:afterAutospacing="0" w:line="240" w:lineRule="auto"/>
      </w:pPr>
      <w:rPr>
        <w:b/>
        <w:bCs/>
        <w:color w:val="FFFFFF"/>
      </w:rPr>
      <w:tblPr/>
      <w:tcPr>
        <w:shd w:val="clear" w:color="auto" w:fill="002C47"/>
      </w:tcPr>
    </w:tblStylePr>
    <w:tblStylePr w:type="lastRow">
      <w:pPr>
        <w:spacing w:beforeLines="0" w:beforeAutospacing="0" w:afterLines="0" w:afterAutospacing="0" w:line="240" w:lineRule="auto"/>
      </w:pPr>
      <w:rPr>
        <w:b/>
        <w:bCs/>
      </w:rPr>
      <w:tblPr/>
      <w:tcPr>
        <w:tcBorders>
          <w:top w:val="double" w:sz="6" w:space="0" w:color="002C47"/>
          <w:left w:val="single" w:sz="8" w:space="0" w:color="002C47"/>
          <w:bottom w:val="single" w:sz="8" w:space="0" w:color="002C47"/>
          <w:right w:val="single" w:sz="8" w:space="0" w:color="002C47"/>
        </w:tcBorders>
      </w:tcPr>
    </w:tblStylePr>
    <w:tblStylePr w:type="firstCol">
      <w:rPr>
        <w:b/>
        <w:bCs/>
      </w:rPr>
    </w:tblStylePr>
    <w:tblStylePr w:type="lastCol">
      <w:rPr>
        <w:b/>
        <w:bCs/>
      </w:rPr>
    </w:tblStylePr>
    <w:tblStylePr w:type="band1Vert">
      <w:tblPr/>
      <w:tcPr>
        <w:tcBorders>
          <w:top w:val="single" w:sz="8" w:space="0" w:color="002C47"/>
          <w:left w:val="single" w:sz="8" w:space="0" w:color="002C47"/>
          <w:bottom w:val="single" w:sz="8" w:space="0" w:color="002C47"/>
          <w:right w:val="single" w:sz="8" w:space="0" w:color="002C47"/>
        </w:tcBorders>
      </w:tcPr>
    </w:tblStylePr>
    <w:tblStylePr w:type="band1Horz">
      <w:tblPr/>
      <w:tcPr>
        <w:tcBorders>
          <w:top w:val="single" w:sz="8" w:space="0" w:color="002C47"/>
          <w:left w:val="single" w:sz="8" w:space="0" w:color="002C47"/>
          <w:bottom w:val="single" w:sz="8" w:space="0" w:color="002C47"/>
          <w:right w:val="single" w:sz="8" w:space="0" w:color="002C47"/>
        </w:tcBorders>
      </w:tcPr>
    </w:tblStylePr>
  </w:style>
  <w:style w:type="character" w:styleId="Emphasis">
    <w:name w:val="Emphasis"/>
    <w:uiPriority w:val="20"/>
    <w:qFormat/>
    <w:rsid w:val="00C870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98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tga.gov.au/industry/pm-euguidelines-adopted-clinical.htm"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www.tga.gov.au/industry/pm-euguidelines-adopted-clinical.htm" TargetMode="External"/><Relationship Id="rId34"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tga.gov.au/industry/pm-euguidelines-adopted-clinical.htm" TargetMode="External"/><Relationship Id="rId25" Type="http://schemas.openxmlformats.org/officeDocument/2006/relationships/header" Target="header4.xml"/><Relationship Id="rId33"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yperlink" Target="http://www.tga.gov.au/industry/pm-euguidelines-adopted-clinical.htm" TargetMode="External"/><Relationship Id="rId29" Type="http://schemas.openxmlformats.org/officeDocument/2006/relationships/hyperlink" Target="https://www.tga.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ga.copyright@tga.gov.au" TargetMode="External"/><Relationship Id="rId24" Type="http://schemas.openxmlformats.org/officeDocument/2006/relationships/header" Target="header3.xm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hyperlink" Target="http://www.tga.gov.au/industry/pm-euguidelines-adopted-clinical.htm" TargetMode="External"/><Relationship Id="rId28" Type="http://schemas.openxmlformats.org/officeDocument/2006/relationships/hyperlink" Target="mailto:info@tga.gov.au" TargetMode="External"/><Relationship Id="rId36" Type="http://schemas.openxmlformats.org/officeDocument/2006/relationships/theme" Target="theme/theme1.xml"/><Relationship Id="rId10" Type="http://schemas.openxmlformats.org/officeDocument/2006/relationships/hyperlink" Target="https://www.tga.gov.au/product-information-pi" TargetMode="External"/><Relationship Id="rId19" Type="http://schemas.openxmlformats.org/officeDocument/2006/relationships/hyperlink" Target="http://www.tga.gov.au/industry/pm-euguidelines-adopted-clinical.htm" TargetMode="External"/><Relationship Id="rId31"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header" Target="header2.xml"/><Relationship Id="rId22" Type="http://schemas.openxmlformats.org/officeDocument/2006/relationships/hyperlink" Target="http://www.tga.gov.au/industry/pm-euguidelines-adopted-clinical.htm" TargetMode="External"/><Relationship Id="rId27" Type="http://schemas.openxmlformats.org/officeDocument/2006/relationships/footer" Target="footer2.xml"/><Relationship Id="rId30" Type="http://schemas.openxmlformats.org/officeDocument/2006/relationships/header" Target="header6.xm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nn\AppData\Local\Hewlett-Packard\HP%20TRIM\TEMP\HPTRIM.6028\R13%20453302%20%20Clinical%20Evaluation%20Report%20Extrac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8070D-1FDF-4DE6-AD9F-A1D9860D3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R13 453302  Clinical Evaluation Report Extract template</Template>
  <TotalTime>52</TotalTime>
  <Pages>58</Pages>
  <Words>16977</Words>
  <Characters>96775</Characters>
  <Application>Microsoft Office Word</Application>
  <DocSecurity>0</DocSecurity>
  <Lines>806</Lines>
  <Paragraphs>227</Paragraphs>
  <ScaleCrop>false</ScaleCrop>
  <HeadingPairs>
    <vt:vector size="2" baseType="variant">
      <vt:variant>
        <vt:lpstr>Title</vt:lpstr>
      </vt:variant>
      <vt:variant>
        <vt:i4>1</vt:i4>
      </vt:variant>
    </vt:vector>
  </HeadingPairs>
  <TitlesOfParts>
    <vt:vector size="1" baseType="lpstr">
      <vt:lpstr>AusPAR Attachment 2: Extract from the Clinical Evaluation Report for Asunaprevir</vt:lpstr>
    </vt:vector>
  </TitlesOfParts>
  <Company/>
  <LinksUpToDate>false</LinksUpToDate>
  <CharactersWithSpaces>113525</CharactersWithSpaces>
  <SharedDoc>false</SharedDoc>
  <HLinks>
    <vt:vector size="390" baseType="variant">
      <vt:variant>
        <vt:i4>3473445</vt:i4>
      </vt:variant>
      <vt:variant>
        <vt:i4>363</vt:i4>
      </vt:variant>
      <vt:variant>
        <vt:i4>0</vt:i4>
      </vt:variant>
      <vt:variant>
        <vt:i4>5</vt:i4>
      </vt:variant>
      <vt:variant>
        <vt:lpwstr>https://www.tga.gov.au/</vt:lpwstr>
      </vt:variant>
      <vt:variant>
        <vt:lpwstr/>
      </vt:variant>
      <vt:variant>
        <vt:i4>5242926</vt:i4>
      </vt:variant>
      <vt:variant>
        <vt:i4>360</vt:i4>
      </vt:variant>
      <vt:variant>
        <vt:i4>0</vt:i4>
      </vt:variant>
      <vt:variant>
        <vt:i4>5</vt:i4>
      </vt:variant>
      <vt:variant>
        <vt:lpwstr>mailto:info@tga.gov.au</vt:lpwstr>
      </vt:variant>
      <vt:variant>
        <vt:lpwstr/>
      </vt:variant>
      <vt:variant>
        <vt:i4>7602295</vt:i4>
      </vt:variant>
      <vt:variant>
        <vt:i4>357</vt:i4>
      </vt:variant>
      <vt:variant>
        <vt:i4>0</vt:i4>
      </vt:variant>
      <vt:variant>
        <vt:i4>5</vt:i4>
      </vt:variant>
      <vt:variant>
        <vt:lpwstr>http://www.tga.gov.au/industry/pm-euguidelines-adopted-clinical.htm</vt:lpwstr>
      </vt:variant>
      <vt:variant>
        <vt:lpwstr>clinical</vt:lpwstr>
      </vt:variant>
      <vt:variant>
        <vt:i4>7602295</vt:i4>
      </vt:variant>
      <vt:variant>
        <vt:i4>354</vt:i4>
      </vt:variant>
      <vt:variant>
        <vt:i4>0</vt:i4>
      </vt:variant>
      <vt:variant>
        <vt:i4>5</vt:i4>
      </vt:variant>
      <vt:variant>
        <vt:lpwstr>http://www.tga.gov.au/industry/pm-euguidelines-adopted-clinical.htm</vt:lpwstr>
      </vt:variant>
      <vt:variant>
        <vt:lpwstr>clinical</vt:lpwstr>
      </vt:variant>
      <vt:variant>
        <vt:i4>7602295</vt:i4>
      </vt:variant>
      <vt:variant>
        <vt:i4>351</vt:i4>
      </vt:variant>
      <vt:variant>
        <vt:i4>0</vt:i4>
      </vt:variant>
      <vt:variant>
        <vt:i4>5</vt:i4>
      </vt:variant>
      <vt:variant>
        <vt:lpwstr>http://www.tga.gov.au/industry/pm-euguidelines-adopted-clinical.htm</vt:lpwstr>
      </vt:variant>
      <vt:variant>
        <vt:lpwstr>clinical</vt:lpwstr>
      </vt:variant>
      <vt:variant>
        <vt:i4>7602295</vt:i4>
      </vt:variant>
      <vt:variant>
        <vt:i4>348</vt:i4>
      </vt:variant>
      <vt:variant>
        <vt:i4>0</vt:i4>
      </vt:variant>
      <vt:variant>
        <vt:i4>5</vt:i4>
      </vt:variant>
      <vt:variant>
        <vt:lpwstr>http://www.tga.gov.au/industry/pm-euguidelines-adopted-clinical.htm</vt:lpwstr>
      </vt:variant>
      <vt:variant>
        <vt:lpwstr>clinical</vt:lpwstr>
      </vt:variant>
      <vt:variant>
        <vt:i4>7602295</vt:i4>
      </vt:variant>
      <vt:variant>
        <vt:i4>345</vt:i4>
      </vt:variant>
      <vt:variant>
        <vt:i4>0</vt:i4>
      </vt:variant>
      <vt:variant>
        <vt:i4>5</vt:i4>
      </vt:variant>
      <vt:variant>
        <vt:lpwstr>http://www.tga.gov.au/industry/pm-euguidelines-adopted-clinical.htm</vt:lpwstr>
      </vt:variant>
      <vt:variant>
        <vt:lpwstr>clinical</vt:lpwstr>
      </vt:variant>
      <vt:variant>
        <vt:i4>7602295</vt:i4>
      </vt:variant>
      <vt:variant>
        <vt:i4>342</vt:i4>
      </vt:variant>
      <vt:variant>
        <vt:i4>0</vt:i4>
      </vt:variant>
      <vt:variant>
        <vt:i4>5</vt:i4>
      </vt:variant>
      <vt:variant>
        <vt:lpwstr>http://www.tga.gov.au/industry/pm-euguidelines-adopted-clinical.htm</vt:lpwstr>
      </vt:variant>
      <vt:variant>
        <vt:lpwstr>clinical</vt:lpwstr>
      </vt:variant>
      <vt:variant>
        <vt:i4>7602295</vt:i4>
      </vt:variant>
      <vt:variant>
        <vt:i4>339</vt:i4>
      </vt:variant>
      <vt:variant>
        <vt:i4>0</vt:i4>
      </vt:variant>
      <vt:variant>
        <vt:i4>5</vt:i4>
      </vt:variant>
      <vt:variant>
        <vt:lpwstr>http://www.tga.gov.au/industry/pm-euguidelines-adopted-clinical.htm</vt:lpwstr>
      </vt:variant>
      <vt:variant>
        <vt:lpwstr>clinical</vt:lpwstr>
      </vt:variant>
      <vt:variant>
        <vt:i4>1507376</vt:i4>
      </vt:variant>
      <vt:variant>
        <vt:i4>323</vt:i4>
      </vt:variant>
      <vt:variant>
        <vt:i4>0</vt:i4>
      </vt:variant>
      <vt:variant>
        <vt:i4>5</vt:i4>
      </vt:variant>
      <vt:variant>
        <vt:lpwstr/>
      </vt:variant>
      <vt:variant>
        <vt:lpwstr>_Toc431372220</vt:lpwstr>
      </vt:variant>
      <vt:variant>
        <vt:i4>1310768</vt:i4>
      </vt:variant>
      <vt:variant>
        <vt:i4>317</vt:i4>
      </vt:variant>
      <vt:variant>
        <vt:i4>0</vt:i4>
      </vt:variant>
      <vt:variant>
        <vt:i4>5</vt:i4>
      </vt:variant>
      <vt:variant>
        <vt:lpwstr/>
      </vt:variant>
      <vt:variant>
        <vt:lpwstr>_Toc431372219</vt:lpwstr>
      </vt:variant>
      <vt:variant>
        <vt:i4>1310768</vt:i4>
      </vt:variant>
      <vt:variant>
        <vt:i4>311</vt:i4>
      </vt:variant>
      <vt:variant>
        <vt:i4>0</vt:i4>
      </vt:variant>
      <vt:variant>
        <vt:i4>5</vt:i4>
      </vt:variant>
      <vt:variant>
        <vt:lpwstr/>
      </vt:variant>
      <vt:variant>
        <vt:lpwstr>_Toc431372218</vt:lpwstr>
      </vt:variant>
      <vt:variant>
        <vt:i4>1310768</vt:i4>
      </vt:variant>
      <vt:variant>
        <vt:i4>305</vt:i4>
      </vt:variant>
      <vt:variant>
        <vt:i4>0</vt:i4>
      </vt:variant>
      <vt:variant>
        <vt:i4>5</vt:i4>
      </vt:variant>
      <vt:variant>
        <vt:lpwstr/>
      </vt:variant>
      <vt:variant>
        <vt:lpwstr>_Toc431372217</vt:lpwstr>
      </vt:variant>
      <vt:variant>
        <vt:i4>1310768</vt:i4>
      </vt:variant>
      <vt:variant>
        <vt:i4>299</vt:i4>
      </vt:variant>
      <vt:variant>
        <vt:i4>0</vt:i4>
      </vt:variant>
      <vt:variant>
        <vt:i4>5</vt:i4>
      </vt:variant>
      <vt:variant>
        <vt:lpwstr/>
      </vt:variant>
      <vt:variant>
        <vt:lpwstr>_Toc431372216</vt:lpwstr>
      </vt:variant>
      <vt:variant>
        <vt:i4>1310768</vt:i4>
      </vt:variant>
      <vt:variant>
        <vt:i4>293</vt:i4>
      </vt:variant>
      <vt:variant>
        <vt:i4>0</vt:i4>
      </vt:variant>
      <vt:variant>
        <vt:i4>5</vt:i4>
      </vt:variant>
      <vt:variant>
        <vt:lpwstr/>
      </vt:variant>
      <vt:variant>
        <vt:lpwstr>_Toc431372215</vt:lpwstr>
      </vt:variant>
      <vt:variant>
        <vt:i4>1310768</vt:i4>
      </vt:variant>
      <vt:variant>
        <vt:i4>287</vt:i4>
      </vt:variant>
      <vt:variant>
        <vt:i4>0</vt:i4>
      </vt:variant>
      <vt:variant>
        <vt:i4>5</vt:i4>
      </vt:variant>
      <vt:variant>
        <vt:lpwstr/>
      </vt:variant>
      <vt:variant>
        <vt:lpwstr>_Toc431372214</vt:lpwstr>
      </vt:variant>
      <vt:variant>
        <vt:i4>1310768</vt:i4>
      </vt:variant>
      <vt:variant>
        <vt:i4>281</vt:i4>
      </vt:variant>
      <vt:variant>
        <vt:i4>0</vt:i4>
      </vt:variant>
      <vt:variant>
        <vt:i4>5</vt:i4>
      </vt:variant>
      <vt:variant>
        <vt:lpwstr/>
      </vt:variant>
      <vt:variant>
        <vt:lpwstr>_Toc431372213</vt:lpwstr>
      </vt:variant>
      <vt:variant>
        <vt:i4>1310768</vt:i4>
      </vt:variant>
      <vt:variant>
        <vt:i4>275</vt:i4>
      </vt:variant>
      <vt:variant>
        <vt:i4>0</vt:i4>
      </vt:variant>
      <vt:variant>
        <vt:i4>5</vt:i4>
      </vt:variant>
      <vt:variant>
        <vt:lpwstr/>
      </vt:variant>
      <vt:variant>
        <vt:lpwstr>_Toc431372212</vt:lpwstr>
      </vt:variant>
      <vt:variant>
        <vt:i4>1310768</vt:i4>
      </vt:variant>
      <vt:variant>
        <vt:i4>269</vt:i4>
      </vt:variant>
      <vt:variant>
        <vt:i4>0</vt:i4>
      </vt:variant>
      <vt:variant>
        <vt:i4>5</vt:i4>
      </vt:variant>
      <vt:variant>
        <vt:lpwstr/>
      </vt:variant>
      <vt:variant>
        <vt:lpwstr>_Toc431372211</vt:lpwstr>
      </vt:variant>
      <vt:variant>
        <vt:i4>1310768</vt:i4>
      </vt:variant>
      <vt:variant>
        <vt:i4>263</vt:i4>
      </vt:variant>
      <vt:variant>
        <vt:i4>0</vt:i4>
      </vt:variant>
      <vt:variant>
        <vt:i4>5</vt:i4>
      </vt:variant>
      <vt:variant>
        <vt:lpwstr/>
      </vt:variant>
      <vt:variant>
        <vt:lpwstr>_Toc431372210</vt:lpwstr>
      </vt:variant>
      <vt:variant>
        <vt:i4>1376304</vt:i4>
      </vt:variant>
      <vt:variant>
        <vt:i4>257</vt:i4>
      </vt:variant>
      <vt:variant>
        <vt:i4>0</vt:i4>
      </vt:variant>
      <vt:variant>
        <vt:i4>5</vt:i4>
      </vt:variant>
      <vt:variant>
        <vt:lpwstr/>
      </vt:variant>
      <vt:variant>
        <vt:lpwstr>_Toc431372209</vt:lpwstr>
      </vt:variant>
      <vt:variant>
        <vt:i4>1376304</vt:i4>
      </vt:variant>
      <vt:variant>
        <vt:i4>251</vt:i4>
      </vt:variant>
      <vt:variant>
        <vt:i4>0</vt:i4>
      </vt:variant>
      <vt:variant>
        <vt:i4>5</vt:i4>
      </vt:variant>
      <vt:variant>
        <vt:lpwstr/>
      </vt:variant>
      <vt:variant>
        <vt:lpwstr>_Toc431372208</vt:lpwstr>
      </vt:variant>
      <vt:variant>
        <vt:i4>1376304</vt:i4>
      </vt:variant>
      <vt:variant>
        <vt:i4>245</vt:i4>
      </vt:variant>
      <vt:variant>
        <vt:i4>0</vt:i4>
      </vt:variant>
      <vt:variant>
        <vt:i4>5</vt:i4>
      </vt:variant>
      <vt:variant>
        <vt:lpwstr/>
      </vt:variant>
      <vt:variant>
        <vt:lpwstr>_Toc431372207</vt:lpwstr>
      </vt:variant>
      <vt:variant>
        <vt:i4>1376304</vt:i4>
      </vt:variant>
      <vt:variant>
        <vt:i4>239</vt:i4>
      </vt:variant>
      <vt:variant>
        <vt:i4>0</vt:i4>
      </vt:variant>
      <vt:variant>
        <vt:i4>5</vt:i4>
      </vt:variant>
      <vt:variant>
        <vt:lpwstr/>
      </vt:variant>
      <vt:variant>
        <vt:lpwstr>_Toc431372206</vt:lpwstr>
      </vt:variant>
      <vt:variant>
        <vt:i4>1376304</vt:i4>
      </vt:variant>
      <vt:variant>
        <vt:i4>233</vt:i4>
      </vt:variant>
      <vt:variant>
        <vt:i4>0</vt:i4>
      </vt:variant>
      <vt:variant>
        <vt:i4>5</vt:i4>
      </vt:variant>
      <vt:variant>
        <vt:lpwstr/>
      </vt:variant>
      <vt:variant>
        <vt:lpwstr>_Toc431372205</vt:lpwstr>
      </vt:variant>
      <vt:variant>
        <vt:i4>1376304</vt:i4>
      </vt:variant>
      <vt:variant>
        <vt:i4>227</vt:i4>
      </vt:variant>
      <vt:variant>
        <vt:i4>0</vt:i4>
      </vt:variant>
      <vt:variant>
        <vt:i4>5</vt:i4>
      </vt:variant>
      <vt:variant>
        <vt:lpwstr/>
      </vt:variant>
      <vt:variant>
        <vt:lpwstr>_Toc431372204</vt:lpwstr>
      </vt:variant>
      <vt:variant>
        <vt:i4>1376304</vt:i4>
      </vt:variant>
      <vt:variant>
        <vt:i4>221</vt:i4>
      </vt:variant>
      <vt:variant>
        <vt:i4>0</vt:i4>
      </vt:variant>
      <vt:variant>
        <vt:i4>5</vt:i4>
      </vt:variant>
      <vt:variant>
        <vt:lpwstr/>
      </vt:variant>
      <vt:variant>
        <vt:lpwstr>_Toc431372203</vt:lpwstr>
      </vt:variant>
      <vt:variant>
        <vt:i4>1376304</vt:i4>
      </vt:variant>
      <vt:variant>
        <vt:i4>215</vt:i4>
      </vt:variant>
      <vt:variant>
        <vt:i4>0</vt:i4>
      </vt:variant>
      <vt:variant>
        <vt:i4>5</vt:i4>
      </vt:variant>
      <vt:variant>
        <vt:lpwstr/>
      </vt:variant>
      <vt:variant>
        <vt:lpwstr>_Toc431372202</vt:lpwstr>
      </vt:variant>
      <vt:variant>
        <vt:i4>1376304</vt:i4>
      </vt:variant>
      <vt:variant>
        <vt:i4>209</vt:i4>
      </vt:variant>
      <vt:variant>
        <vt:i4>0</vt:i4>
      </vt:variant>
      <vt:variant>
        <vt:i4>5</vt:i4>
      </vt:variant>
      <vt:variant>
        <vt:lpwstr/>
      </vt:variant>
      <vt:variant>
        <vt:lpwstr>_Toc431372201</vt:lpwstr>
      </vt:variant>
      <vt:variant>
        <vt:i4>1376304</vt:i4>
      </vt:variant>
      <vt:variant>
        <vt:i4>203</vt:i4>
      </vt:variant>
      <vt:variant>
        <vt:i4>0</vt:i4>
      </vt:variant>
      <vt:variant>
        <vt:i4>5</vt:i4>
      </vt:variant>
      <vt:variant>
        <vt:lpwstr/>
      </vt:variant>
      <vt:variant>
        <vt:lpwstr>_Toc431372200</vt:lpwstr>
      </vt:variant>
      <vt:variant>
        <vt:i4>1835059</vt:i4>
      </vt:variant>
      <vt:variant>
        <vt:i4>197</vt:i4>
      </vt:variant>
      <vt:variant>
        <vt:i4>0</vt:i4>
      </vt:variant>
      <vt:variant>
        <vt:i4>5</vt:i4>
      </vt:variant>
      <vt:variant>
        <vt:lpwstr/>
      </vt:variant>
      <vt:variant>
        <vt:lpwstr>_Toc431372199</vt:lpwstr>
      </vt:variant>
      <vt:variant>
        <vt:i4>1835059</vt:i4>
      </vt:variant>
      <vt:variant>
        <vt:i4>191</vt:i4>
      </vt:variant>
      <vt:variant>
        <vt:i4>0</vt:i4>
      </vt:variant>
      <vt:variant>
        <vt:i4>5</vt:i4>
      </vt:variant>
      <vt:variant>
        <vt:lpwstr/>
      </vt:variant>
      <vt:variant>
        <vt:lpwstr>_Toc431372198</vt:lpwstr>
      </vt:variant>
      <vt:variant>
        <vt:i4>1835059</vt:i4>
      </vt:variant>
      <vt:variant>
        <vt:i4>185</vt:i4>
      </vt:variant>
      <vt:variant>
        <vt:i4>0</vt:i4>
      </vt:variant>
      <vt:variant>
        <vt:i4>5</vt:i4>
      </vt:variant>
      <vt:variant>
        <vt:lpwstr/>
      </vt:variant>
      <vt:variant>
        <vt:lpwstr>_Toc431372197</vt:lpwstr>
      </vt:variant>
      <vt:variant>
        <vt:i4>1835059</vt:i4>
      </vt:variant>
      <vt:variant>
        <vt:i4>179</vt:i4>
      </vt:variant>
      <vt:variant>
        <vt:i4>0</vt:i4>
      </vt:variant>
      <vt:variant>
        <vt:i4>5</vt:i4>
      </vt:variant>
      <vt:variant>
        <vt:lpwstr/>
      </vt:variant>
      <vt:variant>
        <vt:lpwstr>_Toc431372196</vt:lpwstr>
      </vt:variant>
      <vt:variant>
        <vt:i4>1835059</vt:i4>
      </vt:variant>
      <vt:variant>
        <vt:i4>173</vt:i4>
      </vt:variant>
      <vt:variant>
        <vt:i4>0</vt:i4>
      </vt:variant>
      <vt:variant>
        <vt:i4>5</vt:i4>
      </vt:variant>
      <vt:variant>
        <vt:lpwstr/>
      </vt:variant>
      <vt:variant>
        <vt:lpwstr>_Toc431372195</vt:lpwstr>
      </vt:variant>
      <vt:variant>
        <vt:i4>1835059</vt:i4>
      </vt:variant>
      <vt:variant>
        <vt:i4>167</vt:i4>
      </vt:variant>
      <vt:variant>
        <vt:i4>0</vt:i4>
      </vt:variant>
      <vt:variant>
        <vt:i4>5</vt:i4>
      </vt:variant>
      <vt:variant>
        <vt:lpwstr/>
      </vt:variant>
      <vt:variant>
        <vt:lpwstr>_Toc431372194</vt:lpwstr>
      </vt:variant>
      <vt:variant>
        <vt:i4>1835059</vt:i4>
      </vt:variant>
      <vt:variant>
        <vt:i4>161</vt:i4>
      </vt:variant>
      <vt:variant>
        <vt:i4>0</vt:i4>
      </vt:variant>
      <vt:variant>
        <vt:i4>5</vt:i4>
      </vt:variant>
      <vt:variant>
        <vt:lpwstr/>
      </vt:variant>
      <vt:variant>
        <vt:lpwstr>_Toc431372193</vt:lpwstr>
      </vt:variant>
      <vt:variant>
        <vt:i4>1835059</vt:i4>
      </vt:variant>
      <vt:variant>
        <vt:i4>155</vt:i4>
      </vt:variant>
      <vt:variant>
        <vt:i4>0</vt:i4>
      </vt:variant>
      <vt:variant>
        <vt:i4>5</vt:i4>
      </vt:variant>
      <vt:variant>
        <vt:lpwstr/>
      </vt:variant>
      <vt:variant>
        <vt:lpwstr>_Toc431372192</vt:lpwstr>
      </vt:variant>
      <vt:variant>
        <vt:i4>1835059</vt:i4>
      </vt:variant>
      <vt:variant>
        <vt:i4>149</vt:i4>
      </vt:variant>
      <vt:variant>
        <vt:i4>0</vt:i4>
      </vt:variant>
      <vt:variant>
        <vt:i4>5</vt:i4>
      </vt:variant>
      <vt:variant>
        <vt:lpwstr/>
      </vt:variant>
      <vt:variant>
        <vt:lpwstr>_Toc431372191</vt:lpwstr>
      </vt:variant>
      <vt:variant>
        <vt:i4>1835059</vt:i4>
      </vt:variant>
      <vt:variant>
        <vt:i4>143</vt:i4>
      </vt:variant>
      <vt:variant>
        <vt:i4>0</vt:i4>
      </vt:variant>
      <vt:variant>
        <vt:i4>5</vt:i4>
      </vt:variant>
      <vt:variant>
        <vt:lpwstr/>
      </vt:variant>
      <vt:variant>
        <vt:lpwstr>_Toc431372190</vt:lpwstr>
      </vt:variant>
      <vt:variant>
        <vt:i4>1900595</vt:i4>
      </vt:variant>
      <vt:variant>
        <vt:i4>137</vt:i4>
      </vt:variant>
      <vt:variant>
        <vt:i4>0</vt:i4>
      </vt:variant>
      <vt:variant>
        <vt:i4>5</vt:i4>
      </vt:variant>
      <vt:variant>
        <vt:lpwstr/>
      </vt:variant>
      <vt:variant>
        <vt:lpwstr>_Toc431372189</vt:lpwstr>
      </vt:variant>
      <vt:variant>
        <vt:i4>1900595</vt:i4>
      </vt:variant>
      <vt:variant>
        <vt:i4>131</vt:i4>
      </vt:variant>
      <vt:variant>
        <vt:i4>0</vt:i4>
      </vt:variant>
      <vt:variant>
        <vt:i4>5</vt:i4>
      </vt:variant>
      <vt:variant>
        <vt:lpwstr/>
      </vt:variant>
      <vt:variant>
        <vt:lpwstr>_Toc431372188</vt:lpwstr>
      </vt:variant>
      <vt:variant>
        <vt:i4>1900595</vt:i4>
      </vt:variant>
      <vt:variant>
        <vt:i4>125</vt:i4>
      </vt:variant>
      <vt:variant>
        <vt:i4>0</vt:i4>
      </vt:variant>
      <vt:variant>
        <vt:i4>5</vt:i4>
      </vt:variant>
      <vt:variant>
        <vt:lpwstr/>
      </vt:variant>
      <vt:variant>
        <vt:lpwstr>_Toc431372187</vt:lpwstr>
      </vt:variant>
      <vt:variant>
        <vt:i4>1900595</vt:i4>
      </vt:variant>
      <vt:variant>
        <vt:i4>119</vt:i4>
      </vt:variant>
      <vt:variant>
        <vt:i4>0</vt:i4>
      </vt:variant>
      <vt:variant>
        <vt:i4>5</vt:i4>
      </vt:variant>
      <vt:variant>
        <vt:lpwstr/>
      </vt:variant>
      <vt:variant>
        <vt:lpwstr>_Toc431372186</vt:lpwstr>
      </vt:variant>
      <vt:variant>
        <vt:i4>1900595</vt:i4>
      </vt:variant>
      <vt:variant>
        <vt:i4>113</vt:i4>
      </vt:variant>
      <vt:variant>
        <vt:i4>0</vt:i4>
      </vt:variant>
      <vt:variant>
        <vt:i4>5</vt:i4>
      </vt:variant>
      <vt:variant>
        <vt:lpwstr/>
      </vt:variant>
      <vt:variant>
        <vt:lpwstr>_Toc431372185</vt:lpwstr>
      </vt:variant>
      <vt:variant>
        <vt:i4>1900595</vt:i4>
      </vt:variant>
      <vt:variant>
        <vt:i4>107</vt:i4>
      </vt:variant>
      <vt:variant>
        <vt:i4>0</vt:i4>
      </vt:variant>
      <vt:variant>
        <vt:i4>5</vt:i4>
      </vt:variant>
      <vt:variant>
        <vt:lpwstr/>
      </vt:variant>
      <vt:variant>
        <vt:lpwstr>_Toc431372184</vt:lpwstr>
      </vt:variant>
      <vt:variant>
        <vt:i4>1900595</vt:i4>
      </vt:variant>
      <vt:variant>
        <vt:i4>101</vt:i4>
      </vt:variant>
      <vt:variant>
        <vt:i4>0</vt:i4>
      </vt:variant>
      <vt:variant>
        <vt:i4>5</vt:i4>
      </vt:variant>
      <vt:variant>
        <vt:lpwstr/>
      </vt:variant>
      <vt:variant>
        <vt:lpwstr>_Toc431372183</vt:lpwstr>
      </vt:variant>
      <vt:variant>
        <vt:i4>1900595</vt:i4>
      </vt:variant>
      <vt:variant>
        <vt:i4>95</vt:i4>
      </vt:variant>
      <vt:variant>
        <vt:i4>0</vt:i4>
      </vt:variant>
      <vt:variant>
        <vt:i4>5</vt:i4>
      </vt:variant>
      <vt:variant>
        <vt:lpwstr/>
      </vt:variant>
      <vt:variant>
        <vt:lpwstr>_Toc431372182</vt:lpwstr>
      </vt:variant>
      <vt:variant>
        <vt:i4>1900595</vt:i4>
      </vt:variant>
      <vt:variant>
        <vt:i4>89</vt:i4>
      </vt:variant>
      <vt:variant>
        <vt:i4>0</vt:i4>
      </vt:variant>
      <vt:variant>
        <vt:i4>5</vt:i4>
      </vt:variant>
      <vt:variant>
        <vt:lpwstr/>
      </vt:variant>
      <vt:variant>
        <vt:lpwstr>_Toc431372181</vt:lpwstr>
      </vt:variant>
      <vt:variant>
        <vt:i4>1900595</vt:i4>
      </vt:variant>
      <vt:variant>
        <vt:i4>83</vt:i4>
      </vt:variant>
      <vt:variant>
        <vt:i4>0</vt:i4>
      </vt:variant>
      <vt:variant>
        <vt:i4>5</vt:i4>
      </vt:variant>
      <vt:variant>
        <vt:lpwstr/>
      </vt:variant>
      <vt:variant>
        <vt:lpwstr>_Toc431372180</vt:lpwstr>
      </vt:variant>
      <vt:variant>
        <vt:i4>1179699</vt:i4>
      </vt:variant>
      <vt:variant>
        <vt:i4>77</vt:i4>
      </vt:variant>
      <vt:variant>
        <vt:i4>0</vt:i4>
      </vt:variant>
      <vt:variant>
        <vt:i4>5</vt:i4>
      </vt:variant>
      <vt:variant>
        <vt:lpwstr/>
      </vt:variant>
      <vt:variant>
        <vt:lpwstr>_Toc431372179</vt:lpwstr>
      </vt:variant>
      <vt:variant>
        <vt:i4>1179699</vt:i4>
      </vt:variant>
      <vt:variant>
        <vt:i4>71</vt:i4>
      </vt:variant>
      <vt:variant>
        <vt:i4>0</vt:i4>
      </vt:variant>
      <vt:variant>
        <vt:i4>5</vt:i4>
      </vt:variant>
      <vt:variant>
        <vt:lpwstr/>
      </vt:variant>
      <vt:variant>
        <vt:lpwstr>_Toc431372178</vt:lpwstr>
      </vt:variant>
      <vt:variant>
        <vt:i4>1179699</vt:i4>
      </vt:variant>
      <vt:variant>
        <vt:i4>65</vt:i4>
      </vt:variant>
      <vt:variant>
        <vt:i4>0</vt:i4>
      </vt:variant>
      <vt:variant>
        <vt:i4>5</vt:i4>
      </vt:variant>
      <vt:variant>
        <vt:lpwstr/>
      </vt:variant>
      <vt:variant>
        <vt:lpwstr>_Toc431372177</vt:lpwstr>
      </vt:variant>
      <vt:variant>
        <vt:i4>1179699</vt:i4>
      </vt:variant>
      <vt:variant>
        <vt:i4>59</vt:i4>
      </vt:variant>
      <vt:variant>
        <vt:i4>0</vt:i4>
      </vt:variant>
      <vt:variant>
        <vt:i4>5</vt:i4>
      </vt:variant>
      <vt:variant>
        <vt:lpwstr/>
      </vt:variant>
      <vt:variant>
        <vt:lpwstr>_Toc431372176</vt:lpwstr>
      </vt:variant>
      <vt:variant>
        <vt:i4>1179699</vt:i4>
      </vt:variant>
      <vt:variant>
        <vt:i4>53</vt:i4>
      </vt:variant>
      <vt:variant>
        <vt:i4>0</vt:i4>
      </vt:variant>
      <vt:variant>
        <vt:i4>5</vt:i4>
      </vt:variant>
      <vt:variant>
        <vt:lpwstr/>
      </vt:variant>
      <vt:variant>
        <vt:lpwstr>_Toc431372175</vt:lpwstr>
      </vt:variant>
      <vt:variant>
        <vt:i4>1179699</vt:i4>
      </vt:variant>
      <vt:variant>
        <vt:i4>47</vt:i4>
      </vt:variant>
      <vt:variant>
        <vt:i4>0</vt:i4>
      </vt:variant>
      <vt:variant>
        <vt:i4>5</vt:i4>
      </vt:variant>
      <vt:variant>
        <vt:lpwstr/>
      </vt:variant>
      <vt:variant>
        <vt:lpwstr>_Toc431372174</vt:lpwstr>
      </vt:variant>
      <vt:variant>
        <vt:i4>1179699</vt:i4>
      </vt:variant>
      <vt:variant>
        <vt:i4>41</vt:i4>
      </vt:variant>
      <vt:variant>
        <vt:i4>0</vt:i4>
      </vt:variant>
      <vt:variant>
        <vt:i4>5</vt:i4>
      </vt:variant>
      <vt:variant>
        <vt:lpwstr/>
      </vt:variant>
      <vt:variant>
        <vt:lpwstr>_Toc431372173</vt:lpwstr>
      </vt:variant>
      <vt:variant>
        <vt:i4>1179699</vt:i4>
      </vt:variant>
      <vt:variant>
        <vt:i4>35</vt:i4>
      </vt:variant>
      <vt:variant>
        <vt:i4>0</vt:i4>
      </vt:variant>
      <vt:variant>
        <vt:i4>5</vt:i4>
      </vt:variant>
      <vt:variant>
        <vt:lpwstr/>
      </vt:variant>
      <vt:variant>
        <vt:lpwstr>_Toc431372172</vt:lpwstr>
      </vt:variant>
      <vt:variant>
        <vt:i4>1179699</vt:i4>
      </vt:variant>
      <vt:variant>
        <vt:i4>29</vt:i4>
      </vt:variant>
      <vt:variant>
        <vt:i4>0</vt:i4>
      </vt:variant>
      <vt:variant>
        <vt:i4>5</vt:i4>
      </vt:variant>
      <vt:variant>
        <vt:lpwstr/>
      </vt:variant>
      <vt:variant>
        <vt:lpwstr>_Toc431372171</vt:lpwstr>
      </vt:variant>
      <vt:variant>
        <vt:i4>1179699</vt:i4>
      </vt:variant>
      <vt:variant>
        <vt:i4>23</vt:i4>
      </vt:variant>
      <vt:variant>
        <vt:i4>0</vt:i4>
      </vt:variant>
      <vt:variant>
        <vt:i4>5</vt:i4>
      </vt:variant>
      <vt:variant>
        <vt:lpwstr/>
      </vt:variant>
      <vt:variant>
        <vt:lpwstr>_Toc431372170</vt:lpwstr>
      </vt:variant>
      <vt:variant>
        <vt:i4>1245235</vt:i4>
      </vt:variant>
      <vt:variant>
        <vt:i4>17</vt:i4>
      </vt:variant>
      <vt:variant>
        <vt:i4>0</vt:i4>
      </vt:variant>
      <vt:variant>
        <vt:i4>5</vt:i4>
      </vt:variant>
      <vt:variant>
        <vt:lpwstr/>
      </vt:variant>
      <vt:variant>
        <vt:lpwstr>_Toc431372169</vt:lpwstr>
      </vt:variant>
      <vt:variant>
        <vt:i4>1245235</vt:i4>
      </vt:variant>
      <vt:variant>
        <vt:i4>11</vt:i4>
      </vt:variant>
      <vt:variant>
        <vt:i4>0</vt:i4>
      </vt:variant>
      <vt:variant>
        <vt:i4>5</vt:i4>
      </vt:variant>
      <vt:variant>
        <vt:lpwstr/>
      </vt:variant>
      <vt:variant>
        <vt:lpwstr>_Toc431372168</vt:lpwstr>
      </vt:variant>
      <vt:variant>
        <vt:i4>6291548</vt:i4>
      </vt:variant>
      <vt:variant>
        <vt:i4>6</vt:i4>
      </vt:variant>
      <vt:variant>
        <vt:i4>0</vt:i4>
      </vt:variant>
      <vt:variant>
        <vt:i4>5</vt:i4>
      </vt:variant>
      <vt:variant>
        <vt:lpwstr>mailto:tga.copyright@tga.gov.au</vt:lpwstr>
      </vt:variant>
      <vt:variant>
        <vt:lpwstr/>
      </vt:variant>
      <vt:variant>
        <vt:i4>4194312</vt:i4>
      </vt:variant>
      <vt:variant>
        <vt:i4>3</vt:i4>
      </vt:variant>
      <vt:variant>
        <vt:i4>0</vt:i4>
      </vt:variant>
      <vt:variant>
        <vt:i4>5</vt:i4>
      </vt:variant>
      <vt:variant>
        <vt:lpwstr>https://www.tga.gov.au/product-information-pi</vt:lpwstr>
      </vt:variant>
      <vt:variant>
        <vt:lpwstr/>
      </vt:variant>
      <vt:variant>
        <vt:i4>3473445</vt:i4>
      </vt:variant>
      <vt:variant>
        <vt:i4>0</vt:i4>
      </vt:variant>
      <vt:variant>
        <vt:i4>0</vt:i4>
      </vt:variant>
      <vt:variant>
        <vt:i4>5</vt:i4>
      </vt:variant>
      <vt:variant>
        <vt:lpwstr>https://www.tga.gov.au/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2: Extract from the Clinical Evaluation Report for Asunaprevir</dc:title>
  <dc:subject>prescription medicines</dc:subject>
  <dc:creator>Therapeutic Goods Administration</dc:creator>
  <cp:keywords>AusPARs</cp:keywords>
  <cp:lastModifiedBy>Lack, Janet</cp:lastModifiedBy>
  <cp:revision>7</cp:revision>
  <cp:lastPrinted>2015-09-22T23:53:00Z</cp:lastPrinted>
  <dcterms:created xsi:type="dcterms:W3CDTF">2015-12-14T00:35:00Z</dcterms:created>
  <dcterms:modified xsi:type="dcterms:W3CDTF">2015-12-17T00:46:00Z</dcterms:modified>
</cp:coreProperties>
</file>