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AB" w:rsidRPr="00F9786F" w:rsidRDefault="00610CAB" w:rsidP="005C2EA5">
      <w:pPr>
        <w:pStyle w:val="Title"/>
        <w:rPr>
          <w:lang w:val="en-US"/>
        </w:rPr>
      </w:pPr>
      <w:r w:rsidRPr="00F9786F">
        <w:rPr>
          <w:lang w:val="en-US"/>
        </w:rPr>
        <w:t>S</w:t>
      </w:r>
      <w:r w:rsidR="003C536D">
        <w:rPr>
          <w:lang w:val="en-US"/>
        </w:rPr>
        <w:t>TRENSIQ</w:t>
      </w:r>
      <w:r w:rsidRPr="00F9786F">
        <w:rPr>
          <w:vertAlign w:val="superscript"/>
          <w:lang w:val="en-US"/>
        </w:rPr>
        <w:t>®</w:t>
      </w:r>
    </w:p>
    <w:p w:rsidR="00BE38BB" w:rsidRPr="00F9786F" w:rsidRDefault="00BE38BB" w:rsidP="00F9786F">
      <w:pPr>
        <w:pStyle w:val="Default"/>
        <w:rPr>
          <w:rFonts w:ascii="Times New Roman" w:hAnsi="Times New Roman" w:cs="Times New Roman"/>
          <w:color w:val="auto"/>
          <w:lang w:val="en-AU"/>
        </w:rPr>
      </w:pPr>
    </w:p>
    <w:p w:rsidR="00BE38BB" w:rsidRPr="00F9786F" w:rsidRDefault="002B7EA6" w:rsidP="00F9786F">
      <w:pPr>
        <w:pStyle w:val="Default"/>
        <w:rPr>
          <w:rFonts w:ascii="Times New Roman" w:hAnsi="Times New Roman" w:cs="Times New Roman"/>
          <w:b/>
          <w:color w:val="auto"/>
          <w:lang w:val="en-AU"/>
        </w:rPr>
      </w:pPr>
      <w:r w:rsidRPr="00F9786F">
        <w:rPr>
          <w:rFonts w:ascii="Times New Roman" w:hAnsi="Times New Roman" w:cs="Times New Roman"/>
          <w:b/>
          <w:color w:val="auto"/>
          <w:lang w:val="en-AU"/>
        </w:rPr>
        <w:t>NAME OF THE MEDICINE</w:t>
      </w:r>
    </w:p>
    <w:p w:rsidR="001C1C5D" w:rsidRPr="00F9786F" w:rsidRDefault="001C1C5D" w:rsidP="00F9786F">
      <w:pPr>
        <w:pStyle w:val="Default"/>
        <w:rPr>
          <w:rFonts w:ascii="Times New Roman" w:hAnsi="Times New Roman" w:cs="Times New Roman"/>
          <w:color w:val="auto"/>
          <w:lang w:val="en-AU"/>
        </w:rPr>
      </w:pPr>
    </w:p>
    <w:p w:rsidR="0062284C" w:rsidRPr="00F9786F" w:rsidRDefault="00B94415" w:rsidP="00F9786F">
      <w:pPr>
        <w:pStyle w:val="CM16"/>
        <w:spacing w:after="0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>STRENSIQ</w:t>
      </w:r>
      <w:r w:rsidRPr="00445E6C">
        <w:rPr>
          <w:rFonts w:ascii="Times New Roman" w:hAnsi="Times New Roman"/>
          <w:vertAlign w:val="superscript"/>
          <w:lang w:val="en-AU"/>
        </w:rPr>
        <w:t>®</w:t>
      </w:r>
    </w:p>
    <w:p w:rsidR="00B94415" w:rsidRDefault="00B94415" w:rsidP="00F9786F">
      <w:pPr>
        <w:pStyle w:val="CM16"/>
        <w:spacing w:after="0"/>
        <w:rPr>
          <w:rFonts w:ascii="Times New Roman" w:hAnsi="Times New Roman"/>
          <w:lang w:val="en-AU"/>
        </w:rPr>
      </w:pPr>
      <w:proofErr w:type="spellStart"/>
      <w:r>
        <w:rPr>
          <w:rFonts w:ascii="Times New Roman" w:hAnsi="Times New Roman"/>
          <w:lang w:val="en-AU"/>
        </w:rPr>
        <w:t>Asfotase</w:t>
      </w:r>
      <w:proofErr w:type="spellEnd"/>
      <w:r>
        <w:rPr>
          <w:rFonts w:ascii="Times New Roman" w:hAnsi="Times New Roman"/>
          <w:lang w:val="en-AU"/>
        </w:rPr>
        <w:t xml:space="preserve"> alfa</w:t>
      </w:r>
      <w:r w:rsidR="005D462A">
        <w:rPr>
          <w:rFonts w:ascii="Times New Roman" w:hAnsi="Times New Roman"/>
          <w:lang w:val="en-AU"/>
        </w:rPr>
        <w:t xml:space="preserve"> </w:t>
      </w:r>
      <w:proofErr w:type="spellStart"/>
      <w:r w:rsidR="009170F6" w:rsidRPr="005D462A">
        <w:rPr>
          <w:rFonts w:ascii="Times New Roman" w:hAnsi="Times New Roman"/>
          <w:i/>
          <w:lang w:val="en-AU"/>
        </w:rPr>
        <w:t>r</w:t>
      </w:r>
      <w:r w:rsidRPr="005D462A">
        <w:rPr>
          <w:rFonts w:ascii="Times New Roman" w:hAnsi="Times New Roman"/>
          <w:i/>
          <w:lang w:val="en-AU"/>
        </w:rPr>
        <w:t>ch</w:t>
      </w:r>
      <w:proofErr w:type="spellEnd"/>
      <w:r w:rsidR="0062284C" w:rsidRPr="00F9786F">
        <w:rPr>
          <w:rFonts w:ascii="Times New Roman" w:hAnsi="Times New Roman"/>
          <w:lang w:val="en-AU"/>
        </w:rPr>
        <w:t xml:space="preserve"> </w:t>
      </w:r>
      <w:r w:rsidR="007A611B" w:rsidRPr="00F9786F">
        <w:rPr>
          <w:rFonts w:ascii="Times New Roman" w:hAnsi="Times New Roman"/>
          <w:lang w:val="en-AU"/>
        </w:rPr>
        <w:t>solution for</w:t>
      </w:r>
      <w:r w:rsidR="00F51F9E" w:rsidRPr="00F9786F">
        <w:rPr>
          <w:rFonts w:ascii="Times New Roman" w:hAnsi="Times New Roman"/>
          <w:lang w:val="en-AU"/>
        </w:rPr>
        <w:t xml:space="preserve"> </w:t>
      </w:r>
      <w:r>
        <w:rPr>
          <w:rFonts w:ascii="Times New Roman" w:hAnsi="Times New Roman"/>
          <w:lang w:val="en-AU"/>
        </w:rPr>
        <w:t>injection</w:t>
      </w:r>
      <w:r w:rsidR="0062284C" w:rsidRPr="00F9786F">
        <w:rPr>
          <w:rFonts w:ascii="Times New Roman" w:hAnsi="Times New Roman"/>
          <w:lang w:val="en-AU"/>
        </w:rPr>
        <w:t xml:space="preserve"> </w:t>
      </w:r>
    </w:p>
    <w:p w:rsidR="00B94415" w:rsidRDefault="00B94415" w:rsidP="00F9786F">
      <w:pPr>
        <w:pStyle w:val="CM16"/>
        <w:spacing w:after="0"/>
        <w:rPr>
          <w:rFonts w:ascii="Times New Roman" w:hAnsi="Times New Roman"/>
          <w:lang w:val="en-AU"/>
        </w:rPr>
      </w:pPr>
    </w:p>
    <w:p w:rsidR="00B94415" w:rsidRDefault="001753EA" w:rsidP="00F9786F">
      <w:pPr>
        <w:pStyle w:val="CM16"/>
        <w:spacing w:after="0"/>
        <w:rPr>
          <w:rFonts w:ascii="Times New Roman" w:hAnsi="Times New Roman"/>
          <w:lang w:val="en-AU"/>
        </w:rPr>
      </w:pPr>
      <w:r>
        <w:rPr>
          <w:noProof/>
          <w:lang w:val="en-AU" w:eastAsia="en-AU"/>
        </w:rPr>
        <w:drawing>
          <wp:inline distT="0" distB="0" distL="0" distR="0">
            <wp:extent cx="3400425" cy="2362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4C" w:rsidRDefault="0062284C" w:rsidP="00F9786F">
      <w:pPr>
        <w:pStyle w:val="CM16"/>
        <w:spacing w:after="0"/>
        <w:rPr>
          <w:rFonts w:ascii="Times New Roman" w:hAnsi="Times New Roman"/>
          <w:lang w:val="en-AU"/>
        </w:rPr>
      </w:pPr>
      <w:r w:rsidRPr="00F9786F">
        <w:rPr>
          <w:rFonts w:ascii="Times New Roman" w:hAnsi="Times New Roman"/>
          <w:lang w:val="en-AU"/>
        </w:rPr>
        <w:t>(CAS registry number:</w:t>
      </w:r>
      <w:r w:rsidR="005E1B1D" w:rsidRPr="00F9786F">
        <w:rPr>
          <w:rFonts w:ascii="Times New Roman" w:hAnsi="Times New Roman"/>
          <w:lang w:val="en-AU"/>
        </w:rPr>
        <w:t xml:space="preserve">  219685-50-4</w:t>
      </w:r>
      <w:r w:rsidRPr="00F9786F">
        <w:rPr>
          <w:rFonts w:ascii="Times New Roman" w:hAnsi="Times New Roman"/>
          <w:lang w:val="en-AU"/>
        </w:rPr>
        <w:t>).</w:t>
      </w:r>
    </w:p>
    <w:p w:rsidR="0062284C" w:rsidRDefault="002B7EA6" w:rsidP="00490370">
      <w:pPr>
        <w:pStyle w:val="PIMajorHeading"/>
      </w:pPr>
      <w:r w:rsidRPr="00425CBA">
        <w:t>DESCRIPTION</w:t>
      </w:r>
    </w:p>
    <w:p w:rsidR="00F9786F" w:rsidRPr="00F9786F" w:rsidRDefault="00B7438A" w:rsidP="000B5A96">
      <w:r>
        <w:rPr>
          <w:lang w:val="en-US"/>
        </w:rPr>
        <w:t>STRENSIQ</w:t>
      </w:r>
      <w:r w:rsidR="00E461F4">
        <w:rPr>
          <w:lang w:val="en-US"/>
        </w:rPr>
        <w:t xml:space="preserve"> is supplied </w:t>
      </w:r>
      <w:r w:rsidR="0096038F">
        <w:rPr>
          <w:lang w:val="en-US"/>
        </w:rPr>
        <w:t xml:space="preserve">as </w:t>
      </w:r>
      <w:r w:rsidR="00E461F4">
        <w:rPr>
          <w:lang w:val="en-US"/>
        </w:rPr>
        <w:t xml:space="preserve">a single-use vial containing </w:t>
      </w:r>
      <w:r w:rsidR="00E461F4" w:rsidRPr="00E461F4">
        <w:rPr>
          <w:lang w:val="en-US"/>
        </w:rPr>
        <w:t xml:space="preserve">40 or 100 mg/mL </w:t>
      </w:r>
      <w:r w:rsidR="00E461F4">
        <w:rPr>
          <w:lang w:val="en-US"/>
        </w:rPr>
        <w:t xml:space="preserve">of </w:t>
      </w:r>
      <w:proofErr w:type="spellStart"/>
      <w:r w:rsidR="00E461F4">
        <w:rPr>
          <w:lang w:val="en-US"/>
        </w:rPr>
        <w:t>asfotase</w:t>
      </w:r>
      <w:proofErr w:type="spellEnd"/>
      <w:r w:rsidR="00E461F4">
        <w:rPr>
          <w:lang w:val="en-US"/>
        </w:rPr>
        <w:t xml:space="preserve"> alfa</w:t>
      </w:r>
      <w:r w:rsidR="00732E54">
        <w:rPr>
          <w:lang w:val="en-US"/>
        </w:rPr>
        <w:t xml:space="preserve"> </w:t>
      </w:r>
      <w:proofErr w:type="spellStart"/>
      <w:r w:rsidR="00732E54" w:rsidRPr="00732E54">
        <w:rPr>
          <w:i/>
          <w:lang w:val="en-US"/>
        </w:rPr>
        <w:t>rch</w:t>
      </w:r>
      <w:proofErr w:type="spellEnd"/>
      <w:r w:rsidR="00E461F4">
        <w:rPr>
          <w:lang w:val="en-US"/>
        </w:rPr>
        <w:t xml:space="preserve"> with the following excipients sodium chloride, sodium phosphate</w:t>
      </w:r>
      <w:r w:rsidR="00046073">
        <w:rPr>
          <w:lang w:val="en-US"/>
        </w:rPr>
        <w:t xml:space="preserve"> </w:t>
      </w:r>
      <w:r w:rsidR="00046073" w:rsidRPr="00046073">
        <w:rPr>
          <w:lang w:val="en-US"/>
        </w:rPr>
        <w:t xml:space="preserve">- dibasic </w:t>
      </w:r>
      <w:proofErr w:type="spellStart"/>
      <w:r w:rsidR="00046073" w:rsidRPr="00046073">
        <w:rPr>
          <w:lang w:val="en-US"/>
        </w:rPr>
        <w:t>heptahydrate</w:t>
      </w:r>
      <w:proofErr w:type="spellEnd"/>
      <w:r w:rsidR="00E461F4">
        <w:rPr>
          <w:lang w:val="en-US"/>
        </w:rPr>
        <w:t xml:space="preserve">, </w:t>
      </w:r>
      <w:r w:rsidR="00046073">
        <w:rPr>
          <w:lang w:val="en-US"/>
        </w:rPr>
        <w:t>s</w:t>
      </w:r>
      <w:r w:rsidR="00046073" w:rsidRPr="00046073">
        <w:rPr>
          <w:lang w:val="en-US"/>
        </w:rPr>
        <w:t>odium phosphate - monobasic monohydrate</w:t>
      </w:r>
      <w:r w:rsidR="00E461F4">
        <w:rPr>
          <w:lang w:val="en-US"/>
        </w:rPr>
        <w:t xml:space="preserve"> and Water for Injections.</w:t>
      </w:r>
    </w:p>
    <w:p w:rsidR="00113373" w:rsidRDefault="00113373" w:rsidP="00E93D98">
      <w:pPr>
        <w:pStyle w:val="Default"/>
      </w:pPr>
    </w:p>
    <w:p w:rsidR="00E93D98" w:rsidRDefault="00E93D98" w:rsidP="00E93D98">
      <w:pPr>
        <w:pStyle w:val="Default"/>
        <w:rPr>
          <w:rFonts w:ascii="Times New Roman" w:hAnsi="Times New Roman" w:cs="Times New Roman"/>
          <w:color w:val="auto"/>
          <w:lang w:val="en-AU"/>
        </w:rPr>
      </w:pPr>
      <w:proofErr w:type="spellStart"/>
      <w:r>
        <w:rPr>
          <w:rFonts w:ascii="Times New Roman" w:hAnsi="Times New Roman" w:cs="Times New Roman"/>
          <w:color w:val="auto"/>
          <w:lang w:val="en-AU"/>
        </w:rPr>
        <w:t>Asfotase</w:t>
      </w:r>
      <w:proofErr w:type="spellEnd"/>
      <w:r>
        <w:rPr>
          <w:rFonts w:ascii="Times New Roman" w:hAnsi="Times New Roman" w:cs="Times New Roman"/>
          <w:color w:val="auto"/>
          <w:lang w:val="en-AU"/>
        </w:rPr>
        <w:t xml:space="preserve"> alfa</w:t>
      </w:r>
      <w:r w:rsidR="00732E54">
        <w:rPr>
          <w:rFonts w:ascii="Times New Roman" w:hAnsi="Times New Roman" w:cs="Times New Roman"/>
          <w:color w:val="auto"/>
          <w:lang w:val="en-AU"/>
        </w:rPr>
        <w:t xml:space="preserve"> </w:t>
      </w:r>
      <w:proofErr w:type="spellStart"/>
      <w:r w:rsidR="00732E54" w:rsidRPr="00732E54">
        <w:rPr>
          <w:rFonts w:ascii="Times New Roman" w:hAnsi="Times New Roman" w:cs="Times New Roman"/>
          <w:i/>
          <w:color w:val="auto"/>
          <w:lang w:val="en-AU"/>
        </w:rPr>
        <w:t>rch</w:t>
      </w:r>
      <w:proofErr w:type="spellEnd"/>
      <w:r>
        <w:rPr>
          <w:rFonts w:ascii="Times New Roman" w:hAnsi="Times New Roman" w:cs="Times New Roman"/>
          <w:color w:val="auto"/>
          <w:lang w:val="en-AU"/>
        </w:rPr>
        <w:t xml:space="preserve"> is a human recombinant tissue-nonspecific alkaline phosphatase</w:t>
      </w:r>
      <w:r w:rsidR="00E55BEA">
        <w:rPr>
          <w:rFonts w:ascii="Times New Roman" w:hAnsi="Times New Roman" w:cs="Times New Roman"/>
          <w:color w:val="auto"/>
          <w:lang w:val="en-AU"/>
        </w:rPr>
        <w:t xml:space="preserve"> (TNSALP)</w:t>
      </w:r>
      <w:r>
        <w:rPr>
          <w:rFonts w:ascii="Times New Roman" w:hAnsi="Times New Roman" w:cs="Times New Roman"/>
          <w:color w:val="auto"/>
          <w:lang w:val="en-AU"/>
        </w:rPr>
        <w:t>-Fc-</w:t>
      </w:r>
      <w:proofErr w:type="spellStart"/>
      <w:r>
        <w:rPr>
          <w:rFonts w:ascii="Times New Roman" w:hAnsi="Times New Roman" w:cs="Times New Roman"/>
          <w:color w:val="auto"/>
          <w:lang w:val="en-AU"/>
        </w:rPr>
        <w:t>deca</w:t>
      </w:r>
      <w:proofErr w:type="spellEnd"/>
      <w:r>
        <w:rPr>
          <w:rFonts w:ascii="Times New Roman" w:hAnsi="Times New Roman" w:cs="Times New Roman"/>
          <w:color w:val="auto"/>
          <w:lang w:val="en-AU"/>
        </w:rPr>
        <w:t xml:space="preserve">-aspartate fusion protein with enzymatic activity, produced by recombinant DNA technology using mammalian Chinese Hamster Ovary (CHO) cell culture. </w:t>
      </w:r>
    </w:p>
    <w:p w:rsidR="00113373" w:rsidRDefault="003351C1" w:rsidP="00113373">
      <w:pPr>
        <w:pStyle w:val="PIMajorHeading"/>
      </w:pPr>
      <w:r w:rsidRPr="00F9786F">
        <w:t>PHARMACOLOGY</w:t>
      </w:r>
    </w:p>
    <w:p w:rsidR="004D4340" w:rsidRDefault="004D4340" w:rsidP="00BE11B5">
      <w:pPr>
        <w:pStyle w:val="PIMinorHeading"/>
      </w:pPr>
      <w:r w:rsidRPr="00F9786F">
        <w:t xml:space="preserve">Mechanism of </w:t>
      </w:r>
      <w:r w:rsidR="0078443B">
        <w:t>Action</w:t>
      </w:r>
    </w:p>
    <w:p w:rsidR="00297876" w:rsidRPr="0030305F" w:rsidRDefault="009222F5" w:rsidP="000B5A96">
      <w:pPr>
        <w:rPr>
          <w:lang w:val="en-US"/>
        </w:rPr>
      </w:pPr>
      <w:proofErr w:type="spellStart"/>
      <w:r w:rsidRPr="0030305F">
        <w:rPr>
          <w:lang w:val="en-US"/>
        </w:rPr>
        <w:t>Hypophosphatasia</w:t>
      </w:r>
      <w:proofErr w:type="spellEnd"/>
      <w:r w:rsidRPr="0030305F">
        <w:rPr>
          <w:lang w:val="en-US"/>
        </w:rPr>
        <w:t xml:space="preserve"> (HPP) is a rare, serious, and potentially fatal, genetic disorder caused by loss-of-function mutation(s) in the gene encoding TNSALP. </w:t>
      </w:r>
      <w:r w:rsidR="00297876" w:rsidRPr="00297876">
        <w:rPr>
          <w:szCs w:val="24"/>
        </w:rPr>
        <w:t xml:space="preserve">In patients with HPP, deficiency in TNSALP enzymatic activity leads to </w:t>
      </w:r>
      <w:r w:rsidR="00297876" w:rsidRPr="00297876">
        <w:rPr>
          <w:szCs w:val="24"/>
          <w:lang w:val="en-US"/>
        </w:rPr>
        <w:t>elevated</w:t>
      </w:r>
      <w:r w:rsidR="00297876" w:rsidRPr="0030305F">
        <w:rPr>
          <w:lang w:val="en-US"/>
        </w:rPr>
        <w:t xml:space="preserve"> concentrations of the TNSALP substrates, including inorganic pyrophosphate (</w:t>
      </w:r>
      <w:proofErr w:type="spellStart"/>
      <w:r w:rsidR="00297876" w:rsidRPr="0030305F">
        <w:rPr>
          <w:lang w:val="en-US"/>
        </w:rPr>
        <w:t>PPi</w:t>
      </w:r>
      <w:proofErr w:type="spellEnd"/>
      <w:r w:rsidR="00297876" w:rsidRPr="0030305F">
        <w:rPr>
          <w:lang w:val="en-US"/>
        </w:rPr>
        <w:t>)</w:t>
      </w:r>
      <w:r w:rsidR="00091859">
        <w:rPr>
          <w:lang w:val="en-US"/>
        </w:rPr>
        <w:t>.</w:t>
      </w:r>
      <w:r w:rsidR="00297876" w:rsidRPr="0030305F">
        <w:rPr>
          <w:lang w:val="en-US"/>
        </w:rPr>
        <w:t xml:space="preserve"> </w:t>
      </w:r>
      <w:r w:rsidR="00091859">
        <w:rPr>
          <w:lang w:val="en-US"/>
        </w:rPr>
        <w:t xml:space="preserve">Elevated extracellular levels of </w:t>
      </w:r>
      <w:proofErr w:type="spellStart"/>
      <w:r w:rsidR="00091859">
        <w:rPr>
          <w:lang w:val="en-US"/>
        </w:rPr>
        <w:t>PPi</w:t>
      </w:r>
      <w:proofErr w:type="spellEnd"/>
      <w:r w:rsidR="00091859">
        <w:rPr>
          <w:lang w:val="en-US"/>
        </w:rPr>
        <w:t xml:space="preserve"> block hydroxyapatite crystal growth </w:t>
      </w:r>
      <w:r w:rsidR="00297876" w:rsidRPr="0030305F">
        <w:rPr>
          <w:lang w:val="en-US"/>
        </w:rPr>
        <w:t xml:space="preserve">which </w:t>
      </w:r>
      <w:r w:rsidR="00091859">
        <w:rPr>
          <w:lang w:val="en-US"/>
        </w:rPr>
        <w:t>inhibits</w:t>
      </w:r>
      <w:r w:rsidR="00297876" w:rsidRPr="0030305F">
        <w:rPr>
          <w:lang w:val="en-US"/>
        </w:rPr>
        <w:t xml:space="preserve"> bone mineralization </w:t>
      </w:r>
      <w:r w:rsidR="00091859">
        <w:rPr>
          <w:lang w:val="en-US"/>
        </w:rPr>
        <w:t xml:space="preserve">and causes accumulation of </w:t>
      </w:r>
      <w:proofErr w:type="spellStart"/>
      <w:r w:rsidR="00091859">
        <w:rPr>
          <w:lang w:val="en-US"/>
        </w:rPr>
        <w:t>unmineralized</w:t>
      </w:r>
      <w:proofErr w:type="spellEnd"/>
      <w:r w:rsidR="00091859">
        <w:rPr>
          <w:lang w:val="en-US"/>
        </w:rPr>
        <w:t xml:space="preserve"> bone matrix which manifests as</w:t>
      </w:r>
      <w:r w:rsidR="00297876" w:rsidRPr="0030305F">
        <w:rPr>
          <w:lang w:val="en-US"/>
        </w:rPr>
        <w:t xml:space="preserve"> rickets </w:t>
      </w:r>
      <w:r w:rsidR="00091859">
        <w:rPr>
          <w:lang w:val="en-US"/>
        </w:rPr>
        <w:t xml:space="preserve">and bone </w:t>
      </w:r>
      <w:proofErr w:type="gramStart"/>
      <w:r w:rsidR="00091859">
        <w:rPr>
          <w:lang w:val="en-US"/>
        </w:rPr>
        <w:t xml:space="preserve">deformations </w:t>
      </w:r>
      <w:r w:rsidR="00297876" w:rsidRPr="0030305F">
        <w:rPr>
          <w:lang w:val="en-US"/>
        </w:rPr>
        <w:t xml:space="preserve"> in</w:t>
      </w:r>
      <w:proofErr w:type="gramEnd"/>
      <w:r w:rsidR="00297876" w:rsidRPr="0030305F">
        <w:rPr>
          <w:lang w:val="en-US"/>
        </w:rPr>
        <w:t xml:space="preserve"> infants and children and </w:t>
      </w:r>
      <w:r w:rsidR="00091859">
        <w:rPr>
          <w:lang w:val="en-US"/>
        </w:rPr>
        <w:t xml:space="preserve">as </w:t>
      </w:r>
      <w:proofErr w:type="spellStart"/>
      <w:r w:rsidR="00297876" w:rsidRPr="0030305F">
        <w:rPr>
          <w:lang w:val="en-US"/>
        </w:rPr>
        <w:t>osteomalacia</w:t>
      </w:r>
      <w:proofErr w:type="spellEnd"/>
      <w:r w:rsidR="00297876" w:rsidRPr="0030305F">
        <w:rPr>
          <w:lang w:val="en-US"/>
        </w:rPr>
        <w:t xml:space="preserve"> (softening of bones) </w:t>
      </w:r>
      <w:r w:rsidR="00091859">
        <w:rPr>
          <w:lang w:val="en-US"/>
        </w:rPr>
        <w:t>once growth plates close, along with muscle weakness</w:t>
      </w:r>
      <w:r w:rsidR="00297876" w:rsidRPr="0030305F">
        <w:rPr>
          <w:lang w:val="en-US"/>
        </w:rPr>
        <w:t xml:space="preserve">. </w:t>
      </w:r>
    </w:p>
    <w:p w:rsidR="00297876" w:rsidRPr="009222F5" w:rsidRDefault="00297876" w:rsidP="000B5A96">
      <w:pPr>
        <w:rPr>
          <w:lang w:val="en-US"/>
        </w:rPr>
      </w:pPr>
    </w:p>
    <w:p w:rsidR="008D287F" w:rsidRPr="00C220CE" w:rsidRDefault="008D287F" w:rsidP="000B5A96">
      <w:proofErr w:type="spellStart"/>
      <w:r w:rsidRPr="00E66299">
        <w:t>Asfotase</w:t>
      </w:r>
      <w:proofErr w:type="spellEnd"/>
      <w:r w:rsidRPr="00E66299">
        <w:t xml:space="preserve"> alfa</w:t>
      </w:r>
      <w:r>
        <w:t xml:space="preserve"> </w:t>
      </w:r>
      <w:proofErr w:type="spellStart"/>
      <w:proofErr w:type="gramStart"/>
      <w:r w:rsidRPr="001C6816">
        <w:rPr>
          <w:i/>
        </w:rPr>
        <w:t>rch</w:t>
      </w:r>
      <w:proofErr w:type="spellEnd"/>
      <w:r w:rsidRPr="00E66299" w:rsidDel="008A77D5">
        <w:t xml:space="preserve"> </w:t>
      </w:r>
      <w:r w:rsidR="00621C6F">
        <w:t>,</w:t>
      </w:r>
      <w:proofErr w:type="gramEnd"/>
      <w:r w:rsidR="00621C6F">
        <w:t xml:space="preserve"> </w:t>
      </w:r>
      <w:r w:rsidR="00621C6F" w:rsidRPr="001E4B2A">
        <w:t xml:space="preserve">a human recombinant </w:t>
      </w:r>
      <w:r w:rsidR="00621C6F">
        <w:t>TNSALP</w:t>
      </w:r>
      <w:r w:rsidR="00621C6F" w:rsidRPr="001E4B2A">
        <w:t>-Fc-</w:t>
      </w:r>
      <w:proofErr w:type="spellStart"/>
      <w:r w:rsidR="00621C6F" w:rsidRPr="001E4B2A">
        <w:t>deca</w:t>
      </w:r>
      <w:proofErr w:type="spellEnd"/>
      <w:r w:rsidR="00621C6F" w:rsidRPr="001E4B2A">
        <w:t>-aspartate fusion protein with enzymatic activity,</w:t>
      </w:r>
      <w:r w:rsidR="00621C6F" w:rsidRPr="001E4B2A">
        <w:rPr>
          <w:rFonts w:eastAsia="SimSun"/>
        </w:rPr>
        <w:t xml:space="preserve"> promotes mineralisation of the skeleton in patients with </w:t>
      </w:r>
      <w:r w:rsidR="00621C6F">
        <w:rPr>
          <w:rFonts w:eastAsia="SimSun"/>
        </w:rPr>
        <w:t>HPP</w:t>
      </w:r>
      <w:r w:rsidRPr="00C220CE">
        <w:rPr>
          <w:lang w:val="en-US"/>
        </w:rPr>
        <w:t>.</w:t>
      </w:r>
    </w:p>
    <w:p w:rsidR="008D287F" w:rsidRDefault="008D287F" w:rsidP="000B5A96">
      <w:pPr>
        <w:rPr>
          <w:lang w:val="en-US"/>
        </w:rPr>
      </w:pPr>
    </w:p>
    <w:p w:rsidR="0001006A" w:rsidRDefault="0001006A" w:rsidP="00575C96">
      <w:pPr>
        <w:pStyle w:val="PIMinorHeading"/>
      </w:pPr>
      <w:r w:rsidRPr="00F9786F">
        <w:lastRenderedPageBreak/>
        <w:t>Pharmacodynamics</w:t>
      </w:r>
    </w:p>
    <w:p w:rsidR="00621C6F" w:rsidRPr="00DC361A" w:rsidRDefault="00621C6F" w:rsidP="00621C6F">
      <w:pPr>
        <w:pStyle w:val="CM38"/>
        <w:spacing w:after="120" w:line="280" w:lineRule="atLeast"/>
        <w:rPr>
          <w:szCs w:val="22"/>
          <w:lang w:val="en-AU"/>
        </w:rPr>
      </w:pPr>
      <w:r w:rsidRPr="00DC361A">
        <w:rPr>
          <w:szCs w:val="22"/>
          <w:lang w:val="en-AU"/>
        </w:rPr>
        <w:t xml:space="preserve">Perinatal/infantile-and juvenile-onset HPP patients treated with </w:t>
      </w:r>
      <w:proofErr w:type="spellStart"/>
      <w:r w:rsidR="00523839" w:rsidRPr="00B61F3E">
        <w:t>asfotase</w:t>
      </w:r>
      <w:proofErr w:type="spellEnd"/>
      <w:r w:rsidR="00523839" w:rsidRPr="00B61F3E">
        <w:t xml:space="preserve"> alfa, </w:t>
      </w:r>
      <w:proofErr w:type="spellStart"/>
      <w:r w:rsidR="00523839" w:rsidRPr="003D64C9">
        <w:rPr>
          <w:i/>
        </w:rPr>
        <w:t>rch</w:t>
      </w:r>
      <w:proofErr w:type="spellEnd"/>
      <w:r w:rsidRPr="00DC361A">
        <w:rPr>
          <w:szCs w:val="22"/>
          <w:lang w:val="en-AU"/>
        </w:rPr>
        <w:t xml:space="preserve"> had reductions in plasma TNSALP substrates, </w:t>
      </w:r>
      <w:proofErr w:type="spellStart"/>
      <w:r w:rsidRPr="00DC361A">
        <w:rPr>
          <w:szCs w:val="22"/>
          <w:lang w:val="en-AU"/>
        </w:rPr>
        <w:t>PPi</w:t>
      </w:r>
      <w:proofErr w:type="spellEnd"/>
      <w:r w:rsidRPr="00DC361A">
        <w:rPr>
          <w:szCs w:val="22"/>
          <w:lang w:val="en-AU"/>
        </w:rPr>
        <w:t xml:space="preserve"> and pyridoxal 5'-phosphate (PLP) within 6 to 12 weeks of treatment. Reductions in plasma </w:t>
      </w:r>
      <w:proofErr w:type="spellStart"/>
      <w:r w:rsidRPr="00DC361A">
        <w:rPr>
          <w:szCs w:val="22"/>
          <w:lang w:val="en-AU"/>
        </w:rPr>
        <w:t>PPi</w:t>
      </w:r>
      <w:proofErr w:type="spellEnd"/>
      <w:r w:rsidRPr="00DC361A">
        <w:rPr>
          <w:szCs w:val="22"/>
          <w:lang w:val="en-AU"/>
        </w:rPr>
        <w:t xml:space="preserve"> and PLP levels did not correlate with clinical outcomes. </w:t>
      </w:r>
    </w:p>
    <w:p w:rsidR="00621C6F" w:rsidRDefault="00621C6F" w:rsidP="00621C6F">
      <w:pPr>
        <w:pStyle w:val="Default"/>
        <w:rPr>
          <w:sz w:val="23"/>
          <w:szCs w:val="23"/>
        </w:rPr>
      </w:pPr>
      <w:r w:rsidRPr="00DC361A">
        <w:rPr>
          <w:rFonts w:ascii="Times New Roman" w:hAnsi="Times New Roman" w:cs="Times New Roman"/>
          <w:color w:val="auto"/>
          <w:szCs w:val="22"/>
          <w:lang w:val="en-AU"/>
        </w:rPr>
        <w:t xml:space="preserve">Bone biopsy data from perinatal/infantile-onset and juvenile-onset HPP patients treated with </w:t>
      </w:r>
      <w:proofErr w:type="spellStart"/>
      <w:r w:rsidR="00523839" w:rsidRPr="00523839">
        <w:rPr>
          <w:rFonts w:ascii="Times New Roman" w:hAnsi="Times New Roman" w:cs="Times New Roman"/>
          <w:color w:val="auto"/>
          <w:szCs w:val="22"/>
          <w:lang w:val="en-AU"/>
        </w:rPr>
        <w:t>asfotase</w:t>
      </w:r>
      <w:proofErr w:type="spellEnd"/>
      <w:r w:rsidR="00523839" w:rsidRPr="00523839">
        <w:rPr>
          <w:rFonts w:ascii="Times New Roman" w:hAnsi="Times New Roman" w:cs="Times New Roman"/>
          <w:color w:val="auto"/>
          <w:szCs w:val="22"/>
          <w:lang w:val="en-AU"/>
        </w:rPr>
        <w:t xml:space="preserve"> alfa, </w:t>
      </w:r>
      <w:proofErr w:type="spellStart"/>
      <w:r w:rsidR="00523839" w:rsidRPr="00523839">
        <w:rPr>
          <w:rFonts w:ascii="Times New Roman" w:hAnsi="Times New Roman" w:cs="Times New Roman"/>
          <w:i/>
          <w:color w:val="auto"/>
          <w:szCs w:val="22"/>
          <w:lang w:val="en-AU"/>
        </w:rPr>
        <w:t>rch</w:t>
      </w:r>
      <w:proofErr w:type="spellEnd"/>
      <w:r w:rsidRPr="00DC361A">
        <w:rPr>
          <w:rFonts w:ascii="Times New Roman" w:hAnsi="Times New Roman" w:cs="Times New Roman"/>
          <w:color w:val="auto"/>
          <w:szCs w:val="22"/>
          <w:lang w:val="en-AU"/>
        </w:rPr>
        <w:t xml:space="preserve"> demonstrated decreases in osteoid volume and thickness indicating improved bone mineralization.</w:t>
      </w:r>
      <w:r>
        <w:rPr>
          <w:sz w:val="23"/>
          <w:szCs w:val="23"/>
        </w:rPr>
        <w:t xml:space="preserve"> </w:t>
      </w:r>
    </w:p>
    <w:p w:rsidR="0062284C" w:rsidRDefault="0062284C" w:rsidP="00575C96">
      <w:pPr>
        <w:pStyle w:val="PIMinorHeading"/>
      </w:pPr>
      <w:r w:rsidRPr="000863B0">
        <w:t>Ph</w:t>
      </w:r>
      <w:r w:rsidRPr="0078443B">
        <w:t>armacoki</w:t>
      </w:r>
      <w:r w:rsidRPr="000863B0">
        <w:t>netics</w:t>
      </w:r>
    </w:p>
    <w:p w:rsidR="00DF3D39" w:rsidRPr="00DF3D39" w:rsidRDefault="00D4151C" w:rsidP="00DF3D39">
      <w:pPr>
        <w:numPr>
          <w:ilvl w:val="12"/>
          <w:numId w:val="0"/>
        </w:numPr>
        <w:ind w:right="-2"/>
        <w:rPr>
          <w:szCs w:val="24"/>
        </w:rPr>
      </w:pPr>
      <w:r w:rsidRPr="00DF3D39">
        <w:rPr>
          <w:szCs w:val="24"/>
        </w:rPr>
        <w:t xml:space="preserve">The </w:t>
      </w:r>
      <w:r>
        <w:rPr>
          <w:szCs w:val="24"/>
        </w:rPr>
        <w:t xml:space="preserve">pharmacokinetics of </w:t>
      </w:r>
      <w:proofErr w:type="spellStart"/>
      <w:r>
        <w:rPr>
          <w:szCs w:val="24"/>
        </w:rPr>
        <w:t>asfotase</w:t>
      </w:r>
      <w:proofErr w:type="spellEnd"/>
      <w:r>
        <w:rPr>
          <w:szCs w:val="24"/>
        </w:rPr>
        <w:t xml:space="preserve"> alfa </w:t>
      </w:r>
      <w:proofErr w:type="spellStart"/>
      <w:r w:rsidRPr="00D4151C">
        <w:rPr>
          <w:i/>
          <w:szCs w:val="24"/>
        </w:rPr>
        <w:t>rch</w:t>
      </w:r>
      <w:proofErr w:type="spellEnd"/>
      <w:r>
        <w:rPr>
          <w:szCs w:val="24"/>
        </w:rPr>
        <w:t xml:space="preserve"> exhibited dose proportionality across the dose range of 0.3 mg/kg to 3 mg/kg and appeared to be time-</w:t>
      </w:r>
      <w:r w:rsidR="00D61BD9">
        <w:rPr>
          <w:szCs w:val="24"/>
        </w:rPr>
        <w:t>in</w:t>
      </w:r>
      <w:r>
        <w:rPr>
          <w:szCs w:val="24"/>
        </w:rPr>
        <w:t>dependent.</w:t>
      </w:r>
      <w:r w:rsidRPr="00DF3D39">
        <w:rPr>
          <w:szCs w:val="24"/>
        </w:rPr>
        <w:t xml:space="preserve"> </w:t>
      </w:r>
      <w:r w:rsidR="00DF3D39" w:rsidRPr="00DF3D39">
        <w:rPr>
          <w:szCs w:val="24"/>
        </w:rPr>
        <w:t>Based on the results of population pharmacokinetic analysis</w:t>
      </w:r>
      <w:r>
        <w:rPr>
          <w:szCs w:val="24"/>
        </w:rPr>
        <w:t>,</w:t>
      </w:r>
      <w:r w:rsidR="00DF3D39" w:rsidRPr="00DF3D39">
        <w:rPr>
          <w:szCs w:val="24"/>
        </w:rPr>
        <w:t xml:space="preserve"> body weight </w:t>
      </w:r>
      <w:r>
        <w:rPr>
          <w:szCs w:val="24"/>
        </w:rPr>
        <w:t xml:space="preserve">was identified </w:t>
      </w:r>
      <w:r w:rsidR="00DF3D39" w:rsidRPr="00DF3D39">
        <w:rPr>
          <w:szCs w:val="24"/>
        </w:rPr>
        <w:t xml:space="preserve">to affect </w:t>
      </w:r>
      <w:proofErr w:type="spellStart"/>
      <w:r w:rsidR="00DF3D39" w:rsidRPr="00DF3D39">
        <w:rPr>
          <w:szCs w:val="24"/>
        </w:rPr>
        <w:t>asfotase</w:t>
      </w:r>
      <w:proofErr w:type="spellEnd"/>
      <w:r w:rsidR="00DF3D39" w:rsidRPr="00DF3D39">
        <w:rPr>
          <w:szCs w:val="24"/>
        </w:rPr>
        <w:t xml:space="preserve"> alfa </w:t>
      </w:r>
      <w:proofErr w:type="spellStart"/>
      <w:r w:rsidR="00DF7140" w:rsidRPr="00DF7140">
        <w:rPr>
          <w:i/>
          <w:szCs w:val="24"/>
        </w:rPr>
        <w:t>rch</w:t>
      </w:r>
      <w:proofErr w:type="spellEnd"/>
      <w:r w:rsidR="00DF7140">
        <w:rPr>
          <w:szCs w:val="24"/>
        </w:rPr>
        <w:t xml:space="preserve"> </w:t>
      </w:r>
      <w:r w:rsidR="00DF3D39" w:rsidRPr="00DF3D39">
        <w:rPr>
          <w:szCs w:val="24"/>
        </w:rPr>
        <w:t xml:space="preserve">clearance and volume of distribution parameters. It is expected that pharmacokinetic exposures will increase with body weight. The impact of immunogenicity on </w:t>
      </w:r>
      <w:proofErr w:type="spellStart"/>
      <w:r w:rsidR="00DF3D39" w:rsidRPr="00DF3D39">
        <w:rPr>
          <w:szCs w:val="24"/>
        </w:rPr>
        <w:t>asfotase</w:t>
      </w:r>
      <w:proofErr w:type="spellEnd"/>
      <w:r w:rsidR="00DF3D39" w:rsidRPr="00DF3D39">
        <w:rPr>
          <w:szCs w:val="24"/>
        </w:rPr>
        <w:t xml:space="preserve"> alfa </w:t>
      </w:r>
      <w:proofErr w:type="spellStart"/>
      <w:r w:rsidR="00DF3D39" w:rsidRPr="00DF3D39">
        <w:rPr>
          <w:i/>
          <w:szCs w:val="24"/>
          <w:lang w:val="en-US"/>
        </w:rPr>
        <w:t>rch</w:t>
      </w:r>
      <w:proofErr w:type="spellEnd"/>
      <w:r w:rsidR="00DF3D39" w:rsidRPr="00DF3D39">
        <w:rPr>
          <w:szCs w:val="24"/>
        </w:rPr>
        <w:t xml:space="preserve"> pharmacokinetic varied over time due to the time varying nature of immunogenicity and overall was estimated to decrease pharmacokinetic exposures by less than 20%.</w:t>
      </w:r>
    </w:p>
    <w:p w:rsidR="00DF3D39" w:rsidRPr="00DF3D39" w:rsidRDefault="00DF3D39" w:rsidP="00DF3D39">
      <w:pPr>
        <w:numPr>
          <w:ilvl w:val="12"/>
          <w:numId w:val="0"/>
        </w:numPr>
        <w:ind w:right="-2"/>
        <w:rPr>
          <w:szCs w:val="24"/>
        </w:rPr>
      </w:pPr>
    </w:p>
    <w:p w:rsidR="00DF3D39" w:rsidRDefault="00DF3D39" w:rsidP="00DF3D39">
      <w:pPr>
        <w:numPr>
          <w:ilvl w:val="12"/>
          <w:numId w:val="0"/>
        </w:numPr>
        <w:ind w:right="-2"/>
        <w:rPr>
          <w:i/>
          <w:szCs w:val="24"/>
          <w:lang w:val="en-US"/>
        </w:rPr>
      </w:pPr>
      <w:r w:rsidRPr="00DF3D39">
        <w:rPr>
          <w:color w:val="000000"/>
          <w:szCs w:val="24"/>
        </w:rPr>
        <w:t xml:space="preserve">Formation of anti-drug antibodies resulted in reduced systemic exposure of </w:t>
      </w:r>
      <w:proofErr w:type="spellStart"/>
      <w:r w:rsidRPr="00DF3D39">
        <w:rPr>
          <w:color w:val="000000"/>
          <w:szCs w:val="24"/>
        </w:rPr>
        <w:t>asfotase</w:t>
      </w:r>
      <w:proofErr w:type="spellEnd"/>
      <w:r w:rsidRPr="00DF3D39">
        <w:rPr>
          <w:color w:val="000000"/>
          <w:szCs w:val="24"/>
        </w:rPr>
        <w:t xml:space="preserve"> alfa </w:t>
      </w:r>
      <w:proofErr w:type="spellStart"/>
      <w:r w:rsidRPr="00DF3D39">
        <w:rPr>
          <w:i/>
          <w:szCs w:val="24"/>
          <w:lang w:val="en-US"/>
        </w:rPr>
        <w:t>rch</w:t>
      </w:r>
      <w:proofErr w:type="spellEnd"/>
      <w:r w:rsidRPr="00DF3D39">
        <w:rPr>
          <w:i/>
          <w:szCs w:val="24"/>
          <w:lang w:val="en-US"/>
        </w:rPr>
        <w:t>.</w:t>
      </w:r>
    </w:p>
    <w:p w:rsidR="00AE2046" w:rsidRDefault="00AE2046" w:rsidP="00DF3D39">
      <w:pPr>
        <w:numPr>
          <w:ilvl w:val="12"/>
          <w:numId w:val="0"/>
        </w:numPr>
        <w:ind w:right="-2"/>
        <w:rPr>
          <w:i/>
          <w:szCs w:val="24"/>
          <w:lang w:val="en-US"/>
        </w:rPr>
      </w:pPr>
    </w:p>
    <w:p w:rsidR="00AE2046" w:rsidRPr="00DF3D39" w:rsidRDefault="00AE2046" w:rsidP="00DF3D39">
      <w:pPr>
        <w:numPr>
          <w:ilvl w:val="12"/>
          <w:numId w:val="0"/>
        </w:numPr>
        <w:ind w:right="-2"/>
        <w:rPr>
          <w:szCs w:val="24"/>
        </w:rPr>
      </w:pPr>
      <w:r>
        <w:t xml:space="preserve">The extrinsic factors affecting </w:t>
      </w:r>
      <w:proofErr w:type="spellStart"/>
      <w:r>
        <w:t>asfotase</w:t>
      </w:r>
      <w:proofErr w:type="spellEnd"/>
      <w:r>
        <w:t xml:space="preserve"> alfa </w:t>
      </w:r>
      <w:proofErr w:type="spellStart"/>
      <w:r w:rsidRPr="009049B8">
        <w:rPr>
          <w:i/>
        </w:rPr>
        <w:t>rch</w:t>
      </w:r>
      <w:proofErr w:type="spellEnd"/>
      <w:r>
        <w:t xml:space="preserve"> pharmacokinetic exposures were formulation specific activity and total sialic acid content.</w:t>
      </w:r>
    </w:p>
    <w:p w:rsidR="001244D3" w:rsidRPr="001244D3" w:rsidRDefault="001244D3" w:rsidP="00575C96">
      <w:pPr>
        <w:pStyle w:val="PIMinorHeading"/>
      </w:pPr>
      <w:r w:rsidRPr="001244D3">
        <w:t>Absorption</w:t>
      </w:r>
    </w:p>
    <w:p w:rsidR="001244D3" w:rsidRPr="001244D3" w:rsidRDefault="001244D3" w:rsidP="000B5A96">
      <w:pPr>
        <w:rPr>
          <w:lang w:val="en-US"/>
        </w:rPr>
      </w:pPr>
      <w:r w:rsidRPr="001244D3">
        <w:rPr>
          <w:lang w:val="en-US"/>
        </w:rPr>
        <w:t xml:space="preserve">Following weekly SC administrations of </w:t>
      </w:r>
      <w:proofErr w:type="spellStart"/>
      <w:r w:rsidR="0099406D">
        <w:t>a</w:t>
      </w:r>
      <w:r w:rsidR="0099406D" w:rsidRPr="00E66299">
        <w:t>sfotase</w:t>
      </w:r>
      <w:proofErr w:type="spellEnd"/>
      <w:r w:rsidR="0099406D" w:rsidRPr="00E66299">
        <w:t xml:space="preserve"> alfa</w:t>
      </w:r>
      <w:r w:rsidR="0099406D">
        <w:t xml:space="preserve"> </w:t>
      </w:r>
      <w:proofErr w:type="spellStart"/>
      <w:r w:rsidR="0099406D" w:rsidRPr="001C6816">
        <w:rPr>
          <w:i/>
        </w:rPr>
        <w:t>rch</w:t>
      </w:r>
      <w:proofErr w:type="spellEnd"/>
      <w:r w:rsidR="00F067DA">
        <w:rPr>
          <w:lang w:val="en-US"/>
        </w:rPr>
        <w:t xml:space="preserve">, </w:t>
      </w:r>
      <w:r w:rsidRPr="001244D3">
        <w:rPr>
          <w:lang w:val="en-US"/>
        </w:rPr>
        <w:t xml:space="preserve">the observed median </w:t>
      </w:r>
      <w:proofErr w:type="spellStart"/>
      <w:r w:rsidRPr="001244D3">
        <w:rPr>
          <w:lang w:val="en-US"/>
        </w:rPr>
        <w:t>T</w:t>
      </w:r>
      <w:r w:rsidRPr="001244D3">
        <w:rPr>
          <w:vertAlign w:val="subscript"/>
          <w:lang w:val="en-US"/>
        </w:rPr>
        <w:t>max</w:t>
      </w:r>
      <w:proofErr w:type="spellEnd"/>
      <w:r w:rsidRPr="001244D3">
        <w:rPr>
          <w:lang w:val="en-US"/>
        </w:rPr>
        <w:t xml:space="preserve"> ranged from 1 to 2 days and the </w:t>
      </w:r>
      <w:r w:rsidRPr="0042312C">
        <w:rPr>
          <w:lang w:val="en-US"/>
        </w:rPr>
        <w:t xml:space="preserve">absolute bioavailability ranged from 45.8-98.4 %. </w:t>
      </w:r>
      <w:r w:rsidR="0042312C" w:rsidRPr="0042312C">
        <w:t xml:space="preserve">Following once weekly administration of </w:t>
      </w:r>
      <w:proofErr w:type="spellStart"/>
      <w:r w:rsidR="0042312C" w:rsidRPr="0042312C">
        <w:t>asfotase</w:t>
      </w:r>
      <w:proofErr w:type="spellEnd"/>
      <w:r w:rsidR="0042312C" w:rsidRPr="0042312C">
        <w:t xml:space="preserve"> alfa, </w:t>
      </w:r>
      <w:proofErr w:type="spellStart"/>
      <w:r w:rsidR="0042312C" w:rsidRPr="0042312C">
        <w:rPr>
          <w:i/>
        </w:rPr>
        <w:t>rch</w:t>
      </w:r>
      <w:proofErr w:type="spellEnd"/>
      <w:r w:rsidR="0042312C" w:rsidRPr="0042312C">
        <w:rPr>
          <w:lang w:val="en-US"/>
        </w:rPr>
        <w:t xml:space="preserve"> </w:t>
      </w:r>
      <w:r w:rsidR="0042312C" w:rsidRPr="0042312C">
        <w:t xml:space="preserve">3 mg/kg IV bolus on Week 1 followed by 2 mg/kg SC on Weeks 2, 3 and 4, </w:t>
      </w:r>
      <w:r w:rsidR="0042312C" w:rsidRPr="0042312C">
        <w:rPr>
          <w:lang w:val="en-US"/>
        </w:rPr>
        <w:t>t</w:t>
      </w:r>
      <w:r w:rsidRPr="0042312C">
        <w:rPr>
          <w:lang w:val="en-US"/>
        </w:rPr>
        <w:t>he</w:t>
      </w:r>
      <w:r w:rsidR="0042312C" w:rsidRPr="0042312C">
        <w:rPr>
          <w:lang w:val="en-US"/>
        </w:rPr>
        <w:t xml:space="preserve"> Week 4</w:t>
      </w:r>
      <w:r w:rsidRPr="0042312C">
        <w:rPr>
          <w:lang w:val="en-US"/>
        </w:rPr>
        <w:t xml:space="preserve"> mean</w:t>
      </w:r>
      <w:r w:rsidR="0042312C" w:rsidRPr="0042312C">
        <w:rPr>
          <w:lang w:val="en-US"/>
        </w:rPr>
        <w:t xml:space="preserve"> </w:t>
      </w:r>
      <w:r w:rsidR="0042312C" w:rsidRPr="0042312C">
        <w:t>± SD</w:t>
      </w:r>
      <w:r w:rsidRPr="0042312C">
        <w:rPr>
          <w:lang w:val="en-US"/>
        </w:rPr>
        <w:t xml:space="preserve"> observed </w:t>
      </w:r>
      <w:proofErr w:type="spellStart"/>
      <w:r w:rsidRPr="0042312C">
        <w:rPr>
          <w:lang w:val="en-US"/>
        </w:rPr>
        <w:t>C</w:t>
      </w:r>
      <w:r w:rsidRPr="0042312C">
        <w:rPr>
          <w:vertAlign w:val="subscript"/>
          <w:lang w:val="en-US"/>
        </w:rPr>
        <w:t>max</w:t>
      </w:r>
      <w:proofErr w:type="spellEnd"/>
      <w:r w:rsidRPr="0042312C">
        <w:rPr>
          <w:lang w:val="en-US"/>
        </w:rPr>
        <w:t xml:space="preserve"> and </w:t>
      </w:r>
      <w:proofErr w:type="spellStart"/>
      <w:r w:rsidRPr="0042312C">
        <w:rPr>
          <w:lang w:val="en-US"/>
        </w:rPr>
        <w:t>AUC</w:t>
      </w:r>
      <w:r w:rsidRPr="0042312C">
        <w:rPr>
          <w:vertAlign w:val="subscript"/>
          <w:lang w:val="en-US"/>
        </w:rPr>
        <w:t>t</w:t>
      </w:r>
      <w:proofErr w:type="spellEnd"/>
      <w:r w:rsidRPr="0042312C">
        <w:rPr>
          <w:vertAlign w:val="subscript"/>
          <w:lang w:val="en-US"/>
        </w:rPr>
        <w:t xml:space="preserve"> </w:t>
      </w:r>
      <w:r w:rsidR="0042312C" w:rsidRPr="0042312C">
        <w:rPr>
          <w:lang w:val="en-US"/>
        </w:rPr>
        <w:t xml:space="preserve">parameters </w:t>
      </w:r>
      <w:r w:rsidRPr="0042312C">
        <w:rPr>
          <w:lang w:val="en-US"/>
        </w:rPr>
        <w:t xml:space="preserve">were 1020 </w:t>
      </w:r>
      <w:r w:rsidRPr="0042312C">
        <w:rPr>
          <w:rFonts w:hint="eastAsia"/>
          <w:lang w:val="en-US"/>
        </w:rPr>
        <w:t>±</w:t>
      </w:r>
      <w:r w:rsidRPr="0042312C">
        <w:rPr>
          <w:lang w:val="en-US"/>
        </w:rPr>
        <w:t xml:space="preserve"> 326 U/L and 284</w:t>
      </w:r>
      <w:r w:rsidR="00DB0764" w:rsidRPr="0042312C">
        <w:rPr>
          <w:lang w:val="en-US"/>
        </w:rPr>
        <w:t>,</w:t>
      </w:r>
      <w:r w:rsidRPr="0042312C">
        <w:rPr>
          <w:lang w:val="en-US"/>
        </w:rPr>
        <w:t xml:space="preserve">926 </w:t>
      </w:r>
      <w:r w:rsidRPr="0042312C">
        <w:rPr>
          <w:rFonts w:hint="eastAsia"/>
          <w:lang w:val="en-US"/>
        </w:rPr>
        <w:t>±</w:t>
      </w:r>
      <w:r w:rsidRPr="0042312C">
        <w:rPr>
          <w:lang w:val="en-US"/>
        </w:rPr>
        <w:t xml:space="preserve"> 79</w:t>
      </w:r>
      <w:r w:rsidR="00DB0764" w:rsidRPr="0042312C">
        <w:rPr>
          <w:lang w:val="en-US"/>
        </w:rPr>
        <w:t>,</w:t>
      </w:r>
      <w:r w:rsidRPr="0042312C">
        <w:rPr>
          <w:lang w:val="en-US"/>
        </w:rPr>
        <w:t>652 U*h/L, respectively.</w:t>
      </w:r>
      <w:r w:rsidRPr="001244D3">
        <w:rPr>
          <w:lang w:val="en-US"/>
        </w:rPr>
        <w:t xml:space="preserve"> </w:t>
      </w:r>
    </w:p>
    <w:p w:rsidR="00E14387" w:rsidRPr="001244D3" w:rsidRDefault="00E14387" w:rsidP="00575C96">
      <w:pPr>
        <w:pStyle w:val="PIMinorHeading"/>
      </w:pPr>
      <w:r>
        <w:t>Distribution</w:t>
      </w:r>
    </w:p>
    <w:p w:rsidR="005E79FF" w:rsidRPr="006D1F21" w:rsidRDefault="006D1F21" w:rsidP="000B5A96">
      <w:pPr>
        <w:rPr>
          <w:lang w:val="en-US"/>
        </w:rPr>
      </w:pPr>
      <w:r w:rsidRPr="006D1F21">
        <w:rPr>
          <w:lang w:val="en-US"/>
        </w:rPr>
        <w:t xml:space="preserve">Based on population PK analysis, the estimated </w:t>
      </w:r>
      <w:r w:rsidRPr="006D1F21">
        <w:t>central and peri</w:t>
      </w:r>
      <w:r w:rsidR="003470B1">
        <w:t xml:space="preserve">pheral volumes of distribution (mean) </w:t>
      </w:r>
      <w:r w:rsidR="00B96A87">
        <w:t>for a patient with body weight 70kg</w:t>
      </w:r>
      <w:r w:rsidR="00B96A87" w:rsidRPr="006D1F21">
        <w:t xml:space="preserve"> </w:t>
      </w:r>
      <w:r w:rsidRPr="006D1F21">
        <w:t xml:space="preserve">were </w:t>
      </w:r>
      <w:r w:rsidR="003664D2">
        <w:t>5.66</w:t>
      </w:r>
      <w:r w:rsidR="003470B1">
        <w:t xml:space="preserve"> L</w:t>
      </w:r>
      <w:r w:rsidRPr="006D1F21">
        <w:t xml:space="preserve"> (</w:t>
      </w:r>
      <w:r w:rsidR="003470B1" w:rsidRPr="006D1F21">
        <w:t>95% CI</w:t>
      </w:r>
      <w:r w:rsidR="003470B1">
        <w:t xml:space="preserve">: </w:t>
      </w:r>
      <w:r w:rsidR="003664D2">
        <w:t>2.76</w:t>
      </w:r>
      <w:r w:rsidRPr="006D1F21">
        <w:t xml:space="preserve">, </w:t>
      </w:r>
      <w:r w:rsidR="003664D2">
        <w:t>11.6</w:t>
      </w:r>
      <w:r w:rsidRPr="006D1F21">
        <w:t xml:space="preserve">) and </w:t>
      </w:r>
      <w:r w:rsidR="003664D2">
        <w:t>44.8</w:t>
      </w:r>
      <w:r w:rsidR="003470B1">
        <w:t xml:space="preserve"> L</w:t>
      </w:r>
      <w:r w:rsidRPr="006D1F21">
        <w:t xml:space="preserve"> (</w:t>
      </w:r>
      <w:r w:rsidR="003470B1" w:rsidRPr="006D1F21">
        <w:t>95% CI</w:t>
      </w:r>
      <w:r w:rsidR="003470B1">
        <w:t xml:space="preserve">: </w:t>
      </w:r>
      <w:r w:rsidR="003664D2">
        <w:t>33.2</w:t>
      </w:r>
      <w:r w:rsidRPr="006D1F21">
        <w:t xml:space="preserve">, </w:t>
      </w:r>
      <w:r w:rsidR="003664D2">
        <w:t>60.5</w:t>
      </w:r>
      <w:r w:rsidRPr="006D1F21">
        <w:t xml:space="preserve">), respectively. These results indicated that </w:t>
      </w:r>
      <w:proofErr w:type="spellStart"/>
      <w:r w:rsidR="0099406D">
        <w:t>a</w:t>
      </w:r>
      <w:r w:rsidR="0099406D" w:rsidRPr="00E66299">
        <w:t>sfotase</w:t>
      </w:r>
      <w:proofErr w:type="spellEnd"/>
      <w:r w:rsidR="0099406D" w:rsidRPr="00E66299">
        <w:t xml:space="preserve"> alfa</w:t>
      </w:r>
      <w:r w:rsidR="0099406D">
        <w:t xml:space="preserve"> </w:t>
      </w:r>
      <w:proofErr w:type="spellStart"/>
      <w:r w:rsidR="0099406D" w:rsidRPr="001C6816">
        <w:rPr>
          <w:i/>
        </w:rPr>
        <w:t>rch</w:t>
      </w:r>
      <w:proofErr w:type="spellEnd"/>
      <w:r w:rsidRPr="006D1F21">
        <w:t xml:space="preserve"> was initially distributed primarily in the intra-vascular space and then distributed to the extra-vascular space</w:t>
      </w:r>
      <w:r w:rsidR="00DC1E33">
        <w:t>,</w:t>
      </w:r>
      <w:r w:rsidRPr="006D1F21">
        <w:t xml:space="preserve"> reflecting its ability to partition into tissues</w:t>
      </w:r>
      <w:r w:rsidR="00DC1E33">
        <w:t>,</w:t>
      </w:r>
      <w:r w:rsidRPr="006D1F21">
        <w:t xml:space="preserve"> likely including skeletal tissue.</w:t>
      </w:r>
    </w:p>
    <w:p w:rsidR="0024592B" w:rsidRPr="001244D3" w:rsidRDefault="0024592B" w:rsidP="00575C96">
      <w:pPr>
        <w:pStyle w:val="PIMinorHeading"/>
      </w:pPr>
      <w:r>
        <w:t>Metabolism</w:t>
      </w:r>
    </w:p>
    <w:p w:rsidR="0024592B" w:rsidRPr="0024592B" w:rsidRDefault="0024592B" w:rsidP="000B5A96">
      <w:pPr>
        <w:rPr>
          <w:lang w:val="en-GB"/>
        </w:rPr>
      </w:pPr>
      <w:r w:rsidRPr="0024592B">
        <w:rPr>
          <w:i/>
          <w:lang w:val="en-US"/>
        </w:rPr>
        <w:t>In vitro</w:t>
      </w:r>
      <w:r>
        <w:rPr>
          <w:lang w:val="en-US"/>
        </w:rPr>
        <w:t xml:space="preserve"> or </w:t>
      </w:r>
      <w:r w:rsidRPr="0024592B">
        <w:rPr>
          <w:i/>
          <w:lang w:val="en-US"/>
        </w:rPr>
        <w:t>in vivo</w:t>
      </w:r>
      <w:r>
        <w:rPr>
          <w:lang w:val="en-US"/>
        </w:rPr>
        <w:t xml:space="preserve"> metabolism studies are not considered relevant </w:t>
      </w:r>
      <w:r w:rsidRPr="0024592B">
        <w:rPr>
          <w:lang w:val="en-GB"/>
        </w:rPr>
        <w:t>since the expected metabolic pathway is the normal catabolic degradation into small peptides and individual amino acid</w:t>
      </w:r>
      <w:r w:rsidR="001501FE">
        <w:t>s</w:t>
      </w:r>
      <w:r w:rsidRPr="0024592B">
        <w:rPr>
          <w:lang w:val="en-GB"/>
        </w:rPr>
        <w:t>.</w:t>
      </w:r>
    </w:p>
    <w:p w:rsidR="00216B34" w:rsidRPr="001244D3" w:rsidRDefault="00216B34" w:rsidP="00575C96">
      <w:pPr>
        <w:pStyle w:val="PIMinorHeading"/>
      </w:pPr>
      <w:r>
        <w:t>Excretion</w:t>
      </w:r>
    </w:p>
    <w:p w:rsidR="006F5DC4" w:rsidRPr="00575C96" w:rsidRDefault="00B96A87" w:rsidP="000B5A96">
      <w:r>
        <w:rPr>
          <w:lang w:val="en-US"/>
        </w:rPr>
        <w:t>The</w:t>
      </w:r>
      <w:r w:rsidRPr="006D1F21">
        <w:rPr>
          <w:lang w:val="en-US"/>
        </w:rPr>
        <w:t xml:space="preserve"> </w:t>
      </w:r>
      <w:r w:rsidRPr="006D1F21">
        <w:t>central and peri</w:t>
      </w:r>
      <w:r>
        <w:t xml:space="preserve">pheral clearance estimates for a patient with body weight 70kg (and 95% CI) </w:t>
      </w:r>
      <w:r w:rsidRPr="006D1F21">
        <w:t>were</w:t>
      </w:r>
      <w:r w:rsidRPr="00575C96" w:rsidDel="00406A86">
        <w:rPr>
          <w:lang w:val="en-US"/>
        </w:rPr>
        <w:t xml:space="preserve"> </w:t>
      </w:r>
      <w:proofErr w:type="gramStart"/>
      <w:r w:rsidR="004530CF" w:rsidRPr="00575C96">
        <w:t>15.8</w:t>
      </w:r>
      <w:r w:rsidR="006F5DC4" w:rsidRPr="00575C96">
        <w:t xml:space="preserve"> </w:t>
      </w:r>
      <w:r w:rsidR="00F8492A" w:rsidRPr="00575C96">
        <w:t xml:space="preserve"> </w:t>
      </w:r>
      <w:r w:rsidR="006F5DC4" w:rsidRPr="00575C96">
        <w:t>(</w:t>
      </w:r>
      <w:proofErr w:type="gramEnd"/>
      <w:r w:rsidR="004530CF" w:rsidRPr="00575C96">
        <w:t>13.2</w:t>
      </w:r>
      <w:r w:rsidR="006F5DC4" w:rsidRPr="00575C96">
        <w:t xml:space="preserve">, </w:t>
      </w:r>
      <w:r w:rsidR="004530CF" w:rsidRPr="00575C96">
        <w:t>18.9</w:t>
      </w:r>
      <w:r w:rsidR="006F5DC4" w:rsidRPr="00575C96">
        <w:t>)</w:t>
      </w:r>
      <w:r>
        <w:t xml:space="preserve"> L/day and 51.99 (44.0, 61.2) L/day respectively</w:t>
      </w:r>
      <w:r w:rsidR="006F5DC4" w:rsidRPr="00575C96">
        <w:t xml:space="preserve">. The average </w:t>
      </w:r>
      <w:r w:rsidR="006F5DC4" w:rsidRPr="00575C96">
        <w:lastRenderedPageBreak/>
        <w:t xml:space="preserve">elimination half-life of </w:t>
      </w:r>
      <w:proofErr w:type="spellStart"/>
      <w:r w:rsidR="0099406D">
        <w:t>a</w:t>
      </w:r>
      <w:r w:rsidR="0099406D" w:rsidRPr="00E66299">
        <w:t>sfotase</w:t>
      </w:r>
      <w:proofErr w:type="spellEnd"/>
      <w:r w:rsidR="0099406D" w:rsidRPr="00E66299">
        <w:t xml:space="preserve"> alfa</w:t>
      </w:r>
      <w:r w:rsidR="0099406D">
        <w:t xml:space="preserve"> </w:t>
      </w:r>
      <w:proofErr w:type="spellStart"/>
      <w:r w:rsidR="0099406D" w:rsidRPr="001C6816">
        <w:rPr>
          <w:i/>
        </w:rPr>
        <w:t>rch</w:t>
      </w:r>
      <w:proofErr w:type="spellEnd"/>
      <w:r w:rsidR="004530CF" w:rsidRPr="00575C96">
        <w:t xml:space="preserve"> </w:t>
      </w:r>
      <w:r w:rsidR="006F5DC4" w:rsidRPr="00575C96">
        <w:t xml:space="preserve">was </w:t>
      </w:r>
      <w:r w:rsidR="004530CF" w:rsidRPr="00575C96">
        <w:t>2.28</w:t>
      </w:r>
      <w:r w:rsidR="00F8492A">
        <w:t xml:space="preserve"> </w:t>
      </w:r>
      <w:r w:rsidR="006F5DC4" w:rsidRPr="00575C96">
        <w:rPr>
          <w:rFonts w:ascii="Calibri" w:hAnsi="Calibri"/>
        </w:rPr>
        <w:t>±</w:t>
      </w:r>
      <w:r w:rsidR="00F8492A">
        <w:rPr>
          <w:rFonts w:ascii="Calibri" w:hAnsi="Calibri"/>
        </w:rPr>
        <w:t xml:space="preserve"> </w:t>
      </w:r>
      <w:r w:rsidR="004530CF" w:rsidRPr="00575C96">
        <w:t>0.58</w:t>
      </w:r>
      <w:r w:rsidR="006F5DC4" w:rsidRPr="00575C96">
        <w:t xml:space="preserve"> </w:t>
      </w:r>
      <w:r w:rsidR="006F5DC4" w:rsidRPr="00A37E05">
        <w:t xml:space="preserve">days with a range of </w:t>
      </w:r>
      <w:r w:rsidR="0031618A" w:rsidRPr="00A37E05">
        <w:t>1.06</w:t>
      </w:r>
      <w:r w:rsidR="006F5DC4" w:rsidRPr="00A37E05">
        <w:t xml:space="preserve"> to </w:t>
      </w:r>
      <w:r w:rsidR="0031618A" w:rsidRPr="00A37E05">
        <w:t>3.62</w:t>
      </w:r>
      <w:r w:rsidR="006F5DC4" w:rsidRPr="00A37E05">
        <w:t xml:space="preserve"> days.</w:t>
      </w:r>
    </w:p>
    <w:p w:rsidR="00A502B9" w:rsidRPr="001244D3" w:rsidRDefault="00A502B9" w:rsidP="000A4C59">
      <w:pPr>
        <w:pStyle w:val="PIMinorHeading"/>
      </w:pPr>
      <w:r>
        <w:t>Pharmacokinetics in Special Populations</w:t>
      </w:r>
    </w:p>
    <w:p w:rsidR="00653928" w:rsidRDefault="00653928" w:rsidP="000B5A96">
      <w:pPr>
        <w:rPr>
          <w:lang w:val="en-US"/>
        </w:rPr>
      </w:pPr>
      <w:r>
        <w:rPr>
          <w:lang w:val="en-US"/>
        </w:rPr>
        <w:t>Based on the population PK analysis</w:t>
      </w:r>
      <w:r w:rsidR="00BA206E">
        <w:rPr>
          <w:lang w:val="en-US"/>
        </w:rPr>
        <w:t>,</w:t>
      </w:r>
      <w:r>
        <w:rPr>
          <w:lang w:val="en-US"/>
        </w:rPr>
        <w:t xml:space="preserve"> age and</w:t>
      </w:r>
      <w:r w:rsidRPr="00737D6E">
        <w:rPr>
          <w:lang w:val="en-US"/>
        </w:rPr>
        <w:t xml:space="preserve"> sex were not found to </w:t>
      </w:r>
      <w:r>
        <w:rPr>
          <w:lang w:val="en-US"/>
        </w:rPr>
        <w:t>be significant covariates.</w:t>
      </w:r>
      <w:r w:rsidRPr="00653928">
        <w:rPr>
          <w:lang w:val="en-US"/>
        </w:rPr>
        <w:t xml:space="preserve"> </w:t>
      </w:r>
    </w:p>
    <w:p w:rsidR="00D341CE" w:rsidRPr="00FF3B2E" w:rsidRDefault="00D341CE" w:rsidP="000B5A96">
      <w:pPr>
        <w:rPr>
          <w:lang w:val="en-US"/>
        </w:rPr>
      </w:pPr>
    </w:p>
    <w:p w:rsidR="005679DC" w:rsidRDefault="005679DC" w:rsidP="005679DC">
      <w:pPr>
        <w:autoSpaceDE w:val="0"/>
        <w:autoSpaceDN w:val="0"/>
        <w:rPr>
          <w:i/>
          <w:iCs/>
          <w:color w:val="000000"/>
        </w:rPr>
      </w:pPr>
      <w:r>
        <w:rPr>
          <w:i/>
          <w:iCs/>
          <w:color w:val="000000"/>
        </w:rPr>
        <w:t>Renal and hepatic impairment</w:t>
      </w:r>
    </w:p>
    <w:p w:rsidR="005679DC" w:rsidRDefault="005679DC" w:rsidP="005679DC">
      <w:pPr>
        <w:pStyle w:val="C-BodyText"/>
      </w:pPr>
      <w:r>
        <w:t xml:space="preserve">The safety and efficacy of </w:t>
      </w:r>
      <w:proofErr w:type="spellStart"/>
      <w:r>
        <w:t>asfotase</w:t>
      </w:r>
      <w:proofErr w:type="spellEnd"/>
      <w:r>
        <w:t xml:space="preserve"> alfa </w:t>
      </w:r>
      <w:proofErr w:type="spellStart"/>
      <w:r w:rsidRPr="00571143">
        <w:rPr>
          <w:i/>
        </w:rPr>
        <w:t>rch</w:t>
      </w:r>
      <w:proofErr w:type="spellEnd"/>
      <w:r>
        <w:t xml:space="preserve"> in patients with renal or hepatic impairment have not been evaluated and no specific dose regimen can be recommended for these patients.</w:t>
      </w:r>
    </w:p>
    <w:p w:rsidR="000A4C59" w:rsidRPr="00FF3B2E" w:rsidRDefault="000A4C59" w:rsidP="000B5A96">
      <w:pPr>
        <w:rPr>
          <w:lang w:val="en-US"/>
        </w:rPr>
      </w:pPr>
      <w:r w:rsidRPr="00FF3B2E">
        <w:rPr>
          <w:lang w:val="en-US"/>
        </w:rPr>
        <w:t xml:space="preserve">Significant </w:t>
      </w:r>
      <w:r>
        <w:rPr>
          <w:lang w:val="en-US"/>
        </w:rPr>
        <w:t>PK-PD</w:t>
      </w:r>
      <w:r w:rsidRPr="00FF3B2E">
        <w:rPr>
          <w:lang w:val="en-US"/>
        </w:rPr>
        <w:t xml:space="preserve"> relationships were demonstrated based on the efficacy biomarker data and clinical endpoints in patients with </w:t>
      </w:r>
      <w:proofErr w:type="spellStart"/>
      <w:r w:rsidRPr="00FF3B2E">
        <w:rPr>
          <w:lang w:val="en-US"/>
        </w:rPr>
        <w:t>paediatric</w:t>
      </w:r>
      <w:proofErr w:type="spellEnd"/>
      <w:r w:rsidRPr="00FF3B2E">
        <w:rPr>
          <w:lang w:val="en-US"/>
        </w:rPr>
        <w:t>-onset HPP, across the range of perinatal/infantile and juvenile-onset cohorts. These relationships supporte</w:t>
      </w:r>
      <w:r w:rsidR="00E17B9C">
        <w:rPr>
          <w:lang w:val="en-US"/>
        </w:rPr>
        <w:t>d the recommendation of the 6 mg/kg/</w:t>
      </w:r>
      <w:r w:rsidRPr="00FF3B2E">
        <w:rPr>
          <w:lang w:val="en-US"/>
        </w:rPr>
        <w:t>week dose, administered as either 2 mg/kg 3-times weekly or 1 mg/kg 6-times weekly.</w:t>
      </w:r>
    </w:p>
    <w:p w:rsidR="0062284C" w:rsidRDefault="002B7EA6" w:rsidP="00490370">
      <w:pPr>
        <w:pStyle w:val="PIMajorHeading"/>
      </w:pPr>
      <w:r w:rsidRPr="000863B0">
        <w:t>CLINICAL TRIALS</w:t>
      </w:r>
    </w:p>
    <w:p w:rsidR="00191102" w:rsidRDefault="00191102" w:rsidP="00191102">
      <w:r w:rsidRPr="00B61F3E">
        <w:t xml:space="preserve">Due to HPP being an ultra-rare (orphan) disease, only limited, Phase II data have been provided in support of the safety and efficacy of </w:t>
      </w:r>
      <w:proofErr w:type="spellStart"/>
      <w:r w:rsidRPr="00B61F3E">
        <w:t>asfotase</w:t>
      </w:r>
      <w:proofErr w:type="spellEnd"/>
      <w:r w:rsidRPr="00B61F3E">
        <w:t xml:space="preserve"> alfa, </w:t>
      </w:r>
      <w:proofErr w:type="spellStart"/>
      <w:r w:rsidRPr="003D64C9">
        <w:rPr>
          <w:i/>
        </w:rPr>
        <w:t>rch</w:t>
      </w:r>
      <w:proofErr w:type="spellEnd"/>
      <w:r w:rsidRPr="00B61F3E">
        <w:t xml:space="preserve"> in the treatment of HPP</w:t>
      </w:r>
      <w:r>
        <w:t>.</w:t>
      </w:r>
    </w:p>
    <w:p w:rsidR="00191102" w:rsidRDefault="00191102" w:rsidP="00191102"/>
    <w:p w:rsidR="00786DA6" w:rsidRDefault="00595588" w:rsidP="000B5A96">
      <w:r>
        <w:t xml:space="preserve">Patients were </w:t>
      </w:r>
      <w:r w:rsidRPr="0071482E">
        <w:t>enrolled in 3 pivotal prospective studies and their extensions</w:t>
      </w:r>
      <w:r>
        <w:t xml:space="preserve"> and a</w:t>
      </w:r>
      <w:r w:rsidR="003E7A53" w:rsidRPr="0071482E">
        <w:t xml:space="preserve"> retrospective natural history study </w:t>
      </w:r>
      <w:r w:rsidR="001D0847">
        <w:t xml:space="preserve">(ENB-011-010) </w:t>
      </w:r>
      <w:r w:rsidR="003E7A53" w:rsidRPr="0071482E">
        <w:t xml:space="preserve">was conducted to provide an untreated historical cohort for comparisons of overall and invasive ventilator-free survival. </w:t>
      </w:r>
      <w:r>
        <w:t>Additionally</w:t>
      </w:r>
      <w:r w:rsidR="003E7A53" w:rsidRPr="0071482E">
        <w:t>, a supportive study enrolled 19 patients aged 13-66 years</w:t>
      </w:r>
      <w:r w:rsidR="0024427C">
        <w:t>, 16 of these patients had paediatric-onset HPP</w:t>
      </w:r>
      <w:r w:rsidR="00786DA6">
        <w:t>.</w:t>
      </w:r>
    </w:p>
    <w:p w:rsidR="006767F7" w:rsidRDefault="006767F7" w:rsidP="000B5A96"/>
    <w:p w:rsidR="003E7A53" w:rsidRDefault="00786DA6" w:rsidP="00B61F3E">
      <w:pPr>
        <w:keepNext/>
      </w:pPr>
      <w:r>
        <w:t>Patient demographics in</w:t>
      </w:r>
      <w:r w:rsidR="00562EB9">
        <w:t xml:space="preserve"> HPP</w:t>
      </w:r>
      <w:r>
        <w:t xml:space="preserve"> clinical trials are summarised in</w:t>
      </w:r>
      <w:r w:rsidR="004104E3">
        <w:t xml:space="preserve"> </w:t>
      </w:r>
      <w:r w:rsidR="004104E3" w:rsidRPr="004104E3">
        <w:fldChar w:fldCharType="begin"/>
      </w:r>
      <w:r w:rsidR="004104E3" w:rsidRPr="004104E3">
        <w:instrText xml:space="preserve"> REF _Ref404254693 \h </w:instrText>
      </w:r>
      <w:r w:rsidR="004104E3">
        <w:instrText xml:space="preserve"> \* MERGEFORMAT </w:instrText>
      </w:r>
      <w:r w:rsidR="004104E3" w:rsidRPr="004104E3">
        <w:fldChar w:fldCharType="separate"/>
      </w:r>
      <w:r w:rsidR="00D71D62" w:rsidRPr="004104E3">
        <w:t xml:space="preserve">Table </w:t>
      </w:r>
      <w:r w:rsidR="00D71D62">
        <w:t>1</w:t>
      </w:r>
      <w:r w:rsidR="004104E3" w:rsidRPr="004104E3">
        <w:fldChar w:fldCharType="end"/>
      </w:r>
      <w:r w:rsidR="00562EB9">
        <w:t xml:space="preserve"> below</w:t>
      </w:r>
      <w:r w:rsidR="003E7A53" w:rsidRPr="0071482E">
        <w:t>.</w:t>
      </w:r>
    </w:p>
    <w:p w:rsidR="001B005B" w:rsidRDefault="001B005B" w:rsidP="00B61F3E">
      <w:pPr>
        <w:keepNext/>
      </w:pPr>
    </w:p>
    <w:p w:rsidR="004104E3" w:rsidRDefault="004104E3" w:rsidP="00191102">
      <w:pPr>
        <w:pStyle w:val="Caption"/>
      </w:pPr>
      <w:bookmarkStart w:id="0" w:name="_Ref404254693"/>
      <w:r w:rsidRPr="004104E3">
        <w:t xml:space="preserve">Table </w:t>
      </w:r>
      <w:fldSimple w:instr=" SEQ Table \* ARABIC ">
        <w:r w:rsidR="00D71D62">
          <w:rPr>
            <w:noProof/>
          </w:rPr>
          <w:t>1</w:t>
        </w:r>
      </w:fldSimple>
      <w:bookmarkEnd w:id="0"/>
      <w:r>
        <w:t>: HPP Clinical trials</w:t>
      </w:r>
    </w:p>
    <w:p w:rsidR="005E2633" w:rsidRPr="005E2633" w:rsidRDefault="005E2633" w:rsidP="00191102">
      <w:pPr>
        <w:keepNext/>
      </w:pPr>
    </w:p>
    <w:tbl>
      <w:tblPr>
        <w:tblW w:w="90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4230"/>
        <w:gridCol w:w="1620"/>
        <w:gridCol w:w="1350"/>
      </w:tblGrid>
      <w:tr w:rsidR="005C2EA5" w:rsidRPr="00045D72" w:rsidTr="006C34C9">
        <w:trPr>
          <w:tblHeader/>
        </w:trPr>
        <w:tc>
          <w:tcPr>
            <w:tcW w:w="1818" w:type="dxa"/>
            <w:shd w:val="clear" w:color="auto" w:fill="auto"/>
            <w:vAlign w:val="center"/>
          </w:tcPr>
          <w:p w:rsidR="009803CB" w:rsidRPr="00045D72" w:rsidRDefault="009803CB" w:rsidP="00B51B85">
            <w:pPr>
              <w:pStyle w:val="C-TableHeader"/>
              <w:jc w:val="center"/>
              <w:rPr>
                <w:rFonts w:eastAsia="MS Mincho"/>
                <w:sz w:val="22"/>
                <w:szCs w:val="22"/>
              </w:rPr>
            </w:pPr>
            <w:r w:rsidRPr="00045D72">
              <w:rPr>
                <w:rFonts w:eastAsia="MS Mincho"/>
                <w:sz w:val="22"/>
                <w:szCs w:val="22"/>
              </w:rPr>
              <w:t>Study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9803CB" w:rsidRPr="00045D72" w:rsidRDefault="009803CB" w:rsidP="005E2633">
            <w:pPr>
              <w:pStyle w:val="C-TableHeader"/>
              <w:rPr>
                <w:rFonts w:eastAsia="MS Mincho"/>
                <w:sz w:val="22"/>
                <w:szCs w:val="22"/>
              </w:rPr>
            </w:pPr>
            <w:r w:rsidRPr="00045D72">
              <w:rPr>
                <w:rFonts w:eastAsia="MS Mincho"/>
                <w:sz w:val="22"/>
                <w:szCs w:val="22"/>
              </w:rPr>
              <w:t>Trial design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03CB" w:rsidRPr="00045D72" w:rsidRDefault="009803CB" w:rsidP="005E2633">
            <w:pPr>
              <w:pStyle w:val="C-TableHeader"/>
              <w:jc w:val="center"/>
              <w:rPr>
                <w:rFonts w:eastAsia="MS Mincho"/>
                <w:sz w:val="22"/>
                <w:szCs w:val="22"/>
              </w:rPr>
            </w:pPr>
            <w:r w:rsidRPr="00045D72">
              <w:rPr>
                <w:rFonts w:eastAsia="MS Mincho"/>
                <w:sz w:val="22"/>
                <w:szCs w:val="22"/>
              </w:rPr>
              <w:t>No of patients</w:t>
            </w:r>
          </w:p>
          <w:p w:rsidR="009803CB" w:rsidRPr="00045D72" w:rsidRDefault="009803CB" w:rsidP="005E2633">
            <w:pPr>
              <w:pStyle w:val="C-TableText"/>
              <w:jc w:val="center"/>
              <w:rPr>
                <w:rFonts w:eastAsia="MS Mincho"/>
              </w:rPr>
            </w:pPr>
            <w:r w:rsidRPr="00045D72">
              <w:rPr>
                <w:rFonts w:eastAsia="MS Mincho"/>
                <w:b/>
                <w:sz w:val="22"/>
                <w:szCs w:val="22"/>
              </w:rPr>
              <w:t>(n)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803CB" w:rsidRPr="00045D72" w:rsidRDefault="00F645D9" w:rsidP="005E2633">
            <w:pPr>
              <w:pStyle w:val="C-TableHeader"/>
              <w:jc w:val="center"/>
              <w:rPr>
                <w:rFonts w:eastAsia="MS Mincho"/>
                <w:sz w:val="22"/>
                <w:szCs w:val="22"/>
              </w:rPr>
            </w:pPr>
            <w:r w:rsidRPr="00045D72">
              <w:rPr>
                <w:rFonts w:eastAsia="MS Mincho"/>
                <w:sz w:val="22"/>
                <w:szCs w:val="22"/>
              </w:rPr>
              <w:t xml:space="preserve">Age </w:t>
            </w:r>
            <w:r w:rsidR="009803CB" w:rsidRPr="00045D72">
              <w:rPr>
                <w:rFonts w:eastAsia="MS Mincho"/>
                <w:sz w:val="22"/>
                <w:szCs w:val="22"/>
              </w:rPr>
              <w:t>range</w:t>
            </w:r>
          </w:p>
        </w:tc>
      </w:tr>
      <w:tr w:rsidR="00C573BE" w:rsidRPr="00045D72" w:rsidTr="006C34C9">
        <w:trPr>
          <w:trHeight w:val="502"/>
        </w:trPr>
        <w:tc>
          <w:tcPr>
            <w:tcW w:w="1818" w:type="dxa"/>
            <w:shd w:val="clear" w:color="auto" w:fill="auto"/>
            <w:vAlign w:val="center"/>
          </w:tcPr>
          <w:p w:rsidR="00C573BE" w:rsidRPr="00045D72" w:rsidRDefault="00C573BE" w:rsidP="005E2633">
            <w:pPr>
              <w:pStyle w:val="C-TableText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ENB-002-08</w:t>
            </w:r>
          </w:p>
        </w:tc>
        <w:tc>
          <w:tcPr>
            <w:tcW w:w="4230" w:type="dxa"/>
            <w:vMerge w:val="restart"/>
            <w:shd w:val="clear" w:color="auto" w:fill="auto"/>
            <w:vAlign w:val="center"/>
          </w:tcPr>
          <w:p w:rsidR="00C573BE" w:rsidRPr="00045D72" w:rsidRDefault="00C573BE" w:rsidP="005E2633">
            <w:pPr>
              <w:pStyle w:val="C-TableText"/>
              <w:rPr>
                <w:rFonts w:eastAsia="MS Mincho"/>
                <w:sz w:val="22"/>
                <w:szCs w:val="22"/>
              </w:rPr>
            </w:pPr>
            <w:proofErr w:type="spellStart"/>
            <w:r w:rsidRPr="00045D72">
              <w:rPr>
                <w:rFonts w:eastAsia="MS Mincho"/>
                <w:sz w:val="22"/>
                <w:szCs w:val="22"/>
              </w:rPr>
              <w:t>Multicentre</w:t>
            </w:r>
            <w:proofErr w:type="spellEnd"/>
            <w:r w:rsidRPr="00045D72">
              <w:rPr>
                <w:rFonts w:eastAsia="MS Mincho"/>
                <w:sz w:val="22"/>
                <w:szCs w:val="22"/>
              </w:rPr>
              <w:t>, open-label, single group assignment, safety/efficacy phase II study in infants and young children (</w:t>
            </w:r>
            <w:r w:rsidRPr="00045D72">
              <w:rPr>
                <w:rFonts w:eastAsia="MS Mincho"/>
                <w:i/>
                <w:sz w:val="22"/>
                <w:szCs w:val="22"/>
              </w:rPr>
              <w:t>infantile onset</w:t>
            </w:r>
            <w:r w:rsidRPr="00045D72">
              <w:rPr>
                <w:rFonts w:eastAsia="MS Mincho"/>
                <w:sz w:val="22"/>
                <w:szCs w:val="22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573BE" w:rsidRPr="00045D72" w:rsidRDefault="00C573BE" w:rsidP="005E2633">
            <w:pPr>
              <w:pStyle w:val="C-TableText"/>
              <w:jc w:val="center"/>
              <w:rPr>
                <w:rFonts w:eastAsia="MS Mincho"/>
                <w:sz w:val="22"/>
                <w:szCs w:val="22"/>
              </w:rPr>
            </w:pPr>
            <w:r w:rsidRPr="00045D72">
              <w:rPr>
                <w:rFonts w:eastAsia="MS Mincho"/>
                <w:sz w:val="22"/>
                <w:szCs w:val="22"/>
              </w:rPr>
              <w:t>11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C573BE" w:rsidRPr="00045D72" w:rsidRDefault="00C573BE" w:rsidP="005E2633">
            <w:pPr>
              <w:pStyle w:val="C-TableText"/>
              <w:jc w:val="center"/>
              <w:rPr>
                <w:rFonts w:eastAsia="MS Mincho"/>
                <w:sz w:val="22"/>
                <w:szCs w:val="22"/>
              </w:rPr>
            </w:pPr>
            <w:r w:rsidRPr="00045D72">
              <w:rPr>
                <w:rFonts w:eastAsia="MS Mincho"/>
                <w:sz w:val="22"/>
                <w:szCs w:val="22"/>
              </w:rPr>
              <w:t>6 months to 3 years</w:t>
            </w:r>
          </w:p>
          <w:p w:rsidR="00C573BE" w:rsidRPr="00045D72" w:rsidRDefault="00C573BE" w:rsidP="005E2633">
            <w:pPr>
              <w:pStyle w:val="C-TableText"/>
              <w:jc w:val="center"/>
              <w:rPr>
                <w:rFonts w:eastAsia="MS Mincho"/>
                <w:sz w:val="22"/>
                <w:szCs w:val="22"/>
              </w:rPr>
            </w:pPr>
          </w:p>
        </w:tc>
      </w:tr>
      <w:tr w:rsidR="00C573BE" w:rsidRPr="00045D72" w:rsidTr="006C34C9">
        <w:trPr>
          <w:trHeight w:val="430"/>
        </w:trPr>
        <w:tc>
          <w:tcPr>
            <w:tcW w:w="1818" w:type="dxa"/>
            <w:shd w:val="clear" w:color="auto" w:fill="auto"/>
            <w:vAlign w:val="center"/>
          </w:tcPr>
          <w:p w:rsidR="00C573BE" w:rsidRPr="00045D72" w:rsidRDefault="00C573BE" w:rsidP="00B51B85">
            <w:pPr>
              <w:pStyle w:val="C-TableText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ENB-003-08 (e</w:t>
            </w:r>
            <w:r w:rsidRPr="00045D72">
              <w:rPr>
                <w:rFonts w:eastAsia="MS Mincho"/>
                <w:sz w:val="22"/>
                <w:szCs w:val="22"/>
              </w:rPr>
              <w:t xml:space="preserve">xtension </w:t>
            </w:r>
            <w:r>
              <w:rPr>
                <w:rFonts w:eastAsia="MS Mincho"/>
                <w:sz w:val="22"/>
                <w:szCs w:val="22"/>
              </w:rPr>
              <w:t>s</w:t>
            </w:r>
            <w:r w:rsidRPr="00045D72">
              <w:rPr>
                <w:rFonts w:eastAsia="MS Mincho"/>
                <w:sz w:val="22"/>
                <w:szCs w:val="22"/>
              </w:rPr>
              <w:t>tudy</w:t>
            </w:r>
            <w:r>
              <w:rPr>
                <w:rFonts w:eastAsia="MS Mincho"/>
                <w:sz w:val="22"/>
                <w:szCs w:val="22"/>
              </w:rPr>
              <w:t>)</w:t>
            </w:r>
          </w:p>
        </w:tc>
        <w:tc>
          <w:tcPr>
            <w:tcW w:w="4230" w:type="dxa"/>
            <w:vMerge/>
            <w:shd w:val="clear" w:color="auto" w:fill="auto"/>
            <w:vAlign w:val="center"/>
          </w:tcPr>
          <w:p w:rsidR="00C573BE" w:rsidRPr="00045D72" w:rsidRDefault="00C573BE" w:rsidP="005E2633">
            <w:pPr>
              <w:pStyle w:val="C-TableTex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573BE" w:rsidRPr="00045D72" w:rsidRDefault="00C573BE" w:rsidP="005E2633">
            <w:pPr>
              <w:pStyle w:val="C-TableText"/>
              <w:jc w:val="center"/>
              <w:rPr>
                <w:rFonts w:eastAsia="MS Mincho"/>
                <w:sz w:val="22"/>
                <w:szCs w:val="22"/>
              </w:rPr>
            </w:pPr>
            <w:r w:rsidRPr="00045D72">
              <w:rPr>
                <w:rFonts w:eastAsia="MS Mincho"/>
                <w:sz w:val="22"/>
                <w:szCs w:val="22"/>
              </w:rPr>
              <w:t>10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C573BE" w:rsidRPr="00045D72" w:rsidRDefault="00C573BE" w:rsidP="005E2633">
            <w:pPr>
              <w:pStyle w:val="C-TableText"/>
              <w:jc w:val="center"/>
              <w:rPr>
                <w:rFonts w:eastAsia="MS Mincho"/>
                <w:sz w:val="22"/>
                <w:szCs w:val="22"/>
              </w:rPr>
            </w:pPr>
          </w:p>
        </w:tc>
      </w:tr>
      <w:tr w:rsidR="005C2EA5" w:rsidRPr="00045D72" w:rsidTr="006C34C9">
        <w:tc>
          <w:tcPr>
            <w:tcW w:w="1818" w:type="dxa"/>
            <w:shd w:val="clear" w:color="auto" w:fill="auto"/>
            <w:vAlign w:val="center"/>
          </w:tcPr>
          <w:p w:rsidR="009803CB" w:rsidRPr="00045D72" w:rsidRDefault="00DA42AF" w:rsidP="005E2633">
            <w:pPr>
              <w:pStyle w:val="C-TableText"/>
              <w:jc w:val="center"/>
              <w:rPr>
                <w:rFonts w:eastAsia="MS Mincho"/>
                <w:sz w:val="22"/>
                <w:szCs w:val="22"/>
              </w:rPr>
            </w:pPr>
            <w:r w:rsidRPr="00DA42AF">
              <w:rPr>
                <w:rFonts w:eastAsia="MS Mincho"/>
                <w:sz w:val="22"/>
                <w:szCs w:val="22"/>
              </w:rPr>
              <w:t>ENB-010</w:t>
            </w:r>
            <w:r>
              <w:rPr>
                <w:rFonts w:eastAsia="MS Mincho"/>
                <w:sz w:val="22"/>
                <w:szCs w:val="22"/>
              </w:rPr>
              <w:t>-10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9803CB" w:rsidRPr="00045D72" w:rsidRDefault="009803CB" w:rsidP="005E2633">
            <w:pPr>
              <w:pStyle w:val="C-TableText"/>
              <w:rPr>
                <w:rFonts w:eastAsia="MS Mincho"/>
                <w:sz w:val="22"/>
                <w:szCs w:val="22"/>
              </w:rPr>
            </w:pPr>
            <w:proofErr w:type="spellStart"/>
            <w:r w:rsidRPr="00045D72">
              <w:rPr>
                <w:rFonts w:eastAsia="MS Mincho"/>
                <w:sz w:val="22"/>
                <w:szCs w:val="22"/>
              </w:rPr>
              <w:t>Multicentre</w:t>
            </w:r>
            <w:proofErr w:type="spellEnd"/>
            <w:r w:rsidRPr="00045D72">
              <w:rPr>
                <w:rFonts w:eastAsia="MS Mincho"/>
                <w:sz w:val="22"/>
                <w:szCs w:val="22"/>
              </w:rPr>
              <w:t>, open-label, single group assignment, safety/efficacy, PK phase II study in infants and children (</w:t>
            </w:r>
            <w:r w:rsidRPr="00045D72">
              <w:rPr>
                <w:rFonts w:eastAsia="MS Mincho"/>
                <w:i/>
                <w:sz w:val="22"/>
                <w:szCs w:val="22"/>
              </w:rPr>
              <w:t>infantile onset</w:t>
            </w:r>
            <w:r w:rsidRPr="00045D72">
              <w:rPr>
                <w:rFonts w:eastAsia="MS Mincho"/>
                <w:sz w:val="22"/>
                <w:szCs w:val="22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03CB" w:rsidRPr="00045D72" w:rsidRDefault="009803CB" w:rsidP="00DA42AF">
            <w:pPr>
              <w:pStyle w:val="C-TableText"/>
              <w:jc w:val="center"/>
              <w:rPr>
                <w:rFonts w:eastAsia="MS Mincho"/>
                <w:sz w:val="22"/>
                <w:szCs w:val="22"/>
              </w:rPr>
            </w:pPr>
            <w:r w:rsidRPr="00045D72">
              <w:rPr>
                <w:rFonts w:eastAsia="MS Mincho"/>
                <w:sz w:val="22"/>
                <w:szCs w:val="22"/>
              </w:rPr>
              <w:t>28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803CB" w:rsidRPr="00045D72" w:rsidRDefault="009803CB" w:rsidP="00697228">
            <w:pPr>
              <w:pStyle w:val="C-TableText"/>
              <w:jc w:val="center"/>
              <w:rPr>
                <w:rFonts w:eastAsia="MS Mincho"/>
                <w:sz w:val="22"/>
                <w:szCs w:val="22"/>
              </w:rPr>
            </w:pPr>
            <w:r w:rsidRPr="00045D72">
              <w:rPr>
                <w:rFonts w:eastAsia="MS Mincho"/>
                <w:sz w:val="22"/>
                <w:szCs w:val="22"/>
              </w:rPr>
              <w:t xml:space="preserve">0 to </w:t>
            </w:r>
            <w:r w:rsidR="00697228">
              <w:rPr>
                <w:rFonts w:eastAsia="MS Mincho"/>
                <w:sz w:val="22"/>
                <w:szCs w:val="22"/>
              </w:rPr>
              <w:t>5</w:t>
            </w:r>
            <w:r w:rsidR="00697228" w:rsidRPr="00045D72">
              <w:rPr>
                <w:rFonts w:eastAsia="MS Mincho"/>
                <w:sz w:val="22"/>
                <w:szCs w:val="22"/>
              </w:rPr>
              <w:t xml:space="preserve"> </w:t>
            </w:r>
            <w:r w:rsidRPr="00045D72">
              <w:rPr>
                <w:rFonts w:eastAsia="MS Mincho"/>
                <w:sz w:val="22"/>
                <w:szCs w:val="22"/>
              </w:rPr>
              <w:t>years</w:t>
            </w:r>
          </w:p>
        </w:tc>
      </w:tr>
      <w:tr w:rsidR="00C573BE" w:rsidRPr="00045D72" w:rsidTr="006C34C9">
        <w:trPr>
          <w:trHeight w:val="583"/>
        </w:trPr>
        <w:tc>
          <w:tcPr>
            <w:tcW w:w="1818" w:type="dxa"/>
            <w:shd w:val="clear" w:color="auto" w:fill="auto"/>
            <w:vAlign w:val="center"/>
          </w:tcPr>
          <w:p w:rsidR="00C573BE" w:rsidRPr="00045D72" w:rsidRDefault="00C573BE" w:rsidP="005E2633">
            <w:pPr>
              <w:pStyle w:val="C-TableText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ENB-006-09</w:t>
            </w:r>
          </w:p>
        </w:tc>
        <w:tc>
          <w:tcPr>
            <w:tcW w:w="4230" w:type="dxa"/>
            <w:vMerge w:val="restart"/>
            <w:shd w:val="clear" w:color="auto" w:fill="auto"/>
            <w:vAlign w:val="center"/>
          </w:tcPr>
          <w:p w:rsidR="00C573BE" w:rsidRPr="00045D72" w:rsidRDefault="00C573BE" w:rsidP="005E2633">
            <w:pPr>
              <w:pStyle w:val="C-TableText"/>
              <w:rPr>
                <w:rFonts w:eastAsia="MS Mincho"/>
                <w:sz w:val="22"/>
                <w:szCs w:val="22"/>
              </w:rPr>
            </w:pPr>
            <w:proofErr w:type="spellStart"/>
            <w:r w:rsidRPr="00045D72">
              <w:rPr>
                <w:rFonts w:eastAsia="MS Mincho"/>
                <w:sz w:val="22"/>
                <w:szCs w:val="22"/>
              </w:rPr>
              <w:t>Multicentre</w:t>
            </w:r>
            <w:proofErr w:type="spellEnd"/>
            <w:r w:rsidRPr="00045D72">
              <w:rPr>
                <w:rFonts w:eastAsia="MS Mincho"/>
                <w:sz w:val="22"/>
                <w:szCs w:val="22"/>
              </w:rPr>
              <w:t>, open-label, dose comparison, parallel assignment, historical control, safety/efficacy, PK, PD phase II study in infants and early adolescents (</w:t>
            </w:r>
            <w:r w:rsidRPr="00045D72">
              <w:rPr>
                <w:rFonts w:eastAsia="MS Mincho"/>
                <w:i/>
                <w:sz w:val="22"/>
                <w:szCs w:val="22"/>
              </w:rPr>
              <w:t>infantile and juvenile onset</w:t>
            </w:r>
            <w:r w:rsidRPr="00045D72">
              <w:rPr>
                <w:rFonts w:eastAsia="MS Mincho"/>
                <w:sz w:val="22"/>
                <w:szCs w:val="22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573BE" w:rsidRPr="00045D72" w:rsidRDefault="00C573BE" w:rsidP="005E2633">
            <w:pPr>
              <w:pStyle w:val="C-TableText"/>
              <w:jc w:val="center"/>
              <w:rPr>
                <w:rFonts w:eastAsia="MS Mincho"/>
                <w:sz w:val="22"/>
                <w:szCs w:val="22"/>
              </w:rPr>
            </w:pPr>
            <w:r w:rsidRPr="00045D72">
              <w:rPr>
                <w:rFonts w:eastAsia="MS Mincho"/>
                <w:sz w:val="22"/>
                <w:szCs w:val="22"/>
              </w:rPr>
              <w:t>13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C573BE" w:rsidRPr="00045D72" w:rsidRDefault="00C573BE" w:rsidP="005E2633">
            <w:pPr>
              <w:pStyle w:val="C-TableText"/>
              <w:jc w:val="center"/>
              <w:rPr>
                <w:rFonts w:eastAsia="MS Mincho"/>
                <w:sz w:val="22"/>
                <w:szCs w:val="22"/>
              </w:rPr>
            </w:pPr>
            <w:r w:rsidRPr="00045D72">
              <w:rPr>
                <w:rFonts w:eastAsia="MS Mincho"/>
                <w:sz w:val="22"/>
                <w:szCs w:val="22"/>
              </w:rPr>
              <w:t>5 to 12 years</w:t>
            </w:r>
          </w:p>
          <w:p w:rsidR="00C573BE" w:rsidRPr="00045D72" w:rsidRDefault="00C573BE" w:rsidP="005E2633">
            <w:pPr>
              <w:pStyle w:val="C-TableText"/>
              <w:jc w:val="center"/>
              <w:rPr>
                <w:rFonts w:eastAsia="MS Mincho"/>
                <w:sz w:val="22"/>
                <w:szCs w:val="22"/>
              </w:rPr>
            </w:pPr>
          </w:p>
        </w:tc>
      </w:tr>
      <w:tr w:rsidR="00C573BE" w:rsidRPr="00045D72" w:rsidTr="006C34C9">
        <w:trPr>
          <w:trHeight w:val="619"/>
        </w:trPr>
        <w:tc>
          <w:tcPr>
            <w:tcW w:w="1818" w:type="dxa"/>
            <w:shd w:val="clear" w:color="auto" w:fill="auto"/>
            <w:vAlign w:val="center"/>
          </w:tcPr>
          <w:p w:rsidR="00C573BE" w:rsidRPr="00045D72" w:rsidRDefault="00C573BE" w:rsidP="00B51B85">
            <w:pPr>
              <w:pStyle w:val="C-TableText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ENB-008-10 (e</w:t>
            </w:r>
            <w:r w:rsidRPr="00045D72">
              <w:rPr>
                <w:rFonts w:eastAsia="MS Mincho"/>
                <w:sz w:val="22"/>
                <w:szCs w:val="22"/>
              </w:rPr>
              <w:t>xtension</w:t>
            </w:r>
            <w:r>
              <w:rPr>
                <w:rFonts w:eastAsia="MS Mincho"/>
                <w:sz w:val="22"/>
                <w:szCs w:val="22"/>
              </w:rPr>
              <w:t xml:space="preserve"> study)</w:t>
            </w:r>
          </w:p>
        </w:tc>
        <w:tc>
          <w:tcPr>
            <w:tcW w:w="4230" w:type="dxa"/>
            <w:vMerge/>
            <w:shd w:val="clear" w:color="auto" w:fill="auto"/>
          </w:tcPr>
          <w:p w:rsidR="00C573BE" w:rsidRPr="00045D72" w:rsidRDefault="00C573BE" w:rsidP="005E2633">
            <w:pPr>
              <w:pStyle w:val="C-TableText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573BE" w:rsidRPr="00045D72" w:rsidRDefault="00C573BE" w:rsidP="005E2633">
            <w:pPr>
              <w:pStyle w:val="C-TableText"/>
              <w:jc w:val="center"/>
              <w:rPr>
                <w:rFonts w:eastAsia="MS Mincho"/>
                <w:sz w:val="22"/>
                <w:szCs w:val="22"/>
              </w:rPr>
            </w:pPr>
            <w:r w:rsidRPr="00045D72">
              <w:rPr>
                <w:rFonts w:eastAsia="MS Mincho"/>
                <w:sz w:val="22"/>
                <w:szCs w:val="22"/>
              </w:rPr>
              <w:t>12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C573BE" w:rsidRPr="00045D72" w:rsidRDefault="00C573BE" w:rsidP="005E2633">
            <w:pPr>
              <w:pStyle w:val="C-TableText"/>
              <w:jc w:val="center"/>
              <w:rPr>
                <w:rFonts w:eastAsia="MS Mincho"/>
                <w:sz w:val="22"/>
                <w:szCs w:val="22"/>
              </w:rPr>
            </w:pPr>
          </w:p>
        </w:tc>
      </w:tr>
      <w:tr w:rsidR="005C2EA5" w:rsidRPr="00045D72" w:rsidTr="006C34C9">
        <w:trPr>
          <w:trHeight w:val="493"/>
        </w:trPr>
        <w:tc>
          <w:tcPr>
            <w:tcW w:w="1818" w:type="dxa"/>
            <w:shd w:val="clear" w:color="auto" w:fill="auto"/>
            <w:vAlign w:val="center"/>
          </w:tcPr>
          <w:p w:rsidR="00B6531D" w:rsidRPr="00045D72" w:rsidRDefault="009049C2" w:rsidP="005E2633">
            <w:pPr>
              <w:pStyle w:val="C-TableText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ENB-009-10</w:t>
            </w:r>
          </w:p>
        </w:tc>
        <w:tc>
          <w:tcPr>
            <w:tcW w:w="4230" w:type="dxa"/>
            <w:shd w:val="clear" w:color="auto" w:fill="auto"/>
          </w:tcPr>
          <w:p w:rsidR="00B6531D" w:rsidRPr="00045D72" w:rsidRDefault="00B6531D" w:rsidP="005E2633">
            <w:pPr>
              <w:pStyle w:val="C-TableText"/>
              <w:rPr>
                <w:rFonts w:eastAsia="MS Mincho"/>
                <w:sz w:val="22"/>
                <w:szCs w:val="22"/>
              </w:rPr>
            </w:pPr>
            <w:r w:rsidRPr="00045D72">
              <w:rPr>
                <w:rFonts w:eastAsia="MS Mincho"/>
                <w:sz w:val="22"/>
                <w:szCs w:val="22"/>
              </w:rPr>
              <w:t xml:space="preserve">Randomized, </w:t>
            </w:r>
            <w:proofErr w:type="spellStart"/>
            <w:r w:rsidRPr="00045D72">
              <w:rPr>
                <w:rFonts w:eastAsia="MS Mincho"/>
                <w:sz w:val="22"/>
                <w:szCs w:val="22"/>
              </w:rPr>
              <w:t>multicentre</w:t>
            </w:r>
            <w:proofErr w:type="spellEnd"/>
            <w:r w:rsidRPr="00045D72">
              <w:rPr>
                <w:rFonts w:eastAsia="MS Mincho"/>
                <w:sz w:val="22"/>
                <w:szCs w:val="22"/>
              </w:rPr>
              <w:t>, open-label, dose-ranging, concurrent control, safety/efficacy, PK phase II study in adolescents and adults (</w:t>
            </w:r>
            <w:r w:rsidRPr="00045D72">
              <w:rPr>
                <w:rFonts w:eastAsia="MS Mincho"/>
                <w:i/>
                <w:sz w:val="22"/>
                <w:szCs w:val="22"/>
              </w:rPr>
              <w:t>infantile, juvenile and adult onset</w:t>
            </w:r>
            <w:r w:rsidRPr="00045D72">
              <w:rPr>
                <w:rFonts w:eastAsia="MS Mincho"/>
                <w:sz w:val="22"/>
                <w:szCs w:val="22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6531D" w:rsidRPr="00045D72" w:rsidRDefault="00B6531D" w:rsidP="005E2633">
            <w:pPr>
              <w:pStyle w:val="C-TableText"/>
              <w:jc w:val="center"/>
              <w:rPr>
                <w:rFonts w:eastAsia="MS Mincho"/>
                <w:sz w:val="22"/>
                <w:szCs w:val="22"/>
              </w:rPr>
            </w:pPr>
            <w:r w:rsidRPr="00045D72">
              <w:rPr>
                <w:rFonts w:eastAsia="MS Mincho"/>
                <w:sz w:val="22"/>
                <w:szCs w:val="22"/>
              </w:rPr>
              <w:t>19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6531D" w:rsidRPr="00045D72" w:rsidRDefault="00B6531D" w:rsidP="005E2633">
            <w:pPr>
              <w:pStyle w:val="C-TableText"/>
              <w:jc w:val="center"/>
              <w:rPr>
                <w:rFonts w:eastAsia="MS Mincho"/>
                <w:sz w:val="22"/>
                <w:szCs w:val="22"/>
              </w:rPr>
            </w:pPr>
            <w:r w:rsidRPr="00045D72">
              <w:rPr>
                <w:rFonts w:eastAsia="MS Mincho"/>
                <w:sz w:val="22"/>
                <w:szCs w:val="22"/>
              </w:rPr>
              <w:t>13 to 66 years</w:t>
            </w:r>
          </w:p>
        </w:tc>
      </w:tr>
    </w:tbl>
    <w:p w:rsidR="009803CB" w:rsidRDefault="009803CB" w:rsidP="000B5A96"/>
    <w:p w:rsidR="00D37AED" w:rsidRDefault="00D37AED" w:rsidP="000B5A96">
      <w:r>
        <w:lastRenderedPageBreak/>
        <w:t>Baseline characteristics of patients with paediatric-onset HPP evalua</w:t>
      </w:r>
      <w:r w:rsidR="00233081">
        <w:t>ted in clinical trials included</w:t>
      </w:r>
      <w:r>
        <w:t xml:space="preserve"> low ALP and one or more of the following; elevated TNSALP biochemical substrates (</w:t>
      </w:r>
      <w:proofErr w:type="spellStart"/>
      <w:r>
        <w:t>PPi</w:t>
      </w:r>
      <w:proofErr w:type="spellEnd"/>
      <w:r>
        <w:t xml:space="preserve"> and PLP), abnormal bone structure (elevated osteoid indices, reduced bone mineral content, skeletal deformities of rickets such as bowed legs, abnormally shaped chest, below normal Z</w:t>
      </w:r>
      <w:r w:rsidR="00562EB9">
        <w:t>-</w:t>
      </w:r>
      <w:r>
        <w:t xml:space="preserve">score for height) or impaired physical function (gross motor weakness, developmental delay, impaired walking, inability to perform activities of daily living). At baseline, patients less than 5 years of age presented with additional morbidities including </w:t>
      </w:r>
      <w:proofErr w:type="spellStart"/>
      <w:r>
        <w:t>nephrocalcinosis</w:t>
      </w:r>
      <w:proofErr w:type="spellEnd"/>
      <w:r>
        <w:t>, seizures</w:t>
      </w:r>
      <w:r w:rsidR="00233081">
        <w:t xml:space="preserve">, </w:t>
      </w:r>
      <w:r>
        <w:t>respiratory compromise (including respiratory failure requiring support) and gross motor delays. In Study 1, most patients (9/11, 81.8%) presented with significant gross motor delays on the BSID-III</w:t>
      </w:r>
      <w:r w:rsidR="00FF5C55">
        <w:t xml:space="preserve"> (</w:t>
      </w:r>
      <w:r w:rsidR="00FF5C55" w:rsidRPr="00FF5C55">
        <w:t>Bayley Scales of Infant and Toddler Development, Third Edition</w:t>
      </w:r>
      <w:r w:rsidR="00FF5C55">
        <w:t xml:space="preserve">) </w:t>
      </w:r>
      <w:r>
        <w:t xml:space="preserve">e.g. gross motor scaled scores of 1, which is </w:t>
      </w:r>
      <w:r w:rsidR="00112EF4">
        <w:t xml:space="preserve">3 SDs below the mean </w:t>
      </w:r>
      <w:r>
        <w:t>S</w:t>
      </w:r>
      <w:r w:rsidR="00112EF4">
        <w:t>D</w:t>
      </w:r>
      <w:r>
        <w:t xml:space="preserve"> for health</w:t>
      </w:r>
      <w:r w:rsidR="00112EF4">
        <w:t>y</w:t>
      </w:r>
      <w:r>
        <w:t xml:space="preserve"> age-matched peers.</w:t>
      </w:r>
      <w:r w:rsidR="006D6ACC">
        <w:t xml:space="preserve"> In Study 4, 18 (94.7%) patients experienced fractures and 18 (94.7%) patients had bone pain severe enough to limit activity.</w:t>
      </w:r>
    </w:p>
    <w:p w:rsidR="005D7755" w:rsidRDefault="005D7755" w:rsidP="000B5A96"/>
    <w:p w:rsidR="00390725" w:rsidRDefault="00233081" w:rsidP="00390725">
      <w:r>
        <w:t xml:space="preserve">Subcutaneous doses of 6 mg/kg/week of </w:t>
      </w:r>
      <w:proofErr w:type="spellStart"/>
      <w:r w:rsidR="0099406D">
        <w:t>a</w:t>
      </w:r>
      <w:r w:rsidR="0099406D" w:rsidRPr="00E66299">
        <w:t>sfotase</w:t>
      </w:r>
      <w:proofErr w:type="spellEnd"/>
      <w:r w:rsidR="0099406D" w:rsidRPr="00E66299">
        <w:t xml:space="preserve"> alfa</w:t>
      </w:r>
      <w:r w:rsidR="0099406D">
        <w:t xml:space="preserve"> </w:t>
      </w:r>
      <w:proofErr w:type="spellStart"/>
      <w:r w:rsidR="0099406D" w:rsidRPr="001C6816">
        <w:rPr>
          <w:i/>
        </w:rPr>
        <w:t>rch</w:t>
      </w:r>
      <w:proofErr w:type="spellEnd"/>
      <w:r>
        <w:t xml:space="preserve"> were administered 3 times a week or 6 times a week.</w:t>
      </w:r>
      <w:r>
        <w:rPr>
          <w:szCs w:val="24"/>
        </w:rPr>
        <w:t xml:space="preserve">  </w:t>
      </w:r>
      <w:r w:rsidR="00AC1C6F">
        <w:t xml:space="preserve">After completion of the initial 24-week treatment period in </w:t>
      </w:r>
      <w:r w:rsidR="006A7F28">
        <w:t>ENB-002-08</w:t>
      </w:r>
      <w:r w:rsidR="00AC1C6F">
        <w:t xml:space="preserve"> and </w:t>
      </w:r>
      <w:r w:rsidR="006A7F28">
        <w:t>ENB-006-09</w:t>
      </w:r>
      <w:r w:rsidR="00AC1C6F">
        <w:t xml:space="preserve">, most patients continued to receive </w:t>
      </w:r>
      <w:proofErr w:type="spellStart"/>
      <w:r w:rsidR="0099406D">
        <w:t>a</w:t>
      </w:r>
      <w:r w:rsidR="0099406D" w:rsidRPr="00E66299">
        <w:t>sfotase</w:t>
      </w:r>
      <w:proofErr w:type="spellEnd"/>
      <w:r w:rsidR="0099406D" w:rsidRPr="00E66299">
        <w:t xml:space="preserve"> alfa</w:t>
      </w:r>
      <w:r w:rsidR="0099406D">
        <w:t xml:space="preserve"> </w:t>
      </w:r>
      <w:proofErr w:type="spellStart"/>
      <w:r w:rsidR="0099406D" w:rsidRPr="001C6816">
        <w:rPr>
          <w:i/>
        </w:rPr>
        <w:t>rch</w:t>
      </w:r>
      <w:proofErr w:type="spellEnd"/>
      <w:r w:rsidR="00AC1C6F">
        <w:t xml:space="preserve"> by enrolling into an extension study. </w:t>
      </w:r>
      <w:r w:rsidR="00390725">
        <w:t xml:space="preserve">The median duration of treatment was approximately 206 weeks (min, max: 0.1, 260.9) in </w:t>
      </w:r>
      <w:r w:rsidR="006A7F28">
        <w:t>ENB-002-08/ENB-003-08</w:t>
      </w:r>
      <w:r w:rsidR="00390725">
        <w:t xml:space="preserve">, 56 weeks (min, max: 0.4, 171.3) in </w:t>
      </w:r>
      <w:r w:rsidR="00255246" w:rsidRPr="00255246">
        <w:t>ENB-010</w:t>
      </w:r>
      <w:r w:rsidR="00255246">
        <w:t>-10</w:t>
      </w:r>
      <w:r w:rsidR="00390725">
        <w:t xml:space="preserve"> and 182 weeks (min, max: 4.4, 207.9) in </w:t>
      </w:r>
      <w:r w:rsidR="004A4D8A">
        <w:t>ENB-006-09/ENB-008-10</w:t>
      </w:r>
      <w:r w:rsidR="00390725">
        <w:t>.</w:t>
      </w:r>
    </w:p>
    <w:p w:rsidR="005D7755" w:rsidRDefault="005D7755" w:rsidP="000B5A96"/>
    <w:p w:rsidR="00FF5C55" w:rsidRDefault="00FF5C55" w:rsidP="00FF5C55">
      <w:pPr>
        <w:rPr>
          <w:szCs w:val="24"/>
        </w:rPr>
      </w:pPr>
      <w:r w:rsidRPr="00357A92">
        <w:rPr>
          <w:szCs w:val="24"/>
        </w:rPr>
        <w:t>In all pivotal efficacy studies</w:t>
      </w:r>
      <w:r>
        <w:rPr>
          <w:szCs w:val="24"/>
        </w:rPr>
        <w:t>,</w:t>
      </w:r>
      <w:r w:rsidRPr="00357A92">
        <w:rPr>
          <w:szCs w:val="24"/>
        </w:rPr>
        <w:t xml:space="preserve"> the primary endpoint was change in Radiographic Global Impression of Change (RGI-C) scores at 24 weeks.</w:t>
      </w:r>
      <w:r>
        <w:rPr>
          <w:szCs w:val="24"/>
        </w:rPr>
        <w:t xml:space="preserve"> </w:t>
      </w:r>
      <w:r w:rsidRPr="00357A92">
        <w:rPr>
          <w:szCs w:val="24"/>
        </w:rPr>
        <w:t xml:space="preserve">The RGI-C scale provides a radiological evaluation of bone structure for findings that are associated with the pathophysiology of HPP. </w:t>
      </w:r>
      <w:r w:rsidRPr="005D5611">
        <w:rPr>
          <w:rFonts w:eastAsia="SimSun"/>
        </w:rPr>
        <w:t xml:space="preserve">Trained radiologists evaluated pre- and post-baseline x-rays of wrists and knees of patients for the following signs: apparent </w:t>
      </w:r>
      <w:proofErr w:type="spellStart"/>
      <w:r w:rsidRPr="005D5611">
        <w:rPr>
          <w:rFonts w:eastAsia="SimSun"/>
        </w:rPr>
        <w:t>physeal</w:t>
      </w:r>
      <w:proofErr w:type="spellEnd"/>
      <w:r w:rsidRPr="005D5611">
        <w:rPr>
          <w:rFonts w:eastAsia="SimSun"/>
        </w:rPr>
        <w:t xml:space="preserve"> widening, metaphyseal flaring, irregularity of provisional zone of calcification, metaphyseal </w:t>
      </w:r>
      <w:proofErr w:type="spellStart"/>
      <w:r w:rsidRPr="005D5611">
        <w:rPr>
          <w:rFonts w:eastAsia="SimSun"/>
        </w:rPr>
        <w:t>radiolucencies</w:t>
      </w:r>
      <w:proofErr w:type="spellEnd"/>
      <w:r w:rsidRPr="005D5611">
        <w:rPr>
          <w:rFonts w:eastAsia="SimSun"/>
        </w:rPr>
        <w:t xml:space="preserve">, </w:t>
      </w:r>
      <w:proofErr w:type="spellStart"/>
      <w:r w:rsidRPr="005D5611">
        <w:rPr>
          <w:rFonts w:eastAsia="SimSun"/>
        </w:rPr>
        <w:t>metadiaphyseal</w:t>
      </w:r>
      <w:proofErr w:type="spellEnd"/>
      <w:r w:rsidRPr="005D5611">
        <w:rPr>
          <w:rFonts w:eastAsia="SimSun"/>
        </w:rPr>
        <w:t xml:space="preserve"> sclerosis, osteopenia, ‘popcorn’ calcification in </w:t>
      </w:r>
      <w:proofErr w:type="spellStart"/>
      <w:r w:rsidRPr="005D5611">
        <w:rPr>
          <w:rFonts w:eastAsia="SimSun"/>
        </w:rPr>
        <w:t>metadiaphysis</w:t>
      </w:r>
      <w:proofErr w:type="spellEnd"/>
      <w:r w:rsidRPr="005D5611">
        <w:rPr>
          <w:rFonts w:eastAsia="SimSun"/>
        </w:rPr>
        <w:t xml:space="preserve">, demineralization of distal metaphysis, transverse </w:t>
      </w:r>
      <w:proofErr w:type="spellStart"/>
      <w:r w:rsidRPr="005D5611">
        <w:rPr>
          <w:rFonts w:eastAsia="SimSun"/>
        </w:rPr>
        <w:t>subphyseal</w:t>
      </w:r>
      <w:proofErr w:type="spellEnd"/>
      <w:r w:rsidRPr="005D5611">
        <w:rPr>
          <w:rFonts w:eastAsia="SimSun"/>
        </w:rPr>
        <w:t xml:space="preserve"> band of </w:t>
      </w:r>
      <w:proofErr w:type="spellStart"/>
      <w:r w:rsidRPr="005D5611">
        <w:rPr>
          <w:rFonts w:eastAsia="SimSun"/>
        </w:rPr>
        <w:t>lucency</w:t>
      </w:r>
      <w:proofErr w:type="spellEnd"/>
      <w:r w:rsidRPr="005D5611">
        <w:rPr>
          <w:rFonts w:eastAsia="SimSun"/>
        </w:rPr>
        <w:t xml:space="preserve"> and tongues of radiolucency.</w:t>
      </w:r>
      <w:r w:rsidR="00384552">
        <w:rPr>
          <w:rFonts w:eastAsia="SimSun"/>
        </w:rPr>
        <w:t xml:space="preserve"> </w:t>
      </w:r>
      <w:r w:rsidRPr="005D5611">
        <w:rPr>
          <w:rFonts w:eastAsia="SimSun"/>
        </w:rPr>
        <w:t xml:space="preserve">X-ray changes from baseline were rated using the </w:t>
      </w:r>
      <w:r>
        <w:rPr>
          <w:rFonts w:eastAsia="SimSun"/>
        </w:rPr>
        <w:t>RGI-C</w:t>
      </w:r>
      <w:r w:rsidRPr="005D5611">
        <w:rPr>
          <w:rFonts w:eastAsia="SimSun"/>
        </w:rPr>
        <w:t xml:space="preserve"> rating scale as follows: -3=severe worsening, -2=moderate worsening, -1=minimal worsening, 0=no change, +1=minimal healing, +2=substantial healing, +3= near-complete or complete healing.</w:t>
      </w:r>
    </w:p>
    <w:p w:rsidR="00575F52" w:rsidRDefault="00575F52" w:rsidP="000B5A96">
      <w:pPr>
        <w:rPr>
          <w:rFonts w:eastAsia="TimesNewRoman"/>
          <w:sz w:val="20"/>
          <w:szCs w:val="20"/>
          <w:lang w:val="en-US"/>
        </w:rPr>
      </w:pPr>
    </w:p>
    <w:p w:rsidR="000B5A96" w:rsidRDefault="000B5A96" w:rsidP="000B5A96">
      <w:pPr>
        <w:pStyle w:val="PIMinorHeading"/>
      </w:pPr>
      <w:r>
        <w:t>Study results</w:t>
      </w:r>
    </w:p>
    <w:p w:rsidR="00A43A75" w:rsidRPr="006D608D" w:rsidRDefault="00A43A75" w:rsidP="00B80A60">
      <w:pPr>
        <w:keepNext/>
        <w:autoSpaceDE w:val="0"/>
        <w:autoSpaceDN w:val="0"/>
        <w:adjustRightInd w:val="0"/>
        <w:spacing w:after="120"/>
        <w:rPr>
          <w:b/>
          <w:u w:val="single"/>
        </w:rPr>
      </w:pPr>
      <w:r w:rsidRPr="006D608D">
        <w:rPr>
          <w:b/>
          <w:u w:val="single"/>
        </w:rPr>
        <w:t xml:space="preserve">Study ENB-002-08/ENB-003-08 </w:t>
      </w:r>
    </w:p>
    <w:p w:rsidR="00A43A75" w:rsidRDefault="00A43A75" w:rsidP="00A43A75">
      <w:pPr>
        <w:keepNext/>
        <w:rPr>
          <w:rFonts w:eastAsia="SimSun"/>
        </w:rPr>
      </w:pPr>
      <w:r w:rsidRPr="005D5611">
        <w:rPr>
          <w:rFonts w:eastAsia="SimSun"/>
        </w:rPr>
        <w:t>Study ENB-002-08/ENB-003-08 was an open-label, non-ra</w:t>
      </w:r>
      <w:r>
        <w:rPr>
          <w:rFonts w:eastAsia="SimSun"/>
        </w:rPr>
        <w:t xml:space="preserve">ndomised, non-controlled study that enrolled </w:t>
      </w:r>
      <w:r w:rsidRPr="005D5611">
        <w:rPr>
          <w:rFonts w:eastAsia="SimSun"/>
        </w:rPr>
        <w:t>11</w:t>
      </w:r>
      <w:r w:rsidRPr="001E4B2A">
        <w:t> </w:t>
      </w:r>
      <w:r w:rsidRPr="005D5611">
        <w:rPr>
          <w:rFonts w:eastAsia="SimSun"/>
        </w:rPr>
        <w:t xml:space="preserve">patients </w:t>
      </w:r>
      <w:r>
        <w:rPr>
          <w:rFonts w:eastAsia="SimSun"/>
        </w:rPr>
        <w:t>(</w:t>
      </w:r>
      <w:r w:rsidRPr="005D5611">
        <w:rPr>
          <w:rFonts w:eastAsia="SimSun"/>
        </w:rPr>
        <w:t>9</w:t>
      </w:r>
      <w:r w:rsidRPr="001E4B2A">
        <w:t> </w:t>
      </w:r>
      <w:r w:rsidRPr="005D5611">
        <w:rPr>
          <w:rFonts w:eastAsia="SimSun"/>
        </w:rPr>
        <w:t>patients are on-go</w:t>
      </w:r>
      <w:r>
        <w:rPr>
          <w:rFonts w:eastAsia="SimSun"/>
        </w:rPr>
        <w:t>ing)</w:t>
      </w:r>
      <w:r w:rsidR="00461514">
        <w:rPr>
          <w:rFonts w:eastAsia="SimSun"/>
        </w:rPr>
        <w:t xml:space="preserve"> aged </w:t>
      </w:r>
      <w:r w:rsidR="009D3AC8">
        <w:rPr>
          <w:rFonts w:eastAsia="SimSun"/>
        </w:rPr>
        <w:t>&lt; 36</w:t>
      </w:r>
      <w:r w:rsidR="00461514" w:rsidRPr="005D5611">
        <w:rPr>
          <w:rFonts w:eastAsia="SimSun"/>
        </w:rPr>
        <w:t> months</w:t>
      </w:r>
      <w:r w:rsidRPr="005D5611">
        <w:rPr>
          <w:rFonts w:eastAsia="SimSun"/>
        </w:rPr>
        <w:t xml:space="preserve">. Onset of </w:t>
      </w:r>
      <w:r w:rsidR="006D608D">
        <w:rPr>
          <w:rFonts w:eastAsia="SimSun"/>
        </w:rPr>
        <w:t>HPP</w:t>
      </w:r>
      <w:r w:rsidRPr="005D5611">
        <w:rPr>
          <w:rFonts w:eastAsia="SimSun"/>
        </w:rPr>
        <w:t xml:space="preserve"> was under 6 months in all patients.</w:t>
      </w:r>
    </w:p>
    <w:p w:rsidR="006D608D" w:rsidRPr="005D5611" w:rsidRDefault="006D608D" w:rsidP="00A43A75">
      <w:pPr>
        <w:keepNext/>
        <w:rPr>
          <w:rFonts w:eastAsia="SimSun"/>
        </w:rPr>
      </w:pPr>
    </w:p>
    <w:p w:rsidR="00A43A75" w:rsidRPr="005D5611" w:rsidRDefault="00A43A75" w:rsidP="00A43A75">
      <w:pPr>
        <w:rPr>
          <w:rFonts w:eastAsia="SimSun"/>
        </w:rPr>
      </w:pPr>
      <w:r>
        <w:rPr>
          <w:rFonts w:eastAsia="SimSun"/>
        </w:rPr>
        <w:t xml:space="preserve">Seven of the </w:t>
      </w:r>
      <w:r w:rsidRPr="005D5611">
        <w:rPr>
          <w:rFonts w:eastAsia="SimSun"/>
        </w:rPr>
        <w:t>11</w:t>
      </w:r>
      <w:r w:rsidRPr="001E4B2A">
        <w:t> </w:t>
      </w:r>
      <w:r w:rsidRPr="005D5611">
        <w:rPr>
          <w:rFonts w:eastAsia="SimSun"/>
        </w:rPr>
        <w:t xml:space="preserve">patients in the full analysis set achieved </w:t>
      </w:r>
      <w:r>
        <w:rPr>
          <w:rFonts w:eastAsia="SimSun"/>
        </w:rPr>
        <w:t>RGI</w:t>
      </w:r>
      <w:r w:rsidR="006D608D">
        <w:rPr>
          <w:rFonts w:eastAsia="SimSun"/>
        </w:rPr>
        <w:t>-</w:t>
      </w:r>
      <w:r>
        <w:rPr>
          <w:rFonts w:eastAsia="SimSun"/>
        </w:rPr>
        <w:t>C</w:t>
      </w:r>
      <w:r w:rsidRPr="005D5611">
        <w:rPr>
          <w:rFonts w:eastAsia="SimSun"/>
        </w:rPr>
        <w:t xml:space="preserve"> scores of +2 at Week 24 compared to baseline radiographs.</w:t>
      </w:r>
      <w:r w:rsidR="006D608D">
        <w:rPr>
          <w:rFonts w:eastAsia="SimSun"/>
        </w:rPr>
        <w:t xml:space="preserve"> Five of the </w:t>
      </w:r>
      <w:r w:rsidRPr="005D5611">
        <w:rPr>
          <w:rFonts w:eastAsia="SimSun"/>
        </w:rPr>
        <w:t>11</w:t>
      </w:r>
      <w:r w:rsidRPr="001E4B2A">
        <w:t> </w:t>
      </w:r>
      <w:r w:rsidR="006D608D">
        <w:rPr>
          <w:rFonts w:eastAsia="SimSun"/>
        </w:rPr>
        <w:t>patients</w:t>
      </w:r>
      <w:r w:rsidRPr="005D5611">
        <w:rPr>
          <w:rFonts w:eastAsia="SimSun"/>
        </w:rPr>
        <w:t xml:space="preserve"> displayed apparent catch-up height-gain. Fluctuation in height-gain was apparent and may reflect the more severe disease and higher rate of morbidity in these younger patients.</w:t>
      </w:r>
    </w:p>
    <w:p w:rsidR="00A43A75" w:rsidRDefault="00A43A75" w:rsidP="00A43A75">
      <w:pPr>
        <w:keepNext/>
        <w:autoSpaceDE w:val="0"/>
        <w:autoSpaceDN w:val="0"/>
        <w:adjustRightInd w:val="0"/>
        <w:rPr>
          <w:u w:val="single"/>
        </w:rPr>
      </w:pPr>
    </w:p>
    <w:p w:rsidR="00A43A75" w:rsidRPr="006D608D" w:rsidRDefault="00A43A75" w:rsidP="00B80A60">
      <w:pPr>
        <w:keepNext/>
        <w:autoSpaceDE w:val="0"/>
        <w:autoSpaceDN w:val="0"/>
        <w:adjustRightInd w:val="0"/>
        <w:spacing w:after="120"/>
        <w:rPr>
          <w:b/>
          <w:u w:val="single"/>
        </w:rPr>
      </w:pPr>
      <w:r w:rsidRPr="006D608D">
        <w:rPr>
          <w:b/>
          <w:u w:val="single"/>
        </w:rPr>
        <w:t>Study ENB-006-09/ENB-008-10</w:t>
      </w:r>
    </w:p>
    <w:p w:rsidR="00A43A75" w:rsidRPr="005D5611" w:rsidRDefault="00A43A75" w:rsidP="00A43A75">
      <w:pPr>
        <w:keepNext/>
        <w:rPr>
          <w:rFonts w:eastAsia="SimSun"/>
        </w:rPr>
      </w:pPr>
      <w:r w:rsidRPr="005D5611">
        <w:rPr>
          <w:rFonts w:eastAsia="SimSun"/>
        </w:rPr>
        <w:t>Study ENB-006-09/ENB-008-10 was an open-label, non-randomised study</w:t>
      </w:r>
      <w:r w:rsidR="006D608D">
        <w:rPr>
          <w:rFonts w:eastAsia="SimSun"/>
        </w:rPr>
        <w:t xml:space="preserve"> that enrolled</w:t>
      </w:r>
      <w:r w:rsidRPr="005D5611">
        <w:rPr>
          <w:rFonts w:eastAsia="SimSun"/>
        </w:rPr>
        <w:t xml:space="preserve"> 13</w:t>
      </w:r>
      <w:r w:rsidRPr="001E4B2A">
        <w:t> </w:t>
      </w:r>
      <w:r w:rsidRPr="005D5611">
        <w:rPr>
          <w:rFonts w:eastAsia="SimSun"/>
        </w:rPr>
        <w:t>patients</w:t>
      </w:r>
      <w:r w:rsidR="006A7F28">
        <w:rPr>
          <w:rFonts w:eastAsia="SimSun"/>
        </w:rPr>
        <w:t xml:space="preserve"> aged 5-12 years of age</w:t>
      </w:r>
      <w:r w:rsidR="002E6990">
        <w:rPr>
          <w:rFonts w:eastAsia="SimSun"/>
        </w:rPr>
        <w:t xml:space="preserve"> (12 patients are on-going)</w:t>
      </w:r>
      <w:r w:rsidRPr="005D5611">
        <w:rPr>
          <w:rFonts w:eastAsia="SimSun"/>
        </w:rPr>
        <w:t xml:space="preserve">. </w:t>
      </w:r>
      <w:r w:rsidR="006D608D">
        <w:rPr>
          <w:rFonts w:eastAsia="SimSun"/>
        </w:rPr>
        <w:t>Five</w:t>
      </w:r>
      <w:r w:rsidRPr="001E4B2A">
        <w:t> </w:t>
      </w:r>
      <w:r w:rsidRPr="005D5611">
        <w:rPr>
          <w:rFonts w:eastAsia="SimSun"/>
        </w:rPr>
        <w:t xml:space="preserve">patients presented with </w:t>
      </w:r>
      <w:r w:rsidR="006D608D">
        <w:rPr>
          <w:rFonts w:eastAsia="SimSun"/>
        </w:rPr>
        <w:lastRenderedPageBreak/>
        <w:t>HPP</w:t>
      </w:r>
      <w:r w:rsidRPr="005D5611">
        <w:rPr>
          <w:rFonts w:eastAsia="SimSun"/>
        </w:rPr>
        <w:t xml:space="preserve"> before 6</w:t>
      </w:r>
      <w:r w:rsidRPr="001E4B2A">
        <w:t> </w:t>
      </w:r>
      <w:r w:rsidRPr="005D5611">
        <w:rPr>
          <w:rFonts w:eastAsia="SimSun"/>
        </w:rPr>
        <w:t>months age and 8 patients presented after 6</w:t>
      </w:r>
      <w:r w:rsidRPr="001E4B2A">
        <w:t> </w:t>
      </w:r>
      <w:r w:rsidRPr="005D5611">
        <w:rPr>
          <w:rFonts w:eastAsia="SimSun"/>
        </w:rPr>
        <w:t xml:space="preserve">months age. The study employed historical controls from the same centre as patients who received </w:t>
      </w:r>
      <w:proofErr w:type="spellStart"/>
      <w:r w:rsidRPr="005D5611">
        <w:rPr>
          <w:rFonts w:eastAsia="SimSun"/>
        </w:rPr>
        <w:t>asfotase</w:t>
      </w:r>
      <w:proofErr w:type="spellEnd"/>
      <w:r w:rsidRPr="005D5611">
        <w:rPr>
          <w:rFonts w:eastAsia="SimSun"/>
        </w:rPr>
        <w:t xml:space="preserve"> alfa</w:t>
      </w:r>
      <w:r w:rsidR="006D608D">
        <w:rPr>
          <w:rFonts w:eastAsia="SimSun"/>
        </w:rPr>
        <w:t xml:space="preserve">, </w:t>
      </w:r>
      <w:proofErr w:type="spellStart"/>
      <w:r w:rsidR="006D608D" w:rsidRPr="006D608D">
        <w:rPr>
          <w:rFonts w:eastAsia="SimSun"/>
          <w:i/>
        </w:rPr>
        <w:t>rch</w:t>
      </w:r>
      <w:proofErr w:type="spellEnd"/>
      <w:r w:rsidRPr="005D5611">
        <w:rPr>
          <w:rFonts w:eastAsia="SimSun"/>
        </w:rPr>
        <w:t xml:space="preserve"> and who had been subject to a similar protocol of clinical management.</w:t>
      </w:r>
    </w:p>
    <w:p w:rsidR="00A43A75" w:rsidRDefault="00A43A75" w:rsidP="00A43A75">
      <w:pPr>
        <w:rPr>
          <w:rFonts w:eastAsia="SimSun"/>
        </w:rPr>
      </w:pPr>
    </w:p>
    <w:p w:rsidR="00FF1DF1" w:rsidRPr="002D0667" w:rsidRDefault="00FF1DF1" w:rsidP="00FF1DF1">
      <w:pPr>
        <w:autoSpaceDE w:val="0"/>
        <w:autoSpaceDN w:val="0"/>
        <w:adjustRightInd w:val="0"/>
        <w:rPr>
          <w:i/>
          <w:u w:val="single"/>
        </w:rPr>
      </w:pPr>
      <w:r w:rsidRPr="002D0667">
        <w:rPr>
          <w:i/>
          <w:u w:val="single"/>
        </w:rPr>
        <w:t xml:space="preserve">The effects of </w:t>
      </w:r>
      <w:proofErr w:type="spellStart"/>
      <w:r w:rsidRPr="002D0667">
        <w:rPr>
          <w:i/>
          <w:u w:val="single"/>
        </w:rPr>
        <w:t>asfotase</w:t>
      </w:r>
      <w:proofErr w:type="spellEnd"/>
      <w:r w:rsidRPr="002D0667">
        <w:rPr>
          <w:i/>
          <w:u w:val="single"/>
        </w:rPr>
        <w:t xml:space="preserve"> alfa</w:t>
      </w:r>
      <w:r>
        <w:rPr>
          <w:i/>
          <w:u w:val="single"/>
        </w:rPr>
        <w:t xml:space="preserve">, </w:t>
      </w:r>
      <w:proofErr w:type="spellStart"/>
      <w:r>
        <w:rPr>
          <w:i/>
          <w:u w:val="single"/>
        </w:rPr>
        <w:t>rch</w:t>
      </w:r>
      <w:proofErr w:type="spellEnd"/>
      <w:r w:rsidRPr="002D0667">
        <w:rPr>
          <w:i/>
          <w:u w:val="single"/>
        </w:rPr>
        <w:t xml:space="preserve"> on x-ray appearance</w:t>
      </w:r>
    </w:p>
    <w:p w:rsidR="00A43A75" w:rsidRPr="005D5611" w:rsidRDefault="00A43A75" w:rsidP="00A43A75">
      <w:pPr>
        <w:rPr>
          <w:rFonts w:eastAsia="SimSun"/>
        </w:rPr>
      </w:pPr>
      <w:r w:rsidRPr="005D5611">
        <w:rPr>
          <w:rFonts w:eastAsia="SimSun"/>
        </w:rPr>
        <w:t>Pat</w:t>
      </w:r>
      <w:r w:rsidR="003F19EC">
        <w:rPr>
          <w:rFonts w:eastAsia="SimSun"/>
        </w:rPr>
        <w:t xml:space="preserve">ients who received </w:t>
      </w:r>
      <w:proofErr w:type="spellStart"/>
      <w:r w:rsidR="003F19EC">
        <w:rPr>
          <w:rFonts w:eastAsia="SimSun"/>
        </w:rPr>
        <w:t>asfotase</w:t>
      </w:r>
      <w:proofErr w:type="spellEnd"/>
      <w:r w:rsidR="003F19EC">
        <w:rPr>
          <w:rFonts w:eastAsia="SimSun"/>
        </w:rPr>
        <w:t xml:space="preserve"> alfa, </w:t>
      </w:r>
      <w:proofErr w:type="spellStart"/>
      <w:r w:rsidR="003F19EC" w:rsidRPr="003F19EC">
        <w:rPr>
          <w:rFonts w:eastAsia="SimSun"/>
          <w:i/>
        </w:rPr>
        <w:t>rch</w:t>
      </w:r>
      <w:proofErr w:type="spellEnd"/>
      <w:r w:rsidRPr="005D5611">
        <w:rPr>
          <w:rFonts w:eastAsia="SimSun"/>
        </w:rPr>
        <w:t xml:space="preserve"> moved to </w:t>
      </w:r>
      <w:r w:rsidR="00FF5C55">
        <w:rPr>
          <w:rFonts w:eastAsia="SimSun"/>
        </w:rPr>
        <w:t xml:space="preserve">RGI-C </w:t>
      </w:r>
      <w:r w:rsidRPr="005D5611">
        <w:rPr>
          <w:rFonts w:eastAsia="SimSun"/>
        </w:rPr>
        <w:t>scores of +2 and +3 over the first 6</w:t>
      </w:r>
      <w:r w:rsidRPr="001E4B2A">
        <w:t> </w:t>
      </w:r>
      <w:r w:rsidRPr="005D5611">
        <w:rPr>
          <w:rFonts w:eastAsia="SimSun"/>
        </w:rPr>
        <w:t>months of exposure and this was sustained with on-going treatment. Historical controls did not show change over time.</w:t>
      </w:r>
    </w:p>
    <w:p w:rsidR="00A43A75" w:rsidRDefault="00A43A75" w:rsidP="00A43A75">
      <w:pPr>
        <w:rPr>
          <w:rFonts w:eastAsia="SimSun"/>
        </w:rPr>
      </w:pPr>
    </w:p>
    <w:p w:rsidR="00FF1DF1" w:rsidRPr="001E4B2A" w:rsidRDefault="00FF1DF1" w:rsidP="00FF1DF1">
      <w:pPr>
        <w:autoSpaceDE w:val="0"/>
        <w:autoSpaceDN w:val="0"/>
        <w:adjustRightInd w:val="0"/>
        <w:rPr>
          <w:i/>
          <w:u w:val="single"/>
        </w:rPr>
      </w:pPr>
      <w:r w:rsidRPr="001E4B2A">
        <w:rPr>
          <w:i/>
          <w:u w:val="single"/>
        </w:rPr>
        <w:t>Bone biopsy</w:t>
      </w:r>
    </w:p>
    <w:p w:rsidR="00787C08" w:rsidRPr="005D5611" w:rsidRDefault="006A7F28" w:rsidP="006A7F28">
      <w:pPr>
        <w:rPr>
          <w:rFonts w:eastAsia="SimSun"/>
        </w:rPr>
      </w:pPr>
      <w:r w:rsidRPr="005D5611">
        <w:rPr>
          <w:rFonts w:eastAsia="SimSun"/>
        </w:rPr>
        <w:t xml:space="preserve">Tetracycline for bone-labelling was administered in two 3-day courses (separated by a 14-day interval) prior to acquisition of the bone biopsy. Trans-iliac crest bone biopsies were obtained by standard procedure. Histological analysis of biopsies used </w:t>
      </w:r>
      <w:proofErr w:type="spellStart"/>
      <w:r w:rsidRPr="005D5611">
        <w:rPr>
          <w:rFonts w:eastAsia="SimSun"/>
        </w:rPr>
        <w:t>Osteomeasure</w:t>
      </w:r>
      <w:proofErr w:type="spellEnd"/>
      <w:r w:rsidRPr="005D5611">
        <w:rPr>
          <w:rFonts w:eastAsia="SimSun"/>
        </w:rPr>
        <w:t xml:space="preserve"> software (</w:t>
      </w:r>
      <w:proofErr w:type="spellStart"/>
      <w:r w:rsidRPr="005D5611">
        <w:rPr>
          <w:rFonts w:eastAsia="SimSun"/>
        </w:rPr>
        <w:t>Osteometrics</w:t>
      </w:r>
      <w:proofErr w:type="spellEnd"/>
      <w:r w:rsidRPr="005D5611">
        <w:rPr>
          <w:rFonts w:eastAsia="SimSun"/>
        </w:rPr>
        <w:t xml:space="preserve">, USA). Nomenclature, symbols and units followed recommendations of the American Society for Bone and Mineral Research. </w:t>
      </w:r>
      <w:r w:rsidR="00492979">
        <w:rPr>
          <w:rFonts w:eastAsia="SimSun"/>
        </w:rPr>
        <w:t>The results f</w:t>
      </w:r>
      <w:r w:rsidRPr="005D5611">
        <w:rPr>
          <w:rFonts w:eastAsia="SimSun"/>
        </w:rPr>
        <w:t>or 10</w:t>
      </w:r>
      <w:r w:rsidRPr="001E4B2A">
        <w:t> </w:t>
      </w:r>
      <w:r w:rsidRPr="005D5611">
        <w:rPr>
          <w:rFonts w:eastAsia="SimSun"/>
        </w:rPr>
        <w:t xml:space="preserve">patients in the per-protocol set (excludes those patients who received oral vitamin D between baseline and week 24) who underwent biopsy of the trans-iliac bone crest before and after receiving </w:t>
      </w:r>
      <w:proofErr w:type="spellStart"/>
      <w:r w:rsidRPr="005D5611">
        <w:rPr>
          <w:rFonts w:eastAsia="SimSun"/>
        </w:rPr>
        <w:t>asfotase</w:t>
      </w:r>
      <w:proofErr w:type="spellEnd"/>
      <w:r w:rsidRPr="005D5611">
        <w:rPr>
          <w:rFonts w:eastAsia="SimSun"/>
        </w:rPr>
        <w:t xml:space="preserve"> alfa</w:t>
      </w:r>
      <w:r>
        <w:rPr>
          <w:rFonts w:eastAsia="SimSun"/>
        </w:rPr>
        <w:t xml:space="preserve">, </w:t>
      </w:r>
      <w:proofErr w:type="spellStart"/>
      <w:r w:rsidRPr="00FF5C55">
        <w:rPr>
          <w:rFonts w:eastAsia="SimSun"/>
          <w:i/>
        </w:rPr>
        <w:t>rch</w:t>
      </w:r>
      <w:proofErr w:type="spellEnd"/>
      <w:r w:rsidR="00492979">
        <w:rPr>
          <w:rFonts w:eastAsia="SimSun"/>
          <w:i/>
        </w:rPr>
        <w:t xml:space="preserve"> </w:t>
      </w:r>
      <w:r w:rsidR="00492979" w:rsidRPr="00492979">
        <w:rPr>
          <w:rFonts w:eastAsia="SimSun"/>
        </w:rPr>
        <w:t xml:space="preserve">are presented in </w:t>
      </w:r>
      <w:r w:rsidR="00492979">
        <w:rPr>
          <w:rFonts w:eastAsia="SimSun"/>
        </w:rPr>
        <w:fldChar w:fldCharType="begin"/>
      </w:r>
      <w:r w:rsidR="00492979">
        <w:rPr>
          <w:rFonts w:eastAsia="SimSun"/>
        </w:rPr>
        <w:instrText xml:space="preserve"> REF _Ref404261991 \h </w:instrText>
      </w:r>
      <w:r w:rsidR="00492979">
        <w:rPr>
          <w:rFonts w:eastAsia="SimSun"/>
        </w:rPr>
      </w:r>
      <w:r w:rsidR="00492979">
        <w:rPr>
          <w:rFonts w:eastAsia="SimSun"/>
        </w:rPr>
        <w:fldChar w:fldCharType="separate"/>
      </w:r>
      <w:r w:rsidR="00D71D62">
        <w:t xml:space="preserve">Table </w:t>
      </w:r>
      <w:r w:rsidR="00D71D62">
        <w:rPr>
          <w:noProof/>
        </w:rPr>
        <w:t>2</w:t>
      </w:r>
      <w:r w:rsidR="00492979">
        <w:rPr>
          <w:rFonts w:eastAsia="SimSun"/>
        </w:rPr>
        <w:fldChar w:fldCharType="end"/>
      </w:r>
      <w:r w:rsidR="00492979">
        <w:rPr>
          <w:rFonts w:eastAsia="SimSun"/>
        </w:rPr>
        <w:t xml:space="preserve"> </w:t>
      </w:r>
      <w:r w:rsidR="00492979" w:rsidRPr="00492979">
        <w:rPr>
          <w:rFonts w:eastAsia="SimSun"/>
        </w:rPr>
        <w:t>below</w:t>
      </w:r>
      <w:r w:rsidR="0050156F">
        <w:rPr>
          <w:rFonts w:eastAsia="SimSun"/>
        </w:rPr>
        <w:t>.</w:t>
      </w:r>
    </w:p>
    <w:p w:rsidR="006A7F28" w:rsidRPr="00A43A75" w:rsidRDefault="006A7F28" w:rsidP="006A7F28">
      <w:pPr>
        <w:rPr>
          <w:b/>
          <w:szCs w:val="24"/>
        </w:rPr>
      </w:pPr>
    </w:p>
    <w:p w:rsidR="003E0B7B" w:rsidRDefault="003E0B7B" w:rsidP="00FF1DF1">
      <w:pPr>
        <w:pStyle w:val="Caption"/>
        <w:ind w:left="900" w:hanging="900"/>
      </w:pPr>
      <w:bookmarkStart w:id="1" w:name="_Ref404261991"/>
      <w:r>
        <w:t xml:space="preserve">Table </w:t>
      </w:r>
      <w:fldSimple w:instr=" SEQ Table \* ARABIC ">
        <w:r w:rsidR="00D71D62">
          <w:rPr>
            <w:noProof/>
          </w:rPr>
          <w:t>2</w:t>
        </w:r>
      </w:fldSimple>
      <w:bookmarkEnd w:id="1"/>
      <w:r>
        <w:t xml:space="preserve">: </w:t>
      </w:r>
      <w:r w:rsidR="009465F5">
        <w:t>B</w:t>
      </w:r>
      <w:r>
        <w:t xml:space="preserve">aseline </w:t>
      </w:r>
      <w:r w:rsidR="009465F5">
        <w:t>and</w:t>
      </w:r>
      <w:r>
        <w:t xml:space="preserve"> week 24 in </w:t>
      </w:r>
      <w:r w:rsidR="00787C08">
        <w:t xml:space="preserve">bone </w:t>
      </w:r>
      <w:proofErr w:type="spellStart"/>
      <w:r w:rsidR="00787C08">
        <w:t>histomorphology</w:t>
      </w:r>
      <w:proofErr w:type="spellEnd"/>
      <w:r>
        <w:t xml:space="preserve"> on trans</w:t>
      </w:r>
      <w:r w:rsidR="00DA42AF">
        <w:t>-</w:t>
      </w:r>
      <w:r>
        <w:t>iliac crest bone biopsy in paediatric-onset HPP patients</w:t>
      </w:r>
      <w:r w:rsidR="003E3B5F">
        <w:t xml:space="preserve"> (infantile and juvenile-onset subgroups)</w:t>
      </w:r>
      <w:r>
        <w:t xml:space="preserve"> aged 5-12 years</w:t>
      </w:r>
    </w:p>
    <w:p w:rsidR="0033511B" w:rsidRPr="0033511B" w:rsidRDefault="0033511B" w:rsidP="0033511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260"/>
        <w:gridCol w:w="1620"/>
        <w:gridCol w:w="1890"/>
      </w:tblGrid>
      <w:tr w:rsidR="00914095" w:rsidRPr="00C51CEB" w:rsidTr="003E0E4B"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4095" w:rsidRPr="00C51CEB" w:rsidRDefault="00914095" w:rsidP="00DA74F8">
            <w:pPr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095" w:rsidRPr="00C51CEB" w:rsidRDefault="00914095" w:rsidP="00DA74F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4095" w:rsidRPr="00C51CEB" w:rsidRDefault="00914095" w:rsidP="00DA74F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C51CEB">
              <w:rPr>
                <w:rFonts w:eastAsia="Batang"/>
                <w:b/>
                <w:sz w:val="20"/>
                <w:szCs w:val="20"/>
              </w:rPr>
              <w:t>Baseline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14095" w:rsidRPr="00C51CEB" w:rsidRDefault="00914095" w:rsidP="00DA74F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C51CEB">
              <w:rPr>
                <w:rFonts w:eastAsia="Batang"/>
                <w:b/>
                <w:sz w:val="20"/>
                <w:szCs w:val="20"/>
              </w:rPr>
              <w:t>Week 24</w:t>
            </w:r>
          </w:p>
        </w:tc>
      </w:tr>
      <w:tr w:rsidR="00267ED7" w:rsidRPr="00C51CEB" w:rsidTr="003E0E4B">
        <w:tc>
          <w:tcPr>
            <w:tcW w:w="2880" w:type="dxa"/>
            <w:tcBorders>
              <w:top w:val="nil"/>
            </w:tcBorders>
            <w:shd w:val="clear" w:color="auto" w:fill="auto"/>
            <w:vAlign w:val="center"/>
          </w:tcPr>
          <w:p w:rsidR="00267ED7" w:rsidRPr="00C51CEB" w:rsidRDefault="00267ED7" w:rsidP="00DA74F8">
            <w:pPr>
              <w:rPr>
                <w:rFonts w:eastAsia="Batang"/>
                <w:b/>
                <w:sz w:val="20"/>
                <w:szCs w:val="20"/>
              </w:rPr>
            </w:pPr>
            <w:r w:rsidRPr="00C51CEB">
              <w:rPr>
                <w:rFonts w:eastAsia="Batang"/>
                <w:b/>
                <w:sz w:val="20"/>
                <w:szCs w:val="20"/>
              </w:rPr>
              <w:t xml:space="preserve">Osteoid thickness </w:t>
            </w:r>
          </w:p>
        </w:tc>
        <w:tc>
          <w:tcPr>
            <w:tcW w:w="1260" w:type="dxa"/>
            <w:shd w:val="clear" w:color="auto" w:fill="auto"/>
          </w:tcPr>
          <w:p w:rsidR="00267ED7" w:rsidRPr="00C51CEB" w:rsidRDefault="00267ED7" w:rsidP="00DA74F8">
            <w:pPr>
              <w:rPr>
                <w:rFonts w:eastAsia="Batang"/>
                <w:sz w:val="20"/>
                <w:szCs w:val="20"/>
              </w:rPr>
            </w:pPr>
            <w:r w:rsidRPr="00C51CEB">
              <w:rPr>
                <w:rFonts w:eastAsia="Batang"/>
                <w:sz w:val="20"/>
                <w:szCs w:val="20"/>
              </w:rPr>
              <w:t>mean (SD)</w:t>
            </w:r>
          </w:p>
        </w:tc>
        <w:tc>
          <w:tcPr>
            <w:tcW w:w="1620" w:type="dxa"/>
            <w:shd w:val="clear" w:color="auto" w:fill="auto"/>
          </w:tcPr>
          <w:p w:rsidR="00267ED7" w:rsidRPr="003E0E4B" w:rsidRDefault="00267ED7" w:rsidP="00A46FFF">
            <w:pPr>
              <w:jc w:val="center"/>
              <w:rPr>
                <w:rFonts w:eastAsia="Batang"/>
                <w:sz w:val="20"/>
                <w:szCs w:val="20"/>
              </w:rPr>
            </w:pPr>
            <w:r w:rsidRPr="003E0E4B">
              <w:rPr>
                <w:rFonts w:eastAsia="Batang"/>
                <w:sz w:val="20"/>
                <w:szCs w:val="20"/>
              </w:rPr>
              <w:t>12.8 (3.5)</w:t>
            </w:r>
            <w:r w:rsidR="003E0E4B">
              <w:rPr>
                <w:rFonts w:eastAsia="Batang"/>
                <w:sz w:val="20"/>
                <w:szCs w:val="20"/>
              </w:rPr>
              <w:t xml:space="preserve"> </w:t>
            </w:r>
            <w:r w:rsidR="003E0E4B" w:rsidRPr="003E0E4B">
              <w:rPr>
                <w:rFonts w:eastAsia="Batang"/>
                <w:sz w:val="20"/>
                <w:szCs w:val="20"/>
              </w:rPr>
              <w:t>µm</w:t>
            </w:r>
          </w:p>
        </w:tc>
        <w:tc>
          <w:tcPr>
            <w:tcW w:w="1890" w:type="dxa"/>
            <w:shd w:val="clear" w:color="auto" w:fill="auto"/>
          </w:tcPr>
          <w:p w:rsidR="00267ED7" w:rsidRPr="003E0E4B" w:rsidRDefault="00267ED7" w:rsidP="00A46FFF">
            <w:pPr>
              <w:jc w:val="center"/>
              <w:rPr>
                <w:rFonts w:eastAsia="Batang"/>
                <w:sz w:val="20"/>
                <w:szCs w:val="20"/>
              </w:rPr>
            </w:pPr>
            <w:r w:rsidRPr="003E0E4B">
              <w:rPr>
                <w:rFonts w:eastAsia="Batang"/>
                <w:sz w:val="20"/>
                <w:szCs w:val="20"/>
              </w:rPr>
              <w:t>9.5 (5.1)</w:t>
            </w:r>
            <w:r w:rsidR="003E0E4B" w:rsidRPr="003E0E4B">
              <w:rPr>
                <w:rFonts w:eastAsia="Batang"/>
                <w:sz w:val="20"/>
                <w:szCs w:val="20"/>
              </w:rPr>
              <w:t xml:space="preserve"> µm</w:t>
            </w:r>
          </w:p>
        </w:tc>
      </w:tr>
      <w:tr w:rsidR="00914095" w:rsidRPr="00C51CEB" w:rsidTr="003E0E4B"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095" w:rsidRPr="00C51CEB" w:rsidRDefault="00914095" w:rsidP="00DA74F8">
            <w:pPr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Osteoid volume / bone volume</w:t>
            </w:r>
          </w:p>
        </w:tc>
        <w:tc>
          <w:tcPr>
            <w:tcW w:w="1260" w:type="dxa"/>
            <w:shd w:val="clear" w:color="auto" w:fill="auto"/>
          </w:tcPr>
          <w:p w:rsidR="00914095" w:rsidRPr="00C51CEB" w:rsidRDefault="00914095" w:rsidP="00DA74F8">
            <w:pPr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mean (SD)</w:t>
            </w:r>
          </w:p>
        </w:tc>
        <w:tc>
          <w:tcPr>
            <w:tcW w:w="1620" w:type="dxa"/>
            <w:shd w:val="clear" w:color="auto" w:fill="auto"/>
          </w:tcPr>
          <w:p w:rsidR="00914095" w:rsidRPr="00C51CEB" w:rsidRDefault="00914095" w:rsidP="00DA74F8">
            <w:pPr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11.8 (5.9)%</w:t>
            </w:r>
          </w:p>
        </w:tc>
        <w:tc>
          <w:tcPr>
            <w:tcW w:w="1890" w:type="dxa"/>
            <w:shd w:val="clear" w:color="auto" w:fill="auto"/>
          </w:tcPr>
          <w:p w:rsidR="00914095" w:rsidRPr="00C51CEB" w:rsidRDefault="00914095" w:rsidP="00DA74F8">
            <w:pPr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8.6 (7.2)%</w:t>
            </w:r>
          </w:p>
        </w:tc>
      </w:tr>
      <w:tr w:rsidR="00914095" w:rsidRPr="00C51CEB" w:rsidTr="003E0E4B"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914095" w:rsidRPr="00C51CEB" w:rsidRDefault="00DA74F8" w:rsidP="00DA74F8">
            <w:pPr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Mineralisation lag time</w:t>
            </w:r>
          </w:p>
        </w:tc>
        <w:tc>
          <w:tcPr>
            <w:tcW w:w="1260" w:type="dxa"/>
            <w:shd w:val="clear" w:color="auto" w:fill="auto"/>
          </w:tcPr>
          <w:p w:rsidR="00914095" w:rsidRPr="00C51CEB" w:rsidRDefault="00DA74F8" w:rsidP="00DA74F8">
            <w:pPr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mean (SD)</w:t>
            </w:r>
          </w:p>
        </w:tc>
        <w:tc>
          <w:tcPr>
            <w:tcW w:w="1620" w:type="dxa"/>
            <w:shd w:val="clear" w:color="auto" w:fill="auto"/>
          </w:tcPr>
          <w:p w:rsidR="00914095" w:rsidRPr="00C51CEB" w:rsidRDefault="00DA74F8" w:rsidP="00DA74F8">
            <w:pPr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93 (70) days</w:t>
            </w:r>
          </w:p>
        </w:tc>
        <w:tc>
          <w:tcPr>
            <w:tcW w:w="1890" w:type="dxa"/>
            <w:shd w:val="clear" w:color="auto" w:fill="auto"/>
          </w:tcPr>
          <w:p w:rsidR="00914095" w:rsidRPr="00C51CEB" w:rsidRDefault="00DA74F8" w:rsidP="00DA74F8">
            <w:pPr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119 (225) days</w:t>
            </w:r>
          </w:p>
        </w:tc>
      </w:tr>
    </w:tbl>
    <w:p w:rsidR="00FC6FD3" w:rsidRDefault="00FC6FD3" w:rsidP="003E0B7B">
      <w:pPr>
        <w:ind w:left="900" w:hanging="900"/>
        <w:rPr>
          <w:sz w:val="20"/>
          <w:szCs w:val="20"/>
        </w:rPr>
      </w:pPr>
    </w:p>
    <w:p w:rsidR="00FF1DF1" w:rsidRPr="001E4B2A" w:rsidRDefault="00FF1DF1" w:rsidP="00FF1DF1">
      <w:pPr>
        <w:autoSpaceDE w:val="0"/>
        <w:autoSpaceDN w:val="0"/>
        <w:adjustRightInd w:val="0"/>
        <w:rPr>
          <w:i/>
          <w:u w:val="single"/>
        </w:rPr>
      </w:pPr>
      <w:r w:rsidRPr="001E4B2A">
        <w:rPr>
          <w:i/>
          <w:u w:val="single"/>
        </w:rPr>
        <w:t>Growth</w:t>
      </w:r>
    </w:p>
    <w:p w:rsidR="00FF1DF1" w:rsidRDefault="00FF1DF1" w:rsidP="00FF1DF1">
      <w:pPr>
        <w:rPr>
          <w:rFonts w:eastAsia="SimSun"/>
        </w:rPr>
      </w:pPr>
      <w:r w:rsidRPr="005D5611">
        <w:rPr>
          <w:rFonts w:eastAsia="SimSun"/>
        </w:rPr>
        <w:t>Height, weight and head circumference were plotted on growth charts (series of percentile curves that illustrate distrib</w:t>
      </w:r>
      <w:r w:rsidR="00AF310F">
        <w:rPr>
          <w:rFonts w:eastAsia="SimSun"/>
        </w:rPr>
        <w:t>ution) available from the Centre</w:t>
      </w:r>
      <w:r w:rsidRPr="005D5611">
        <w:rPr>
          <w:rFonts w:eastAsia="SimSun"/>
        </w:rPr>
        <w:t xml:space="preserve">s for Disease Control and Prevention, USA. These reference data were drawn from a representative sample of healthy children and are not specific for children with special health care needs: they have been used in the absence of growth charts for children with </w:t>
      </w:r>
      <w:r>
        <w:rPr>
          <w:rFonts w:eastAsia="SimSun"/>
        </w:rPr>
        <w:t>HPP</w:t>
      </w:r>
      <w:r w:rsidRPr="005D5611">
        <w:rPr>
          <w:rFonts w:eastAsia="SimSun"/>
        </w:rPr>
        <w:t>.</w:t>
      </w:r>
    </w:p>
    <w:p w:rsidR="00FF1DF1" w:rsidRDefault="00FF1DF1" w:rsidP="00795A3D"/>
    <w:p w:rsidR="00FF1DF1" w:rsidRDefault="00FF1DF1" w:rsidP="00FF1DF1">
      <w:pPr>
        <w:rPr>
          <w:rFonts w:eastAsia="SimSun"/>
        </w:rPr>
      </w:pPr>
      <w:r w:rsidRPr="005D5611">
        <w:rPr>
          <w:rFonts w:eastAsia="SimSun"/>
        </w:rPr>
        <w:t xml:space="preserve">For those patients who received </w:t>
      </w:r>
      <w:proofErr w:type="spellStart"/>
      <w:r w:rsidRPr="005D5611">
        <w:rPr>
          <w:rFonts w:eastAsia="SimSun"/>
        </w:rPr>
        <w:t>asfotase</w:t>
      </w:r>
      <w:proofErr w:type="spellEnd"/>
      <w:r w:rsidRPr="005D5611">
        <w:rPr>
          <w:rFonts w:eastAsia="SimSun"/>
        </w:rPr>
        <w:t xml:space="preserve"> alfa</w:t>
      </w:r>
      <w:r>
        <w:rPr>
          <w:rFonts w:eastAsia="SimSun"/>
        </w:rPr>
        <w:t xml:space="preserve">, </w:t>
      </w:r>
      <w:proofErr w:type="spellStart"/>
      <w:r w:rsidRPr="00FF1DF1">
        <w:rPr>
          <w:rFonts w:eastAsia="SimSun"/>
          <w:i/>
        </w:rPr>
        <w:t>rch</w:t>
      </w:r>
      <w:proofErr w:type="spellEnd"/>
      <w:r w:rsidRPr="005D5611">
        <w:rPr>
          <w:rFonts w:eastAsia="SimSun"/>
        </w:rPr>
        <w:t>: 9/13</w:t>
      </w:r>
      <w:r w:rsidRPr="001E4B2A">
        <w:t> </w:t>
      </w:r>
      <w:r w:rsidRPr="005D5611">
        <w:rPr>
          <w:rFonts w:eastAsia="SimSun"/>
        </w:rPr>
        <w:t xml:space="preserve">patients displayed persistent apparent catch-up height-gain as shown by movement over time to a higher percentile on CDC growth charts. </w:t>
      </w:r>
      <w:r>
        <w:rPr>
          <w:rFonts w:eastAsia="SimSun"/>
        </w:rPr>
        <w:t xml:space="preserve">Three of the </w:t>
      </w:r>
      <w:r w:rsidRPr="005D5611">
        <w:rPr>
          <w:rFonts w:eastAsia="SimSun"/>
        </w:rPr>
        <w:t>13</w:t>
      </w:r>
      <w:r w:rsidRPr="001E4B2A">
        <w:t> </w:t>
      </w:r>
      <w:r w:rsidRPr="005D5611">
        <w:rPr>
          <w:rFonts w:eastAsia="SimSun"/>
        </w:rPr>
        <w:t>patients did not display apparent catch-up height-gain and 1</w:t>
      </w:r>
      <w:r w:rsidRPr="001E4B2A">
        <w:t> </w:t>
      </w:r>
      <w:r w:rsidRPr="005D5611">
        <w:rPr>
          <w:rFonts w:eastAsia="SimSun"/>
        </w:rPr>
        <w:t>patient did not have enough data to permit judgement. Progress through Tanner stages appeared appropriate.</w:t>
      </w:r>
    </w:p>
    <w:p w:rsidR="00FF1DF1" w:rsidRPr="005D5611" w:rsidRDefault="00FF1DF1" w:rsidP="00FF1DF1">
      <w:pPr>
        <w:rPr>
          <w:rFonts w:eastAsia="SimSun"/>
        </w:rPr>
      </w:pPr>
    </w:p>
    <w:p w:rsidR="00FF1DF1" w:rsidRPr="005D5611" w:rsidRDefault="00FF1DF1" w:rsidP="00FF1DF1">
      <w:pPr>
        <w:rPr>
          <w:rFonts w:eastAsia="SimSun"/>
        </w:rPr>
      </w:pPr>
      <w:r w:rsidRPr="005D5611">
        <w:rPr>
          <w:rFonts w:eastAsia="SimSun"/>
        </w:rPr>
        <w:t>For the time period of observation of historical controls: 1/16</w:t>
      </w:r>
      <w:r w:rsidRPr="001E4B2A">
        <w:t> </w:t>
      </w:r>
      <w:r w:rsidRPr="005D5611">
        <w:rPr>
          <w:rFonts w:eastAsia="SimSun"/>
        </w:rPr>
        <w:t>patients displayed apparent catch-up height-gain, 12/16</w:t>
      </w:r>
      <w:r w:rsidRPr="001E4B2A">
        <w:t> </w:t>
      </w:r>
      <w:r w:rsidRPr="005D5611">
        <w:rPr>
          <w:rFonts w:eastAsia="SimSun"/>
        </w:rPr>
        <w:t>patients did not display apparent catch-up height-gain and data were inconclusive in 3/16</w:t>
      </w:r>
      <w:r w:rsidRPr="001E4B2A">
        <w:t> </w:t>
      </w:r>
      <w:r w:rsidRPr="005D5611">
        <w:rPr>
          <w:rFonts w:eastAsia="SimSun"/>
        </w:rPr>
        <w:t>patients.</w:t>
      </w:r>
    </w:p>
    <w:p w:rsidR="00FF1DF1" w:rsidRPr="005D5611" w:rsidRDefault="00FF1DF1" w:rsidP="00FF1DF1">
      <w:pPr>
        <w:rPr>
          <w:rFonts w:eastAsia="SimSun"/>
        </w:rPr>
      </w:pPr>
    </w:p>
    <w:p w:rsidR="00FF1DF1" w:rsidRPr="005D5611" w:rsidRDefault="00FF1DF1" w:rsidP="00FF1DF1">
      <w:pPr>
        <w:rPr>
          <w:rFonts w:eastAsia="SimSun"/>
        </w:rPr>
      </w:pPr>
      <w:r w:rsidRPr="005D5611">
        <w:rPr>
          <w:rFonts w:eastAsia="SimSun"/>
        </w:rPr>
        <w:t xml:space="preserve">Some patients required oral vitamin D supplements during the </w:t>
      </w:r>
      <w:r w:rsidRPr="00A44B44">
        <w:rPr>
          <w:rFonts w:eastAsia="SimSun"/>
        </w:rPr>
        <w:t xml:space="preserve">study (see </w:t>
      </w:r>
      <w:r w:rsidR="00A44B44" w:rsidRPr="00A44B44">
        <w:rPr>
          <w:rFonts w:eastAsia="SimSun"/>
        </w:rPr>
        <w:t>PRECAUTIONS, Serum Parathyroid Hormone and Calcium</w:t>
      </w:r>
      <w:r w:rsidRPr="00A44B44">
        <w:rPr>
          <w:rFonts w:eastAsia="SimSun"/>
        </w:rPr>
        <w:t>).</w:t>
      </w:r>
    </w:p>
    <w:p w:rsidR="0005665A" w:rsidRDefault="0005665A" w:rsidP="00795A3D"/>
    <w:p w:rsidR="00746BF3" w:rsidRPr="00DA42AF" w:rsidRDefault="00746BF3" w:rsidP="00B80A60">
      <w:pPr>
        <w:keepNext/>
        <w:autoSpaceDE w:val="0"/>
        <w:autoSpaceDN w:val="0"/>
        <w:adjustRightInd w:val="0"/>
        <w:spacing w:after="120"/>
        <w:rPr>
          <w:b/>
          <w:u w:val="single"/>
        </w:rPr>
      </w:pPr>
      <w:r w:rsidRPr="00DA42AF">
        <w:rPr>
          <w:b/>
          <w:u w:val="single"/>
        </w:rPr>
        <w:lastRenderedPageBreak/>
        <w:t>Study ENB-009-10</w:t>
      </w:r>
    </w:p>
    <w:p w:rsidR="00746BF3" w:rsidRDefault="00746BF3" w:rsidP="00746BF3">
      <w:pPr>
        <w:rPr>
          <w:rFonts w:eastAsia="SimSun"/>
        </w:rPr>
      </w:pPr>
      <w:r w:rsidRPr="005D5611">
        <w:rPr>
          <w:rFonts w:eastAsia="SimSun"/>
        </w:rPr>
        <w:t>Study ENB-009-10 was an open-</w:t>
      </w:r>
      <w:proofErr w:type="gramStart"/>
      <w:r w:rsidRPr="005D5611">
        <w:rPr>
          <w:rFonts w:eastAsia="SimSun"/>
        </w:rPr>
        <w:t>label,</w:t>
      </w:r>
      <w:proofErr w:type="gramEnd"/>
      <w:r w:rsidRPr="005D5611">
        <w:rPr>
          <w:rFonts w:eastAsia="SimSun"/>
        </w:rPr>
        <w:t xml:space="preserve"> non-randomised study</w:t>
      </w:r>
      <w:r w:rsidR="00461514">
        <w:rPr>
          <w:rFonts w:eastAsia="SimSun"/>
        </w:rPr>
        <w:t xml:space="preserve"> that enrolled </w:t>
      </w:r>
      <w:r w:rsidRPr="005D5611">
        <w:rPr>
          <w:rFonts w:eastAsia="SimSun"/>
        </w:rPr>
        <w:t>19</w:t>
      </w:r>
      <w:r w:rsidRPr="001E4B2A">
        <w:t> </w:t>
      </w:r>
      <w:r w:rsidRPr="005D5611">
        <w:rPr>
          <w:rFonts w:eastAsia="SimSun"/>
        </w:rPr>
        <w:t xml:space="preserve">patients </w:t>
      </w:r>
      <w:r w:rsidR="00461514">
        <w:rPr>
          <w:rFonts w:eastAsia="SimSun"/>
        </w:rPr>
        <w:t>(</w:t>
      </w:r>
      <w:r w:rsidRPr="005D5611">
        <w:rPr>
          <w:rFonts w:eastAsia="SimSun"/>
        </w:rPr>
        <w:t>18</w:t>
      </w:r>
      <w:r w:rsidRPr="001E4B2A">
        <w:t> </w:t>
      </w:r>
      <w:r w:rsidRPr="005D5611">
        <w:rPr>
          <w:rFonts w:eastAsia="SimSun"/>
        </w:rPr>
        <w:t>patients are on-going</w:t>
      </w:r>
      <w:r w:rsidR="00461514">
        <w:rPr>
          <w:rFonts w:eastAsia="SimSun"/>
        </w:rPr>
        <w:t>)</w:t>
      </w:r>
      <w:r w:rsidR="001A0274">
        <w:rPr>
          <w:rFonts w:eastAsia="SimSun"/>
        </w:rPr>
        <w:t xml:space="preserve"> aged from 13 to 66 years</w:t>
      </w:r>
      <w:r w:rsidRPr="005D5611">
        <w:rPr>
          <w:rFonts w:eastAsia="SimSun"/>
        </w:rPr>
        <w:t xml:space="preserve">. Onset of </w:t>
      </w:r>
      <w:r w:rsidR="00461514">
        <w:rPr>
          <w:rFonts w:eastAsia="SimSun"/>
        </w:rPr>
        <w:t>HPP</w:t>
      </w:r>
      <w:r w:rsidRPr="005D5611">
        <w:rPr>
          <w:rFonts w:eastAsia="SimSun"/>
        </w:rPr>
        <w:t xml:space="preserve"> was under 6 months in 4 patients, between 6</w:t>
      </w:r>
      <w:r w:rsidRPr="001E4B2A">
        <w:t> </w:t>
      </w:r>
      <w:r w:rsidRPr="005D5611">
        <w:rPr>
          <w:rFonts w:eastAsia="SimSun"/>
        </w:rPr>
        <w:t>months and 18 years in 12</w:t>
      </w:r>
      <w:r w:rsidRPr="001E4B2A">
        <w:t> </w:t>
      </w:r>
      <w:r w:rsidRPr="005D5611">
        <w:rPr>
          <w:rFonts w:eastAsia="SimSun"/>
        </w:rPr>
        <w:t>patients and over 18 years in 2</w:t>
      </w:r>
      <w:r w:rsidRPr="001E4B2A">
        <w:t> </w:t>
      </w:r>
      <w:r w:rsidRPr="005D5611">
        <w:rPr>
          <w:rFonts w:eastAsia="SimSun"/>
        </w:rPr>
        <w:t>patients. Age of onset was not known for 1</w:t>
      </w:r>
      <w:r w:rsidRPr="001E4B2A">
        <w:t> </w:t>
      </w:r>
      <w:r w:rsidRPr="005D5611">
        <w:rPr>
          <w:rFonts w:eastAsia="SimSun"/>
        </w:rPr>
        <w:t>patient.</w:t>
      </w:r>
    </w:p>
    <w:p w:rsidR="00461514" w:rsidRDefault="00461514" w:rsidP="00A73B4A">
      <w:pPr>
        <w:keepNext/>
        <w:rPr>
          <w:rFonts w:eastAsia="SimSun"/>
        </w:rPr>
      </w:pPr>
    </w:p>
    <w:p w:rsidR="00DA42AF" w:rsidRPr="001E4B2A" w:rsidRDefault="00DA42AF" w:rsidP="00A73B4A">
      <w:pPr>
        <w:keepNext/>
        <w:autoSpaceDE w:val="0"/>
        <w:autoSpaceDN w:val="0"/>
        <w:adjustRightInd w:val="0"/>
        <w:rPr>
          <w:i/>
          <w:u w:val="single"/>
        </w:rPr>
      </w:pPr>
      <w:r w:rsidRPr="001E4B2A">
        <w:rPr>
          <w:i/>
          <w:u w:val="single"/>
        </w:rPr>
        <w:t>Bone biopsy</w:t>
      </w:r>
    </w:p>
    <w:p w:rsidR="00746BF3" w:rsidRPr="005D5611" w:rsidRDefault="00746BF3" w:rsidP="00746BF3">
      <w:pPr>
        <w:rPr>
          <w:rFonts w:eastAsia="SimSun"/>
        </w:rPr>
      </w:pPr>
      <w:r w:rsidRPr="005D5611">
        <w:rPr>
          <w:rFonts w:eastAsia="SimSun"/>
        </w:rPr>
        <w:t>The adolescent (and adult) patients in this study did not display apparent height-gain.</w:t>
      </w:r>
    </w:p>
    <w:p w:rsidR="00B751FB" w:rsidRPr="005D5611" w:rsidRDefault="00746BF3" w:rsidP="00B751FB">
      <w:pPr>
        <w:rPr>
          <w:rFonts w:eastAsia="SimSun"/>
        </w:rPr>
      </w:pPr>
      <w:r w:rsidRPr="005D5611">
        <w:rPr>
          <w:rFonts w:eastAsia="SimSun"/>
        </w:rPr>
        <w:t xml:space="preserve">Patients underwent biopsy of the trans-iliac bone crest either as part of a control group or before and after exposure to </w:t>
      </w:r>
      <w:proofErr w:type="spellStart"/>
      <w:r w:rsidRPr="005D5611">
        <w:rPr>
          <w:rFonts w:eastAsia="SimSun"/>
        </w:rPr>
        <w:t>asfotase</w:t>
      </w:r>
      <w:proofErr w:type="spellEnd"/>
      <w:r w:rsidRPr="005D5611">
        <w:rPr>
          <w:rFonts w:eastAsia="SimSun"/>
        </w:rPr>
        <w:t xml:space="preserve"> alfa</w:t>
      </w:r>
      <w:r w:rsidR="000E0ED4">
        <w:rPr>
          <w:rFonts w:eastAsia="SimSun"/>
        </w:rPr>
        <w:t xml:space="preserve">, </w:t>
      </w:r>
      <w:proofErr w:type="spellStart"/>
      <w:r w:rsidR="000E0ED4" w:rsidRPr="000E0ED4">
        <w:rPr>
          <w:rFonts w:eastAsia="SimSun"/>
          <w:i/>
        </w:rPr>
        <w:t>rch</w:t>
      </w:r>
      <w:proofErr w:type="spellEnd"/>
      <w:r w:rsidRPr="005D5611">
        <w:rPr>
          <w:rFonts w:eastAsia="SimSun"/>
        </w:rPr>
        <w:t>:</w:t>
      </w:r>
      <w:r w:rsidR="00DA42AF">
        <w:rPr>
          <w:rFonts w:eastAsia="SimSun"/>
        </w:rPr>
        <w:t xml:space="preserve"> and results are presented in </w:t>
      </w:r>
      <w:r w:rsidR="00DA42AF">
        <w:rPr>
          <w:rFonts w:eastAsia="SimSun"/>
        </w:rPr>
        <w:fldChar w:fldCharType="begin"/>
      </w:r>
      <w:r w:rsidR="00DA42AF">
        <w:rPr>
          <w:rFonts w:eastAsia="SimSun"/>
        </w:rPr>
        <w:instrText xml:space="preserve"> REF _Ref434571966 \h </w:instrText>
      </w:r>
      <w:r w:rsidR="00DA42AF">
        <w:rPr>
          <w:rFonts w:eastAsia="SimSun"/>
        </w:rPr>
      </w:r>
      <w:r w:rsidR="00DA42AF">
        <w:rPr>
          <w:rFonts w:eastAsia="SimSun"/>
        </w:rPr>
        <w:fldChar w:fldCharType="separate"/>
      </w:r>
      <w:r w:rsidR="00D71D62">
        <w:t xml:space="preserve">Table </w:t>
      </w:r>
      <w:r w:rsidR="00D71D62">
        <w:rPr>
          <w:noProof/>
        </w:rPr>
        <w:t>3</w:t>
      </w:r>
      <w:r w:rsidR="00DA42AF">
        <w:rPr>
          <w:rFonts w:eastAsia="SimSun"/>
        </w:rPr>
        <w:fldChar w:fldCharType="end"/>
      </w:r>
      <w:r w:rsidR="00DA42AF">
        <w:rPr>
          <w:rFonts w:eastAsia="SimSun"/>
        </w:rPr>
        <w:t xml:space="preserve"> below</w:t>
      </w:r>
      <w:r w:rsidR="007C4857">
        <w:rPr>
          <w:rFonts w:eastAsia="SimSun"/>
        </w:rPr>
        <w:t>.</w:t>
      </w:r>
      <w:r w:rsidR="00B751FB">
        <w:rPr>
          <w:rFonts w:eastAsia="SimSun"/>
        </w:rPr>
        <w:t xml:space="preserve"> </w:t>
      </w:r>
    </w:p>
    <w:p w:rsidR="000E0ED4" w:rsidRDefault="000E0ED4" w:rsidP="00746BF3">
      <w:pPr>
        <w:rPr>
          <w:rFonts w:eastAsia="SimSun"/>
        </w:rPr>
      </w:pPr>
    </w:p>
    <w:p w:rsidR="00E75E4D" w:rsidRDefault="000E0ED4" w:rsidP="00E75E4D">
      <w:pPr>
        <w:pStyle w:val="Caption"/>
        <w:ind w:left="900" w:hanging="900"/>
      </w:pPr>
      <w:bookmarkStart w:id="2" w:name="_Ref434571966"/>
      <w:r>
        <w:t xml:space="preserve">Table </w:t>
      </w:r>
      <w:fldSimple w:instr=" SEQ Table \* ARABIC ">
        <w:r w:rsidR="00D71D62">
          <w:rPr>
            <w:noProof/>
          </w:rPr>
          <w:t>3</w:t>
        </w:r>
      </w:fldSimple>
      <w:bookmarkEnd w:id="2"/>
      <w:r>
        <w:t>:</w:t>
      </w:r>
      <w:r w:rsidR="00E75E4D" w:rsidRPr="00E75E4D">
        <w:t xml:space="preserve"> </w:t>
      </w:r>
      <w:r w:rsidR="00E75E4D">
        <w:t>Baseline and Week 24/Week 48* Mineralisation lag-time on trans-iliac crest bone biopsy in HPP patients (adolescent and adult patients)</w:t>
      </w:r>
    </w:p>
    <w:p w:rsidR="000E0ED4" w:rsidRPr="001B61EE" w:rsidRDefault="000E0ED4" w:rsidP="000E0ED4">
      <w:pPr>
        <w:keepNext/>
        <w:ind w:left="900" w:hanging="900"/>
        <w:rPr>
          <w:sz w:val="22"/>
        </w:rPr>
      </w:pPr>
    </w:p>
    <w:tbl>
      <w:tblPr>
        <w:tblW w:w="7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1952"/>
        <w:gridCol w:w="1952"/>
      </w:tblGrid>
      <w:tr w:rsidR="00B751FB" w:rsidRPr="00C51CEB" w:rsidTr="00B751FB">
        <w:trPr>
          <w:trHeight w:val="444"/>
        </w:trPr>
        <w:tc>
          <w:tcPr>
            <w:tcW w:w="3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1FB" w:rsidRPr="00C51CEB" w:rsidRDefault="00B751FB" w:rsidP="0000613A">
            <w:pPr>
              <w:keepNext/>
              <w:jc w:val="center"/>
              <w:rPr>
                <w:rFonts w:eastAsia="Batang"/>
                <w:b/>
                <w:sz w:val="20"/>
              </w:rPr>
            </w:pPr>
          </w:p>
        </w:tc>
        <w:tc>
          <w:tcPr>
            <w:tcW w:w="390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51FB" w:rsidRPr="000E0ED4" w:rsidRDefault="00B751FB" w:rsidP="00B751FB">
            <w:pPr>
              <w:keepNext/>
              <w:jc w:val="center"/>
              <w:rPr>
                <w:rFonts w:eastAsia="Batang"/>
                <w:b/>
                <w:sz w:val="20"/>
              </w:rPr>
            </w:pPr>
            <w:r>
              <w:rPr>
                <w:rFonts w:eastAsia="Batang"/>
                <w:b/>
                <w:sz w:val="20"/>
              </w:rPr>
              <w:t>Mean (SD) m</w:t>
            </w:r>
            <w:r w:rsidRPr="000E0ED4">
              <w:rPr>
                <w:rFonts w:eastAsia="Batang"/>
                <w:b/>
                <w:sz w:val="20"/>
              </w:rPr>
              <w:t>ineralisation lag-time</w:t>
            </w:r>
            <w:r>
              <w:rPr>
                <w:rFonts w:eastAsia="Batang"/>
                <w:b/>
                <w:sz w:val="20"/>
              </w:rPr>
              <w:t xml:space="preserve"> (days)</w:t>
            </w:r>
          </w:p>
        </w:tc>
      </w:tr>
      <w:tr w:rsidR="00B751FB" w:rsidRPr="00C51CEB" w:rsidTr="00B751FB"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FB" w:rsidRPr="00C51CEB" w:rsidRDefault="00B751FB" w:rsidP="0000613A">
            <w:pPr>
              <w:keepNext/>
              <w:jc w:val="center"/>
              <w:rPr>
                <w:rFonts w:eastAsia="Batang"/>
                <w:b/>
                <w:sz w:val="20"/>
              </w:rPr>
            </w:pPr>
          </w:p>
        </w:tc>
        <w:tc>
          <w:tcPr>
            <w:tcW w:w="19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51FB" w:rsidRPr="000E0ED4" w:rsidRDefault="00B751FB" w:rsidP="0000613A">
            <w:pPr>
              <w:keepNext/>
              <w:jc w:val="center"/>
              <w:rPr>
                <w:rFonts w:eastAsia="Batang"/>
                <w:b/>
                <w:sz w:val="20"/>
              </w:rPr>
            </w:pPr>
            <w:r w:rsidRPr="00C51CEB">
              <w:rPr>
                <w:rFonts w:eastAsia="Batang"/>
                <w:b/>
                <w:sz w:val="20"/>
              </w:rPr>
              <w:t>Baseline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B751FB" w:rsidRPr="000E0ED4" w:rsidRDefault="00B751FB" w:rsidP="00B751FB">
            <w:pPr>
              <w:keepNext/>
              <w:jc w:val="center"/>
              <w:rPr>
                <w:rFonts w:eastAsia="Batang"/>
                <w:b/>
                <w:sz w:val="20"/>
              </w:rPr>
            </w:pPr>
            <w:r w:rsidRPr="00C51CEB">
              <w:rPr>
                <w:rFonts w:eastAsia="Batang"/>
                <w:b/>
                <w:sz w:val="20"/>
              </w:rPr>
              <w:t>Week 24</w:t>
            </w:r>
            <w:r>
              <w:rPr>
                <w:rFonts w:eastAsia="Batang"/>
                <w:b/>
                <w:sz w:val="20"/>
              </w:rPr>
              <w:t>/Week 48*</w:t>
            </w:r>
          </w:p>
        </w:tc>
      </w:tr>
      <w:tr w:rsidR="00B751FB" w:rsidRPr="00C51CEB" w:rsidTr="00B751FB"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:rsidR="00B751FB" w:rsidRPr="00787C08" w:rsidRDefault="00B751FB" w:rsidP="0000613A">
            <w:pPr>
              <w:keepNext/>
              <w:rPr>
                <w:rFonts w:eastAsia="Batang"/>
                <w:b/>
                <w:sz w:val="20"/>
              </w:rPr>
            </w:pPr>
            <w:r>
              <w:rPr>
                <w:rFonts w:eastAsia="Batang"/>
                <w:b/>
                <w:sz w:val="20"/>
              </w:rPr>
              <w:t xml:space="preserve">Control group, </w:t>
            </w:r>
            <w:r w:rsidRPr="000E0ED4">
              <w:rPr>
                <w:rFonts w:eastAsia="Batang"/>
                <w:b/>
                <w:sz w:val="20"/>
              </w:rPr>
              <w:t>standard of care (5 evaluable</w:t>
            </w:r>
            <w:r>
              <w:rPr>
                <w:rFonts w:eastAsia="Batang"/>
                <w:b/>
                <w:sz w:val="20"/>
              </w:rPr>
              <w:t xml:space="preserve"> </w:t>
            </w:r>
            <w:r w:rsidRPr="000E0ED4">
              <w:rPr>
                <w:rFonts w:eastAsia="Batang"/>
                <w:b/>
                <w:sz w:val="20"/>
              </w:rPr>
              <w:t>patients)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B751FB" w:rsidRPr="001B0FC4" w:rsidRDefault="00B751FB" w:rsidP="0000613A">
            <w:pPr>
              <w:keepNext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226 (248)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B751FB" w:rsidRPr="001B0FC4" w:rsidRDefault="00B751FB" w:rsidP="0000613A">
            <w:pPr>
              <w:keepNext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304 (211)</w:t>
            </w:r>
          </w:p>
        </w:tc>
      </w:tr>
      <w:tr w:rsidR="00B751FB" w:rsidRPr="00C51CEB" w:rsidTr="00B751FB">
        <w:tc>
          <w:tcPr>
            <w:tcW w:w="3206" w:type="dxa"/>
            <w:shd w:val="clear" w:color="auto" w:fill="auto"/>
          </w:tcPr>
          <w:p w:rsidR="00B751FB" w:rsidRPr="00787C08" w:rsidRDefault="00B751FB" w:rsidP="0000613A">
            <w:pPr>
              <w:keepNext/>
              <w:rPr>
                <w:rFonts w:eastAsia="Batang"/>
                <w:b/>
                <w:sz w:val="20"/>
              </w:rPr>
            </w:pPr>
            <w:r w:rsidRPr="000E0ED4">
              <w:rPr>
                <w:rFonts w:eastAsia="Batang"/>
                <w:b/>
                <w:sz w:val="20"/>
              </w:rPr>
              <w:t xml:space="preserve">0.3 mg/kg/day </w:t>
            </w:r>
            <w:proofErr w:type="spellStart"/>
            <w:r w:rsidRPr="000E0ED4">
              <w:rPr>
                <w:rFonts w:eastAsia="Batang"/>
                <w:b/>
                <w:sz w:val="20"/>
              </w:rPr>
              <w:t>asfotase</w:t>
            </w:r>
            <w:proofErr w:type="spellEnd"/>
            <w:r w:rsidRPr="000E0ED4">
              <w:rPr>
                <w:rFonts w:eastAsia="Batang"/>
                <w:b/>
                <w:sz w:val="20"/>
              </w:rPr>
              <w:t xml:space="preserve"> alfa</w:t>
            </w:r>
            <w:r>
              <w:rPr>
                <w:rFonts w:eastAsia="Batang"/>
                <w:b/>
                <w:sz w:val="20"/>
              </w:rPr>
              <w:t xml:space="preserve">, </w:t>
            </w:r>
            <w:proofErr w:type="spellStart"/>
            <w:r w:rsidRPr="00671CF1">
              <w:rPr>
                <w:rFonts w:eastAsia="Batang"/>
                <w:b/>
                <w:i/>
                <w:sz w:val="20"/>
              </w:rPr>
              <w:t>rch</w:t>
            </w:r>
            <w:proofErr w:type="spellEnd"/>
            <w:r w:rsidRPr="000E0ED4">
              <w:rPr>
                <w:rFonts w:eastAsia="Batang"/>
                <w:b/>
                <w:sz w:val="20"/>
              </w:rPr>
              <w:t xml:space="preserve"> group (4 evaluable patients</w:t>
            </w:r>
            <w:r>
              <w:rPr>
                <w:rFonts w:eastAsia="Batang"/>
                <w:b/>
                <w:sz w:val="20"/>
              </w:rPr>
              <w:t>)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B751FB" w:rsidRPr="001B0FC4" w:rsidRDefault="00B751FB" w:rsidP="0000613A">
            <w:pPr>
              <w:keepNext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1236 (1468)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B751FB" w:rsidRPr="001B0FC4" w:rsidRDefault="00B751FB" w:rsidP="0000613A">
            <w:pPr>
              <w:keepNext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328 (200)</w:t>
            </w:r>
          </w:p>
        </w:tc>
      </w:tr>
      <w:tr w:rsidR="00B751FB" w:rsidRPr="00C51CEB" w:rsidTr="00B751FB">
        <w:tc>
          <w:tcPr>
            <w:tcW w:w="3206" w:type="dxa"/>
            <w:shd w:val="clear" w:color="auto" w:fill="auto"/>
          </w:tcPr>
          <w:p w:rsidR="00B751FB" w:rsidRPr="00787C08" w:rsidRDefault="00B751FB" w:rsidP="0000613A">
            <w:pPr>
              <w:keepNext/>
              <w:rPr>
                <w:rFonts w:eastAsia="Batang"/>
                <w:b/>
                <w:sz w:val="20"/>
              </w:rPr>
            </w:pPr>
            <w:r>
              <w:rPr>
                <w:rFonts w:eastAsia="Batang"/>
                <w:b/>
                <w:sz w:val="20"/>
              </w:rPr>
              <w:t>0.5</w:t>
            </w:r>
            <w:r w:rsidRPr="000E0ED4">
              <w:rPr>
                <w:rFonts w:eastAsia="Batang"/>
                <w:b/>
                <w:sz w:val="20"/>
              </w:rPr>
              <w:t> </w:t>
            </w:r>
            <w:r>
              <w:rPr>
                <w:rFonts w:eastAsia="Batang"/>
                <w:b/>
                <w:sz w:val="20"/>
              </w:rPr>
              <w:t xml:space="preserve">mg/kg/day </w:t>
            </w:r>
            <w:proofErr w:type="spellStart"/>
            <w:r>
              <w:rPr>
                <w:rFonts w:eastAsia="Batang"/>
                <w:b/>
                <w:sz w:val="20"/>
              </w:rPr>
              <w:t>asfotase</w:t>
            </w:r>
            <w:proofErr w:type="spellEnd"/>
            <w:r>
              <w:rPr>
                <w:rFonts w:eastAsia="Batang"/>
                <w:b/>
                <w:sz w:val="20"/>
              </w:rPr>
              <w:t xml:space="preserve"> alfa, </w:t>
            </w:r>
            <w:proofErr w:type="spellStart"/>
            <w:r w:rsidRPr="00671CF1">
              <w:rPr>
                <w:rFonts w:eastAsia="Batang"/>
                <w:b/>
                <w:i/>
                <w:sz w:val="20"/>
              </w:rPr>
              <w:t>rch</w:t>
            </w:r>
            <w:proofErr w:type="spellEnd"/>
            <w:r>
              <w:rPr>
                <w:rFonts w:eastAsia="Batang"/>
                <w:b/>
                <w:sz w:val="20"/>
              </w:rPr>
              <w:t xml:space="preserve"> group (5 </w:t>
            </w:r>
            <w:r w:rsidRPr="000E0ED4">
              <w:rPr>
                <w:rFonts w:eastAsia="Batang"/>
                <w:b/>
                <w:sz w:val="20"/>
              </w:rPr>
              <w:t>evaluable patients</w:t>
            </w:r>
            <w:r>
              <w:rPr>
                <w:rFonts w:eastAsia="Batang"/>
                <w:b/>
                <w:sz w:val="20"/>
              </w:rPr>
              <w:t>)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B751FB" w:rsidRPr="001B0FC4" w:rsidRDefault="00B751FB" w:rsidP="0000613A">
            <w:pPr>
              <w:keepNext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257 (146)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B751FB" w:rsidRPr="001B0FC4" w:rsidRDefault="00B751FB" w:rsidP="0000613A">
            <w:pPr>
              <w:keepNext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130 (142)</w:t>
            </w:r>
          </w:p>
        </w:tc>
      </w:tr>
    </w:tbl>
    <w:p w:rsidR="008C34BB" w:rsidRPr="00B751FB" w:rsidRDefault="008C34BB" w:rsidP="008C34BB">
      <w:pPr>
        <w:rPr>
          <w:rFonts w:eastAsia="SimSun"/>
          <w:sz w:val="20"/>
        </w:rPr>
      </w:pPr>
      <w:r w:rsidRPr="00B751FB">
        <w:rPr>
          <w:rFonts w:eastAsia="SimSun"/>
          <w:sz w:val="20"/>
        </w:rPr>
        <w:t xml:space="preserve">*Week 24 for Control group and Week 48 for the </w:t>
      </w:r>
      <w:proofErr w:type="spellStart"/>
      <w:r w:rsidRPr="00B751FB">
        <w:rPr>
          <w:rFonts w:eastAsia="SimSun"/>
          <w:sz w:val="20"/>
        </w:rPr>
        <w:t>asfotase</w:t>
      </w:r>
      <w:proofErr w:type="spellEnd"/>
      <w:r w:rsidRPr="00B751FB">
        <w:rPr>
          <w:rFonts w:eastAsia="SimSun"/>
          <w:sz w:val="20"/>
        </w:rPr>
        <w:t xml:space="preserve"> alfa</w:t>
      </w:r>
      <w:r w:rsidR="00B751FB" w:rsidRPr="00B751FB">
        <w:rPr>
          <w:rFonts w:eastAsia="SimSun"/>
          <w:sz w:val="20"/>
        </w:rPr>
        <w:t xml:space="preserve">, </w:t>
      </w:r>
      <w:proofErr w:type="spellStart"/>
      <w:r w:rsidR="00B751FB" w:rsidRPr="00B751FB">
        <w:rPr>
          <w:rFonts w:eastAsia="SimSun"/>
          <w:i/>
          <w:sz w:val="20"/>
        </w:rPr>
        <w:t>rch</w:t>
      </w:r>
      <w:proofErr w:type="spellEnd"/>
      <w:r w:rsidRPr="00B751FB">
        <w:rPr>
          <w:rFonts w:eastAsia="SimSun"/>
          <w:sz w:val="20"/>
        </w:rPr>
        <w:t xml:space="preserve"> groups.</w:t>
      </w:r>
    </w:p>
    <w:p w:rsidR="00EF0DCB" w:rsidRDefault="00EF0DCB" w:rsidP="00B751FB">
      <w:pPr>
        <w:rPr>
          <w:rFonts w:eastAsia="SimSun"/>
        </w:rPr>
      </w:pPr>
    </w:p>
    <w:p w:rsidR="00B751FB" w:rsidRPr="005D5611" w:rsidRDefault="00B751FB" w:rsidP="00B751FB">
      <w:pPr>
        <w:rPr>
          <w:rFonts w:eastAsia="SimSun"/>
        </w:rPr>
      </w:pPr>
      <w:r w:rsidRPr="005D5611">
        <w:rPr>
          <w:rFonts w:eastAsia="SimSun"/>
        </w:rPr>
        <w:t>After 48 weeks all patients were adjusted to the recommended dose 1.0 mg/kg/day.</w:t>
      </w:r>
    </w:p>
    <w:p w:rsidR="00F06CD7" w:rsidRPr="001D0847" w:rsidRDefault="003966F8" w:rsidP="00F06CD7">
      <w:pPr>
        <w:pStyle w:val="PIMinorHeading"/>
        <w:rPr>
          <w:u w:val="single"/>
        </w:rPr>
      </w:pPr>
      <w:r w:rsidRPr="001D0847">
        <w:rPr>
          <w:u w:val="single"/>
        </w:rPr>
        <w:t>Ventilation support</w:t>
      </w:r>
    </w:p>
    <w:p w:rsidR="00DC06F5" w:rsidRPr="00EF6117" w:rsidRDefault="009C2701" w:rsidP="00DC06F5">
      <w:r>
        <w:rPr>
          <w:noProof/>
          <w:lang w:val="en-US"/>
        </w:rPr>
        <w:t xml:space="preserve">The natural history of untreated infant HPP patients suggests higher mortality if ventilation is required. </w:t>
      </w:r>
      <w:r w:rsidR="00DC06F5" w:rsidRPr="00EF6117">
        <w:t xml:space="preserve">In </w:t>
      </w:r>
      <w:r w:rsidR="00A73B4A">
        <w:t xml:space="preserve">studies ENB-002-08/ENB-003-08 (11 patients) and ENB-010-10 (26 patients), </w:t>
      </w:r>
      <w:r w:rsidR="00DC06F5" w:rsidRPr="00EF6117">
        <w:t>both open-label, non-randomised, non-controlled studies of patients aged 0.1 to 310</w:t>
      </w:r>
      <w:r w:rsidR="00DC06F5" w:rsidRPr="001E4B2A">
        <w:t> </w:t>
      </w:r>
      <w:r w:rsidR="00DC06F5" w:rsidRPr="00EF6117">
        <w:t>weeks at baseline, 21 of 37</w:t>
      </w:r>
      <w:r w:rsidR="00DC06F5" w:rsidRPr="001E4B2A">
        <w:t> </w:t>
      </w:r>
      <w:r w:rsidR="00DC06F5" w:rsidRPr="00EF6117">
        <w:t>patients required ventilation support:</w:t>
      </w:r>
    </w:p>
    <w:p w:rsidR="00DC06F5" w:rsidRPr="00EF6117" w:rsidRDefault="00DC06F5" w:rsidP="00DC06F5">
      <w:pPr>
        <w:pStyle w:val="Default"/>
        <w:rPr>
          <w:rFonts w:ascii="Times New Roman" w:hAnsi="Times New Roman" w:cs="Times New Roman"/>
          <w:color w:val="auto"/>
          <w:szCs w:val="22"/>
          <w:lang w:val="en-AU"/>
        </w:rPr>
      </w:pPr>
    </w:p>
    <w:p w:rsidR="00DC06F5" w:rsidRPr="00EF6117" w:rsidRDefault="00DC06F5" w:rsidP="00DC06F5">
      <w:pPr>
        <w:pStyle w:val="Default"/>
        <w:ind w:left="270"/>
        <w:rPr>
          <w:rFonts w:ascii="Times New Roman" w:hAnsi="Times New Roman" w:cs="Times New Roman"/>
          <w:color w:val="auto"/>
          <w:szCs w:val="22"/>
          <w:lang w:val="en-AU"/>
        </w:rPr>
      </w:pPr>
      <w:r w:rsidRPr="00EF6117">
        <w:rPr>
          <w:rFonts w:ascii="Times New Roman" w:hAnsi="Times New Roman" w:cs="Times New Roman"/>
          <w:color w:val="auto"/>
          <w:szCs w:val="22"/>
          <w:lang w:val="en-AU"/>
        </w:rPr>
        <w:t xml:space="preserve">14 patients </w:t>
      </w:r>
      <w:r w:rsidRPr="00EF6117">
        <w:rPr>
          <w:rFonts w:ascii="Times New Roman" w:hAnsi="Times New Roman" w:cs="Times New Roman"/>
          <w:color w:val="auto"/>
          <w:szCs w:val="22"/>
          <w:u w:val="single"/>
          <w:lang w:val="en-AU"/>
        </w:rPr>
        <w:t>required invasive ventilation support</w:t>
      </w:r>
      <w:r w:rsidRPr="00EF6117">
        <w:rPr>
          <w:rFonts w:ascii="Times New Roman" w:hAnsi="Times New Roman" w:cs="Times New Roman"/>
          <w:color w:val="auto"/>
          <w:szCs w:val="22"/>
          <w:lang w:val="en-AU"/>
        </w:rPr>
        <w:t xml:space="preserve"> (intubation or tracheostomy) </w:t>
      </w:r>
      <w:r w:rsidRPr="00EF6117">
        <w:rPr>
          <w:rFonts w:ascii="Times New Roman" w:hAnsi="Times New Roman" w:cs="Times New Roman"/>
          <w:color w:val="auto"/>
          <w:szCs w:val="22"/>
          <w:u w:val="single"/>
          <w:lang w:val="en-AU"/>
        </w:rPr>
        <w:t>at baseline</w:t>
      </w:r>
      <w:r w:rsidRPr="00EF6117">
        <w:rPr>
          <w:rFonts w:ascii="Times New Roman" w:hAnsi="Times New Roman" w:cs="Times New Roman"/>
          <w:color w:val="auto"/>
          <w:szCs w:val="22"/>
          <w:lang w:val="en-AU"/>
        </w:rPr>
        <w:t xml:space="preserve"> (one had a brief period of non-invasive ventilation at baseline before transfer).</w:t>
      </w:r>
    </w:p>
    <w:p w:rsidR="00DC06F5" w:rsidRPr="00EF6117" w:rsidRDefault="00DC06F5" w:rsidP="00DC06F5">
      <w:pPr>
        <w:pStyle w:val="Default"/>
        <w:numPr>
          <w:ilvl w:val="0"/>
          <w:numId w:val="29"/>
        </w:numPr>
        <w:ind w:left="1260"/>
        <w:rPr>
          <w:rFonts w:ascii="Times New Roman" w:hAnsi="Times New Roman" w:cs="Times New Roman"/>
          <w:color w:val="auto"/>
          <w:szCs w:val="22"/>
          <w:lang w:val="en-AU"/>
        </w:rPr>
      </w:pPr>
      <w:r w:rsidRPr="00EF6117">
        <w:rPr>
          <w:rFonts w:ascii="Times New Roman" w:hAnsi="Times New Roman" w:cs="Times New Roman"/>
          <w:color w:val="auto"/>
          <w:szCs w:val="22"/>
          <w:lang w:val="en-AU"/>
        </w:rPr>
        <w:t>7 patients were weaned off ventilation (time on ventilation from 24 to 168 weeks), all had achieved an RGI-C score ≥2</w:t>
      </w:r>
    </w:p>
    <w:p w:rsidR="00DC06F5" w:rsidRPr="00EF6117" w:rsidRDefault="00DC06F5" w:rsidP="00DC06F5">
      <w:pPr>
        <w:pStyle w:val="Default"/>
        <w:numPr>
          <w:ilvl w:val="0"/>
          <w:numId w:val="29"/>
        </w:numPr>
        <w:ind w:left="1260"/>
        <w:rPr>
          <w:rFonts w:ascii="Times New Roman" w:hAnsi="Times New Roman" w:cs="Times New Roman"/>
          <w:color w:val="auto"/>
          <w:szCs w:val="22"/>
          <w:lang w:val="en-AU"/>
        </w:rPr>
      </w:pPr>
      <w:r w:rsidRPr="00EF6117">
        <w:rPr>
          <w:rFonts w:ascii="Times New Roman" w:hAnsi="Times New Roman" w:cs="Times New Roman"/>
          <w:color w:val="auto"/>
          <w:szCs w:val="22"/>
          <w:lang w:val="en-AU"/>
        </w:rPr>
        <w:t>3 patients continued with ventilation support, RGI-C score ≤2</w:t>
      </w:r>
    </w:p>
    <w:p w:rsidR="00DC06F5" w:rsidRPr="00EF6117" w:rsidRDefault="00DC06F5" w:rsidP="00DC06F5">
      <w:pPr>
        <w:pStyle w:val="Default"/>
        <w:numPr>
          <w:ilvl w:val="0"/>
          <w:numId w:val="29"/>
        </w:numPr>
        <w:ind w:left="1260"/>
        <w:rPr>
          <w:rFonts w:ascii="Times New Roman" w:hAnsi="Times New Roman" w:cs="Times New Roman"/>
          <w:color w:val="auto"/>
          <w:szCs w:val="22"/>
          <w:lang w:val="en-AU"/>
        </w:rPr>
      </w:pPr>
      <w:r w:rsidRPr="00EF6117">
        <w:rPr>
          <w:rFonts w:ascii="Times New Roman" w:hAnsi="Times New Roman" w:cs="Times New Roman"/>
          <w:color w:val="auto"/>
          <w:szCs w:val="22"/>
          <w:lang w:val="en-AU"/>
        </w:rPr>
        <w:t>3 patients died whilst on ventilation support</w:t>
      </w:r>
    </w:p>
    <w:p w:rsidR="00DC06F5" w:rsidRDefault="00DC06F5" w:rsidP="00DC06F5">
      <w:pPr>
        <w:pStyle w:val="Default"/>
        <w:numPr>
          <w:ilvl w:val="0"/>
          <w:numId w:val="29"/>
        </w:numPr>
        <w:ind w:left="1260"/>
        <w:rPr>
          <w:rFonts w:ascii="Times New Roman" w:hAnsi="Times New Roman" w:cs="Times New Roman"/>
          <w:color w:val="auto"/>
          <w:szCs w:val="22"/>
          <w:lang w:val="en-AU"/>
        </w:rPr>
      </w:pPr>
      <w:r w:rsidRPr="00EF6117">
        <w:rPr>
          <w:rFonts w:ascii="Times New Roman" w:hAnsi="Times New Roman" w:cs="Times New Roman"/>
          <w:color w:val="auto"/>
          <w:szCs w:val="22"/>
          <w:lang w:val="en-AU"/>
        </w:rPr>
        <w:t>1 patient withdrew consent</w:t>
      </w:r>
    </w:p>
    <w:p w:rsidR="00DC06F5" w:rsidRPr="00EF6117" w:rsidRDefault="00DC06F5" w:rsidP="00DC06F5">
      <w:pPr>
        <w:pStyle w:val="Default"/>
        <w:ind w:left="1260"/>
        <w:rPr>
          <w:rFonts w:ascii="Times New Roman" w:hAnsi="Times New Roman" w:cs="Times New Roman"/>
          <w:color w:val="auto"/>
          <w:szCs w:val="22"/>
          <w:lang w:val="en-AU"/>
        </w:rPr>
      </w:pPr>
    </w:p>
    <w:p w:rsidR="00DC06F5" w:rsidRPr="00EF6117" w:rsidRDefault="00DC06F5" w:rsidP="00DC06F5">
      <w:pPr>
        <w:pStyle w:val="Default"/>
        <w:ind w:left="270"/>
        <w:rPr>
          <w:rFonts w:ascii="Times New Roman" w:hAnsi="Times New Roman" w:cs="Times New Roman"/>
          <w:color w:val="auto"/>
          <w:szCs w:val="22"/>
          <w:lang w:val="en-AU"/>
        </w:rPr>
      </w:pPr>
      <w:r w:rsidRPr="00EF6117">
        <w:rPr>
          <w:rFonts w:ascii="Times New Roman" w:hAnsi="Times New Roman" w:cs="Times New Roman"/>
          <w:color w:val="auto"/>
          <w:szCs w:val="22"/>
          <w:lang w:val="en-AU"/>
        </w:rPr>
        <w:t xml:space="preserve">7 patients </w:t>
      </w:r>
      <w:r w:rsidRPr="00EF6117">
        <w:rPr>
          <w:rFonts w:ascii="Times New Roman" w:hAnsi="Times New Roman" w:cs="Times New Roman"/>
          <w:color w:val="auto"/>
          <w:szCs w:val="22"/>
          <w:u w:val="single"/>
          <w:lang w:val="en-AU"/>
        </w:rPr>
        <w:t>started non-invasive ventilation</w:t>
      </w:r>
      <w:r w:rsidRPr="00EF6117">
        <w:rPr>
          <w:rFonts w:ascii="Times New Roman" w:hAnsi="Times New Roman" w:cs="Times New Roman"/>
          <w:color w:val="auto"/>
          <w:szCs w:val="22"/>
          <w:lang w:val="en-AU"/>
        </w:rPr>
        <w:t xml:space="preserve"> (</w:t>
      </w:r>
      <w:proofErr w:type="spellStart"/>
      <w:r w:rsidRPr="00EF6117">
        <w:rPr>
          <w:rFonts w:ascii="Times New Roman" w:hAnsi="Times New Roman" w:cs="Times New Roman"/>
          <w:color w:val="auto"/>
          <w:szCs w:val="22"/>
          <w:lang w:val="en-AU"/>
        </w:rPr>
        <w:t>BiPAP</w:t>
      </w:r>
      <w:proofErr w:type="spellEnd"/>
      <w:r w:rsidRPr="00EF6117">
        <w:rPr>
          <w:rFonts w:ascii="Times New Roman" w:hAnsi="Times New Roman" w:cs="Times New Roman"/>
          <w:color w:val="auto"/>
          <w:szCs w:val="22"/>
          <w:lang w:val="en-AU"/>
        </w:rPr>
        <w:t xml:space="preserve"> or CPAP) </w:t>
      </w:r>
      <w:r w:rsidRPr="00EF6117">
        <w:rPr>
          <w:rFonts w:ascii="Times New Roman" w:hAnsi="Times New Roman" w:cs="Times New Roman"/>
          <w:color w:val="auto"/>
          <w:szCs w:val="22"/>
          <w:u w:val="single"/>
          <w:lang w:val="en-AU"/>
        </w:rPr>
        <w:t>after baseline</w:t>
      </w:r>
      <w:r w:rsidRPr="00EF6117">
        <w:rPr>
          <w:rFonts w:ascii="Times New Roman" w:hAnsi="Times New Roman" w:cs="Times New Roman"/>
          <w:color w:val="auto"/>
          <w:szCs w:val="22"/>
          <w:lang w:val="en-AU"/>
        </w:rPr>
        <w:t xml:space="preserve"> (2 patients required brief support with invasive ventilation).</w:t>
      </w:r>
    </w:p>
    <w:p w:rsidR="00DC06F5" w:rsidRPr="00EF6117" w:rsidRDefault="00DC06F5" w:rsidP="00DC06F5">
      <w:pPr>
        <w:pStyle w:val="Default"/>
        <w:numPr>
          <w:ilvl w:val="0"/>
          <w:numId w:val="30"/>
        </w:numPr>
        <w:ind w:left="1260"/>
        <w:rPr>
          <w:rFonts w:ascii="Times New Roman" w:hAnsi="Times New Roman" w:cs="Times New Roman"/>
          <w:color w:val="auto"/>
          <w:szCs w:val="22"/>
          <w:lang w:val="en-AU"/>
        </w:rPr>
      </w:pPr>
      <w:r w:rsidRPr="00EF6117">
        <w:rPr>
          <w:rFonts w:ascii="Times New Roman" w:hAnsi="Times New Roman" w:cs="Times New Roman"/>
          <w:color w:val="auto"/>
          <w:szCs w:val="22"/>
          <w:lang w:val="en-AU"/>
        </w:rPr>
        <w:t>5 patients were weaned off ventilation (time on ventilation from 4 weeks to 48 weeks)</w:t>
      </w:r>
    </w:p>
    <w:p w:rsidR="00DC06F5" w:rsidRPr="00EF6117" w:rsidRDefault="00DC06F5" w:rsidP="00DC06F5">
      <w:pPr>
        <w:pStyle w:val="Default"/>
        <w:numPr>
          <w:ilvl w:val="0"/>
          <w:numId w:val="30"/>
        </w:numPr>
        <w:ind w:left="1260"/>
        <w:rPr>
          <w:rFonts w:ascii="Times New Roman" w:hAnsi="Times New Roman" w:cs="Times New Roman"/>
          <w:color w:val="auto"/>
          <w:szCs w:val="22"/>
          <w:lang w:val="en-AU"/>
        </w:rPr>
      </w:pPr>
      <w:r w:rsidRPr="00EF6117">
        <w:rPr>
          <w:rFonts w:ascii="Times New Roman" w:hAnsi="Times New Roman" w:cs="Times New Roman"/>
          <w:color w:val="auto"/>
          <w:szCs w:val="22"/>
          <w:lang w:val="en-AU"/>
        </w:rPr>
        <w:t>2 patients died</w:t>
      </w:r>
    </w:p>
    <w:p w:rsidR="0062284C" w:rsidRPr="00A960D0" w:rsidRDefault="002B7EA6" w:rsidP="00490370">
      <w:pPr>
        <w:pStyle w:val="PIMajorHeading"/>
      </w:pPr>
      <w:r w:rsidRPr="00A960D0">
        <w:t>INDICATIONS</w:t>
      </w:r>
    </w:p>
    <w:p w:rsidR="0096767E" w:rsidRPr="00960500" w:rsidRDefault="00602D9F" w:rsidP="00490370">
      <w:pPr>
        <w:pStyle w:val="CM16"/>
        <w:spacing w:after="0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>STRENSIQ (</w:t>
      </w:r>
      <w:proofErr w:type="spellStart"/>
      <w:r>
        <w:rPr>
          <w:rFonts w:ascii="Times New Roman" w:hAnsi="Times New Roman"/>
          <w:lang w:val="en-AU"/>
        </w:rPr>
        <w:t>asfotase</w:t>
      </w:r>
      <w:proofErr w:type="spellEnd"/>
      <w:r>
        <w:rPr>
          <w:rFonts w:ascii="Times New Roman" w:hAnsi="Times New Roman"/>
          <w:lang w:val="en-AU"/>
        </w:rPr>
        <w:t xml:space="preserve"> alfa</w:t>
      </w:r>
      <w:r w:rsidR="00732E54">
        <w:rPr>
          <w:rFonts w:ascii="Times New Roman" w:hAnsi="Times New Roman"/>
          <w:lang w:val="en-AU"/>
        </w:rPr>
        <w:t xml:space="preserve"> </w:t>
      </w:r>
      <w:proofErr w:type="spellStart"/>
      <w:r w:rsidR="00732E54" w:rsidRPr="00732E54">
        <w:rPr>
          <w:rFonts w:ascii="Times New Roman" w:hAnsi="Times New Roman"/>
          <w:i/>
          <w:lang w:val="en-AU"/>
        </w:rPr>
        <w:t>rch</w:t>
      </w:r>
      <w:proofErr w:type="spellEnd"/>
      <w:r>
        <w:rPr>
          <w:rFonts w:ascii="Times New Roman" w:hAnsi="Times New Roman"/>
          <w:lang w:val="en-AU"/>
        </w:rPr>
        <w:t>)</w:t>
      </w:r>
      <w:r w:rsidR="0062284C" w:rsidRPr="00A960D0">
        <w:rPr>
          <w:rFonts w:ascii="Times New Roman" w:hAnsi="Times New Roman"/>
          <w:lang w:val="en-AU"/>
        </w:rPr>
        <w:t xml:space="preserve"> is indicated </w:t>
      </w:r>
      <w:r w:rsidR="0066592B">
        <w:rPr>
          <w:rFonts w:ascii="Times New Roman" w:hAnsi="Times New Roman"/>
          <w:lang w:val="en-AU"/>
        </w:rPr>
        <w:t>as</w:t>
      </w:r>
      <w:r>
        <w:rPr>
          <w:rFonts w:ascii="Times New Roman" w:hAnsi="Times New Roman"/>
          <w:lang w:val="en-AU"/>
        </w:rPr>
        <w:t xml:space="preserve"> enzyme replacement therapy in</w:t>
      </w:r>
      <w:r w:rsidR="0062284C" w:rsidRPr="00A960D0">
        <w:rPr>
          <w:rFonts w:ascii="Times New Roman" w:hAnsi="Times New Roman"/>
          <w:lang w:val="en-AU"/>
        </w:rPr>
        <w:t xml:space="preserve"> patients with</w:t>
      </w:r>
      <w:r>
        <w:rPr>
          <w:rFonts w:ascii="Times New Roman" w:hAnsi="Times New Roman"/>
          <w:lang w:val="en-AU"/>
        </w:rPr>
        <w:t xml:space="preserve"> </w:t>
      </w:r>
      <w:r>
        <w:rPr>
          <w:rFonts w:ascii="Times New Roman" w:hAnsi="Times New Roman"/>
          <w:lang w:val="en-AU"/>
        </w:rPr>
        <w:lastRenderedPageBreak/>
        <w:t xml:space="preserve">paediatric-onset </w:t>
      </w:r>
      <w:proofErr w:type="spellStart"/>
      <w:r>
        <w:rPr>
          <w:rFonts w:ascii="Times New Roman" w:hAnsi="Times New Roman"/>
          <w:lang w:val="en-AU"/>
        </w:rPr>
        <w:t>hypophosphatasia</w:t>
      </w:r>
      <w:proofErr w:type="spellEnd"/>
      <w:r>
        <w:rPr>
          <w:rFonts w:ascii="Times New Roman" w:hAnsi="Times New Roman"/>
          <w:lang w:val="en-AU"/>
        </w:rPr>
        <w:t>.</w:t>
      </w:r>
    </w:p>
    <w:p w:rsidR="0062284C" w:rsidRDefault="002B7EA6" w:rsidP="00490370">
      <w:pPr>
        <w:pStyle w:val="PIMajorHeading"/>
      </w:pPr>
      <w:r w:rsidRPr="00A960D0">
        <w:t>CONTRAINDICATIONS</w:t>
      </w:r>
    </w:p>
    <w:p w:rsidR="0062284C" w:rsidRPr="00A960D0" w:rsidRDefault="00C93214" w:rsidP="00A960D0">
      <w:pPr>
        <w:pStyle w:val="Default"/>
        <w:rPr>
          <w:rFonts w:ascii="Times New Roman" w:hAnsi="Times New Roman" w:cs="Times New Roman"/>
          <w:color w:val="auto"/>
          <w:lang w:val="en-AU"/>
        </w:rPr>
      </w:pPr>
      <w:proofErr w:type="spellStart"/>
      <w:r>
        <w:rPr>
          <w:rFonts w:ascii="Times New Roman" w:hAnsi="Times New Roman" w:cs="Times New Roman"/>
          <w:color w:val="auto"/>
          <w:lang w:val="en-AU"/>
        </w:rPr>
        <w:t>Asfotase</w:t>
      </w:r>
      <w:proofErr w:type="spellEnd"/>
      <w:r>
        <w:rPr>
          <w:rFonts w:ascii="Times New Roman" w:hAnsi="Times New Roman" w:cs="Times New Roman"/>
          <w:color w:val="auto"/>
          <w:lang w:val="en-AU"/>
        </w:rPr>
        <w:t xml:space="preserve"> alfa, </w:t>
      </w:r>
      <w:proofErr w:type="spellStart"/>
      <w:r w:rsidRPr="00042762">
        <w:rPr>
          <w:rFonts w:ascii="Times New Roman" w:hAnsi="Times New Roman" w:cs="Times New Roman"/>
          <w:i/>
          <w:color w:val="auto"/>
          <w:lang w:val="en-AU"/>
        </w:rPr>
        <w:t>rch</w:t>
      </w:r>
      <w:proofErr w:type="spellEnd"/>
      <w:r w:rsidR="0071482E">
        <w:rPr>
          <w:rFonts w:ascii="Times New Roman" w:hAnsi="Times New Roman" w:cs="Times New Roman"/>
          <w:color w:val="auto"/>
          <w:lang w:val="en-AU"/>
        </w:rPr>
        <w:t xml:space="preserve"> is contraindicated in patients with known h</w:t>
      </w:r>
      <w:r w:rsidR="0029004E" w:rsidRPr="0029004E">
        <w:rPr>
          <w:rFonts w:ascii="Times New Roman" w:hAnsi="Times New Roman" w:cs="Times New Roman"/>
          <w:color w:val="auto"/>
          <w:lang w:val="en-AU"/>
        </w:rPr>
        <w:t xml:space="preserve">ypersensitivity to </w:t>
      </w:r>
      <w:proofErr w:type="spellStart"/>
      <w:r w:rsidR="007421C9">
        <w:rPr>
          <w:rFonts w:ascii="Times New Roman" w:hAnsi="Times New Roman" w:cs="Times New Roman"/>
          <w:color w:val="auto"/>
          <w:lang w:val="en-AU"/>
        </w:rPr>
        <w:t>asfotase</w:t>
      </w:r>
      <w:proofErr w:type="spellEnd"/>
      <w:r w:rsidR="007421C9">
        <w:rPr>
          <w:rFonts w:ascii="Times New Roman" w:hAnsi="Times New Roman" w:cs="Times New Roman"/>
          <w:color w:val="auto"/>
          <w:lang w:val="en-AU"/>
        </w:rPr>
        <w:t xml:space="preserve"> alfa</w:t>
      </w:r>
      <w:r w:rsidR="00475A56">
        <w:rPr>
          <w:rFonts w:ascii="Times New Roman" w:hAnsi="Times New Roman" w:cs="Times New Roman"/>
          <w:color w:val="auto"/>
          <w:lang w:val="en-AU"/>
        </w:rPr>
        <w:t xml:space="preserve">, </w:t>
      </w:r>
      <w:proofErr w:type="spellStart"/>
      <w:r w:rsidR="00BC16A5" w:rsidRPr="00F9189D">
        <w:rPr>
          <w:rFonts w:ascii="Times New Roman" w:hAnsi="Times New Roman" w:cs="Times New Roman"/>
          <w:i/>
          <w:color w:val="auto"/>
          <w:lang w:val="en-AU"/>
        </w:rPr>
        <w:t>rch</w:t>
      </w:r>
      <w:proofErr w:type="spellEnd"/>
      <w:r w:rsidR="00BC16A5">
        <w:rPr>
          <w:rFonts w:ascii="Times New Roman" w:hAnsi="Times New Roman" w:cs="Times New Roman"/>
          <w:color w:val="auto"/>
          <w:lang w:val="en-AU"/>
        </w:rPr>
        <w:t xml:space="preserve">, </w:t>
      </w:r>
      <w:r w:rsidR="00475A56" w:rsidRPr="00475A56">
        <w:rPr>
          <w:rFonts w:ascii="Times New Roman" w:hAnsi="Times New Roman" w:cs="Times New Roman"/>
          <w:color w:val="auto"/>
          <w:lang w:val="en-AU"/>
        </w:rPr>
        <w:t xml:space="preserve">Chinese hamster ovary cell proteins </w:t>
      </w:r>
      <w:r w:rsidR="005D462A">
        <w:rPr>
          <w:rFonts w:ascii="Times New Roman" w:hAnsi="Times New Roman" w:cs="Times New Roman"/>
          <w:color w:val="auto"/>
          <w:lang w:val="en-AU"/>
        </w:rPr>
        <w:t xml:space="preserve">or </w:t>
      </w:r>
      <w:r w:rsidR="0071482E">
        <w:rPr>
          <w:rFonts w:ascii="Times New Roman" w:hAnsi="Times New Roman" w:cs="Times New Roman"/>
          <w:color w:val="auto"/>
          <w:lang w:val="en-AU"/>
        </w:rPr>
        <w:t xml:space="preserve">to </w:t>
      </w:r>
      <w:r w:rsidR="007421C9">
        <w:rPr>
          <w:rFonts w:ascii="Times New Roman" w:hAnsi="Times New Roman" w:cs="Times New Roman"/>
          <w:color w:val="auto"/>
          <w:lang w:val="en-AU"/>
        </w:rPr>
        <w:t>any of the excipients</w:t>
      </w:r>
      <w:r w:rsidR="005D462A">
        <w:rPr>
          <w:rFonts w:ascii="Times New Roman" w:hAnsi="Times New Roman" w:cs="Times New Roman"/>
          <w:color w:val="auto"/>
          <w:lang w:val="en-AU"/>
        </w:rPr>
        <w:t xml:space="preserve"> </w:t>
      </w:r>
      <w:r w:rsidR="00BC16A5">
        <w:rPr>
          <w:rFonts w:ascii="Times New Roman" w:hAnsi="Times New Roman" w:cs="Times New Roman"/>
          <w:color w:val="auto"/>
          <w:lang w:val="en-AU"/>
        </w:rPr>
        <w:t>of this product.</w:t>
      </w:r>
    </w:p>
    <w:p w:rsidR="0062284C" w:rsidRDefault="002B7EA6" w:rsidP="00490370">
      <w:pPr>
        <w:pStyle w:val="PIMajorHeading"/>
      </w:pPr>
      <w:r w:rsidRPr="00A960D0">
        <w:t>PRECAUTIONS</w:t>
      </w:r>
    </w:p>
    <w:p w:rsidR="00DC2920" w:rsidRDefault="00DC2920" w:rsidP="00DC2920">
      <w:pPr>
        <w:pStyle w:val="PIMinorHeading"/>
      </w:pPr>
      <w:bookmarkStart w:id="3" w:name="_5.1.1_Meningococcal_Infection"/>
      <w:bookmarkEnd w:id="3"/>
      <w:r>
        <w:t>Limited Data</w:t>
      </w:r>
    </w:p>
    <w:p w:rsidR="00DC2920" w:rsidRDefault="00DC2920" w:rsidP="00DC2920">
      <w:r w:rsidRPr="00B61F3E">
        <w:t xml:space="preserve">Due to HPP being an ultra-rare (orphan) disease, only limited, Phase II data have been provided in support of the safety and efficacy of </w:t>
      </w:r>
      <w:proofErr w:type="spellStart"/>
      <w:r w:rsidRPr="00B61F3E">
        <w:t>asfotase</w:t>
      </w:r>
      <w:proofErr w:type="spellEnd"/>
      <w:r w:rsidRPr="00B61F3E">
        <w:t xml:space="preserve"> alfa, </w:t>
      </w:r>
      <w:proofErr w:type="spellStart"/>
      <w:r w:rsidRPr="003D64C9">
        <w:rPr>
          <w:i/>
        </w:rPr>
        <w:t>rch</w:t>
      </w:r>
      <w:proofErr w:type="spellEnd"/>
      <w:r w:rsidRPr="00B61F3E">
        <w:t xml:space="preserve"> in the treatment of HPP</w:t>
      </w:r>
      <w:r>
        <w:t>.</w:t>
      </w:r>
    </w:p>
    <w:p w:rsidR="00F65BB2" w:rsidRDefault="00FE0568" w:rsidP="00425CBA">
      <w:pPr>
        <w:pStyle w:val="PIMinorHeading"/>
      </w:pPr>
      <w:r>
        <w:t>Hypersensitivity</w:t>
      </w:r>
    </w:p>
    <w:p w:rsidR="004D31FE" w:rsidRDefault="00FE0568" w:rsidP="000B5A96">
      <w:r>
        <w:t>Hypersensitivity reactions</w:t>
      </w:r>
      <w:r w:rsidR="00736F54">
        <w:t xml:space="preserve"> </w:t>
      </w:r>
      <w:r w:rsidR="004D31FE">
        <w:t xml:space="preserve">have been reported in </w:t>
      </w:r>
      <w:proofErr w:type="spellStart"/>
      <w:r w:rsidR="0052412D" w:rsidRPr="00B61F3E">
        <w:t>asfotase</w:t>
      </w:r>
      <w:proofErr w:type="spellEnd"/>
      <w:r w:rsidR="0052412D" w:rsidRPr="00B61F3E">
        <w:t xml:space="preserve"> alfa, </w:t>
      </w:r>
      <w:proofErr w:type="spellStart"/>
      <w:r w:rsidR="0052412D" w:rsidRPr="003D64C9">
        <w:rPr>
          <w:i/>
        </w:rPr>
        <w:t>rch</w:t>
      </w:r>
      <w:proofErr w:type="spellEnd"/>
      <w:r w:rsidR="0052412D" w:rsidRPr="00B61F3E">
        <w:t xml:space="preserve"> </w:t>
      </w:r>
      <w:r w:rsidR="004D31FE">
        <w:t>-treated patients. I</w:t>
      </w:r>
      <w:r w:rsidR="00306E19">
        <w:t>n clinical trials</w:t>
      </w:r>
      <w:r w:rsidR="004D31FE">
        <w:t xml:space="preserve">, 1 out of 99 patients (1%) treated with </w:t>
      </w:r>
      <w:proofErr w:type="spellStart"/>
      <w:r w:rsidR="0052412D" w:rsidRPr="00B61F3E">
        <w:t>asfotase</w:t>
      </w:r>
      <w:proofErr w:type="spellEnd"/>
      <w:r w:rsidR="0052412D" w:rsidRPr="00B61F3E">
        <w:t xml:space="preserve"> alfa, </w:t>
      </w:r>
      <w:proofErr w:type="spellStart"/>
      <w:r w:rsidR="0052412D" w:rsidRPr="003D64C9">
        <w:rPr>
          <w:i/>
        </w:rPr>
        <w:t>rch</w:t>
      </w:r>
      <w:proofErr w:type="spellEnd"/>
      <w:r w:rsidR="004D31FE">
        <w:t xml:space="preserve"> experienced signs and symptoms consistent with anaphylaxis, including difficulty breathing, nausea, periorbital oedema and dizziness. In this patient, the reaction occurred approximately 1 minute after </w:t>
      </w:r>
      <w:proofErr w:type="spellStart"/>
      <w:r w:rsidR="0052412D" w:rsidRPr="00B61F3E">
        <w:t>asfotase</w:t>
      </w:r>
      <w:proofErr w:type="spellEnd"/>
      <w:r w:rsidR="0052412D" w:rsidRPr="00B61F3E">
        <w:t xml:space="preserve"> alfa, </w:t>
      </w:r>
      <w:proofErr w:type="spellStart"/>
      <w:r w:rsidR="0052412D" w:rsidRPr="003D64C9">
        <w:rPr>
          <w:i/>
        </w:rPr>
        <w:t>rch</w:t>
      </w:r>
      <w:proofErr w:type="spellEnd"/>
      <w:r w:rsidR="004D31FE">
        <w:t xml:space="preserve"> injection in the setting of 3.5 years of ongoing </w:t>
      </w:r>
      <w:proofErr w:type="spellStart"/>
      <w:r w:rsidR="0052412D" w:rsidRPr="00B61F3E">
        <w:t>asfotase</w:t>
      </w:r>
      <w:proofErr w:type="spellEnd"/>
      <w:r w:rsidR="0052412D" w:rsidRPr="00B61F3E">
        <w:t xml:space="preserve"> alfa, </w:t>
      </w:r>
      <w:proofErr w:type="spellStart"/>
      <w:r w:rsidR="0052412D" w:rsidRPr="003D64C9">
        <w:rPr>
          <w:i/>
        </w:rPr>
        <w:t>rch</w:t>
      </w:r>
      <w:proofErr w:type="spellEnd"/>
      <w:r w:rsidR="004D31FE">
        <w:t xml:space="preserve"> treatment and resolved without medical treatment. Other hypersensitivity reactions have also been reported in </w:t>
      </w:r>
      <w:proofErr w:type="spellStart"/>
      <w:r w:rsidR="0052412D" w:rsidRPr="00B61F3E">
        <w:t>asfotase</w:t>
      </w:r>
      <w:proofErr w:type="spellEnd"/>
      <w:r w:rsidR="0052412D" w:rsidRPr="00B61F3E">
        <w:t xml:space="preserve"> alfa, </w:t>
      </w:r>
      <w:proofErr w:type="spellStart"/>
      <w:r w:rsidR="0052412D" w:rsidRPr="003D64C9">
        <w:rPr>
          <w:i/>
        </w:rPr>
        <w:t>rch</w:t>
      </w:r>
      <w:proofErr w:type="spellEnd"/>
      <w:r w:rsidR="0052412D" w:rsidRPr="00B61F3E">
        <w:t xml:space="preserve"> </w:t>
      </w:r>
      <w:r w:rsidR="004D31FE">
        <w:t>-treated patients; including vomiting, fever, headache, flushing, irritability, chills, skin erythema, rash, pruritus and oral hypoesthesia (see ADVERSE EFFECTS)</w:t>
      </w:r>
      <w:r w:rsidR="004F6347">
        <w:t>.</w:t>
      </w:r>
    </w:p>
    <w:p w:rsidR="004F6347" w:rsidRDefault="004F6347" w:rsidP="000B5A96"/>
    <w:p w:rsidR="00F87CB4" w:rsidRDefault="00492B0B" w:rsidP="000B5A96">
      <w:r>
        <w:t>Other s</w:t>
      </w:r>
      <w:r w:rsidR="00FE0568">
        <w:t xml:space="preserve">evere allergic type hypersensitivity reactions are possible, including </w:t>
      </w:r>
      <w:proofErr w:type="spellStart"/>
      <w:r w:rsidR="00FE0568">
        <w:t>urticaria</w:t>
      </w:r>
      <w:proofErr w:type="spellEnd"/>
      <w:r w:rsidR="00FE0568">
        <w:t xml:space="preserve">, difficulty breathing and/or </w:t>
      </w:r>
      <w:r w:rsidR="00475A56">
        <w:t>cardiovascular collapse. If thes</w:t>
      </w:r>
      <w:r w:rsidR="00FE0568">
        <w:t xml:space="preserve">e reactions occur, immediate discontinuation of </w:t>
      </w:r>
      <w:proofErr w:type="spellStart"/>
      <w:r w:rsidR="00042762">
        <w:t>asfotase</w:t>
      </w:r>
      <w:proofErr w:type="spellEnd"/>
      <w:r w:rsidR="00042762">
        <w:t xml:space="preserve"> alfa, </w:t>
      </w:r>
      <w:proofErr w:type="spellStart"/>
      <w:r w:rsidR="00042762" w:rsidRPr="00042762">
        <w:rPr>
          <w:i/>
        </w:rPr>
        <w:t>rch</w:t>
      </w:r>
      <w:proofErr w:type="spellEnd"/>
      <w:r w:rsidR="00FE0568">
        <w:t xml:space="preserve"> treatment is recommended and appropriate medical treatment should be initiated. The current medical standards for </w:t>
      </w:r>
      <w:r w:rsidR="003B5D03">
        <w:t xml:space="preserve">emergency treatment should be observed. </w:t>
      </w:r>
    </w:p>
    <w:p w:rsidR="00F87CB4" w:rsidRDefault="00F87CB4" w:rsidP="000B5A96"/>
    <w:p w:rsidR="00736F54" w:rsidRDefault="00736F54" w:rsidP="000B5A96">
      <w:r>
        <w:t>There have been no adverse reactions related to anti-</w:t>
      </w:r>
      <w:proofErr w:type="spellStart"/>
      <w:r>
        <w:t>asfotase</w:t>
      </w:r>
      <w:proofErr w:type="spellEnd"/>
      <w:r>
        <w:t xml:space="preserve"> alfa antibody status in clinical trials. </w:t>
      </w:r>
      <w:r w:rsidRPr="008227FE">
        <w:t xml:space="preserve">Furthermore, patients confirmed positive for </w:t>
      </w:r>
      <w:r>
        <w:t xml:space="preserve">anti-drug </w:t>
      </w:r>
      <w:r w:rsidRPr="008227FE">
        <w:t>antibodies have not shown signs of</w:t>
      </w:r>
      <w:r>
        <w:t xml:space="preserve"> </w:t>
      </w:r>
      <w:r w:rsidRPr="008227FE">
        <w:t>hypersensitivity</w:t>
      </w:r>
      <w:r>
        <w:t xml:space="preserve"> or </w:t>
      </w:r>
      <w:proofErr w:type="spellStart"/>
      <w:r>
        <w:t>tachyphylaxis</w:t>
      </w:r>
      <w:proofErr w:type="spellEnd"/>
      <w:r w:rsidRPr="008227FE">
        <w:t xml:space="preserve"> following </w:t>
      </w:r>
      <w:proofErr w:type="spellStart"/>
      <w:r w:rsidR="00042762">
        <w:t>asfotase</w:t>
      </w:r>
      <w:proofErr w:type="spellEnd"/>
      <w:r w:rsidR="00042762">
        <w:t xml:space="preserve"> alfa, </w:t>
      </w:r>
      <w:proofErr w:type="spellStart"/>
      <w:r w:rsidR="00042762" w:rsidRPr="00042762">
        <w:rPr>
          <w:i/>
        </w:rPr>
        <w:t>rch</w:t>
      </w:r>
      <w:proofErr w:type="spellEnd"/>
      <w:r w:rsidRPr="008227FE">
        <w:t xml:space="preserve"> administration.</w:t>
      </w:r>
    </w:p>
    <w:p w:rsidR="00F65BB2" w:rsidRPr="0029004E" w:rsidRDefault="00FC04DC" w:rsidP="00425CBA">
      <w:pPr>
        <w:pStyle w:val="PIMinorHeading"/>
      </w:pPr>
      <w:bookmarkStart w:id="4" w:name="_5.2.1_Other_Systemic"/>
      <w:bookmarkEnd w:id="4"/>
      <w:r>
        <w:t>Injection Reaction</w:t>
      </w:r>
    </w:p>
    <w:p w:rsidR="006D2DA3" w:rsidRPr="00FE4AEC" w:rsidRDefault="00FE4AEC" w:rsidP="000B5A96">
      <w:r w:rsidRPr="00FE4AEC">
        <w:t xml:space="preserve">Administration of </w:t>
      </w:r>
      <w:proofErr w:type="spellStart"/>
      <w:r w:rsidR="00042762">
        <w:t>asfotase</w:t>
      </w:r>
      <w:proofErr w:type="spellEnd"/>
      <w:r w:rsidR="00042762">
        <w:t xml:space="preserve"> alfa, </w:t>
      </w:r>
      <w:proofErr w:type="spellStart"/>
      <w:r w:rsidR="00042762" w:rsidRPr="00042762">
        <w:rPr>
          <w:i/>
        </w:rPr>
        <w:t>rch</w:t>
      </w:r>
      <w:proofErr w:type="spellEnd"/>
      <w:r w:rsidRPr="00FE4AEC">
        <w:t xml:space="preserve"> may result in local injection site r</w:t>
      </w:r>
      <w:r>
        <w:t xml:space="preserve">eactions (including, but </w:t>
      </w:r>
      <w:r w:rsidRPr="00FE4AEC">
        <w:t>not limited to, erythema, rash, discolo</w:t>
      </w:r>
      <w:r w:rsidR="002761EF">
        <w:t>u</w:t>
      </w:r>
      <w:r w:rsidRPr="00FE4AEC">
        <w:t>ration, pruritus, pain, papule, nodule</w:t>
      </w:r>
      <w:r w:rsidR="00F16079">
        <w:t xml:space="preserve"> or</w:t>
      </w:r>
      <w:r w:rsidR="00F16079" w:rsidRPr="00FE4AEC">
        <w:t xml:space="preserve"> </w:t>
      </w:r>
      <w:r w:rsidRPr="00FE4AEC">
        <w:t>atrophy</w:t>
      </w:r>
      <w:r w:rsidR="009F70BA">
        <w:t xml:space="preserve">) </w:t>
      </w:r>
      <w:r w:rsidR="009F70BA" w:rsidRPr="00FE4AEC">
        <w:t>defined</w:t>
      </w:r>
      <w:r w:rsidR="009F70BA">
        <w:t xml:space="preserve"> </w:t>
      </w:r>
      <w:r w:rsidR="009F70BA" w:rsidRPr="00FE4AEC">
        <w:t>as any related adverse event occurring during the injection</w:t>
      </w:r>
      <w:r w:rsidR="00F87CB4">
        <w:t>,</w:t>
      </w:r>
      <w:r w:rsidR="009F70BA" w:rsidRPr="00FE4AEC">
        <w:t xml:space="preserve"> or until the end of the injection</w:t>
      </w:r>
      <w:r w:rsidR="009F70BA">
        <w:t xml:space="preserve"> </w:t>
      </w:r>
      <w:r w:rsidR="009F70BA" w:rsidRPr="00FE4AEC">
        <w:t>day</w:t>
      </w:r>
      <w:r w:rsidR="00A97B04">
        <w:t xml:space="preserve"> </w:t>
      </w:r>
      <w:r w:rsidRPr="00FE4AEC">
        <w:t xml:space="preserve">(see </w:t>
      </w:r>
      <w:r w:rsidRPr="00FE4AEC">
        <w:rPr>
          <w:i/>
        </w:rPr>
        <w:t>Adverse Effects</w:t>
      </w:r>
      <w:r w:rsidRPr="00FE4AEC">
        <w:t>). Rotation of injection sites usually helps to effectively</w:t>
      </w:r>
      <w:r>
        <w:t xml:space="preserve"> </w:t>
      </w:r>
      <w:r w:rsidRPr="00FE4AEC">
        <w:t>manage these reactions. These have been generally assessed as non</w:t>
      </w:r>
      <w:r>
        <w:t>-</w:t>
      </w:r>
      <w:r w:rsidRPr="00FE4AEC">
        <w:t>serious, mild to</w:t>
      </w:r>
      <w:r>
        <w:t xml:space="preserve"> </w:t>
      </w:r>
      <w:r w:rsidRPr="00FE4AEC">
        <w:t>moderate in severity and self</w:t>
      </w:r>
      <w:r>
        <w:t>-</w:t>
      </w:r>
      <w:r w:rsidRPr="00FE4AEC">
        <w:t>limiting. One patient treated in clinical trials</w:t>
      </w:r>
      <w:r>
        <w:t xml:space="preserve"> </w:t>
      </w:r>
      <w:r w:rsidRPr="00FE4AEC">
        <w:t>experienced a severe ISR of injection site discolouration which led to the discontinuation of</w:t>
      </w:r>
      <w:r>
        <w:t xml:space="preserve"> </w:t>
      </w:r>
      <w:proofErr w:type="spellStart"/>
      <w:r w:rsidR="00DF56A8">
        <w:t>asfotase</w:t>
      </w:r>
      <w:proofErr w:type="spellEnd"/>
      <w:r w:rsidR="00DF56A8">
        <w:t xml:space="preserve"> alfa, </w:t>
      </w:r>
      <w:proofErr w:type="spellStart"/>
      <w:r w:rsidR="00DF56A8" w:rsidRPr="00DF56A8">
        <w:rPr>
          <w:i/>
        </w:rPr>
        <w:t>rch</w:t>
      </w:r>
      <w:proofErr w:type="spellEnd"/>
      <w:r w:rsidR="00DF56A8">
        <w:t>.</w:t>
      </w:r>
    </w:p>
    <w:p w:rsidR="00FE4AEC" w:rsidRDefault="00FE4AEC" w:rsidP="000B5A96"/>
    <w:p w:rsidR="00A63AC3" w:rsidRDefault="00042762" w:rsidP="000B5A96">
      <w:proofErr w:type="spellStart"/>
      <w:r>
        <w:t>Asfotase</w:t>
      </w:r>
      <w:proofErr w:type="spellEnd"/>
      <w:r>
        <w:t xml:space="preserve"> alfa, </w:t>
      </w:r>
      <w:proofErr w:type="spellStart"/>
      <w:r w:rsidRPr="00042762">
        <w:rPr>
          <w:i/>
        </w:rPr>
        <w:t>rch</w:t>
      </w:r>
      <w:proofErr w:type="spellEnd"/>
      <w:r w:rsidR="00FE4AEC" w:rsidRPr="00FE4AEC">
        <w:t xml:space="preserve"> administration should be interrupted in any patient experiencing severe injection</w:t>
      </w:r>
      <w:r w:rsidR="00FE4AEC">
        <w:t xml:space="preserve"> </w:t>
      </w:r>
      <w:r w:rsidR="00FE4AEC" w:rsidRPr="00FE4AEC">
        <w:t>reactions and appropriate medical therapy administered.</w:t>
      </w:r>
      <w:r w:rsidR="00506F8A" w:rsidRPr="0029004E">
        <w:t xml:space="preserve"> </w:t>
      </w:r>
    </w:p>
    <w:p w:rsidR="00CE0AEC" w:rsidRDefault="00CE0AEC" w:rsidP="000B5A96"/>
    <w:p w:rsidR="006D2DA3" w:rsidRDefault="006D2DA3" w:rsidP="006D2DA3">
      <w:r w:rsidRPr="00CE0AEC">
        <w:lastRenderedPageBreak/>
        <w:t xml:space="preserve">Localized lipodystrophy, including lipoatrophy and </w:t>
      </w:r>
      <w:proofErr w:type="spellStart"/>
      <w:r w:rsidRPr="00CE0AEC">
        <w:t>lipohypertrophy</w:t>
      </w:r>
      <w:proofErr w:type="spellEnd"/>
      <w:r w:rsidRPr="00CE0AEC">
        <w:t xml:space="preserve">, has been reported at injection sites after several months in patients treated with </w:t>
      </w:r>
      <w:proofErr w:type="spellStart"/>
      <w:r w:rsidR="003D766F">
        <w:t>asfotase</w:t>
      </w:r>
      <w:proofErr w:type="spellEnd"/>
      <w:r w:rsidR="003D766F">
        <w:t xml:space="preserve"> alfa, </w:t>
      </w:r>
      <w:proofErr w:type="spellStart"/>
      <w:r w:rsidR="003D766F" w:rsidRPr="00042762">
        <w:rPr>
          <w:i/>
        </w:rPr>
        <w:t>rch</w:t>
      </w:r>
      <w:proofErr w:type="spellEnd"/>
      <w:r w:rsidRPr="00CE0AEC">
        <w:t xml:space="preserve"> in clinical trials. </w:t>
      </w:r>
      <w:r w:rsidR="00691A75">
        <w:t>Patients should be advised</w:t>
      </w:r>
      <w:r w:rsidRPr="00CE0AEC">
        <w:t xml:space="preserve"> to follow proper injection techniqu</w:t>
      </w:r>
      <w:r w:rsidR="003D766F">
        <w:t>e and to rotate injection sites.</w:t>
      </w:r>
    </w:p>
    <w:p w:rsidR="006D5F1D" w:rsidRDefault="00FC04DC" w:rsidP="00425CBA">
      <w:pPr>
        <w:pStyle w:val="PIMinorHeading"/>
      </w:pPr>
      <w:proofErr w:type="spellStart"/>
      <w:r>
        <w:t>Craniosynostosis</w:t>
      </w:r>
      <w:proofErr w:type="spellEnd"/>
    </w:p>
    <w:p w:rsidR="00B52E08" w:rsidRDefault="00C5498C" w:rsidP="000B5A96">
      <w:r w:rsidRPr="00C5498C">
        <w:t xml:space="preserve">In </w:t>
      </w:r>
      <w:proofErr w:type="spellStart"/>
      <w:r w:rsidR="004670B5">
        <w:t>asfotase</w:t>
      </w:r>
      <w:proofErr w:type="spellEnd"/>
      <w:r w:rsidR="004670B5">
        <w:t xml:space="preserve"> alfa, </w:t>
      </w:r>
      <w:proofErr w:type="spellStart"/>
      <w:r w:rsidR="004670B5" w:rsidRPr="00042762">
        <w:rPr>
          <w:i/>
        </w:rPr>
        <w:t>rch</w:t>
      </w:r>
      <w:proofErr w:type="spellEnd"/>
      <w:r w:rsidR="004670B5" w:rsidRPr="00FE4AEC">
        <w:t xml:space="preserve"> </w:t>
      </w:r>
      <w:r w:rsidRPr="00C5498C">
        <w:t>clinical studies</w:t>
      </w:r>
      <w:r w:rsidR="00180057">
        <w:t>,</w:t>
      </w:r>
      <w:r w:rsidRPr="00C5498C">
        <w:t xml:space="preserve"> </w:t>
      </w:r>
      <w:r w:rsidR="00B52E08">
        <w:t xml:space="preserve">adverse events of </w:t>
      </w:r>
      <w:proofErr w:type="spellStart"/>
      <w:r w:rsidRPr="00C5498C">
        <w:t>craniosynostosis</w:t>
      </w:r>
      <w:proofErr w:type="spellEnd"/>
      <w:r w:rsidR="00B52E08">
        <w:t xml:space="preserve"> (associated with increased intracranial pressure), including worsening of pre-existing </w:t>
      </w:r>
      <w:proofErr w:type="spellStart"/>
      <w:r w:rsidR="00B52E08">
        <w:t>craniosynostosis</w:t>
      </w:r>
      <w:proofErr w:type="spellEnd"/>
      <w:r w:rsidR="00B52E08">
        <w:t xml:space="preserve"> have been reported in HPP</w:t>
      </w:r>
      <w:r w:rsidRPr="00C5498C">
        <w:t xml:space="preserve"> patients &lt; 5 years of age</w:t>
      </w:r>
      <w:r w:rsidR="00180057">
        <w:t>.</w:t>
      </w:r>
      <w:r w:rsidRPr="00C5498C">
        <w:t xml:space="preserve"> </w:t>
      </w:r>
      <w:r w:rsidR="00B76C9F" w:rsidRPr="001C6720">
        <w:t xml:space="preserve">There are insufficient data to establish a causal relationship between exposure to </w:t>
      </w:r>
      <w:proofErr w:type="spellStart"/>
      <w:r w:rsidR="00042762">
        <w:t>asfotase</w:t>
      </w:r>
      <w:proofErr w:type="spellEnd"/>
      <w:r w:rsidR="00042762">
        <w:t xml:space="preserve"> alfa, </w:t>
      </w:r>
      <w:proofErr w:type="spellStart"/>
      <w:r w:rsidR="00042762" w:rsidRPr="00042762">
        <w:rPr>
          <w:i/>
        </w:rPr>
        <w:t>rch</w:t>
      </w:r>
      <w:proofErr w:type="spellEnd"/>
      <w:r w:rsidR="00B76C9F" w:rsidRPr="001C6720">
        <w:t xml:space="preserve"> and progression of </w:t>
      </w:r>
      <w:proofErr w:type="spellStart"/>
      <w:r w:rsidR="00B76C9F" w:rsidRPr="001C6720">
        <w:t>craniosynostosis</w:t>
      </w:r>
      <w:proofErr w:type="spellEnd"/>
      <w:r w:rsidR="00B76C9F">
        <w:t xml:space="preserve">. </w:t>
      </w:r>
      <w:proofErr w:type="spellStart"/>
      <w:r w:rsidR="00B76C9F" w:rsidRPr="00C5498C">
        <w:t>Craniosynostosis</w:t>
      </w:r>
      <w:proofErr w:type="spellEnd"/>
      <w:r w:rsidR="00B76C9F" w:rsidRPr="00C5498C">
        <w:t xml:space="preserve"> as a manifestation of HPP is documen</w:t>
      </w:r>
      <w:r w:rsidR="00B76C9F">
        <w:t xml:space="preserve">ted in published literature and </w:t>
      </w:r>
      <w:r w:rsidR="00B76C9F" w:rsidRPr="00C5498C">
        <w:t>occurred in 61.3% of patients between birth and 5 years of age in a natural history study of</w:t>
      </w:r>
      <w:r w:rsidR="00B76C9F">
        <w:t xml:space="preserve"> </w:t>
      </w:r>
      <w:r w:rsidR="00B76C9F" w:rsidRPr="00C5498C">
        <w:t>untreated infantile</w:t>
      </w:r>
      <w:r w:rsidR="00B76C9F">
        <w:t>-</w:t>
      </w:r>
      <w:r w:rsidR="00B76C9F" w:rsidRPr="00C5498C">
        <w:t xml:space="preserve">onset HPP patients. </w:t>
      </w:r>
      <w:proofErr w:type="spellStart"/>
      <w:r w:rsidRPr="00C5498C">
        <w:t>Craniosynostosis</w:t>
      </w:r>
      <w:proofErr w:type="spellEnd"/>
      <w:r w:rsidRPr="00C5498C">
        <w:t xml:space="preserve"> can lead to increased intracranial</w:t>
      </w:r>
      <w:r>
        <w:t xml:space="preserve"> </w:t>
      </w:r>
      <w:r w:rsidRPr="00C5498C">
        <w:t xml:space="preserve">pressure. Periodic monitoring (including </w:t>
      </w:r>
      <w:proofErr w:type="spellStart"/>
      <w:r w:rsidRPr="00C5498C">
        <w:t>fundoscopy</w:t>
      </w:r>
      <w:proofErr w:type="spellEnd"/>
      <w:r w:rsidRPr="00C5498C">
        <w:t xml:space="preserve"> for signs of </w:t>
      </w:r>
      <w:proofErr w:type="spellStart"/>
      <w:r w:rsidRPr="00C5498C">
        <w:t>papilloedema</w:t>
      </w:r>
      <w:proofErr w:type="spellEnd"/>
      <w:r w:rsidRPr="00C5498C">
        <w:t>) and prompt</w:t>
      </w:r>
      <w:r>
        <w:t xml:space="preserve"> </w:t>
      </w:r>
      <w:r w:rsidRPr="00C5498C">
        <w:t>intervention for increased intracranial pressure is recommended in infantile</w:t>
      </w:r>
      <w:r>
        <w:t>-</w:t>
      </w:r>
      <w:r w:rsidRPr="00C5498C">
        <w:t>onset HPP</w:t>
      </w:r>
      <w:r>
        <w:t xml:space="preserve"> </w:t>
      </w:r>
      <w:r w:rsidRPr="00C5498C">
        <w:t>patients below 5 years of age.</w:t>
      </w:r>
    </w:p>
    <w:p w:rsidR="006D5F1D" w:rsidRDefault="00FC04DC" w:rsidP="00425CBA">
      <w:pPr>
        <w:pStyle w:val="PIMinorHeading"/>
      </w:pPr>
      <w:r>
        <w:t>Ectopic calcification</w:t>
      </w:r>
    </w:p>
    <w:p w:rsidR="00B76C9F" w:rsidRDefault="00B76C9F" w:rsidP="000B5A96">
      <w:r w:rsidRPr="001E4B2A">
        <w:t xml:space="preserve">In </w:t>
      </w:r>
      <w:proofErr w:type="spellStart"/>
      <w:r w:rsidR="00E94514">
        <w:t>asfotase</w:t>
      </w:r>
      <w:proofErr w:type="spellEnd"/>
      <w:r w:rsidR="00E94514">
        <w:t xml:space="preserve"> alfa, </w:t>
      </w:r>
      <w:proofErr w:type="spellStart"/>
      <w:r w:rsidR="00E94514" w:rsidRPr="00042762">
        <w:rPr>
          <w:i/>
        </w:rPr>
        <w:t>rch</w:t>
      </w:r>
      <w:proofErr w:type="spellEnd"/>
      <w:r w:rsidR="00E94514" w:rsidRPr="00FE4AEC">
        <w:t xml:space="preserve"> </w:t>
      </w:r>
      <w:r w:rsidRPr="001E4B2A">
        <w:t xml:space="preserve">clinical studies ophthalmic (conjunctival and corneal) calcification and </w:t>
      </w:r>
      <w:proofErr w:type="spellStart"/>
      <w:r w:rsidRPr="001E4B2A">
        <w:t>nephrocalcinosis</w:t>
      </w:r>
      <w:proofErr w:type="spellEnd"/>
      <w:r w:rsidRPr="001E4B2A">
        <w:t xml:space="preserve"> have been reported in patients with </w:t>
      </w:r>
      <w:proofErr w:type="spellStart"/>
      <w:r w:rsidRPr="00D63088">
        <w:t>hypophosphatasia</w:t>
      </w:r>
      <w:proofErr w:type="spellEnd"/>
      <w:r w:rsidRPr="00D63088">
        <w:t xml:space="preserve">. </w:t>
      </w:r>
      <w:r w:rsidRPr="001C6720">
        <w:t xml:space="preserve">There are insufficient data to establish a causal relationship between exposure to </w:t>
      </w:r>
      <w:proofErr w:type="spellStart"/>
      <w:r w:rsidR="00042762">
        <w:t>asfotase</w:t>
      </w:r>
      <w:proofErr w:type="spellEnd"/>
      <w:r w:rsidR="00042762">
        <w:t xml:space="preserve"> alfa, </w:t>
      </w:r>
      <w:proofErr w:type="spellStart"/>
      <w:r w:rsidR="00042762" w:rsidRPr="00042762">
        <w:rPr>
          <w:i/>
        </w:rPr>
        <w:t>rch</w:t>
      </w:r>
      <w:proofErr w:type="spellEnd"/>
      <w:r w:rsidRPr="001C6720">
        <w:t xml:space="preserve"> and ectopic calcification. </w:t>
      </w:r>
      <w:r w:rsidRPr="001E4B2A">
        <w:t xml:space="preserve">Ophthalmic (conjunctival and corneal) calcification and </w:t>
      </w:r>
      <w:proofErr w:type="spellStart"/>
      <w:r w:rsidRPr="001E4B2A">
        <w:t>nephrocalcinosis</w:t>
      </w:r>
      <w:proofErr w:type="spellEnd"/>
      <w:r w:rsidRPr="001E4B2A">
        <w:t xml:space="preserve"> as manifestations of </w:t>
      </w:r>
      <w:proofErr w:type="spellStart"/>
      <w:r w:rsidRPr="001E4B2A">
        <w:t>hypophosphatasia</w:t>
      </w:r>
      <w:proofErr w:type="spellEnd"/>
      <w:r w:rsidRPr="001E4B2A">
        <w:t xml:space="preserve"> are documented in published literature. </w:t>
      </w:r>
      <w:proofErr w:type="spellStart"/>
      <w:r w:rsidRPr="001E4B2A">
        <w:t>Nephrocalcinosis</w:t>
      </w:r>
      <w:proofErr w:type="spellEnd"/>
      <w:r w:rsidRPr="001E4B2A">
        <w:t xml:space="preserve"> occurred in 51.6% of patients between birth and 5 years of age in a natural history study of untreated infantile-onset </w:t>
      </w:r>
      <w:proofErr w:type="spellStart"/>
      <w:r w:rsidRPr="001E4B2A">
        <w:t>hypophosphatasia</w:t>
      </w:r>
      <w:proofErr w:type="spellEnd"/>
      <w:r w:rsidRPr="001E4B2A">
        <w:t xml:space="preserve"> patients. Periodic ophthalmology examination and renal ultrasounds are recommended in </w:t>
      </w:r>
      <w:proofErr w:type="spellStart"/>
      <w:r w:rsidRPr="001E4B2A">
        <w:t>hypophosphatasia</w:t>
      </w:r>
      <w:proofErr w:type="spellEnd"/>
      <w:r w:rsidRPr="001E4B2A">
        <w:t xml:space="preserve"> patients.</w:t>
      </w:r>
    </w:p>
    <w:p w:rsidR="00F87CB4" w:rsidRDefault="00F87CB4" w:rsidP="00F87CB4">
      <w:pPr>
        <w:pStyle w:val="PIMinorHeading"/>
      </w:pPr>
      <w:r>
        <w:t>Serum Parathyroid Hormone and Calcium</w:t>
      </w:r>
    </w:p>
    <w:p w:rsidR="00F87CB4" w:rsidRDefault="00F87CB4" w:rsidP="00F87CB4">
      <w:r>
        <w:t xml:space="preserve">Serum parathyroid hormone concentrations may increase in HPP patients administered </w:t>
      </w:r>
      <w:proofErr w:type="spellStart"/>
      <w:r w:rsidR="00042762">
        <w:t>asfotase</w:t>
      </w:r>
      <w:proofErr w:type="spellEnd"/>
      <w:r w:rsidR="00042762">
        <w:t xml:space="preserve"> alfa, </w:t>
      </w:r>
      <w:proofErr w:type="spellStart"/>
      <w:r w:rsidR="00042762" w:rsidRPr="00042762">
        <w:rPr>
          <w:i/>
        </w:rPr>
        <w:t>rch</w:t>
      </w:r>
      <w:proofErr w:type="spellEnd"/>
      <w:r>
        <w:t xml:space="preserve">, most notably during the first 12 weeks of treatment. It is recommended that serum parathyroid hormone and calcium be monitored in patients treated with </w:t>
      </w:r>
      <w:proofErr w:type="spellStart"/>
      <w:r w:rsidR="00042762">
        <w:t>asfotase</w:t>
      </w:r>
      <w:proofErr w:type="spellEnd"/>
      <w:r w:rsidR="00042762">
        <w:t xml:space="preserve"> alfa, </w:t>
      </w:r>
      <w:proofErr w:type="spellStart"/>
      <w:r w:rsidR="00042762" w:rsidRPr="00042762">
        <w:rPr>
          <w:i/>
        </w:rPr>
        <w:t>rch</w:t>
      </w:r>
      <w:proofErr w:type="spellEnd"/>
      <w:r>
        <w:t>. Supplements of calcium and oral vitamin D may be required.</w:t>
      </w:r>
    </w:p>
    <w:p w:rsidR="00F87CB4" w:rsidRDefault="00F87CB4" w:rsidP="00F87CB4">
      <w:pPr>
        <w:pStyle w:val="PIMinorHeading"/>
      </w:pPr>
      <w:r>
        <w:t>Disproportionate weight gain</w:t>
      </w:r>
    </w:p>
    <w:p w:rsidR="00F87CB4" w:rsidRPr="00483A00" w:rsidRDefault="00F87CB4" w:rsidP="00F87CB4">
      <w:r>
        <w:t>Patients may display disproportionate weight increase. Dietary supervision is recommended.</w:t>
      </w:r>
    </w:p>
    <w:p w:rsidR="0062284C" w:rsidRDefault="001D2FA2" w:rsidP="00425CBA">
      <w:pPr>
        <w:pStyle w:val="PIMinorHeading"/>
      </w:pPr>
      <w:bookmarkStart w:id="5" w:name="_5.2.3_General"/>
      <w:bookmarkEnd w:id="5"/>
      <w:r w:rsidRPr="000046BB">
        <w:t>Effects on</w:t>
      </w:r>
      <w:r w:rsidR="0062284C" w:rsidRPr="000046BB">
        <w:t xml:space="preserve"> Fertility  </w:t>
      </w:r>
    </w:p>
    <w:p w:rsidR="0027183B" w:rsidRDefault="0027183B" w:rsidP="000046BB">
      <w:pPr>
        <w:pStyle w:val="CM16"/>
        <w:spacing w:after="0"/>
        <w:rPr>
          <w:rFonts w:ascii="Times New Roman" w:hAnsi="Times New Roman"/>
          <w:szCs w:val="22"/>
          <w:lang w:val="en-AU"/>
        </w:rPr>
      </w:pPr>
      <w:r w:rsidRPr="0027183B">
        <w:rPr>
          <w:rFonts w:ascii="Times New Roman" w:hAnsi="Times New Roman"/>
          <w:szCs w:val="22"/>
          <w:lang w:val="en-AU"/>
        </w:rPr>
        <w:t xml:space="preserve">No adverse effects on fertility were observed in male and female rats given intravenous doses of </w:t>
      </w:r>
      <w:proofErr w:type="spellStart"/>
      <w:r w:rsidRPr="0027183B">
        <w:rPr>
          <w:rFonts w:ascii="Times New Roman" w:hAnsi="Times New Roman"/>
          <w:szCs w:val="22"/>
          <w:lang w:val="en-AU"/>
        </w:rPr>
        <w:t>asfotase</w:t>
      </w:r>
      <w:proofErr w:type="spellEnd"/>
      <w:r w:rsidRPr="0027183B">
        <w:rPr>
          <w:rFonts w:ascii="Times New Roman" w:hAnsi="Times New Roman"/>
          <w:szCs w:val="22"/>
          <w:lang w:val="en-AU"/>
        </w:rPr>
        <w:t xml:space="preserve"> alfa</w:t>
      </w:r>
      <w:r w:rsidR="004025DE">
        <w:rPr>
          <w:rFonts w:ascii="Times New Roman" w:hAnsi="Times New Roman"/>
          <w:szCs w:val="22"/>
          <w:lang w:val="en-AU"/>
        </w:rPr>
        <w:t xml:space="preserve">, </w:t>
      </w:r>
      <w:proofErr w:type="spellStart"/>
      <w:r w:rsidR="004025DE" w:rsidRPr="004025DE">
        <w:rPr>
          <w:rFonts w:ascii="Times New Roman" w:hAnsi="Times New Roman"/>
          <w:i/>
          <w:szCs w:val="22"/>
          <w:lang w:val="en-AU"/>
        </w:rPr>
        <w:t>rch</w:t>
      </w:r>
      <w:proofErr w:type="spellEnd"/>
      <w:r w:rsidRPr="0027183B">
        <w:rPr>
          <w:rFonts w:ascii="Times New Roman" w:hAnsi="Times New Roman"/>
          <w:szCs w:val="22"/>
          <w:lang w:val="en-AU"/>
        </w:rPr>
        <w:t xml:space="preserve"> at</w:t>
      </w:r>
      <w:r>
        <w:rPr>
          <w:rFonts w:ascii="Times New Roman" w:hAnsi="Times New Roman"/>
          <w:szCs w:val="22"/>
          <w:lang w:val="en-AU"/>
        </w:rPr>
        <w:t xml:space="preserve"> </w:t>
      </w:r>
      <w:r w:rsidRPr="0027183B">
        <w:rPr>
          <w:rFonts w:ascii="Times New Roman" w:hAnsi="Times New Roman"/>
          <w:szCs w:val="22"/>
          <w:lang w:val="en-AU"/>
        </w:rPr>
        <w:t>≤</w:t>
      </w:r>
      <w:r>
        <w:rPr>
          <w:rFonts w:ascii="Times New Roman" w:hAnsi="Times New Roman"/>
          <w:szCs w:val="22"/>
          <w:lang w:val="en-AU"/>
        </w:rPr>
        <w:t xml:space="preserve"> </w:t>
      </w:r>
      <w:r w:rsidRPr="0027183B">
        <w:rPr>
          <w:rFonts w:ascii="Times New Roman" w:hAnsi="Times New Roman"/>
          <w:szCs w:val="22"/>
          <w:lang w:val="en-AU"/>
        </w:rPr>
        <w:t xml:space="preserve">50 mg/kg/day, yielding exposures to </w:t>
      </w:r>
      <w:proofErr w:type="spellStart"/>
      <w:r w:rsidRPr="0027183B">
        <w:rPr>
          <w:rFonts w:ascii="Times New Roman" w:hAnsi="Times New Roman"/>
          <w:szCs w:val="22"/>
          <w:lang w:val="en-AU"/>
        </w:rPr>
        <w:t>asfotase</w:t>
      </w:r>
      <w:proofErr w:type="spellEnd"/>
      <w:r w:rsidRPr="0027183B">
        <w:rPr>
          <w:rFonts w:ascii="Times New Roman" w:hAnsi="Times New Roman"/>
          <w:szCs w:val="22"/>
          <w:lang w:val="en-AU"/>
        </w:rPr>
        <w:t xml:space="preserve"> alfa</w:t>
      </w:r>
      <w:r w:rsidR="004025DE">
        <w:rPr>
          <w:rFonts w:ascii="Times New Roman" w:hAnsi="Times New Roman"/>
          <w:szCs w:val="22"/>
          <w:lang w:val="en-AU"/>
        </w:rPr>
        <w:t xml:space="preserve">, </w:t>
      </w:r>
      <w:proofErr w:type="spellStart"/>
      <w:r w:rsidR="004025DE" w:rsidRPr="004025DE">
        <w:rPr>
          <w:rFonts w:ascii="Times New Roman" w:hAnsi="Times New Roman"/>
          <w:i/>
          <w:szCs w:val="22"/>
          <w:lang w:val="en-AU"/>
        </w:rPr>
        <w:t>rch</w:t>
      </w:r>
      <w:proofErr w:type="spellEnd"/>
      <w:r w:rsidRPr="0027183B">
        <w:rPr>
          <w:rFonts w:ascii="Times New Roman" w:hAnsi="Times New Roman"/>
          <w:szCs w:val="22"/>
          <w:lang w:val="en-AU"/>
        </w:rPr>
        <w:t xml:space="preserve"> (based on plasma AUC) up to 19 times higher than that in patients at the recommended human dose of 2 mg/kg SC three times weekly</w:t>
      </w:r>
      <w:r>
        <w:rPr>
          <w:rFonts w:ascii="Times New Roman" w:hAnsi="Times New Roman"/>
          <w:szCs w:val="22"/>
          <w:lang w:val="en-AU"/>
        </w:rPr>
        <w:t>.</w:t>
      </w:r>
    </w:p>
    <w:p w:rsidR="0062284C" w:rsidRDefault="0062284C" w:rsidP="00425CBA">
      <w:pPr>
        <w:pStyle w:val="PIMinorHeading"/>
      </w:pPr>
      <w:r w:rsidRPr="000046BB">
        <w:t>Use in Pregnancy</w:t>
      </w:r>
      <w:r w:rsidR="000C04C3" w:rsidRPr="000046BB">
        <w:t xml:space="preserve"> – </w:t>
      </w:r>
      <w:r w:rsidR="00D85747" w:rsidRPr="000046BB">
        <w:t xml:space="preserve">Category </w:t>
      </w:r>
      <w:r w:rsidR="001404D6">
        <w:t>C</w:t>
      </w:r>
    </w:p>
    <w:p w:rsidR="00EC5F52" w:rsidRDefault="00230B26" w:rsidP="00F06CD7">
      <w:pPr>
        <w:pStyle w:val="C-BodyText"/>
        <w:spacing w:before="0" w:after="0" w:line="240" w:lineRule="auto"/>
        <w:rPr>
          <w:szCs w:val="22"/>
          <w:lang w:val="en-AU"/>
        </w:rPr>
      </w:pPr>
      <w:r>
        <w:t xml:space="preserve">There are no </w:t>
      </w:r>
      <w:r w:rsidR="00E50AB5">
        <w:rPr>
          <w:szCs w:val="24"/>
        </w:rPr>
        <w:t xml:space="preserve">available data on </w:t>
      </w:r>
      <w:proofErr w:type="spellStart"/>
      <w:r w:rsidR="00042762">
        <w:t>asfotase</w:t>
      </w:r>
      <w:proofErr w:type="spellEnd"/>
      <w:r w:rsidR="00042762">
        <w:t xml:space="preserve"> alfa, </w:t>
      </w:r>
      <w:proofErr w:type="spellStart"/>
      <w:r w:rsidR="00042762" w:rsidRPr="00042762">
        <w:rPr>
          <w:i/>
        </w:rPr>
        <w:t>rch</w:t>
      </w:r>
      <w:proofErr w:type="spellEnd"/>
      <w:r w:rsidR="00E50AB5">
        <w:t xml:space="preserve"> </w:t>
      </w:r>
      <w:r w:rsidR="00E50AB5">
        <w:rPr>
          <w:szCs w:val="24"/>
        </w:rPr>
        <w:t>use</w:t>
      </w:r>
      <w:r>
        <w:t xml:space="preserve"> in pregnant women. Pregnant and lactating women were excluded from </w:t>
      </w:r>
      <w:proofErr w:type="spellStart"/>
      <w:r w:rsidR="00042762">
        <w:t>asfotase</w:t>
      </w:r>
      <w:proofErr w:type="spellEnd"/>
      <w:r w:rsidR="00042762">
        <w:t xml:space="preserve"> alfa, </w:t>
      </w:r>
      <w:proofErr w:type="spellStart"/>
      <w:r w:rsidR="00042762" w:rsidRPr="00042762">
        <w:rPr>
          <w:i/>
        </w:rPr>
        <w:t>rch</w:t>
      </w:r>
      <w:proofErr w:type="spellEnd"/>
      <w:r>
        <w:t xml:space="preserve"> clinical trials. </w:t>
      </w:r>
      <w:proofErr w:type="spellStart"/>
      <w:r w:rsidR="00042762">
        <w:t>Asfotase</w:t>
      </w:r>
      <w:proofErr w:type="spellEnd"/>
      <w:r w:rsidR="00042762">
        <w:t xml:space="preserve"> alfa, </w:t>
      </w:r>
      <w:proofErr w:type="spellStart"/>
      <w:r w:rsidR="00042762" w:rsidRPr="00042762">
        <w:rPr>
          <w:i/>
        </w:rPr>
        <w:t>rch</w:t>
      </w:r>
      <w:proofErr w:type="spellEnd"/>
      <w:r w:rsidR="001E0C62" w:rsidRPr="001E0C62">
        <w:t xml:space="preserve"> </w:t>
      </w:r>
      <w:r w:rsidR="004A7524">
        <w:t>is not recommended</w:t>
      </w:r>
      <w:r w:rsidR="001E0C62" w:rsidRPr="001E0C62">
        <w:t xml:space="preserve"> during pregnancy</w:t>
      </w:r>
      <w:r w:rsidR="004A7524">
        <w:t>, and in women of childbearing potential not using contraception</w:t>
      </w:r>
      <w:r w:rsidR="001E0C62" w:rsidRPr="001E0C62">
        <w:t>.</w:t>
      </w:r>
      <w:r w:rsidR="0029023A">
        <w:t xml:space="preserve"> Patients should be advised to inform their physician if they become pregnant.</w:t>
      </w:r>
    </w:p>
    <w:p w:rsidR="00EC5F52" w:rsidRDefault="00EC5F52" w:rsidP="00F06CD7">
      <w:pPr>
        <w:pStyle w:val="C-BodyText"/>
        <w:spacing w:before="0" w:after="0" w:line="240" w:lineRule="auto"/>
        <w:rPr>
          <w:szCs w:val="22"/>
          <w:lang w:val="en-AU"/>
        </w:rPr>
      </w:pPr>
    </w:p>
    <w:p w:rsidR="00230B26" w:rsidRDefault="00D67511" w:rsidP="00F06CD7">
      <w:pPr>
        <w:rPr>
          <w:sz w:val="22"/>
        </w:rPr>
      </w:pPr>
      <w:r>
        <w:t xml:space="preserve">Animal studies are insufficient to conclude that </w:t>
      </w:r>
      <w:proofErr w:type="spellStart"/>
      <w:r>
        <w:t>asfotase</w:t>
      </w:r>
      <w:proofErr w:type="spellEnd"/>
      <w:r>
        <w:t xml:space="preserve"> </w:t>
      </w:r>
      <w:proofErr w:type="gramStart"/>
      <w:r>
        <w:t>alfa,</w:t>
      </w:r>
      <w:proofErr w:type="gramEnd"/>
      <w:r>
        <w:t xml:space="preserve"> </w:t>
      </w:r>
      <w:proofErr w:type="spellStart"/>
      <w:r w:rsidRPr="00042762">
        <w:rPr>
          <w:i/>
        </w:rPr>
        <w:t>rch</w:t>
      </w:r>
      <w:proofErr w:type="spellEnd"/>
      <w:r>
        <w:t xml:space="preserve"> has no effects on the foetal skeleton. </w:t>
      </w:r>
      <w:r w:rsidR="0027183B" w:rsidRPr="0027183B">
        <w:t xml:space="preserve">In </w:t>
      </w:r>
      <w:proofErr w:type="spellStart"/>
      <w:r w:rsidR="0027183B" w:rsidRPr="0027183B">
        <w:t>embryof</w:t>
      </w:r>
      <w:r w:rsidR="0027183B">
        <w:t>o</w:t>
      </w:r>
      <w:r w:rsidR="0027183B" w:rsidRPr="0027183B">
        <w:t>etal</w:t>
      </w:r>
      <w:proofErr w:type="spellEnd"/>
      <w:r w:rsidR="0027183B" w:rsidRPr="0027183B">
        <w:t xml:space="preserve"> development studies, no adverse effects were observed in pregnant rats and rabbits that received intravenous doses of </w:t>
      </w:r>
      <w:proofErr w:type="spellStart"/>
      <w:r w:rsidR="0027183B" w:rsidRPr="0027183B">
        <w:t>asfotase</w:t>
      </w:r>
      <w:proofErr w:type="spellEnd"/>
      <w:r w:rsidR="0027183B" w:rsidRPr="0027183B">
        <w:t xml:space="preserve"> alfa</w:t>
      </w:r>
      <w:r w:rsidR="00E61A3B">
        <w:t xml:space="preserve">, </w:t>
      </w:r>
      <w:proofErr w:type="spellStart"/>
      <w:r w:rsidR="00E61A3B" w:rsidRPr="004025DE">
        <w:rPr>
          <w:i/>
        </w:rPr>
        <w:t>rch</w:t>
      </w:r>
      <w:proofErr w:type="spellEnd"/>
      <w:r w:rsidR="0027183B" w:rsidRPr="0027183B">
        <w:t xml:space="preserve"> during organogenesis at doses up to 50 mg/kg/day. These doses resulted in exposures (based on plasma AUC) 18 and 50 times, respectively, the estimated clinical AUC at the recommended human dose of 2 mg/kg SC three times weekly. However, the production of antibodies against </w:t>
      </w:r>
      <w:proofErr w:type="spellStart"/>
      <w:r w:rsidR="0027183B" w:rsidRPr="0027183B">
        <w:t>asfotase</w:t>
      </w:r>
      <w:proofErr w:type="spellEnd"/>
      <w:r w:rsidR="0027183B" w:rsidRPr="0027183B">
        <w:t xml:space="preserve"> alfa in rabbits may have affected the detection of reproductive toxicity</w:t>
      </w:r>
      <w:r w:rsidR="0027183B">
        <w:t>.</w:t>
      </w:r>
      <w:r w:rsidR="0027183B">
        <w:rPr>
          <w:sz w:val="22"/>
        </w:rPr>
        <w:t xml:space="preserve"> </w:t>
      </w:r>
    </w:p>
    <w:p w:rsidR="0062284C" w:rsidRPr="000046BB" w:rsidRDefault="000116F5" w:rsidP="00425CBA">
      <w:pPr>
        <w:pStyle w:val="PIMinorHeading"/>
      </w:pPr>
      <w:r w:rsidRPr="000046BB">
        <w:t>Use in L</w:t>
      </w:r>
      <w:r w:rsidR="0062284C" w:rsidRPr="000046BB">
        <w:t>actation</w:t>
      </w:r>
    </w:p>
    <w:p w:rsidR="00C96DAD" w:rsidRPr="00823124" w:rsidRDefault="003622D8" w:rsidP="000B5A96">
      <w:pPr>
        <w:rPr>
          <w:color w:val="FF0000"/>
        </w:rPr>
      </w:pPr>
      <w:r w:rsidRPr="00823124">
        <w:t xml:space="preserve">There is insufficient information on the excretion of </w:t>
      </w:r>
      <w:proofErr w:type="spellStart"/>
      <w:r w:rsidRPr="00823124">
        <w:t>asfotase</w:t>
      </w:r>
      <w:proofErr w:type="spellEnd"/>
      <w:r w:rsidRPr="00823124">
        <w:t xml:space="preserve"> alfa</w:t>
      </w:r>
      <w:r w:rsidR="001E38A4">
        <w:t xml:space="preserve"> </w:t>
      </w:r>
      <w:proofErr w:type="spellStart"/>
      <w:r w:rsidR="001E38A4" w:rsidRPr="00F9189D">
        <w:rPr>
          <w:i/>
        </w:rPr>
        <w:t>rch</w:t>
      </w:r>
      <w:proofErr w:type="spellEnd"/>
      <w:r w:rsidRPr="00823124">
        <w:t xml:space="preserve"> in human milk. A risk to the</w:t>
      </w:r>
      <w:r w:rsidR="00823124">
        <w:t xml:space="preserve"> </w:t>
      </w:r>
      <w:r w:rsidRPr="00823124">
        <w:t>newborns/infants cannot be excluded.</w:t>
      </w:r>
      <w:r w:rsidR="00823124">
        <w:t xml:space="preserve"> </w:t>
      </w:r>
      <w:r w:rsidRPr="00823124">
        <w:t>Breast</w:t>
      </w:r>
      <w:r w:rsidR="00823124">
        <w:t>-</w:t>
      </w:r>
      <w:r w:rsidRPr="00823124">
        <w:t xml:space="preserve">feeding should </w:t>
      </w:r>
      <w:r w:rsidR="00101C40">
        <w:t>not be commenced whilst on</w:t>
      </w:r>
      <w:r w:rsidR="00823124">
        <w:t xml:space="preserve"> treatment with </w:t>
      </w:r>
      <w:proofErr w:type="spellStart"/>
      <w:r w:rsidR="00042762">
        <w:t>asfotase</w:t>
      </w:r>
      <w:proofErr w:type="spellEnd"/>
      <w:r w:rsidR="00042762">
        <w:t xml:space="preserve"> alfa, </w:t>
      </w:r>
      <w:proofErr w:type="spellStart"/>
      <w:r w:rsidR="00042762" w:rsidRPr="00042762">
        <w:rPr>
          <w:i/>
        </w:rPr>
        <w:t>rch</w:t>
      </w:r>
      <w:proofErr w:type="spellEnd"/>
      <w:r w:rsidR="0093273D">
        <w:t>.</w:t>
      </w:r>
      <w:r w:rsidR="00553E9F" w:rsidRPr="00823124">
        <w:rPr>
          <w:noProof/>
          <w:color w:val="FF0000"/>
        </w:rPr>
        <w:t xml:space="preserve"> </w:t>
      </w:r>
    </w:p>
    <w:p w:rsidR="0062284C" w:rsidRPr="000046BB" w:rsidRDefault="0062284C" w:rsidP="00425CBA">
      <w:pPr>
        <w:pStyle w:val="PIMinorHeading"/>
      </w:pPr>
      <w:r w:rsidRPr="000046BB">
        <w:t>Paediatric Use</w:t>
      </w:r>
    </w:p>
    <w:p w:rsidR="000046BB" w:rsidRDefault="00110063" w:rsidP="000B5A96">
      <w:r>
        <w:t>The s</w:t>
      </w:r>
      <w:r w:rsidRPr="00110063">
        <w:t xml:space="preserve">afety and efficacy of </w:t>
      </w:r>
      <w:proofErr w:type="spellStart"/>
      <w:r w:rsidR="00042762">
        <w:t>asfotase</w:t>
      </w:r>
      <w:proofErr w:type="spellEnd"/>
      <w:r w:rsidR="00042762">
        <w:t xml:space="preserve"> alfa, </w:t>
      </w:r>
      <w:proofErr w:type="spellStart"/>
      <w:r w:rsidR="00042762" w:rsidRPr="00042762">
        <w:rPr>
          <w:i/>
        </w:rPr>
        <w:t>rch</w:t>
      </w:r>
      <w:proofErr w:type="spellEnd"/>
      <w:r w:rsidRPr="00110063">
        <w:t xml:space="preserve"> have been studied in p</w:t>
      </w:r>
      <w:r>
        <w:t>a</w:t>
      </w:r>
      <w:r w:rsidRPr="00110063">
        <w:t>ediatric patients age</w:t>
      </w:r>
      <w:r>
        <w:t>d</w:t>
      </w:r>
      <w:r w:rsidRPr="00110063">
        <w:t xml:space="preserve"> between</w:t>
      </w:r>
      <w:r>
        <w:t xml:space="preserve"> </w:t>
      </w:r>
      <w:r w:rsidRPr="00110063">
        <w:t>0</w:t>
      </w:r>
      <w:r>
        <w:t xml:space="preserve"> -</w:t>
      </w:r>
      <w:r w:rsidRPr="00110063">
        <w:t>18 years.</w:t>
      </w:r>
      <w:r>
        <w:t xml:space="preserve"> </w:t>
      </w:r>
      <w:r w:rsidRPr="00110063">
        <w:t xml:space="preserve">The posology of </w:t>
      </w:r>
      <w:proofErr w:type="spellStart"/>
      <w:r w:rsidR="00042762">
        <w:t>asfotase</w:t>
      </w:r>
      <w:proofErr w:type="spellEnd"/>
      <w:r w:rsidR="00042762">
        <w:t xml:space="preserve"> alfa, </w:t>
      </w:r>
      <w:proofErr w:type="spellStart"/>
      <w:r w:rsidR="00042762" w:rsidRPr="00042762">
        <w:rPr>
          <w:i/>
        </w:rPr>
        <w:t>rch</w:t>
      </w:r>
      <w:proofErr w:type="spellEnd"/>
      <w:r w:rsidRPr="00110063">
        <w:t xml:space="preserve"> is based on body weight</w:t>
      </w:r>
      <w:r w:rsidR="001C7C7E">
        <w:t>.</w:t>
      </w:r>
      <w:r w:rsidRPr="00110063">
        <w:t xml:space="preserve"> </w:t>
      </w:r>
    </w:p>
    <w:p w:rsidR="0062284C" w:rsidRPr="000046BB" w:rsidRDefault="0062284C" w:rsidP="00425CBA">
      <w:pPr>
        <w:pStyle w:val="PIMinorHeading"/>
      </w:pPr>
      <w:r w:rsidRPr="000046BB">
        <w:t>Use</w:t>
      </w:r>
      <w:r w:rsidR="00746D2F" w:rsidRPr="000046BB">
        <w:t xml:space="preserve"> in the Elderly</w:t>
      </w:r>
    </w:p>
    <w:p w:rsidR="00A63F45" w:rsidRPr="00C97FEC" w:rsidRDefault="00C97FEC" w:rsidP="000B5A96">
      <w:r w:rsidRPr="00C97FEC">
        <w:t xml:space="preserve">Safety and efficacy of </w:t>
      </w:r>
      <w:proofErr w:type="spellStart"/>
      <w:r w:rsidR="00042762">
        <w:t>asfotase</w:t>
      </w:r>
      <w:proofErr w:type="spellEnd"/>
      <w:r w:rsidR="00042762">
        <w:t xml:space="preserve"> alfa, </w:t>
      </w:r>
      <w:proofErr w:type="spellStart"/>
      <w:r w:rsidR="00042762" w:rsidRPr="00042762">
        <w:rPr>
          <w:i/>
        </w:rPr>
        <w:t>rch</w:t>
      </w:r>
      <w:proofErr w:type="spellEnd"/>
      <w:r w:rsidRPr="00C97FEC">
        <w:t xml:space="preserve"> in patients older than 65 years have not been established</w:t>
      </w:r>
      <w:r w:rsidR="00983645">
        <w:t>.</w:t>
      </w:r>
      <w:r w:rsidR="00B96050">
        <w:t xml:space="preserve"> </w:t>
      </w:r>
      <w:r w:rsidR="00F819AB">
        <w:t>T</w:t>
      </w:r>
      <w:r w:rsidR="00B96050">
        <w:t>here</w:t>
      </w:r>
      <w:r w:rsidR="001C7C7E">
        <w:t>fore, there</w:t>
      </w:r>
      <w:r w:rsidR="00B96050">
        <w:t xml:space="preserve"> is no </w:t>
      </w:r>
      <w:r w:rsidR="001C7C7E">
        <w:t>information available to determine whether patients aged 65 years and over respond differently from younger patients.</w:t>
      </w:r>
      <w:r w:rsidR="00F819AB">
        <w:t xml:space="preserve"> </w:t>
      </w:r>
    </w:p>
    <w:p w:rsidR="00540847" w:rsidRPr="000046BB" w:rsidRDefault="00540847" w:rsidP="00425CBA">
      <w:pPr>
        <w:pStyle w:val="PIMinorHeading"/>
      </w:pPr>
      <w:r w:rsidRPr="000046BB">
        <w:t>Genotoxicity</w:t>
      </w:r>
    </w:p>
    <w:p w:rsidR="00540847" w:rsidRPr="000046BB" w:rsidRDefault="00540847" w:rsidP="000B5A96">
      <w:r w:rsidRPr="000046BB">
        <w:t>No</w:t>
      </w:r>
      <w:r w:rsidRPr="000046BB">
        <w:rPr>
          <w:b/>
        </w:rPr>
        <w:t xml:space="preserve"> </w:t>
      </w:r>
      <w:r w:rsidRPr="000046BB">
        <w:t xml:space="preserve">studies have been conducted to assess the genotoxic potential of </w:t>
      </w:r>
      <w:proofErr w:type="spellStart"/>
      <w:r w:rsidR="00042762">
        <w:t>asfotase</w:t>
      </w:r>
      <w:proofErr w:type="spellEnd"/>
      <w:r w:rsidR="00042762">
        <w:t xml:space="preserve"> alfa, </w:t>
      </w:r>
      <w:proofErr w:type="spellStart"/>
      <w:r w:rsidR="00042762" w:rsidRPr="00042762">
        <w:rPr>
          <w:i/>
        </w:rPr>
        <w:t>rch</w:t>
      </w:r>
      <w:proofErr w:type="spellEnd"/>
      <w:r w:rsidRPr="000046BB">
        <w:t>.</w:t>
      </w:r>
    </w:p>
    <w:p w:rsidR="00540847" w:rsidRPr="000046BB" w:rsidRDefault="00540847" w:rsidP="00425CBA">
      <w:pPr>
        <w:pStyle w:val="PIMinorHeading"/>
      </w:pPr>
      <w:r w:rsidRPr="000046BB">
        <w:t>Carcinogenicity</w:t>
      </w:r>
    </w:p>
    <w:p w:rsidR="00540847" w:rsidRPr="000046BB" w:rsidRDefault="00540847" w:rsidP="000B5A96">
      <w:r w:rsidRPr="000046BB">
        <w:t>No studies have been conducted to assess the carci</w:t>
      </w:r>
      <w:r w:rsidR="00A63F45" w:rsidRPr="000046BB">
        <w:t>nogenic potential of</w:t>
      </w:r>
      <w:r w:rsidR="00031076">
        <w:t xml:space="preserve"> </w:t>
      </w:r>
      <w:proofErr w:type="spellStart"/>
      <w:r w:rsidR="00042762">
        <w:t>asfotase</w:t>
      </w:r>
      <w:proofErr w:type="spellEnd"/>
      <w:r w:rsidR="00042762">
        <w:t xml:space="preserve"> alfa, </w:t>
      </w:r>
      <w:proofErr w:type="spellStart"/>
      <w:r w:rsidR="00042762" w:rsidRPr="00042762">
        <w:rPr>
          <w:i/>
        </w:rPr>
        <w:t>rch</w:t>
      </w:r>
      <w:proofErr w:type="spellEnd"/>
      <w:r w:rsidRPr="000046BB">
        <w:t>.</w:t>
      </w:r>
    </w:p>
    <w:p w:rsidR="00706473" w:rsidRPr="000046BB" w:rsidRDefault="00540847" w:rsidP="00425CBA">
      <w:pPr>
        <w:pStyle w:val="PIMinorHeading"/>
      </w:pPr>
      <w:r w:rsidRPr="000046BB">
        <w:t>Effects on Laboratory Tests</w:t>
      </w:r>
    </w:p>
    <w:p w:rsidR="0047114E" w:rsidRPr="001E4B2A" w:rsidRDefault="0047114E" w:rsidP="0047114E">
      <w:pPr>
        <w:autoSpaceDE w:val="0"/>
        <w:autoSpaceDN w:val="0"/>
        <w:adjustRightInd w:val="0"/>
      </w:pPr>
      <w:proofErr w:type="spellStart"/>
      <w:r w:rsidRPr="001E4B2A">
        <w:t>Asfotase</w:t>
      </w:r>
      <w:proofErr w:type="spellEnd"/>
      <w:r w:rsidRPr="001E4B2A">
        <w:t xml:space="preserve"> alfa</w:t>
      </w:r>
      <w:r w:rsidR="00E61A3B">
        <w:t xml:space="preserve">, </w:t>
      </w:r>
      <w:proofErr w:type="spellStart"/>
      <w:r w:rsidR="00E61A3B" w:rsidRPr="004025DE">
        <w:rPr>
          <w:i/>
        </w:rPr>
        <w:t>rch</w:t>
      </w:r>
      <w:proofErr w:type="spellEnd"/>
      <w:r w:rsidRPr="001E4B2A">
        <w:t xml:space="preserve"> contains a catalytic domain of tissue non-specific alkaline phosphatase. Administration of </w:t>
      </w:r>
      <w:proofErr w:type="spellStart"/>
      <w:r w:rsidR="00042762">
        <w:t>asfotase</w:t>
      </w:r>
      <w:proofErr w:type="spellEnd"/>
      <w:r w:rsidR="00042762">
        <w:t xml:space="preserve"> alfa, </w:t>
      </w:r>
      <w:proofErr w:type="spellStart"/>
      <w:r w:rsidR="00042762" w:rsidRPr="00042762">
        <w:rPr>
          <w:i/>
        </w:rPr>
        <w:t>rch</w:t>
      </w:r>
      <w:proofErr w:type="spellEnd"/>
      <w:r w:rsidRPr="001E4B2A">
        <w:t xml:space="preserve"> will interfere with routine measurement of serum alkaline phosphatase by hospital laboratories resulting in serum alkaline phosphatase activity measurements of several thousand units per litre. </w:t>
      </w:r>
      <w:proofErr w:type="spellStart"/>
      <w:r w:rsidRPr="001E4B2A">
        <w:t>Asfotase</w:t>
      </w:r>
      <w:proofErr w:type="spellEnd"/>
      <w:r w:rsidRPr="001E4B2A">
        <w:t xml:space="preserve"> alfa activity results must not be interpreted as the same measure as serum alkaline phosphatase activity owing to differences in enzyme characteristics.</w:t>
      </w:r>
    </w:p>
    <w:p w:rsidR="00CF5794" w:rsidRPr="000046BB" w:rsidRDefault="00CF5794" w:rsidP="00CF5794">
      <w:pPr>
        <w:pStyle w:val="PIMinorHeading"/>
      </w:pPr>
      <w:r w:rsidRPr="000046BB">
        <w:t xml:space="preserve">Use in </w:t>
      </w:r>
      <w:r>
        <w:t>Renal Impairment</w:t>
      </w:r>
    </w:p>
    <w:p w:rsidR="00CF5794" w:rsidRPr="00C97FEC" w:rsidRDefault="00CF5794" w:rsidP="000B5A96">
      <w:r w:rsidRPr="00C97FEC">
        <w:t xml:space="preserve">Safety and efficacy of </w:t>
      </w:r>
      <w:proofErr w:type="spellStart"/>
      <w:r w:rsidR="00042762">
        <w:t>asfotase</w:t>
      </w:r>
      <w:proofErr w:type="spellEnd"/>
      <w:r w:rsidR="00042762">
        <w:t xml:space="preserve"> alfa, </w:t>
      </w:r>
      <w:proofErr w:type="spellStart"/>
      <w:r w:rsidR="00042762" w:rsidRPr="00042762">
        <w:rPr>
          <w:i/>
        </w:rPr>
        <w:t>rch</w:t>
      </w:r>
      <w:proofErr w:type="spellEnd"/>
      <w:r w:rsidRPr="00C97FEC">
        <w:t xml:space="preserve"> </w:t>
      </w:r>
      <w:r>
        <w:t>have not been studied in patients with renal impairment.</w:t>
      </w:r>
    </w:p>
    <w:p w:rsidR="00CF5794" w:rsidRPr="000046BB" w:rsidRDefault="00CF5794" w:rsidP="00CF5794">
      <w:pPr>
        <w:pStyle w:val="PIMinorHeading"/>
      </w:pPr>
      <w:r w:rsidRPr="000046BB">
        <w:t xml:space="preserve">Use in </w:t>
      </w:r>
      <w:r>
        <w:t>Hepatic Impairment</w:t>
      </w:r>
    </w:p>
    <w:p w:rsidR="00CF5794" w:rsidRPr="00C97FEC" w:rsidRDefault="00CF5794" w:rsidP="000B5A96">
      <w:r w:rsidRPr="00C97FEC">
        <w:t xml:space="preserve">Safety and efficacy of </w:t>
      </w:r>
      <w:proofErr w:type="spellStart"/>
      <w:r w:rsidR="00042762">
        <w:t>asfotase</w:t>
      </w:r>
      <w:proofErr w:type="spellEnd"/>
      <w:r w:rsidR="00042762">
        <w:t xml:space="preserve"> alfa, </w:t>
      </w:r>
      <w:proofErr w:type="spellStart"/>
      <w:r w:rsidR="00042762" w:rsidRPr="00042762">
        <w:rPr>
          <w:i/>
        </w:rPr>
        <w:t>rch</w:t>
      </w:r>
      <w:proofErr w:type="spellEnd"/>
      <w:r w:rsidRPr="00C97FEC">
        <w:t xml:space="preserve"> </w:t>
      </w:r>
      <w:r>
        <w:t>have not been studied in patients with hepatic impairment.</w:t>
      </w:r>
    </w:p>
    <w:p w:rsidR="00774334" w:rsidRDefault="002B7EA6" w:rsidP="00490370">
      <w:pPr>
        <w:pStyle w:val="PIMajorHeading"/>
      </w:pPr>
      <w:r w:rsidRPr="000046BB">
        <w:lastRenderedPageBreak/>
        <w:t>INTERACTIONS WITH OTHER MEDICINES</w:t>
      </w:r>
    </w:p>
    <w:p w:rsidR="00AC7937" w:rsidRPr="000046BB" w:rsidRDefault="00774334" w:rsidP="000B5A96">
      <w:r w:rsidRPr="000046BB">
        <w:t xml:space="preserve">Drug interaction studies have not been performed with </w:t>
      </w:r>
      <w:proofErr w:type="spellStart"/>
      <w:r w:rsidR="00042762">
        <w:t>asfotase</w:t>
      </w:r>
      <w:proofErr w:type="spellEnd"/>
      <w:r w:rsidR="00042762">
        <w:t xml:space="preserve"> alfa, </w:t>
      </w:r>
      <w:proofErr w:type="spellStart"/>
      <w:r w:rsidR="00042762" w:rsidRPr="00042762">
        <w:rPr>
          <w:i/>
        </w:rPr>
        <w:t>rch</w:t>
      </w:r>
      <w:proofErr w:type="spellEnd"/>
      <w:r w:rsidR="006A1D1A">
        <w:t>.</w:t>
      </w:r>
      <w:r w:rsidR="00295E68">
        <w:t xml:space="preserve"> Based on its structure and pharmacokinetics, </w:t>
      </w:r>
      <w:proofErr w:type="spellStart"/>
      <w:r w:rsidR="00295E68">
        <w:t>asfotase</w:t>
      </w:r>
      <w:proofErr w:type="spellEnd"/>
      <w:r w:rsidR="00295E68">
        <w:t xml:space="preserve"> alfa </w:t>
      </w:r>
      <w:proofErr w:type="spellStart"/>
      <w:r w:rsidR="00295E68" w:rsidRPr="00F9189D">
        <w:rPr>
          <w:i/>
        </w:rPr>
        <w:t>rch</w:t>
      </w:r>
      <w:proofErr w:type="spellEnd"/>
      <w:r w:rsidR="00295E68">
        <w:t xml:space="preserve"> is an unlikely candidate for Cytochrome P450 mediated interactions.</w:t>
      </w:r>
    </w:p>
    <w:p w:rsidR="0062284C" w:rsidRDefault="002B7EA6" w:rsidP="00490370">
      <w:pPr>
        <w:pStyle w:val="PIMajorHeading"/>
      </w:pPr>
      <w:r w:rsidRPr="003636F3">
        <w:t>ADVERSE EFFECTS</w:t>
      </w:r>
    </w:p>
    <w:p w:rsidR="00707ABC" w:rsidRPr="00843466" w:rsidRDefault="00707ABC" w:rsidP="00FC5C53">
      <w:pPr>
        <w:pStyle w:val="PIMinorHeading"/>
      </w:pPr>
      <w:r w:rsidRPr="00843466">
        <w:t>Summary of the safety profile</w:t>
      </w:r>
    </w:p>
    <w:p w:rsidR="00707ABC" w:rsidRPr="00707ABC" w:rsidRDefault="00707ABC" w:rsidP="000B5A96">
      <w:r w:rsidRPr="00707ABC">
        <w:t xml:space="preserve">In clinical trials, </w:t>
      </w:r>
      <w:r w:rsidR="007C4857">
        <w:t>71</w:t>
      </w:r>
      <w:r w:rsidR="007C4857" w:rsidRPr="00707ABC">
        <w:t xml:space="preserve"> </w:t>
      </w:r>
      <w:r w:rsidRPr="00707ABC">
        <w:t>patients (age 1 day to 66 years) were treated with</w:t>
      </w:r>
      <w:r>
        <w:t xml:space="preserve"> </w:t>
      </w:r>
      <w:proofErr w:type="spellStart"/>
      <w:r w:rsidR="00042762">
        <w:t>asfotase</w:t>
      </w:r>
      <w:proofErr w:type="spellEnd"/>
      <w:r w:rsidR="00042762">
        <w:t xml:space="preserve"> alfa, </w:t>
      </w:r>
      <w:proofErr w:type="spellStart"/>
      <w:r w:rsidR="00042762" w:rsidRPr="00042762">
        <w:rPr>
          <w:i/>
        </w:rPr>
        <w:t>rch</w:t>
      </w:r>
      <w:proofErr w:type="spellEnd"/>
      <w:r w:rsidRPr="00707ABC">
        <w:t xml:space="preserve">, </w:t>
      </w:r>
      <w:r w:rsidR="007C4857">
        <w:t xml:space="preserve">of which, </w:t>
      </w:r>
      <w:r w:rsidR="007C4857" w:rsidRPr="00707ABC">
        <w:t xml:space="preserve">68 </w:t>
      </w:r>
      <w:r w:rsidR="007C4857">
        <w:t xml:space="preserve">had </w:t>
      </w:r>
      <w:r w:rsidR="007C4857" w:rsidRPr="00707ABC">
        <w:t>p</w:t>
      </w:r>
      <w:r w:rsidR="007C4857">
        <w:t>a</w:t>
      </w:r>
      <w:r w:rsidR="007C4857" w:rsidRPr="00707ABC">
        <w:t>ediatric</w:t>
      </w:r>
      <w:r w:rsidR="007C4857">
        <w:t>-</w:t>
      </w:r>
      <w:r w:rsidR="007C4857" w:rsidRPr="00707ABC">
        <w:t xml:space="preserve">onset </w:t>
      </w:r>
      <w:r w:rsidR="007C4857">
        <w:t xml:space="preserve">HPP, </w:t>
      </w:r>
      <w:r w:rsidRPr="00707ABC">
        <w:t xml:space="preserve">with </w:t>
      </w:r>
      <w:r w:rsidR="008271D2">
        <w:t xml:space="preserve">the </w:t>
      </w:r>
      <w:r w:rsidRPr="00707ABC">
        <w:t xml:space="preserve">majority for more than </w:t>
      </w:r>
      <w:r w:rsidR="00EB089F">
        <w:t>2</w:t>
      </w:r>
      <w:r w:rsidRPr="00707ABC">
        <w:t xml:space="preserve"> years (range 0.1 to 260.9 weeks). The most</w:t>
      </w:r>
      <w:r>
        <w:t xml:space="preserve"> </w:t>
      </w:r>
      <w:r w:rsidRPr="00707ABC">
        <w:t xml:space="preserve">common adverse reactions observed were </w:t>
      </w:r>
      <w:r w:rsidR="0083241E">
        <w:t>injection site reactions</w:t>
      </w:r>
      <w:r w:rsidRPr="00707ABC">
        <w:t xml:space="preserve"> and </w:t>
      </w:r>
      <w:r w:rsidR="0083241E">
        <w:t>injection associated reactions</w:t>
      </w:r>
      <w:r w:rsidRPr="00707ABC">
        <w:t>. The majority of these reactions</w:t>
      </w:r>
      <w:r>
        <w:t xml:space="preserve"> </w:t>
      </w:r>
      <w:r w:rsidRPr="00707ABC">
        <w:t>were non</w:t>
      </w:r>
      <w:r>
        <w:t>-</w:t>
      </w:r>
      <w:r w:rsidRPr="00707ABC">
        <w:t xml:space="preserve">serious, </w:t>
      </w:r>
      <w:r w:rsidR="008271D2">
        <w:t xml:space="preserve">and </w:t>
      </w:r>
      <w:r w:rsidRPr="00707ABC">
        <w:t xml:space="preserve">mild to moderate in intensity. Serious adverse reactions of </w:t>
      </w:r>
      <w:r w:rsidR="003D766F">
        <w:t>injection associated reactions</w:t>
      </w:r>
      <w:r w:rsidRPr="00707ABC">
        <w:t xml:space="preserve"> were</w:t>
      </w:r>
      <w:r>
        <w:t xml:space="preserve"> </w:t>
      </w:r>
      <w:r w:rsidRPr="00707ABC">
        <w:t xml:space="preserve">reported in 2 patients with no discontinuation of </w:t>
      </w:r>
      <w:proofErr w:type="spellStart"/>
      <w:r w:rsidR="00042762">
        <w:t>asfotase</w:t>
      </w:r>
      <w:proofErr w:type="spellEnd"/>
      <w:r w:rsidR="00042762">
        <w:t xml:space="preserve"> alfa, </w:t>
      </w:r>
      <w:proofErr w:type="spellStart"/>
      <w:r w:rsidR="00042762" w:rsidRPr="00042762">
        <w:rPr>
          <w:i/>
        </w:rPr>
        <w:t>rch</w:t>
      </w:r>
      <w:proofErr w:type="spellEnd"/>
      <w:r w:rsidR="00EB089F" w:rsidRPr="00707ABC">
        <w:t xml:space="preserve"> </w:t>
      </w:r>
      <w:r w:rsidRPr="00707ABC">
        <w:t>treatment: 1 patient with</w:t>
      </w:r>
      <w:r>
        <w:t xml:space="preserve"> </w:t>
      </w:r>
      <w:r w:rsidRPr="00707ABC">
        <w:t>infantile</w:t>
      </w:r>
      <w:r>
        <w:t>-</w:t>
      </w:r>
      <w:r w:rsidRPr="00707ABC">
        <w:t>onset reported as fever and chills, and in 1 patient with juvenile</w:t>
      </w:r>
      <w:r>
        <w:t>-</w:t>
      </w:r>
      <w:r w:rsidRPr="00707ABC">
        <w:t>onset HPP</w:t>
      </w:r>
      <w:r>
        <w:t xml:space="preserve"> </w:t>
      </w:r>
      <w:r w:rsidRPr="00707ABC">
        <w:t xml:space="preserve">reported as </w:t>
      </w:r>
      <w:proofErr w:type="spellStart"/>
      <w:r w:rsidRPr="00707ABC">
        <w:t>hypoaesthesia</w:t>
      </w:r>
      <w:proofErr w:type="spellEnd"/>
      <w:r w:rsidRPr="00707ABC">
        <w:t xml:space="preserve"> oral, pain in extremity, chills, and headache.</w:t>
      </w:r>
    </w:p>
    <w:p w:rsidR="00707ABC" w:rsidRDefault="00EB089F" w:rsidP="000B5A96">
      <w:r>
        <w:t xml:space="preserve"> </w:t>
      </w:r>
    </w:p>
    <w:p w:rsidR="006D2DA3" w:rsidRDefault="0083241E" w:rsidP="0083241E">
      <w:pPr>
        <w:snapToGrid w:val="0"/>
        <w:spacing w:line="240" w:lineRule="atLeast"/>
        <w:jc w:val="both"/>
      </w:pPr>
      <w:r>
        <w:t>Other common adverse reactions included lipodystrophy (</w:t>
      </w:r>
      <w:r w:rsidR="005421AE">
        <w:t>32.4</w:t>
      </w:r>
      <w:r>
        <w:t>%), ectopic calcifications (</w:t>
      </w:r>
      <w:r w:rsidR="005421AE">
        <w:t>17.6</w:t>
      </w:r>
      <w:r>
        <w:t>%), and hypersensitivity reactions (</w:t>
      </w:r>
      <w:r w:rsidR="006D2DA3">
        <w:t>16.2</w:t>
      </w:r>
      <w:r>
        <w:t xml:space="preserve">%). </w:t>
      </w:r>
    </w:p>
    <w:p w:rsidR="006D2DA3" w:rsidRDefault="006D2DA3" w:rsidP="0083241E">
      <w:pPr>
        <w:snapToGrid w:val="0"/>
        <w:spacing w:line="240" w:lineRule="atLeast"/>
        <w:jc w:val="both"/>
      </w:pPr>
    </w:p>
    <w:p w:rsidR="0083241E" w:rsidRDefault="0083241E" w:rsidP="0083241E">
      <w:pPr>
        <w:snapToGrid w:val="0"/>
        <w:spacing w:line="240" w:lineRule="atLeast"/>
        <w:jc w:val="both"/>
      </w:pPr>
      <w:r>
        <w:t>The frequency of injection site reactions, lipodystrophy and ectopic calcification were higher in patients with juvenile-onset HPP as compared to perinatal/infantile-onset HPP patients.</w:t>
      </w:r>
    </w:p>
    <w:p w:rsidR="00707ABC" w:rsidRPr="00843466" w:rsidRDefault="00707ABC" w:rsidP="00FC5C53">
      <w:pPr>
        <w:pStyle w:val="PIMinorHeading"/>
      </w:pPr>
      <w:r w:rsidRPr="00843466">
        <w:t>Tabulated list of adverse reactions</w:t>
      </w:r>
    </w:p>
    <w:p w:rsidR="00707ABC" w:rsidRPr="00707ABC" w:rsidRDefault="008271D2" w:rsidP="000B5A96">
      <w:r>
        <w:t xml:space="preserve">Presented in </w:t>
      </w:r>
      <w:r w:rsidR="00C5522F">
        <w:fldChar w:fldCharType="begin"/>
      </w:r>
      <w:r w:rsidR="00C5522F">
        <w:instrText xml:space="preserve"> REF _Ref404266041 \h </w:instrText>
      </w:r>
      <w:r w:rsidR="00C5522F">
        <w:fldChar w:fldCharType="separate"/>
      </w:r>
      <w:r w:rsidR="00D71D62">
        <w:t xml:space="preserve">Table </w:t>
      </w:r>
      <w:r w:rsidR="00D71D62">
        <w:rPr>
          <w:noProof/>
        </w:rPr>
        <w:t>4</w:t>
      </w:r>
      <w:r w:rsidR="00C5522F">
        <w:fldChar w:fldCharType="end"/>
      </w:r>
      <w:r w:rsidR="00707ABC" w:rsidRPr="00707ABC">
        <w:t xml:space="preserve"> </w:t>
      </w:r>
      <w:r>
        <w:t xml:space="preserve">below are </w:t>
      </w:r>
      <w:r w:rsidR="00707ABC" w:rsidRPr="00707ABC">
        <w:t>the adverse reactions observed from clinica</w:t>
      </w:r>
      <w:r w:rsidR="00707ABC">
        <w:t xml:space="preserve">l trials following SC </w:t>
      </w:r>
      <w:r w:rsidR="00707ABC" w:rsidRPr="00707ABC">
        <w:t xml:space="preserve">injection of </w:t>
      </w:r>
      <w:proofErr w:type="spellStart"/>
      <w:r w:rsidR="00707ABC" w:rsidRPr="00707ABC">
        <w:t>asfotase</w:t>
      </w:r>
      <w:proofErr w:type="spellEnd"/>
      <w:r w:rsidR="00707ABC" w:rsidRPr="00707ABC">
        <w:t xml:space="preserve"> alfa</w:t>
      </w:r>
      <w:r w:rsidR="00EB089F">
        <w:t xml:space="preserve"> </w:t>
      </w:r>
      <w:proofErr w:type="spellStart"/>
      <w:r w:rsidR="00EB089F" w:rsidRPr="00F9189D">
        <w:rPr>
          <w:i/>
        </w:rPr>
        <w:t>rch</w:t>
      </w:r>
      <w:proofErr w:type="spellEnd"/>
      <w:r w:rsidR="00707ABC" w:rsidRPr="00707ABC">
        <w:t xml:space="preserve">. Adverse reactions reported </w:t>
      </w:r>
      <w:r w:rsidR="0096038F">
        <w:t>as</w:t>
      </w:r>
      <w:r w:rsidR="008D2006">
        <w:t>,</w:t>
      </w:r>
      <w:r w:rsidR="00707ABC" w:rsidRPr="00707ABC">
        <w:t xml:space="preserve"> very common (≥1/10)</w:t>
      </w:r>
      <w:r w:rsidR="00EB089F">
        <w:t>,</w:t>
      </w:r>
      <w:r w:rsidR="00707ABC" w:rsidRPr="00707ABC">
        <w:t xml:space="preserve"> common</w:t>
      </w:r>
      <w:r w:rsidR="00707ABC">
        <w:t xml:space="preserve"> </w:t>
      </w:r>
      <w:r w:rsidR="00707ABC" w:rsidRPr="00707ABC">
        <w:t>(≥1/100 to &lt;1/10) or uncommon (≥1/1,000 to &lt;1/100) are listed</w:t>
      </w:r>
      <w:r w:rsidR="00707ABC">
        <w:t xml:space="preserve"> </w:t>
      </w:r>
      <w:r w:rsidR="00707ABC" w:rsidRPr="00707ABC">
        <w:t xml:space="preserve">by system organ class </w:t>
      </w:r>
      <w:r w:rsidR="008D2006">
        <w:t xml:space="preserve">(SOC) </w:t>
      </w:r>
      <w:r w:rsidR="00707ABC" w:rsidRPr="00707ABC">
        <w:t>and preferred term. Due to the small patient population in the clinical</w:t>
      </w:r>
      <w:r w:rsidR="00707ABC">
        <w:t xml:space="preserve"> </w:t>
      </w:r>
      <w:r w:rsidR="00707ABC" w:rsidRPr="00707ABC">
        <w:t>trials, an adverse reaction reported in 1 patient is considered as common. Within each</w:t>
      </w:r>
      <w:r w:rsidR="00707ABC">
        <w:t xml:space="preserve"> </w:t>
      </w:r>
      <w:r w:rsidR="00707ABC" w:rsidRPr="00707ABC">
        <w:t>frequency grouping, adverse reactions are presented in order of decreasing seriousness.</w:t>
      </w:r>
    </w:p>
    <w:p w:rsidR="00707ABC" w:rsidRDefault="00707ABC" w:rsidP="000B5A96">
      <w:pPr>
        <w:rPr>
          <w:lang w:val="en-US"/>
        </w:rPr>
      </w:pPr>
    </w:p>
    <w:p w:rsidR="00DB4B9D" w:rsidRDefault="00C5522F" w:rsidP="00434A5E">
      <w:pPr>
        <w:pStyle w:val="Caption"/>
        <w:tabs>
          <w:tab w:val="left" w:pos="180"/>
        </w:tabs>
        <w:ind w:left="900" w:hanging="900"/>
        <w:rPr>
          <w:lang w:val="en-US"/>
        </w:rPr>
      </w:pPr>
      <w:bookmarkStart w:id="6" w:name="_Ref404266041"/>
      <w:r>
        <w:t xml:space="preserve">Table </w:t>
      </w:r>
      <w:fldSimple w:instr=" SEQ Table \* ARABIC ">
        <w:r w:rsidR="00D71D62">
          <w:rPr>
            <w:noProof/>
          </w:rPr>
          <w:t>4</w:t>
        </w:r>
      </w:fldSimple>
      <w:bookmarkEnd w:id="6"/>
      <w:r>
        <w:t>:</w:t>
      </w:r>
      <w:r w:rsidR="00707ABC" w:rsidRPr="00707ABC">
        <w:rPr>
          <w:lang w:val="en-US"/>
        </w:rPr>
        <w:t xml:space="preserve"> Adverse Reactions Reported in </w:t>
      </w:r>
      <w:r w:rsidR="006B39B7">
        <w:rPr>
          <w:lang w:val="en-US"/>
        </w:rPr>
        <w:t xml:space="preserve">HPP </w:t>
      </w:r>
      <w:r w:rsidR="00707ABC" w:rsidRPr="00707ABC">
        <w:rPr>
          <w:lang w:val="en-US"/>
        </w:rPr>
        <w:t>clinical trials (</w:t>
      </w:r>
      <w:r w:rsidR="006B39B7">
        <w:rPr>
          <w:lang w:val="en-US"/>
        </w:rPr>
        <w:t xml:space="preserve">patients aged </w:t>
      </w:r>
      <w:r w:rsidR="00707ABC" w:rsidRPr="00707ABC">
        <w:rPr>
          <w:lang w:val="en-US"/>
        </w:rPr>
        <w:t>1 day to 66 years)</w:t>
      </w:r>
    </w:p>
    <w:p w:rsidR="003A5EE0" w:rsidRPr="003A5EE0" w:rsidRDefault="003A5EE0" w:rsidP="00434A5E">
      <w:pPr>
        <w:keepNext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4500"/>
      </w:tblGrid>
      <w:tr w:rsidR="00A17E74" w:rsidRPr="00F61FC1" w:rsidTr="004F6347">
        <w:trPr>
          <w:trHeight w:val="381"/>
          <w:tblHeader/>
        </w:trPr>
        <w:tc>
          <w:tcPr>
            <w:tcW w:w="2988" w:type="dxa"/>
            <w:shd w:val="clear" w:color="auto" w:fill="auto"/>
            <w:vAlign w:val="center"/>
          </w:tcPr>
          <w:p w:rsidR="00A17E74" w:rsidRPr="004F743C" w:rsidRDefault="00A17E74" w:rsidP="003D7200">
            <w:pPr>
              <w:pStyle w:val="Default"/>
              <w:keepNext/>
              <w:rPr>
                <w:rFonts w:ascii="Times New Roman" w:eastAsia="Batang" w:hAnsi="Times New Roman" w:cs="Times New Roman"/>
                <w:b/>
                <w:color w:val="auto"/>
                <w:sz w:val="20"/>
                <w:szCs w:val="22"/>
                <w:lang w:val="en-AU"/>
              </w:rPr>
            </w:pPr>
            <w:proofErr w:type="spellStart"/>
            <w:r w:rsidRPr="004F743C">
              <w:rPr>
                <w:rFonts w:ascii="Times New Roman" w:eastAsia="Batang" w:hAnsi="Times New Roman" w:cs="Times New Roman"/>
                <w:b/>
                <w:color w:val="auto"/>
                <w:sz w:val="20"/>
                <w:szCs w:val="22"/>
                <w:lang w:val="en-AU"/>
              </w:rPr>
              <w:t>MedDRA</w:t>
            </w:r>
            <w:proofErr w:type="spellEnd"/>
            <w:r w:rsidRPr="004F743C">
              <w:rPr>
                <w:rFonts w:ascii="Times New Roman" w:eastAsia="Batang" w:hAnsi="Times New Roman" w:cs="Times New Roman"/>
                <w:b/>
                <w:color w:val="auto"/>
                <w:sz w:val="20"/>
                <w:szCs w:val="22"/>
                <w:lang w:val="en-AU"/>
              </w:rPr>
              <w:t xml:space="preserve"> SOC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7E74" w:rsidRPr="004F743C" w:rsidRDefault="00A17E74" w:rsidP="00A21F11">
            <w:pPr>
              <w:pStyle w:val="Default"/>
              <w:rPr>
                <w:rFonts w:ascii="Times New Roman" w:eastAsia="Batang" w:hAnsi="Times New Roman" w:cs="Times New Roman"/>
                <w:b/>
                <w:color w:val="auto"/>
                <w:sz w:val="20"/>
                <w:szCs w:val="22"/>
                <w:lang w:val="en-AU"/>
              </w:rPr>
            </w:pPr>
            <w:r w:rsidRPr="004F743C">
              <w:rPr>
                <w:rFonts w:ascii="Times New Roman" w:eastAsia="Batang" w:hAnsi="Times New Roman" w:cs="Times New Roman"/>
                <w:b/>
                <w:color w:val="auto"/>
                <w:sz w:val="20"/>
                <w:szCs w:val="22"/>
                <w:lang w:val="en-AU"/>
              </w:rPr>
              <w:t>Frequency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A17E74" w:rsidRPr="00F61FC1" w:rsidRDefault="00A17E74" w:rsidP="003512F9">
            <w:pPr>
              <w:pStyle w:val="Default"/>
              <w:rPr>
                <w:rFonts w:ascii="Times New Roman" w:eastAsia="Batang" w:hAnsi="Times New Roman" w:cs="Times New Roman"/>
                <w:b/>
                <w:color w:val="auto"/>
                <w:sz w:val="22"/>
                <w:szCs w:val="22"/>
                <w:lang w:val="en-AU"/>
              </w:rPr>
            </w:pPr>
            <w:r w:rsidRPr="00F61FC1">
              <w:rPr>
                <w:rFonts w:ascii="Times New Roman" w:eastAsia="Batang" w:hAnsi="Times New Roman" w:cs="Times New Roman"/>
                <w:b/>
                <w:color w:val="auto"/>
                <w:sz w:val="22"/>
                <w:szCs w:val="22"/>
                <w:lang w:val="en-AU"/>
              </w:rPr>
              <w:t>Adverse reaction</w:t>
            </w:r>
          </w:p>
        </w:tc>
      </w:tr>
      <w:tr w:rsidR="00A17E74" w:rsidRPr="00F61FC1" w:rsidTr="005E36B2">
        <w:trPr>
          <w:trHeight w:val="912"/>
        </w:trPr>
        <w:tc>
          <w:tcPr>
            <w:tcW w:w="2988" w:type="dxa"/>
            <w:vMerge w:val="restart"/>
            <w:shd w:val="clear" w:color="auto" w:fill="auto"/>
            <w:vAlign w:val="center"/>
          </w:tcPr>
          <w:p w:rsidR="00A17E74" w:rsidRPr="00A21F11" w:rsidRDefault="00A17E74" w:rsidP="003D7200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General disorders and administration site conditions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7E74" w:rsidRPr="00F61FC1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very common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A17E74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vertAlign w:val="superscript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Injection site reactions (ISRs)</w:t>
            </w:r>
            <w:r w:rsidRPr="00E00A9E">
              <w:rPr>
                <w:rFonts w:ascii="Times New Roman" w:eastAsia="Batang" w:hAnsi="Times New Roman" w:cs="Times New Roman"/>
                <w:color w:val="auto"/>
                <w:sz w:val="22"/>
                <w:szCs w:val="22"/>
                <w:vertAlign w:val="superscript"/>
                <w:lang w:val="en-AU"/>
              </w:rPr>
              <w:t>^</w:t>
            </w:r>
          </w:p>
          <w:p w:rsidR="00A17E74" w:rsidRDefault="00A17E74" w:rsidP="00400E19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Pyrexia</w:t>
            </w:r>
          </w:p>
          <w:p w:rsidR="00A17E74" w:rsidRPr="00F61FC1" w:rsidRDefault="00A17E74" w:rsidP="00400E19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Irritability</w:t>
            </w:r>
          </w:p>
        </w:tc>
      </w:tr>
      <w:tr w:rsidR="00A17E74" w:rsidRPr="00F61FC1" w:rsidTr="004F6347">
        <w:trPr>
          <w:trHeight w:val="417"/>
        </w:trPr>
        <w:tc>
          <w:tcPr>
            <w:tcW w:w="2988" w:type="dxa"/>
            <w:vMerge/>
            <w:shd w:val="clear" w:color="auto" w:fill="auto"/>
            <w:vAlign w:val="center"/>
          </w:tcPr>
          <w:p w:rsidR="00A17E74" w:rsidRPr="00F61FC1" w:rsidRDefault="00A17E74" w:rsidP="003D7200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17E74" w:rsidRPr="00F61FC1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common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A17E74" w:rsidRPr="00F61FC1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Chills</w:t>
            </w:r>
          </w:p>
        </w:tc>
      </w:tr>
      <w:tr w:rsidR="00A17E74" w:rsidRPr="00F61FC1" w:rsidTr="00A17E74">
        <w:trPr>
          <w:trHeight w:val="534"/>
        </w:trPr>
        <w:tc>
          <w:tcPr>
            <w:tcW w:w="2988" w:type="dxa"/>
            <w:vMerge w:val="restart"/>
            <w:shd w:val="clear" w:color="auto" w:fill="auto"/>
            <w:vAlign w:val="center"/>
          </w:tcPr>
          <w:p w:rsidR="00A17E74" w:rsidRDefault="00A17E74" w:rsidP="003D7200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Skin and subcutaneous tissue disorders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7E74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very common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A17E74" w:rsidRPr="006775F2" w:rsidRDefault="00A17E74" w:rsidP="004F6347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fr-FR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Erythema</w:t>
            </w:r>
          </w:p>
        </w:tc>
      </w:tr>
      <w:tr w:rsidR="00A17E74" w:rsidRPr="00F61FC1" w:rsidTr="004F6347">
        <w:trPr>
          <w:trHeight w:val="1056"/>
        </w:trPr>
        <w:tc>
          <w:tcPr>
            <w:tcW w:w="2988" w:type="dxa"/>
            <w:vMerge/>
            <w:shd w:val="clear" w:color="auto" w:fill="auto"/>
            <w:vAlign w:val="center"/>
          </w:tcPr>
          <w:p w:rsidR="00A17E74" w:rsidRPr="00F61FC1" w:rsidRDefault="00A17E74" w:rsidP="003D7200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17E74" w:rsidRPr="00F61FC1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common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A17E74" w:rsidRPr="006775F2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fr-FR"/>
              </w:rPr>
            </w:pPr>
            <w:proofErr w:type="spellStart"/>
            <w:r w:rsidRPr="006775F2"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fr-FR"/>
              </w:rPr>
              <w:t>Lipohypertrophy</w:t>
            </w:r>
            <w:proofErr w:type="spellEnd"/>
          </w:p>
          <w:p w:rsidR="00A17E74" w:rsidRPr="006775F2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fr-FR"/>
              </w:rPr>
            </w:pPr>
            <w:r w:rsidRPr="006775F2"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fr-FR"/>
              </w:rPr>
              <w:t xml:space="preserve">Cutis </w:t>
            </w:r>
            <w:proofErr w:type="spellStart"/>
            <w:r w:rsidRPr="006775F2"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fr-FR"/>
              </w:rPr>
              <w:t>laxa</w:t>
            </w:r>
            <w:proofErr w:type="spellEnd"/>
          </w:p>
          <w:p w:rsidR="00A17E74" w:rsidRPr="006775F2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fr-FR"/>
              </w:rPr>
            </w:pPr>
            <w:r w:rsidRPr="006775F2"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fr-FR"/>
              </w:rPr>
              <w:t xml:space="preserve">Skin </w:t>
            </w:r>
            <w:proofErr w:type="spellStart"/>
            <w:r w:rsidRPr="006775F2"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fr-FR"/>
              </w:rPr>
              <w:t>discolouration</w:t>
            </w:r>
            <w:proofErr w:type="spellEnd"/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r w:rsidRPr="006823F6">
              <w:rPr>
                <w:rFonts w:ascii="Times New Roman" w:eastAsia="Batang" w:hAnsi="Times New Roman" w:cs="Times New Roman"/>
                <w:color w:val="auto"/>
                <w:sz w:val="22"/>
                <w:szCs w:val="22"/>
              </w:rPr>
              <w:t>including</w:t>
            </w: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r w:rsidRPr="006823F6">
              <w:rPr>
                <w:rFonts w:ascii="Times New Roman" w:eastAsia="Batang" w:hAnsi="Times New Roman" w:cs="Times New Roman"/>
                <w:color w:val="auto"/>
                <w:sz w:val="22"/>
                <w:szCs w:val="22"/>
              </w:rPr>
              <w:t>hypopigmentation</w:t>
            </w:r>
          </w:p>
          <w:p w:rsidR="00A17E74" w:rsidRPr="00F61FC1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 w:rsidRPr="006775F2"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fr-FR"/>
              </w:rPr>
              <w:t xml:space="preserve">Skin </w:t>
            </w:r>
            <w:r w:rsidRPr="00AA7888">
              <w:rPr>
                <w:rFonts w:ascii="Times New Roman" w:eastAsia="Batang" w:hAnsi="Times New Roman" w:cs="Times New Roman"/>
                <w:color w:val="auto"/>
                <w:sz w:val="22"/>
                <w:szCs w:val="22"/>
              </w:rPr>
              <w:t>disorder</w:t>
            </w: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fr-FR"/>
              </w:rPr>
              <w:t xml:space="preserve"> (</w:t>
            </w:r>
            <w:r w:rsidRPr="00AA7888">
              <w:rPr>
                <w:rFonts w:ascii="Times New Roman" w:eastAsia="Batang" w:hAnsi="Times New Roman" w:cs="Times New Roman"/>
                <w:color w:val="auto"/>
                <w:sz w:val="22"/>
                <w:szCs w:val="22"/>
              </w:rPr>
              <w:t>stretched</w:t>
            </w: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fr-FR"/>
              </w:rPr>
              <w:t xml:space="preserve"> skin)</w:t>
            </w:r>
          </w:p>
        </w:tc>
      </w:tr>
      <w:tr w:rsidR="00A17E74" w:rsidRPr="00F61FC1" w:rsidTr="00A17E74">
        <w:trPr>
          <w:trHeight w:val="660"/>
        </w:trPr>
        <w:tc>
          <w:tcPr>
            <w:tcW w:w="2988" w:type="dxa"/>
            <w:shd w:val="clear" w:color="auto" w:fill="auto"/>
            <w:vAlign w:val="center"/>
          </w:tcPr>
          <w:p w:rsidR="00A17E74" w:rsidRPr="00F61FC1" w:rsidRDefault="00A17E74" w:rsidP="003D7200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lastRenderedPageBreak/>
              <w:t>Gastrointestinal disorders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7E74" w:rsidRPr="00F61FC1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common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A17E74" w:rsidRDefault="00A17E74" w:rsidP="000F4512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Hypoaesthesia</w:t>
            </w:r>
            <w:proofErr w:type="spellEnd"/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, oral</w:t>
            </w:r>
          </w:p>
          <w:p w:rsidR="00A17E74" w:rsidRPr="00F61FC1" w:rsidRDefault="00A17E74" w:rsidP="00F4464D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Nausea</w:t>
            </w:r>
          </w:p>
        </w:tc>
      </w:tr>
      <w:tr w:rsidR="00A17E74" w:rsidRPr="00F61FC1" w:rsidTr="00A17E74">
        <w:trPr>
          <w:trHeight w:val="660"/>
        </w:trPr>
        <w:tc>
          <w:tcPr>
            <w:tcW w:w="2988" w:type="dxa"/>
            <w:vMerge w:val="restart"/>
            <w:shd w:val="clear" w:color="auto" w:fill="auto"/>
            <w:vAlign w:val="center"/>
          </w:tcPr>
          <w:p w:rsidR="00A17E74" w:rsidRDefault="00A17E74" w:rsidP="003D7200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Musculoskeletal and connective tissue disorders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7E74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very common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A17E74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Pain in extremity</w:t>
            </w:r>
          </w:p>
        </w:tc>
      </w:tr>
      <w:tr w:rsidR="00A17E74" w:rsidRPr="00F61FC1" w:rsidTr="00A17E74">
        <w:trPr>
          <w:trHeight w:val="435"/>
        </w:trPr>
        <w:tc>
          <w:tcPr>
            <w:tcW w:w="2988" w:type="dxa"/>
            <w:vMerge/>
            <w:shd w:val="clear" w:color="auto" w:fill="auto"/>
            <w:vAlign w:val="center"/>
          </w:tcPr>
          <w:p w:rsidR="00A17E74" w:rsidRPr="00F61FC1" w:rsidRDefault="00A17E74" w:rsidP="003D7200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17E74" w:rsidRPr="00F61FC1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common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A17E74" w:rsidRPr="00F61FC1" w:rsidRDefault="00A17E74" w:rsidP="004B3378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Myalgia</w:t>
            </w:r>
          </w:p>
        </w:tc>
      </w:tr>
      <w:tr w:rsidR="00A17E74" w:rsidRPr="00F61FC1" w:rsidTr="00A17E74">
        <w:trPr>
          <w:trHeight w:val="597"/>
        </w:trPr>
        <w:tc>
          <w:tcPr>
            <w:tcW w:w="2988" w:type="dxa"/>
            <w:vMerge w:val="restart"/>
            <w:shd w:val="clear" w:color="auto" w:fill="auto"/>
            <w:vAlign w:val="center"/>
          </w:tcPr>
          <w:p w:rsidR="00A17E74" w:rsidRDefault="00A17E74" w:rsidP="003D7200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Injury, poisoning and procedural complications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7E74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very common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A17E74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Contusion</w:t>
            </w:r>
          </w:p>
        </w:tc>
      </w:tr>
      <w:tr w:rsidR="00A17E74" w:rsidRPr="00F61FC1" w:rsidTr="00A17E74">
        <w:tc>
          <w:tcPr>
            <w:tcW w:w="2988" w:type="dxa"/>
            <w:vMerge/>
            <w:shd w:val="clear" w:color="auto" w:fill="auto"/>
            <w:vAlign w:val="center"/>
          </w:tcPr>
          <w:p w:rsidR="00A17E74" w:rsidRPr="00F61FC1" w:rsidRDefault="00A17E74" w:rsidP="003D7200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17E74" w:rsidRPr="00F61FC1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common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A17E74" w:rsidRPr="00F61FC1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Scar</w:t>
            </w:r>
          </w:p>
        </w:tc>
      </w:tr>
      <w:tr w:rsidR="00A17E74" w:rsidRPr="00F61FC1" w:rsidTr="00A17E74">
        <w:tc>
          <w:tcPr>
            <w:tcW w:w="2988" w:type="dxa"/>
            <w:shd w:val="clear" w:color="auto" w:fill="auto"/>
            <w:vAlign w:val="center"/>
          </w:tcPr>
          <w:p w:rsidR="00A17E74" w:rsidRPr="00F61FC1" w:rsidRDefault="00A17E74" w:rsidP="003D7200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Vascular disorders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7E74" w:rsidRPr="00F61FC1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common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A17E74" w:rsidRPr="00F61FC1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Hot flush</w:t>
            </w:r>
          </w:p>
        </w:tc>
      </w:tr>
      <w:tr w:rsidR="00A17E74" w:rsidRPr="00F61FC1" w:rsidTr="00A17E74">
        <w:tc>
          <w:tcPr>
            <w:tcW w:w="2988" w:type="dxa"/>
            <w:shd w:val="clear" w:color="auto" w:fill="auto"/>
            <w:vAlign w:val="center"/>
          </w:tcPr>
          <w:p w:rsidR="00A17E74" w:rsidRPr="00F61FC1" w:rsidRDefault="00A17E74" w:rsidP="003D7200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Blood and lymphatic system disorders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7E74" w:rsidRPr="00F61FC1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common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A17E74" w:rsidRPr="00F61FC1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Increased tendency to bruise</w:t>
            </w:r>
          </w:p>
        </w:tc>
      </w:tr>
      <w:tr w:rsidR="00A17E74" w:rsidRPr="00F61FC1" w:rsidTr="004F6347">
        <w:trPr>
          <w:trHeight w:val="354"/>
        </w:trPr>
        <w:tc>
          <w:tcPr>
            <w:tcW w:w="2988" w:type="dxa"/>
            <w:shd w:val="clear" w:color="auto" w:fill="auto"/>
            <w:vAlign w:val="center"/>
          </w:tcPr>
          <w:p w:rsidR="00A17E74" w:rsidRPr="00F61FC1" w:rsidRDefault="00A17E74" w:rsidP="003D7200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Infections and infestations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7E74" w:rsidRPr="00F61FC1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common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A17E74" w:rsidRPr="00F61FC1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Injection site cellulitis</w:t>
            </w:r>
          </w:p>
        </w:tc>
      </w:tr>
      <w:tr w:rsidR="00A17E74" w:rsidRPr="00F61FC1" w:rsidTr="00A17E74">
        <w:trPr>
          <w:trHeight w:val="588"/>
        </w:trPr>
        <w:tc>
          <w:tcPr>
            <w:tcW w:w="2988" w:type="dxa"/>
            <w:shd w:val="clear" w:color="auto" w:fill="auto"/>
            <w:vAlign w:val="center"/>
          </w:tcPr>
          <w:p w:rsidR="00A17E74" w:rsidRPr="00F61FC1" w:rsidRDefault="00A17E74" w:rsidP="003D7200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Nervous system disorders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7E74" w:rsidRPr="00F61FC1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very common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A17E74" w:rsidRPr="00F61FC1" w:rsidRDefault="00A17E74" w:rsidP="00A21F11">
            <w:pPr>
              <w:pStyle w:val="Default"/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2"/>
                <w:szCs w:val="22"/>
                <w:lang w:val="en-AU"/>
              </w:rPr>
              <w:t>Headache</w:t>
            </w:r>
          </w:p>
        </w:tc>
      </w:tr>
    </w:tbl>
    <w:p w:rsidR="00005326" w:rsidRDefault="00E00A9E" w:rsidP="00BB223A">
      <w:pPr>
        <w:pStyle w:val="Default"/>
        <w:rPr>
          <w:rFonts w:ascii="Times New Roman" w:hAnsi="Times New Roman" w:cs="Times New Roman"/>
          <w:i/>
          <w:color w:val="auto"/>
          <w:sz w:val="20"/>
          <w:lang w:val="en-AU"/>
        </w:rPr>
      </w:pPr>
      <w:r w:rsidRPr="00E00A9E">
        <w:rPr>
          <w:rFonts w:ascii="Times New Roman" w:eastAsia="Batang" w:hAnsi="Times New Roman" w:cs="Times New Roman"/>
          <w:i/>
          <w:color w:val="auto"/>
          <w:sz w:val="18"/>
          <w:szCs w:val="22"/>
          <w:vertAlign w:val="superscript"/>
          <w:lang w:val="en-AU"/>
        </w:rPr>
        <w:t xml:space="preserve">^ </w:t>
      </w:r>
      <w:r w:rsidRPr="00E00A9E">
        <w:rPr>
          <w:rFonts w:ascii="Times New Roman" w:hAnsi="Times New Roman" w:cs="Times New Roman"/>
          <w:i/>
          <w:color w:val="auto"/>
          <w:sz w:val="20"/>
          <w:lang w:val="en-AU"/>
        </w:rPr>
        <w:t>Preferred terms</w:t>
      </w:r>
      <w:r>
        <w:rPr>
          <w:rFonts w:ascii="Times New Roman" w:hAnsi="Times New Roman" w:cs="Times New Roman"/>
          <w:i/>
          <w:color w:val="auto"/>
          <w:sz w:val="20"/>
          <w:lang w:val="en-AU"/>
        </w:rPr>
        <w:t xml:space="preserve"> considered as ISRs are presented in section below</w:t>
      </w:r>
    </w:p>
    <w:p w:rsidR="00D50D7D" w:rsidRPr="00843466" w:rsidRDefault="00D50D7D" w:rsidP="00D50D7D">
      <w:pPr>
        <w:pStyle w:val="PIMinorHeading"/>
      </w:pPr>
      <w:r>
        <w:t>Less common</w:t>
      </w:r>
      <w:r w:rsidRPr="00843466">
        <w:t xml:space="preserve"> adverse reactions</w:t>
      </w:r>
    </w:p>
    <w:p w:rsidR="00D50D7D" w:rsidRDefault="00D50D7D" w:rsidP="00FC5C53">
      <w:pPr>
        <w:pStyle w:val="PIMinorHeading"/>
        <w:rPr>
          <w:rFonts w:cs="Times New Roman"/>
          <w:b w:val="0"/>
          <w:bCs w:val="0"/>
          <w:iCs w:val="0"/>
        </w:rPr>
      </w:pPr>
      <w:r w:rsidRPr="00D50D7D">
        <w:rPr>
          <w:rFonts w:cs="Times New Roman"/>
          <w:b w:val="0"/>
          <w:bCs w:val="0"/>
          <w:iCs w:val="0"/>
        </w:rPr>
        <w:t>Ad</w:t>
      </w:r>
      <w:r>
        <w:rPr>
          <w:rFonts w:cs="Times New Roman"/>
          <w:b w:val="0"/>
          <w:bCs w:val="0"/>
          <w:iCs w:val="0"/>
        </w:rPr>
        <w:t>verse reactions that occurred at rates less than 1% included;</w:t>
      </w:r>
    </w:p>
    <w:p w:rsidR="00D50D7D" w:rsidRDefault="00D50D7D" w:rsidP="00675FE9">
      <w:pPr>
        <w:pStyle w:val="PIMinorHeading"/>
        <w:numPr>
          <w:ilvl w:val="0"/>
          <w:numId w:val="38"/>
        </w:numPr>
        <w:spacing w:after="0"/>
        <w:rPr>
          <w:rFonts w:cs="Times New Roman"/>
          <w:b w:val="0"/>
          <w:bCs w:val="0"/>
          <w:iCs w:val="0"/>
        </w:rPr>
      </w:pPr>
      <w:r>
        <w:rPr>
          <w:rFonts w:cs="Times New Roman"/>
          <w:b w:val="0"/>
          <w:bCs w:val="0"/>
          <w:iCs w:val="0"/>
        </w:rPr>
        <w:t>Hypocalcaemia</w:t>
      </w:r>
    </w:p>
    <w:p w:rsidR="00D50D7D" w:rsidRDefault="00D50D7D" w:rsidP="00675FE9">
      <w:pPr>
        <w:pStyle w:val="PIMinorHeading"/>
        <w:numPr>
          <w:ilvl w:val="0"/>
          <w:numId w:val="38"/>
        </w:numPr>
        <w:spacing w:after="0"/>
        <w:rPr>
          <w:rFonts w:cs="Times New Roman"/>
          <w:b w:val="0"/>
          <w:bCs w:val="0"/>
          <w:iCs w:val="0"/>
        </w:rPr>
      </w:pPr>
      <w:r>
        <w:rPr>
          <w:rFonts w:cs="Times New Roman"/>
          <w:b w:val="0"/>
          <w:bCs w:val="0"/>
          <w:iCs w:val="0"/>
        </w:rPr>
        <w:t>Renal stones</w:t>
      </w:r>
    </w:p>
    <w:p w:rsidR="00D50D7D" w:rsidRDefault="00D50D7D" w:rsidP="00675FE9">
      <w:pPr>
        <w:pStyle w:val="PIMinorHeading"/>
        <w:numPr>
          <w:ilvl w:val="0"/>
          <w:numId w:val="38"/>
        </w:numPr>
        <w:spacing w:after="0"/>
        <w:rPr>
          <w:rFonts w:cs="Times New Roman"/>
          <w:b w:val="0"/>
          <w:bCs w:val="0"/>
          <w:iCs w:val="0"/>
        </w:rPr>
      </w:pPr>
      <w:r>
        <w:rPr>
          <w:rFonts w:cs="Times New Roman"/>
          <w:b w:val="0"/>
          <w:bCs w:val="0"/>
          <w:iCs w:val="0"/>
        </w:rPr>
        <w:t>Chronic hepatitis</w:t>
      </w:r>
    </w:p>
    <w:p w:rsidR="00D50D7D" w:rsidRPr="00D50D7D" w:rsidRDefault="00D50D7D" w:rsidP="00675FE9">
      <w:pPr>
        <w:pStyle w:val="PIMinorHeading"/>
        <w:numPr>
          <w:ilvl w:val="0"/>
          <w:numId w:val="38"/>
        </w:numPr>
        <w:spacing w:after="0"/>
        <w:rPr>
          <w:rFonts w:cs="Times New Roman"/>
          <w:b w:val="0"/>
          <w:bCs w:val="0"/>
          <w:iCs w:val="0"/>
        </w:rPr>
      </w:pPr>
      <w:r>
        <w:rPr>
          <w:rFonts w:cs="Times New Roman"/>
          <w:b w:val="0"/>
          <w:bCs w:val="0"/>
          <w:iCs w:val="0"/>
        </w:rPr>
        <w:t>Decreased vitamin B6</w:t>
      </w:r>
    </w:p>
    <w:p w:rsidR="00843466" w:rsidRPr="00843466" w:rsidRDefault="00843466" w:rsidP="00FC5C53">
      <w:pPr>
        <w:pStyle w:val="PIMinorHeading"/>
      </w:pPr>
      <w:r w:rsidRPr="00843466">
        <w:t>Description of selected adverse reactions</w:t>
      </w:r>
    </w:p>
    <w:p w:rsidR="00843466" w:rsidRPr="008D1578" w:rsidRDefault="00843466" w:rsidP="00FC5C53">
      <w:pPr>
        <w:pStyle w:val="PIMinorHeadingsubsection"/>
      </w:pPr>
      <w:r w:rsidRPr="008D1578">
        <w:t>Injection site reactions (ISRs)</w:t>
      </w:r>
    </w:p>
    <w:p w:rsidR="00843466" w:rsidRDefault="00843466" w:rsidP="00843466">
      <w:pPr>
        <w:pStyle w:val="Default"/>
        <w:rPr>
          <w:rFonts w:ascii="Times New Roman" w:hAnsi="Times New Roman" w:cs="Times New Roman"/>
          <w:color w:val="auto"/>
          <w:lang w:val="en-AU"/>
        </w:rPr>
      </w:pPr>
      <w:r w:rsidRPr="00490370">
        <w:rPr>
          <w:rFonts w:ascii="Times New Roman" w:hAnsi="Times New Roman" w:cs="Times New Roman"/>
          <w:color w:val="auto"/>
          <w:lang w:val="en-AU"/>
        </w:rPr>
        <w:t>ISRs (including</w:t>
      </w:r>
      <w:r w:rsidR="00DB1CF6" w:rsidRPr="00490370">
        <w:rPr>
          <w:rFonts w:ascii="Times New Roman" w:hAnsi="Times New Roman" w:cs="Times New Roman"/>
          <w:color w:val="auto"/>
          <w:lang w:val="en-AU"/>
        </w:rPr>
        <w:t xml:space="preserve"> injection site erythema, discolouration, pain, </w:t>
      </w:r>
      <w:proofErr w:type="spellStart"/>
      <w:r w:rsidR="00DB1CF6" w:rsidRPr="00490370">
        <w:rPr>
          <w:rFonts w:ascii="Times New Roman" w:hAnsi="Times New Roman" w:cs="Times New Roman"/>
          <w:color w:val="auto"/>
          <w:lang w:val="en-AU"/>
        </w:rPr>
        <w:t>pruritis</w:t>
      </w:r>
      <w:proofErr w:type="spellEnd"/>
      <w:r w:rsidR="00DB1CF6" w:rsidRPr="00490370">
        <w:rPr>
          <w:rFonts w:ascii="Times New Roman" w:hAnsi="Times New Roman" w:cs="Times New Roman"/>
          <w:color w:val="auto"/>
          <w:lang w:val="en-AU"/>
        </w:rPr>
        <w:t>, macule, swelling, bruising, hypertrophy, induration, reaction, atrophy, nodule, rash, papule, haematoma, inflammation, urticarial, warmth, haemorrhage, cellulitis and mass) are the most common adverse reactions observed in approximately 73% of the patients in the clinical studies. The vast majority of ISRs were mild and sel</w:t>
      </w:r>
      <w:r w:rsidR="001D4109" w:rsidRPr="00490370">
        <w:rPr>
          <w:rFonts w:ascii="Times New Roman" w:hAnsi="Times New Roman" w:cs="Times New Roman"/>
          <w:color w:val="auto"/>
          <w:lang w:val="en-AU"/>
        </w:rPr>
        <w:t>f</w:t>
      </w:r>
      <w:r w:rsidR="00DB1CF6" w:rsidRPr="00490370">
        <w:rPr>
          <w:rFonts w:ascii="Times New Roman" w:hAnsi="Times New Roman" w:cs="Times New Roman"/>
          <w:color w:val="auto"/>
          <w:lang w:val="en-AU"/>
        </w:rPr>
        <w:t>-l</w:t>
      </w:r>
      <w:r w:rsidR="001D4109" w:rsidRPr="00490370">
        <w:rPr>
          <w:rFonts w:ascii="Times New Roman" w:hAnsi="Times New Roman" w:cs="Times New Roman"/>
          <w:color w:val="auto"/>
          <w:lang w:val="en-AU"/>
        </w:rPr>
        <w:t>i</w:t>
      </w:r>
      <w:r w:rsidR="00DB1CF6" w:rsidRPr="00490370">
        <w:rPr>
          <w:rFonts w:ascii="Times New Roman" w:hAnsi="Times New Roman" w:cs="Times New Roman"/>
          <w:color w:val="auto"/>
          <w:lang w:val="en-AU"/>
        </w:rPr>
        <w:t>miting, and none were reported as serious adverse events.</w:t>
      </w:r>
      <w:r w:rsidR="00643BE1" w:rsidRPr="00490370">
        <w:rPr>
          <w:rFonts w:ascii="Times New Roman" w:hAnsi="Times New Roman" w:cs="Times New Roman"/>
          <w:color w:val="auto"/>
          <w:lang w:val="en-AU"/>
        </w:rPr>
        <w:t xml:space="preserve"> Two patients experienced ISRs that led to reductions of their </w:t>
      </w:r>
      <w:proofErr w:type="spellStart"/>
      <w:r w:rsidR="00042762">
        <w:rPr>
          <w:rFonts w:ascii="Times New Roman" w:hAnsi="Times New Roman" w:cs="Times New Roman"/>
          <w:color w:val="auto"/>
          <w:lang w:val="en-AU"/>
        </w:rPr>
        <w:t>asfotase</w:t>
      </w:r>
      <w:proofErr w:type="spellEnd"/>
      <w:r w:rsidR="00042762">
        <w:rPr>
          <w:rFonts w:ascii="Times New Roman" w:hAnsi="Times New Roman" w:cs="Times New Roman"/>
          <w:color w:val="auto"/>
          <w:lang w:val="en-AU"/>
        </w:rPr>
        <w:t xml:space="preserve"> alfa, </w:t>
      </w:r>
      <w:proofErr w:type="spellStart"/>
      <w:r w:rsidR="00042762" w:rsidRPr="00042762">
        <w:rPr>
          <w:rFonts w:ascii="Times New Roman" w:hAnsi="Times New Roman" w:cs="Times New Roman"/>
          <w:i/>
          <w:color w:val="auto"/>
          <w:lang w:val="en-AU"/>
        </w:rPr>
        <w:t>rch</w:t>
      </w:r>
      <w:proofErr w:type="spellEnd"/>
      <w:r w:rsidR="00042762">
        <w:rPr>
          <w:rFonts w:ascii="Times New Roman" w:hAnsi="Times New Roman" w:cs="Times New Roman"/>
          <w:color w:val="auto"/>
          <w:lang w:val="en-AU"/>
        </w:rPr>
        <w:t xml:space="preserve"> </w:t>
      </w:r>
      <w:r w:rsidR="00643BE1" w:rsidRPr="00490370">
        <w:rPr>
          <w:rFonts w:ascii="Times New Roman" w:hAnsi="Times New Roman" w:cs="Times New Roman"/>
          <w:color w:val="auto"/>
          <w:lang w:val="en-AU"/>
        </w:rPr>
        <w:t xml:space="preserve">dose. The frequency of ISRs was higher in patients with juvenile-onset HPP and in patients who received injections </w:t>
      </w:r>
      <w:proofErr w:type="gramStart"/>
      <w:r w:rsidR="00643BE1" w:rsidRPr="00490370">
        <w:rPr>
          <w:rFonts w:ascii="Times New Roman" w:hAnsi="Times New Roman" w:cs="Times New Roman"/>
          <w:color w:val="auto"/>
          <w:lang w:val="en-AU"/>
        </w:rPr>
        <w:t>6 times/week</w:t>
      </w:r>
      <w:proofErr w:type="gramEnd"/>
      <w:r w:rsidR="00643BE1" w:rsidRPr="00490370">
        <w:rPr>
          <w:rFonts w:ascii="Times New Roman" w:hAnsi="Times New Roman" w:cs="Times New Roman"/>
          <w:color w:val="auto"/>
          <w:lang w:val="en-AU"/>
        </w:rPr>
        <w:t xml:space="preserve"> (compared to 3 times/week).</w:t>
      </w:r>
    </w:p>
    <w:p w:rsidR="009F70BA" w:rsidRDefault="009F70BA" w:rsidP="00843466">
      <w:pPr>
        <w:pStyle w:val="Default"/>
        <w:rPr>
          <w:rFonts w:ascii="Times New Roman" w:hAnsi="Times New Roman" w:cs="Times New Roman"/>
          <w:color w:val="auto"/>
          <w:lang w:val="en-AU"/>
        </w:rPr>
      </w:pPr>
    </w:p>
    <w:p w:rsidR="009F70BA" w:rsidRPr="00AA5D7A" w:rsidRDefault="009F70BA" w:rsidP="009F70BA">
      <w:pPr>
        <w:pStyle w:val="PIMinorHeadingsubsection"/>
      </w:pPr>
      <w:r w:rsidRPr="00AA5D7A">
        <w:t>Immunogenicity</w:t>
      </w:r>
    </w:p>
    <w:p w:rsidR="009F70BA" w:rsidRDefault="009F70BA" w:rsidP="00D50D7D">
      <w:pPr>
        <w:numPr>
          <w:ilvl w:val="12"/>
          <w:numId w:val="0"/>
        </w:numPr>
        <w:ind w:right="-2"/>
      </w:pPr>
      <w:r>
        <w:t>T</w:t>
      </w:r>
      <w:r w:rsidRPr="008227FE">
        <w:t>here is potential for immunogenicity. Among 69 HPP patients enrolled in the clinical trials, 56 (81.2%) tested</w:t>
      </w:r>
      <w:r>
        <w:t xml:space="preserve"> </w:t>
      </w:r>
      <w:r w:rsidRPr="008227FE">
        <w:t>positive for anti</w:t>
      </w:r>
      <w:r>
        <w:t>-</w:t>
      </w:r>
      <w:r w:rsidRPr="008227FE">
        <w:t xml:space="preserve">drug antibodies at some time point after receiving </w:t>
      </w:r>
      <w:proofErr w:type="spellStart"/>
      <w:r w:rsidR="00042762">
        <w:t>asfotase</w:t>
      </w:r>
      <w:proofErr w:type="spellEnd"/>
      <w:r w:rsidR="00042762">
        <w:t xml:space="preserve"> alfa, </w:t>
      </w:r>
      <w:proofErr w:type="spellStart"/>
      <w:r w:rsidR="00042762" w:rsidRPr="00042762">
        <w:rPr>
          <w:i/>
        </w:rPr>
        <w:t>rch</w:t>
      </w:r>
      <w:proofErr w:type="spellEnd"/>
      <w:r w:rsidRPr="008227FE">
        <w:t xml:space="preserve"> treatment.</w:t>
      </w:r>
      <w:r>
        <w:t xml:space="preserve"> </w:t>
      </w:r>
      <w:r w:rsidRPr="008227FE">
        <w:t>Among those 56 patients, 25 (44.6%) also showed the presence of neutralizing antibodies.</w:t>
      </w:r>
      <w:r>
        <w:t xml:space="preserve"> </w:t>
      </w:r>
      <w:r w:rsidRPr="008227FE">
        <w:t>The antibody response (with or without presence of</w:t>
      </w:r>
      <w:r>
        <w:t xml:space="preserve"> </w:t>
      </w:r>
      <w:r w:rsidRPr="008227FE">
        <w:t>neutralizing antibod</w:t>
      </w:r>
      <w:r w:rsidR="00C33739">
        <w:t xml:space="preserve">ies) was time variant in nature. </w:t>
      </w:r>
      <w:r w:rsidR="00D50D7D" w:rsidRPr="00DF3D39">
        <w:rPr>
          <w:color w:val="000000"/>
          <w:szCs w:val="24"/>
        </w:rPr>
        <w:t xml:space="preserve">Formation of anti-drug antibodies resulted in reduced </w:t>
      </w:r>
      <w:r w:rsidR="00D50D7D" w:rsidRPr="00DF3D39">
        <w:rPr>
          <w:color w:val="000000"/>
          <w:szCs w:val="24"/>
        </w:rPr>
        <w:lastRenderedPageBreak/>
        <w:t xml:space="preserve">systemic exposure of </w:t>
      </w:r>
      <w:proofErr w:type="spellStart"/>
      <w:r w:rsidR="00D50D7D" w:rsidRPr="00DF3D39">
        <w:rPr>
          <w:color w:val="000000"/>
          <w:szCs w:val="24"/>
        </w:rPr>
        <w:t>asfotase</w:t>
      </w:r>
      <w:proofErr w:type="spellEnd"/>
      <w:r w:rsidR="00D50D7D" w:rsidRPr="00DF3D39">
        <w:rPr>
          <w:color w:val="000000"/>
          <w:szCs w:val="24"/>
        </w:rPr>
        <w:t xml:space="preserve"> alfa </w:t>
      </w:r>
      <w:proofErr w:type="spellStart"/>
      <w:r w:rsidR="00D50D7D" w:rsidRPr="00DF3D39">
        <w:rPr>
          <w:i/>
          <w:szCs w:val="24"/>
          <w:lang w:val="en-US"/>
        </w:rPr>
        <w:t>rch</w:t>
      </w:r>
      <w:proofErr w:type="spellEnd"/>
      <w:r w:rsidR="00D50D7D" w:rsidRPr="00DF3D39">
        <w:rPr>
          <w:i/>
          <w:szCs w:val="24"/>
          <w:lang w:val="en-US"/>
        </w:rPr>
        <w:t>.</w:t>
      </w:r>
      <w:r w:rsidR="00D50D7D">
        <w:rPr>
          <w:i/>
          <w:szCs w:val="24"/>
          <w:lang w:val="en-US"/>
        </w:rPr>
        <w:t xml:space="preserve"> </w:t>
      </w:r>
      <w:r w:rsidR="00C33739">
        <w:t>The development of antibodies has not been shown to affect clinical efficacy of safety.</w:t>
      </w:r>
    </w:p>
    <w:p w:rsidR="00C33739" w:rsidRDefault="00C33739" w:rsidP="009F70BA"/>
    <w:p w:rsidR="00C33739" w:rsidRDefault="00C33739" w:rsidP="009F70BA">
      <w:r>
        <w:t xml:space="preserve">No trends in adverse events based on antibody status were observed in clinical trials. Furthermore, patients confirmed positive for antibodies have not shown signs of hypersensitivity or </w:t>
      </w:r>
      <w:proofErr w:type="spellStart"/>
      <w:r>
        <w:t>tachyphylaxis</w:t>
      </w:r>
      <w:proofErr w:type="spellEnd"/>
      <w:r>
        <w:t xml:space="preserve"> following subcutaneous administration of </w:t>
      </w:r>
      <w:proofErr w:type="spellStart"/>
      <w:r w:rsidR="00042762">
        <w:t>asfotase</w:t>
      </w:r>
      <w:proofErr w:type="spellEnd"/>
      <w:r w:rsidR="00042762">
        <w:t xml:space="preserve"> alfa, </w:t>
      </w:r>
      <w:proofErr w:type="spellStart"/>
      <w:r w:rsidR="00042762" w:rsidRPr="00042762">
        <w:rPr>
          <w:i/>
        </w:rPr>
        <w:t>rch</w:t>
      </w:r>
      <w:proofErr w:type="spellEnd"/>
      <w:r>
        <w:t>.</w:t>
      </w:r>
    </w:p>
    <w:p w:rsidR="0062284C" w:rsidRPr="00490370" w:rsidRDefault="002B7EA6" w:rsidP="00490370">
      <w:pPr>
        <w:pStyle w:val="PIMajorHeading"/>
      </w:pPr>
      <w:r w:rsidRPr="00490370">
        <w:t>DOSAGE AND ADMINISTRATION</w:t>
      </w:r>
    </w:p>
    <w:p w:rsidR="00416A07" w:rsidRDefault="00C93214" w:rsidP="000B5A96">
      <w:proofErr w:type="spellStart"/>
      <w:r>
        <w:t>Asfotase</w:t>
      </w:r>
      <w:proofErr w:type="spellEnd"/>
      <w:r>
        <w:t xml:space="preserve"> alfa, </w:t>
      </w:r>
      <w:proofErr w:type="spellStart"/>
      <w:r w:rsidRPr="00042762">
        <w:rPr>
          <w:i/>
        </w:rPr>
        <w:t>rch</w:t>
      </w:r>
      <w:proofErr w:type="spellEnd"/>
      <w:r w:rsidR="00416A07" w:rsidRPr="00436E7C">
        <w:t xml:space="preserve"> treatment should be initiated by a physician experienced in the management of</w:t>
      </w:r>
      <w:r w:rsidR="00436E7C">
        <w:t xml:space="preserve"> </w:t>
      </w:r>
      <w:r w:rsidR="00416A07" w:rsidRPr="00436E7C">
        <w:t>patients with metabolic or bone disorders.</w:t>
      </w:r>
    </w:p>
    <w:p w:rsidR="000023F4" w:rsidRDefault="000023F4" w:rsidP="000B5A96"/>
    <w:p w:rsidR="00B205AD" w:rsidRDefault="00B205AD" w:rsidP="00B205AD">
      <w:r>
        <w:rPr>
          <w:b/>
        </w:rPr>
        <w:t xml:space="preserve">Patient Monitoring Program: </w:t>
      </w:r>
      <w:r w:rsidR="00910DF0">
        <w:t>physicians</w:t>
      </w:r>
      <w:r w:rsidRPr="006E37FE">
        <w:t xml:space="preserve"> should</w:t>
      </w:r>
      <w:r>
        <w:rPr>
          <w:b/>
        </w:rPr>
        <w:t xml:space="preserve"> </w:t>
      </w:r>
      <w:proofErr w:type="spellStart"/>
      <w:r>
        <w:t>enrol</w:t>
      </w:r>
      <w:r w:rsidR="008671D2">
        <w:t>l</w:t>
      </w:r>
      <w:proofErr w:type="spellEnd"/>
      <w:r>
        <w:t xml:space="preserve"> consenting</w:t>
      </w:r>
      <w:r w:rsidRPr="00D06F9A">
        <w:t xml:space="preserve"> </w:t>
      </w:r>
      <w:r>
        <w:t>p</w:t>
      </w:r>
      <w:r w:rsidRPr="00D06F9A">
        <w:t>atients</w:t>
      </w:r>
      <w:r>
        <w:t xml:space="preserve"> receiving </w:t>
      </w:r>
      <w:proofErr w:type="spellStart"/>
      <w:r w:rsidR="00C93214">
        <w:t>asfotase</w:t>
      </w:r>
      <w:proofErr w:type="spellEnd"/>
      <w:r w:rsidR="00C93214">
        <w:t xml:space="preserve"> alfa, </w:t>
      </w:r>
      <w:proofErr w:type="spellStart"/>
      <w:r w:rsidR="00C93214" w:rsidRPr="00042762">
        <w:rPr>
          <w:i/>
        </w:rPr>
        <w:t>rch</w:t>
      </w:r>
      <w:proofErr w:type="spellEnd"/>
      <w:r>
        <w:t xml:space="preserve"> in a monitoring program.</w:t>
      </w:r>
    </w:p>
    <w:p w:rsidR="005504B8" w:rsidRDefault="005504B8" w:rsidP="005504B8">
      <w:pPr>
        <w:pStyle w:val="PIMinorHeading"/>
      </w:pPr>
      <w:r>
        <w:t>Recommended Dose</w:t>
      </w:r>
    </w:p>
    <w:p w:rsidR="002B47D0" w:rsidRPr="001E4B2A" w:rsidRDefault="005504B8" w:rsidP="002B47D0">
      <w:pPr>
        <w:autoSpaceDE w:val="0"/>
        <w:autoSpaceDN w:val="0"/>
        <w:adjustRightInd w:val="0"/>
      </w:pPr>
      <w:r>
        <w:t>The r</w:t>
      </w:r>
      <w:r w:rsidR="00416A07" w:rsidRPr="00436E7C">
        <w:t>ecommended dosage regimen is 2 mg/kg of body weight</w:t>
      </w:r>
      <w:r w:rsidR="00E44B76">
        <w:t>,</w:t>
      </w:r>
      <w:r w:rsidR="00416A07" w:rsidRPr="00436E7C">
        <w:t xml:space="preserve"> administered</w:t>
      </w:r>
      <w:r w:rsidR="00436E7C">
        <w:t xml:space="preserve"> </w:t>
      </w:r>
      <w:r w:rsidR="00416A07" w:rsidRPr="00436E7C">
        <w:t xml:space="preserve">subcutaneously </w:t>
      </w:r>
      <w:r w:rsidR="00E44B76">
        <w:t>3</w:t>
      </w:r>
      <w:r w:rsidR="00416A07" w:rsidRPr="00436E7C">
        <w:t xml:space="preserve"> times per week, or 1 mg/kg of body weight</w:t>
      </w:r>
      <w:r w:rsidR="00436E7C">
        <w:t xml:space="preserve"> </w:t>
      </w:r>
      <w:r w:rsidR="00416A07" w:rsidRPr="00436E7C">
        <w:t xml:space="preserve">administered </w:t>
      </w:r>
      <w:r w:rsidR="00E44B76">
        <w:t>6</w:t>
      </w:r>
      <w:r w:rsidR="00416A07" w:rsidRPr="00436E7C">
        <w:t xml:space="preserve"> times per week. </w:t>
      </w:r>
      <w:r w:rsidR="002B47D0" w:rsidRPr="001E4B2A">
        <w:t xml:space="preserve">Refer </w:t>
      </w:r>
      <w:r w:rsidR="002B47D0">
        <w:t xml:space="preserve">also </w:t>
      </w:r>
      <w:r w:rsidR="002B47D0" w:rsidRPr="001E4B2A">
        <w:t>to the dosing chart below.</w:t>
      </w:r>
    </w:p>
    <w:p w:rsidR="002B47D0" w:rsidRDefault="002B47D0" w:rsidP="006E4298">
      <w:pPr>
        <w:autoSpaceDE w:val="0"/>
        <w:autoSpaceDN w:val="0"/>
        <w:adjustRightInd w:val="0"/>
      </w:pPr>
    </w:p>
    <w:p w:rsidR="004316D8" w:rsidRPr="00954823" w:rsidRDefault="00416A07" w:rsidP="006E4298">
      <w:pPr>
        <w:autoSpaceDE w:val="0"/>
        <w:autoSpaceDN w:val="0"/>
        <w:adjustRightInd w:val="0"/>
        <w:rPr>
          <w:b/>
        </w:rPr>
      </w:pPr>
      <w:r w:rsidRPr="00954823">
        <w:rPr>
          <w:b/>
        </w:rPr>
        <w:t>The maximum volume of subcutaneous injection is 1 mL</w:t>
      </w:r>
      <w:r w:rsidR="00436E7C" w:rsidRPr="00954823">
        <w:rPr>
          <w:b/>
        </w:rPr>
        <w:t xml:space="preserve"> </w:t>
      </w:r>
      <w:r w:rsidRPr="00954823">
        <w:rPr>
          <w:b/>
        </w:rPr>
        <w:t>per injection</w:t>
      </w:r>
      <w:r w:rsidR="009128CB" w:rsidRPr="00954823">
        <w:rPr>
          <w:b/>
        </w:rPr>
        <w:t xml:space="preserve"> site</w:t>
      </w:r>
      <w:r w:rsidRPr="00954823">
        <w:rPr>
          <w:b/>
        </w:rPr>
        <w:t>.</w:t>
      </w:r>
      <w:r w:rsidR="009128CB" w:rsidRPr="00954823">
        <w:rPr>
          <w:b/>
        </w:rPr>
        <w:t xml:space="preserve"> If more than 1 mL is required, multiple injections may be administered at different injection sites.</w:t>
      </w:r>
    </w:p>
    <w:p w:rsidR="004316D8" w:rsidRPr="001E4B2A" w:rsidRDefault="004316D8" w:rsidP="004316D8">
      <w:pPr>
        <w:keepNext/>
        <w:autoSpaceDE w:val="0"/>
        <w:autoSpaceDN w:val="0"/>
        <w:adjustRightInd w:val="0"/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2970"/>
        <w:gridCol w:w="2790"/>
      </w:tblGrid>
      <w:tr w:rsidR="00D1636C" w:rsidTr="00D1636C">
        <w:tc>
          <w:tcPr>
            <w:tcW w:w="1620" w:type="dxa"/>
            <w:vMerge w:val="restart"/>
            <w:shd w:val="clear" w:color="auto" w:fill="auto"/>
            <w:vAlign w:val="center"/>
          </w:tcPr>
          <w:p w:rsidR="00D1636C" w:rsidRPr="00725BFB" w:rsidRDefault="00D1636C" w:rsidP="00D1636C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b/>
                <w:bCs/>
              </w:rPr>
              <w:t>Body Weight (kg)</w:t>
            </w:r>
          </w:p>
        </w:tc>
        <w:tc>
          <w:tcPr>
            <w:tcW w:w="5760" w:type="dxa"/>
            <w:gridSpan w:val="2"/>
          </w:tcPr>
          <w:p w:rsidR="00D1636C" w:rsidRPr="00725BFB" w:rsidRDefault="00D1636C" w:rsidP="00CA7D7C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b/>
                <w:bCs/>
              </w:rPr>
              <w:t>Dose to be injected</w:t>
            </w:r>
          </w:p>
        </w:tc>
      </w:tr>
      <w:tr w:rsidR="00D1636C" w:rsidTr="00D1636C">
        <w:trPr>
          <w:trHeight w:val="372"/>
        </w:trPr>
        <w:tc>
          <w:tcPr>
            <w:tcW w:w="1620" w:type="dxa"/>
            <w:vMerge/>
            <w:shd w:val="clear" w:color="auto" w:fill="auto"/>
          </w:tcPr>
          <w:p w:rsidR="00D1636C" w:rsidRPr="00725BFB" w:rsidRDefault="00D1636C" w:rsidP="00CA7D7C">
            <w:pPr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If injecting 3x per week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If injecting 6x per week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3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</w:rPr>
              <w:t>6 mg</w:t>
            </w:r>
          </w:p>
        </w:tc>
        <w:tc>
          <w:tcPr>
            <w:tcW w:w="279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</w:rPr>
              <w:t>3mg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4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</w:rPr>
              <w:t>8 mg</w:t>
            </w:r>
          </w:p>
        </w:tc>
        <w:tc>
          <w:tcPr>
            <w:tcW w:w="279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</w:rPr>
              <w:t>4mg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5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</w:rPr>
              <w:t>10 mg</w:t>
            </w:r>
          </w:p>
        </w:tc>
        <w:tc>
          <w:tcPr>
            <w:tcW w:w="279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</w:rPr>
              <w:t>5mg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6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</w:rPr>
              <w:t>12 mg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</w:rPr>
              <w:t>6 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7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</w:rPr>
              <w:t>14 mg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</w:rPr>
              <w:t>7 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8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16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8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9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18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9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10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20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10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11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22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11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12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24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12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13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26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13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14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28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14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15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30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15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16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32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16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17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34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17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18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36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18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19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38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19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20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40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20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25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50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25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30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60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30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35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70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35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40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80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40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50</w:t>
            </w:r>
          </w:p>
        </w:tc>
        <w:tc>
          <w:tcPr>
            <w:tcW w:w="297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</w:rPr>
              <w:t>100mg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50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lastRenderedPageBreak/>
              <w:t>60</w:t>
            </w:r>
          </w:p>
        </w:tc>
        <w:tc>
          <w:tcPr>
            <w:tcW w:w="297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</w:rPr>
              <w:t>120mg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60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70</w:t>
            </w:r>
          </w:p>
        </w:tc>
        <w:tc>
          <w:tcPr>
            <w:tcW w:w="297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</w:rPr>
              <w:t>140mg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70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80</w:t>
            </w:r>
          </w:p>
        </w:tc>
        <w:tc>
          <w:tcPr>
            <w:tcW w:w="297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</w:rPr>
              <w:t>160mg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80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</w:tr>
      <w:tr w:rsidR="00D1636C" w:rsidTr="00D1636C"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90</w:t>
            </w:r>
          </w:p>
        </w:tc>
        <w:tc>
          <w:tcPr>
            <w:tcW w:w="297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</w:rPr>
              <w:t>180mg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90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</w:tr>
      <w:tr w:rsidR="00D1636C" w:rsidTr="00D1636C">
        <w:trPr>
          <w:trHeight w:val="64"/>
        </w:trPr>
        <w:tc>
          <w:tcPr>
            <w:tcW w:w="162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  <w:b/>
              </w:rPr>
            </w:pPr>
            <w:r w:rsidRPr="00725BFB">
              <w:rPr>
                <w:rFonts w:eastAsia="Batang"/>
                <w:b/>
              </w:rPr>
              <w:t>100</w:t>
            </w:r>
          </w:p>
        </w:tc>
        <w:tc>
          <w:tcPr>
            <w:tcW w:w="2970" w:type="dxa"/>
            <w:shd w:val="clear" w:color="auto" w:fill="auto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</w:rPr>
              <w:t>200mg</w:t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D1636C" w:rsidRPr="00725BFB" w:rsidRDefault="00D1636C" w:rsidP="00F30096">
            <w:pPr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725BFB">
              <w:rPr>
                <w:rFonts w:eastAsia="Batang"/>
                <w:color w:val="000000"/>
              </w:rPr>
              <w:t>100</w:t>
            </w:r>
            <w:r w:rsidRPr="00725BFB">
              <w:rPr>
                <w:rFonts w:eastAsia="Batang"/>
              </w:rPr>
              <w:t> </w:t>
            </w:r>
            <w:r w:rsidRPr="00725BFB">
              <w:rPr>
                <w:rFonts w:eastAsia="Batang"/>
                <w:color w:val="000000"/>
              </w:rPr>
              <w:t>mg</w:t>
            </w:r>
          </w:p>
        </w:tc>
      </w:tr>
    </w:tbl>
    <w:p w:rsidR="002B3522" w:rsidRDefault="002B3522" w:rsidP="002B3522"/>
    <w:p w:rsidR="002B3522" w:rsidRDefault="002B3522" w:rsidP="002B3522">
      <w:r>
        <w:t>Patients should be regularly reviewed for their response to treatment and appropriate dose, including patients who have progressed to adolescence and adulthood.</w:t>
      </w:r>
    </w:p>
    <w:p w:rsidR="005A7AE8" w:rsidRDefault="005A7AE8" w:rsidP="00AA7E9D">
      <w:pPr>
        <w:pStyle w:val="PIMinorHeading"/>
      </w:pPr>
      <w:r>
        <w:t>Method of Administration</w:t>
      </w:r>
    </w:p>
    <w:p w:rsidR="008C4793" w:rsidRDefault="008C4793" w:rsidP="000B5A96">
      <w:r>
        <w:t>Patients can self-inject only if they have been appropriately trained on administration procedures.</w:t>
      </w:r>
    </w:p>
    <w:p w:rsidR="002B47D0" w:rsidRDefault="002B47D0" w:rsidP="000B5A96"/>
    <w:p w:rsidR="00CA0528" w:rsidRDefault="00C93214" w:rsidP="000B5A96">
      <w:proofErr w:type="spellStart"/>
      <w:r>
        <w:t>Asfotase</w:t>
      </w:r>
      <w:proofErr w:type="spellEnd"/>
      <w:r>
        <w:t xml:space="preserve"> alfa, </w:t>
      </w:r>
      <w:proofErr w:type="spellStart"/>
      <w:r w:rsidRPr="00042762">
        <w:rPr>
          <w:i/>
        </w:rPr>
        <w:t>rch</w:t>
      </w:r>
      <w:proofErr w:type="spellEnd"/>
      <w:r w:rsidR="00CA0528" w:rsidRPr="00CA0528">
        <w:t xml:space="preserve"> should be administered using sterile disposable syringes and injection needles. </w:t>
      </w:r>
      <w:r w:rsidR="007806D9">
        <w:t xml:space="preserve">An aseptic technique should be used. </w:t>
      </w:r>
      <w:r w:rsidR="00CA0528" w:rsidRPr="00CA0528">
        <w:t>The</w:t>
      </w:r>
      <w:r w:rsidR="00CA0528">
        <w:t xml:space="preserve"> </w:t>
      </w:r>
      <w:r w:rsidR="00CA0528" w:rsidRPr="00CA0528">
        <w:t>syringes should be of small enough volume that the prescribed dose can be withdrawn from</w:t>
      </w:r>
      <w:r w:rsidR="00CA0528">
        <w:t xml:space="preserve"> </w:t>
      </w:r>
      <w:r w:rsidR="00CA0528" w:rsidRPr="00CA0528">
        <w:t>the vial with reasonable accuracy.</w:t>
      </w:r>
    </w:p>
    <w:p w:rsidR="005A6670" w:rsidRDefault="005A6670" w:rsidP="000B5A96"/>
    <w:p w:rsidR="00BC7664" w:rsidRDefault="005A6670" w:rsidP="000B5A96">
      <w:r>
        <w:t>Do not administer</w:t>
      </w:r>
      <w:r w:rsidRPr="005A7AE8">
        <w:t xml:space="preserve"> intravenously or intramuscularly.</w:t>
      </w:r>
      <w:r w:rsidR="00BA3694">
        <w:rPr>
          <w:b/>
        </w:rPr>
        <w:t xml:space="preserve"> </w:t>
      </w:r>
      <w:proofErr w:type="spellStart"/>
      <w:r w:rsidR="00DF56A8">
        <w:rPr>
          <w:b/>
        </w:rPr>
        <w:t>Asfotase</w:t>
      </w:r>
      <w:proofErr w:type="spellEnd"/>
      <w:r w:rsidR="00DF56A8">
        <w:rPr>
          <w:b/>
        </w:rPr>
        <w:t xml:space="preserve"> alfa, </w:t>
      </w:r>
      <w:proofErr w:type="spellStart"/>
      <w:r w:rsidR="00DF56A8" w:rsidRPr="00DF56A8">
        <w:rPr>
          <w:b/>
          <w:i/>
        </w:rPr>
        <w:t>rch</w:t>
      </w:r>
      <w:proofErr w:type="spellEnd"/>
      <w:r w:rsidR="00DF56A8" w:rsidRPr="00DF56A8">
        <w:rPr>
          <w:b/>
          <w:i/>
        </w:rPr>
        <w:t xml:space="preserve"> </w:t>
      </w:r>
      <w:r w:rsidR="0096038F" w:rsidRPr="00F61DE1">
        <w:rPr>
          <w:b/>
        </w:rPr>
        <w:t xml:space="preserve">must </w:t>
      </w:r>
      <w:r w:rsidR="005A7AE8" w:rsidRPr="00F61DE1">
        <w:rPr>
          <w:b/>
        </w:rPr>
        <w:t>be administered as subcutaneous injection</w:t>
      </w:r>
      <w:r w:rsidR="005A7AE8" w:rsidRPr="005A7AE8">
        <w:t xml:space="preserve">. </w:t>
      </w:r>
    </w:p>
    <w:p w:rsidR="00BC7664" w:rsidRDefault="00BC7664" w:rsidP="000B5A96"/>
    <w:p w:rsidR="005A7AE8" w:rsidRPr="00436E7C" w:rsidRDefault="005A7AE8" w:rsidP="000B5A96">
      <w:r w:rsidRPr="005A7AE8">
        <w:t>Injections sites should be rotated and carefully monitored for signs of potential reactions.</w:t>
      </w:r>
    </w:p>
    <w:p w:rsidR="004F60CE" w:rsidRPr="004F60CE" w:rsidRDefault="004F60CE" w:rsidP="000B5A96"/>
    <w:p w:rsidR="001F01A8" w:rsidRDefault="005B38F6" w:rsidP="000B5A96">
      <w:r w:rsidRPr="00FB13E5">
        <w:t xml:space="preserve">Product is for single use in one patient only. Discard any unused portion left in </w:t>
      </w:r>
      <w:r w:rsidR="0096038F">
        <w:t xml:space="preserve">the </w:t>
      </w:r>
      <w:r w:rsidRPr="00FB13E5">
        <w:t>vial, as the product contains no preservatives.</w:t>
      </w:r>
    </w:p>
    <w:p w:rsidR="005D1F9E" w:rsidRDefault="00B205AD" w:rsidP="00B205AD">
      <w:pPr>
        <w:pStyle w:val="PIMinorHeading"/>
      </w:pPr>
      <w:r>
        <w:t>Special Populations</w:t>
      </w:r>
    </w:p>
    <w:p w:rsidR="00BA54EC" w:rsidRPr="004E5781" w:rsidRDefault="005D1F9E" w:rsidP="00BA54EC">
      <w:pPr>
        <w:autoSpaceDE w:val="0"/>
        <w:autoSpaceDN w:val="0"/>
        <w:adjustRightInd w:val="0"/>
      </w:pPr>
      <w:r>
        <w:rPr>
          <w:i/>
          <w:szCs w:val="24"/>
        </w:rPr>
        <w:t xml:space="preserve">Patients with renal and hepatic impairment: </w:t>
      </w:r>
      <w:r w:rsidR="004E5781" w:rsidRPr="004E5781">
        <w:rPr>
          <w:szCs w:val="24"/>
        </w:rPr>
        <w:t xml:space="preserve">the </w:t>
      </w:r>
      <w:r w:rsidRPr="004E5781">
        <w:t>s</w:t>
      </w:r>
      <w:r w:rsidRPr="00C97FEC">
        <w:t xml:space="preserve">afety and efficacy of </w:t>
      </w:r>
      <w:proofErr w:type="spellStart"/>
      <w:r w:rsidR="004E5781">
        <w:t>asfotase</w:t>
      </w:r>
      <w:proofErr w:type="spellEnd"/>
      <w:r w:rsidR="004E5781">
        <w:t xml:space="preserve"> alfa, </w:t>
      </w:r>
      <w:proofErr w:type="spellStart"/>
      <w:r w:rsidR="004E5781" w:rsidRPr="003D64C9">
        <w:rPr>
          <w:i/>
        </w:rPr>
        <w:t>rch</w:t>
      </w:r>
      <w:proofErr w:type="spellEnd"/>
      <w:r w:rsidR="004E5781" w:rsidRPr="00C97FEC">
        <w:t xml:space="preserve"> </w:t>
      </w:r>
      <w:r>
        <w:t xml:space="preserve">have not been studied in patients with </w:t>
      </w:r>
      <w:r w:rsidR="004E5781">
        <w:t xml:space="preserve">renal or </w:t>
      </w:r>
      <w:r>
        <w:t>hepatic impairment</w:t>
      </w:r>
      <w:r w:rsidR="004E5781">
        <w:t xml:space="preserve">, </w:t>
      </w:r>
      <w:r w:rsidR="004E5781" w:rsidRPr="004E5781">
        <w:t>and no specific dose regimen can be recommended for these patients</w:t>
      </w:r>
      <w:r>
        <w:t>.</w:t>
      </w:r>
      <w:r w:rsidR="00BA54EC">
        <w:t xml:space="preserve"> </w:t>
      </w:r>
    </w:p>
    <w:p w:rsidR="005D1F9E" w:rsidRDefault="005D1F9E" w:rsidP="005D1F9E">
      <w:pPr>
        <w:autoSpaceDE w:val="0"/>
        <w:autoSpaceDN w:val="0"/>
        <w:adjustRightInd w:val="0"/>
        <w:rPr>
          <w:i/>
          <w:szCs w:val="24"/>
        </w:rPr>
      </w:pPr>
    </w:p>
    <w:p w:rsidR="005D1F9E" w:rsidRDefault="005D1F9E" w:rsidP="005D1F9E">
      <w:pPr>
        <w:autoSpaceDE w:val="0"/>
        <w:autoSpaceDN w:val="0"/>
        <w:adjustRightInd w:val="0"/>
      </w:pPr>
      <w:r w:rsidRPr="00D22092">
        <w:rPr>
          <w:i/>
          <w:szCs w:val="24"/>
        </w:rPr>
        <w:t>Adult patients:</w:t>
      </w:r>
      <w:r>
        <w:rPr>
          <w:b/>
          <w:szCs w:val="24"/>
        </w:rPr>
        <w:t xml:space="preserve"> </w:t>
      </w:r>
      <w:r w:rsidRPr="009F6301">
        <w:rPr>
          <w:szCs w:val="24"/>
        </w:rPr>
        <w:t xml:space="preserve">safety </w:t>
      </w:r>
      <w:r>
        <w:rPr>
          <w:szCs w:val="24"/>
        </w:rPr>
        <w:t xml:space="preserve">and efficacy </w:t>
      </w:r>
      <w:r w:rsidRPr="009F6301">
        <w:rPr>
          <w:szCs w:val="24"/>
        </w:rPr>
        <w:t>data in patients &gt;18 years old are limited.</w:t>
      </w:r>
    </w:p>
    <w:p w:rsidR="00364EE8" w:rsidRDefault="00364EE8" w:rsidP="00490370">
      <w:pPr>
        <w:pStyle w:val="PIMajorHeading"/>
      </w:pPr>
      <w:r w:rsidRPr="00FB13E5">
        <w:t>OVERDOSAGE</w:t>
      </w:r>
    </w:p>
    <w:p w:rsidR="004F60CE" w:rsidRDefault="00295E68" w:rsidP="007A03CC">
      <w:pPr>
        <w:pStyle w:val="Heading2"/>
        <w:spacing w:before="0" w:after="0"/>
        <w:ind w:firstLine="0"/>
        <w:rPr>
          <w:rFonts w:cs="Times New Roman"/>
          <w:b w:val="0"/>
          <w:sz w:val="24"/>
          <w:szCs w:val="24"/>
          <w:lang w:val="en-AU"/>
        </w:rPr>
      </w:pPr>
      <w:r>
        <w:rPr>
          <w:rFonts w:cs="Times New Roman"/>
          <w:b w:val="0"/>
          <w:sz w:val="24"/>
          <w:szCs w:val="24"/>
          <w:lang w:val="en-AU"/>
        </w:rPr>
        <w:t xml:space="preserve">The maximum dose of </w:t>
      </w:r>
      <w:proofErr w:type="spellStart"/>
      <w:r>
        <w:rPr>
          <w:rFonts w:cs="Times New Roman"/>
          <w:b w:val="0"/>
          <w:sz w:val="24"/>
          <w:szCs w:val="24"/>
          <w:lang w:val="en-AU"/>
        </w:rPr>
        <w:t>asfotase</w:t>
      </w:r>
      <w:proofErr w:type="spellEnd"/>
      <w:r>
        <w:rPr>
          <w:rFonts w:cs="Times New Roman"/>
          <w:b w:val="0"/>
          <w:sz w:val="24"/>
          <w:szCs w:val="24"/>
          <w:lang w:val="en-AU"/>
        </w:rPr>
        <w:t xml:space="preserve"> alfa </w:t>
      </w:r>
      <w:proofErr w:type="spellStart"/>
      <w:r w:rsidRPr="00F9189D">
        <w:rPr>
          <w:rFonts w:cs="Times New Roman"/>
          <w:b w:val="0"/>
          <w:i/>
          <w:sz w:val="24"/>
          <w:szCs w:val="24"/>
          <w:lang w:val="en-AU"/>
        </w:rPr>
        <w:t>rch</w:t>
      </w:r>
      <w:proofErr w:type="spellEnd"/>
      <w:r>
        <w:rPr>
          <w:rFonts w:cs="Times New Roman"/>
          <w:b w:val="0"/>
          <w:sz w:val="24"/>
          <w:szCs w:val="24"/>
          <w:lang w:val="en-AU"/>
        </w:rPr>
        <w:t xml:space="preserve"> used in clinical trials is 28mg/kg/week. No dose-related toxicity or change in the safety profile has been observed in clinical studies to date; therefore no overdose level has been determined</w:t>
      </w:r>
      <w:r w:rsidR="00481EFF">
        <w:rPr>
          <w:rFonts w:cs="Times New Roman"/>
          <w:b w:val="0"/>
          <w:sz w:val="24"/>
          <w:szCs w:val="24"/>
          <w:lang w:val="en-AU"/>
        </w:rPr>
        <w:t>.</w:t>
      </w:r>
    </w:p>
    <w:p w:rsidR="00295E68" w:rsidRDefault="00295E68" w:rsidP="000B5A96"/>
    <w:p w:rsidR="000B0EB9" w:rsidRPr="00FB13E5" w:rsidRDefault="00295E68" w:rsidP="000B5A96">
      <w:r w:rsidRPr="00D52CDA">
        <w:t>For information on the management of overdose, contact the Poison Information Centre on 13</w:t>
      </w:r>
      <w:r>
        <w:t xml:space="preserve"> </w:t>
      </w:r>
      <w:r w:rsidRPr="00D52CDA">
        <w:t>11</w:t>
      </w:r>
      <w:r>
        <w:t xml:space="preserve"> </w:t>
      </w:r>
      <w:r w:rsidRPr="00D52CDA">
        <w:t>26 (Australia).</w:t>
      </w:r>
    </w:p>
    <w:p w:rsidR="0062284C" w:rsidRDefault="00EF0DCB" w:rsidP="0043778E">
      <w:pPr>
        <w:pStyle w:val="PIMajorHeading"/>
      </w:pPr>
      <w:r>
        <w:br w:type="column"/>
      </w:r>
      <w:r w:rsidR="0062284C" w:rsidRPr="00FB13E5">
        <w:lastRenderedPageBreak/>
        <w:t>PRESEN</w:t>
      </w:r>
      <w:r w:rsidR="00723C3F" w:rsidRPr="00FB13E5">
        <w:t>T</w:t>
      </w:r>
      <w:r w:rsidR="0062284C" w:rsidRPr="00FB13E5">
        <w:t>ATION AND STORAGE CONDITIONS</w:t>
      </w:r>
    </w:p>
    <w:p w:rsidR="00E20719" w:rsidRDefault="00C4599C" w:rsidP="0043778E">
      <w:pPr>
        <w:keepNext/>
      </w:pPr>
      <w:r>
        <w:t xml:space="preserve">STRENSIQ is a clear, colourless to slightly yellow solution for subcutaneous injection. It </w:t>
      </w:r>
      <w:r w:rsidR="003B3A78" w:rsidRPr="00FB13E5">
        <w:t xml:space="preserve">is supplied </w:t>
      </w:r>
      <w:r w:rsidR="003B3A78">
        <w:t>in</w:t>
      </w:r>
      <w:r w:rsidR="003B3A78" w:rsidRPr="00FB13E5">
        <w:t xml:space="preserve"> </w:t>
      </w:r>
      <w:r w:rsidR="00314A28">
        <w:t xml:space="preserve">2 mL </w:t>
      </w:r>
      <w:r w:rsidR="003B3A78" w:rsidRPr="00FB13E5">
        <w:t xml:space="preserve">single-use glass vials </w:t>
      </w:r>
      <w:r w:rsidR="00586CC7">
        <w:t>as follows</w:t>
      </w:r>
      <w:r w:rsidR="00314A28">
        <w:t>;</w:t>
      </w:r>
      <w:r w:rsidR="003B3A78" w:rsidRPr="00FB13E5">
        <w:t xml:space="preserve"> </w:t>
      </w:r>
    </w:p>
    <w:p w:rsidR="00E20719" w:rsidRDefault="00E20719" w:rsidP="0043778E">
      <w:pPr>
        <w:keepNext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1371"/>
        <w:gridCol w:w="1765"/>
        <w:gridCol w:w="1321"/>
      </w:tblGrid>
      <w:tr w:rsidR="00586CC7" w:rsidRPr="000F4512" w:rsidTr="00C325AA">
        <w:trPr>
          <w:jc w:val="center"/>
        </w:trPr>
        <w:tc>
          <w:tcPr>
            <w:tcW w:w="2083" w:type="dxa"/>
            <w:shd w:val="clear" w:color="auto" w:fill="auto"/>
            <w:vAlign w:val="center"/>
          </w:tcPr>
          <w:p w:rsidR="00586CC7" w:rsidRPr="003E1884" w:rsidRDefault="00586CC7" w:rsidP="0043778E">
            <w:pPr>
              <w:keepNext/>
              <w:rPr>
                <w:rFonts w:eastAsia="Batang"/>
                <w:b/>
              </w:rPr>
            </w:pPr>
            <w:r w:rsidRPr="003E1884">
              <w:rPr>
                <w:rFonts w:eastAsia="Batang"/>
                <w:b/>
              </w:rPr>
              <w:t>Pack sizes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586CC7" w:rsidRPr="003E1884" w:rsidRDefault="00586CC7" w:rsidP="000B5A96">
            <w:pPr>
              <w:rPr>
                <w:rFonts w:eastAsia="Batang"/>
                <w:b/>
              </w:rPr>
            </w:pPr>
            <w:r w:rsidRPr="003E1884">
              <w:rPr>
                <w:rFonts w:eastAsia="Batang"/>
                <w:b/>
              </w:rPr>
              <w:t xml:space="preserve">Fill volume 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586CC7" w:rsidRPr="003E1884" w:rsidRDefault="00586CC7" w:rsidP="000B5A96">
            <w:pPr>
              <w:rPr>
                <w:rFonts w:eastAsia="Batang"/>
                <w:b/>
              </w:rPr>
            </w:pPr>
            <w:r w:rsidRPr="003E1884">
              <w:rPr>
                <w:rFonts w:eastAsia="Batang"/>
                <w:b/>
              </w:rPr>
              <w:t>Concentration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86CC7" w:rsidRPr="003E1884" w:rsidRDefault="00586CC7" w:rsidP="00C325AA">
            <w:pPr>
              <w:rPr>
                <w:rFonts w:eastAsia="Batang"/>
                <w:b/>
              </w:rPr>
            </w:pPr>
            <w:r w:rsidRPr="003E1884">
              <w:rPr>
                <w:rFonts w:eastAsia="Batang"/>
                <w:b/>
              </w:rPr>
              <w:t>Strength</w:t>
            </w:r>
          </w:p>
        </w:tc>
      </w:tr>
      <w:tr w:rsidR="00586CC7" w:rsidRPr="000F4512" w:rsidTr="00C325AA">
        <w:trPr>
          <w:trHeight w:val="298"/>
          <w:jc w:val="center"/>
        </w:trPr>
        <w:tc>
          <w:tcPr>
            <w:tcW w:w="2083" w:type="dxa"/>
            <w:vMerge w:val="restart"/>
            <w:shd w:val="clear" w:color="auto" w:fill="auto"/>
            <w:vAlign w:val="center"/>
          </w:tcPr>
          <w:p w:rsidR="00586CC7" w:rsidRDefault="00586CC7" w:rsidP="003E1884">
            <w:pPr>
              <w:spacing w:after="120"/>
              <w:rPr>
                <w:rFonts w:eastAsia="Batang"/>
              </w:rPr>
            </w:pPr>
            <w:r w:rsidRPr="000F4512">
              <w:rPr>
                <w:rFonts w:eastAsia="Batang"/>
              </w:rPr>
              <w:t xml:space="preserve">12 vials per </w:t>
            </w:r>
            <w:r w:rsidR="00B931A3">
              <w:rPr>
                <w:rFonts w:eastAsia="Batang"/>
              </w:rPr>
              <w:t>pack</w:t>
            </w:r>
          </w:p>
          <w:p w:rsidR="00586CC7" w:rsidRDefault="00586CC7" w:rsidP="003E1884">
            <w:pPr>
              <w:spacing w:after="120"/>
              <w:rPr>
                <w:rFonts w:eastAsia="Batang"/>
              </w:rPr>
            </w:pPr>
            <w:r w:rsidRPr="000F4512">
              <w:rPr>
                <w:rFonts w:eastAsia="Batang"/>
              </w:rPr>
              <w:t>or</w:t>
            </w:r>
          </w:p>
          <w:p w:rsidR="00586CC7" w:rsidRPr="000F4512" w:rsidRDefault="00586CC7" w:rsidP="00B931A3">
            <w:pPr>
              <w:spacing w:after="120"/>
              <w:rPr>
                <w:rFonts w:eastAsia="Batang"/>
              </w:rPr>
            </w:pPr>
            <w:r w:rsidRPr="000F4512">
              <w:rPr>
                <w:rFonts w:eastAsia="Batang"/>
              </w:rPr>
              <w:t xml:space="preserve">1 vial per </w:t>
            </w:r>
            <w:r w:rsidR="00B931A3">
              <w:rPr>
                <w:rFonts w:eastAsia="Batang"/>
              </w:rPr>
              <w:t>pack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586CC7" w:rsidRPr="000F4512" w:rsidRDefault="00586CC7" w:rsidP="00C325AA">
            <w:pPr>
              <w:jc w:val="center"/>
              <w:rPr>
                <w:rFonts w:eastAsia="Batang"/>
              </w:rPr>
            </w:pPr>
            <w:r w:rsidRPr="000F4512">
              <w:rPr>
                <w:rFonts w:eastAsia="Batang"/>
              </w:rPr>
              <w:t>0.3 mL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586CC7" w:rsidRPr="000F4512" w:rsidRDefault="00586CC7" w:rsidP="000B5A96">
            <w:pPr>
              <w:rPr>
                <w:rFonts w:eastAsia="Batang"/>
              </w:rPr>
            </w:pPr>
            <w:r w:rsidRPr="000F4512">
              <w:rPr>
                <w:rFonts w:eastAsia="Batang"/>
              </w:rPr>
              <w:t>40 mg/mL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86CC7" w:rsidRPr="000F4512" w:rsidRDefault="00586CC7" w:rsidP="00C325AA">
            <w:pPr>
              <w:rPr>
                <w:rFonts w:eastAsia="Batang"/>
              </w:rPr>
            </w:pPr>
            <w:r w:rsidRPr="000F4512">
              <w:rPr>
                <w:rFonts w:eastAsia="Batang"/>
              </w:rPr>
              <w:t>12</w:t>
            </w:r>
            <w:r w:rsidR="00C325AA">
              <w:rPr>
                <w:rFonts w:eastAsia="Batang"/>
              </w:rPr>
              <w:t xml:space="preserve"> mg/vial</w:t>
            </w:r>
          </w:p>
        </w:tc>
      </w:tr>
      <w:tr w:rsidR="00586CC7" w:rsidRPr="000F4512" w:rsidTr="00C325AA">
        <w:trPr>
          <w:trHeight w:val="298"/>
          <w:jc w:val="center"/>
        </w:trPr>
        <w:tc>
          <w:tcPr>
            <w:tcW w:w="2083" w:type="dxa"/>
            <w:vMerge/>
            <w:shd w:val="clear" w:color="auto" w:fill="auto"/>
            <w:vAlign w:val="center"/>
          </w:tcPr>
          <w:p w:rsidR="00586CC7" w:rsidRPr="000F4512" w:rsidRDefault="00586CC7" w:rsidP="000B5A96">
            <w:pPr>
              <w:rPr>
                <w:rFonts w:eastAsia="Batang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586CC7" w:rsidRPr="000F4512" w:rsidRDefault="00586CC7" w:rsidP="00C325AA">
            <w:pPr>
              <w:jc w:val="center"/>
              <w:rPr>
                <w:rFonts w:eastAsia="Batang"/>
              </w:rPr>
            </w:pPr>
            <w:r w:rsidRPr="000F4512">
              <w:rPr>
                <w:rFonts w:eastAsia="Batang"/>
              </w:rPr>
              <w:t>0.45 mL</w:t>
            </w: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586CC7" w:rsidRPr="000F4512" w:rsidRDefault="00586CC7" w:rsidP="000B5A96">
            <w:pPr>
              <w:rPr>
                <w:rFonts w:eastAsia="Batang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586CC7" w:rsidRPr="000F4512" w:rsidRDefault="00586CC7" w:rsidP="00C325AA">
            <w:pPr>
              <w:rPr>
                <w:rFonts w:eastAsia="Batang"/>
              </w:rPr>
            </w:pPr>
            <w:r w:rsidRPr="000F4512">
              <w:rPr>
                <w:rFonts w:eastAsia="Batang"/>
              </w:rPr>
              <w:t>18</w:t>
            </w:r>
            <w:r w:rsidR="00C325AA">
              <w:rPr>
                <w:rFonts w:eastAsia="Batang"/>
              </w:rPr>
              <w:t xml:space="preserve"> mg/vial</w:t>
            </w:r>
          </w:p>
        </w:tc>
      </w:tr>
      <w:tr w:rsidR="00586CC7" w:rsidRPr="000F4512" w:rsidTr="00C325AA">
        <w:trPr>
          <w:trHeight w:val="298"/>
          <w:jc w:val="center"/>
        </w:trPr>
        <w:tc>
          <w:tcPr>
            <w:tcW w:w="2083" w:type="dxa"/>
            <w:vMerge/>
            <w:shd w:val="clear" w:color="auto" w:fill="auto"/>
            <w:vAlign w:val="center"/>
          </w:tcPr>
          <w:p w:rsidR="00586CC7" w:rsidRPr="000F4512" w:rsidRDefault="00586CC7" w:rsidP="000B5A96">
            <w:pPr>
              <w:rPr>
                <w:rFonts w:eastAsia="Batang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586CC7" w:rsidRPr="000F4512" w:rsidRDefault="00586CC7" w:rsidP="00C325AA">
            <w:pPr>
              <w:jc w:val="center"/>
              <w:rPr>
                <w:rFonts w:eastAsia="Batang"/>
              </w:rPr>
            </w:pPr>
            <w:r w:rsidRPr="000F4512">
              <w:rPr>
                <w:rFonts w:eastAsia="Batang"/>
              </w:rPr>
              <w:t>0.7 mL</w:t>
            </w: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586CC7" w:rsidRPr="000F4512" w:rsidRDefault="00586CC7" w:rsidP="000B5A96">
            <w:pPr>
              <w:rPr>
                <w:rFonts w:eastAsia="Batang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586CC7" w:rsidRPr="000F4512" w:rsidRDefault="00586CC7" w:rsidP="00C325AA">
            <w:pPr>
              <w:rPr>
                <w:rFonts w:eastAsia="Batang"/>
              </w:rPr>
            </w:pPr>
            <w:r w:rsidRPr="000F4512">
              <w:rPr>
                <w:rFonts w:eastAsia="Batang"/>
              </w:rPr>
              <w:t>28</w:t>
            </w:r>
            <w:r w:rsidR="00C325AA">
              <w:rPr>
                <w:rFonts w:eastAsia="Batang"/>
              </w:rPr>
              <w:t xml:space="preserve"> mg/vial</w:t>
            </w:r>
          </w:p>
        </w:tc>
      </w:tr>
      <w:tr w:rsidR="00586CC7" w:rsidRPr="000F4512" w:rsidTr="00C325AA">
        <w:trPr>
          <w:trHeight w:val="298"/>
          <w:jc w:val="center"/>
        </w:trPr>
        <w:tc>
          <w:tcPr>
            <w:tcW w:w="2083" w:type="dxa"/>
            <w:vMerge/>
            <w:shd w:val="clear" w:color="auto" w:fill="auto"/>
            <w:vAlign w:val="center"/>
          </w:tcPr>
          <w:p w:rsidR="00586CC7" w:rsidRPr="000F4512" w:rsidRDefault="00586CC7" w:rsidP="000B5A96">
            <w:pPr>
              <w:rPr>
                <w:rFonts w:eastAsia="Batang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586CC7" w:rsidRPr="000F4512" w:rsidRDefault="00586CC7" w:rsidP="00C325AA">
            <w:pPr>
              <w:jc w:val="center"/>
              <w:rPr>
                <w:rFonts w:eastAsia="Batang"/>
              </w:rPr>
            </w:pPr>
            <w:r w:rsidRPr="000F4512">
              <w:rPr>
                <w:rFonts w:eastAsia="Batang"/>
              </w:rPr>
              <w:t>1.0 mL</w:t>
            </w: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586CC7" w:rsidRPr="000F4512" w:rsidRDefault="00586CC7" w:rsidP="000B5A96">
            <w:pPr>
              <w:rPr>
                <w:rFonts w:eastAsia="Batang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586CC7" w:rsidRPr="000F4512" w:rsidRDefault="00586CC7" w:rsidP="00C325AA">
            <w:pPr>
              <w:rPr>
                <w:rFonts w:eastAsia="Batang"/>
              </w:rPr>
            </w:pPr>
            <w:r w:rsidRPr="000F4512">
              <w:rPr>
                <w:rFonts w:eastAsia="Batang"/>
              </w:rPr>
              <w:t>40</w:t>
            </w:r>
            <w:r w:rsidR="00C325AA">
              <w:rPr>
                <w:rFonts w:eastAsia="Batang"/>
              </w:rPr>
              <w:t xml:space="preserve"> mg/vial</w:t>
            </w:r>
          </w:p>
        </w:tc>
      </w:tr>
      <w:tr w:rsidR="00586CC7" w:rsidRPr="000F4512" w:rsidTr="00C325AA">
        <w:trPr>
          <w:trHeight w:val="298"/>
          <w:jc w:val="center"/>
        </w:trPr>
        <w:tc>
          <w:tcPr>
            <w:tcW w:w="2083" w:type="dxa"/>
            <w:vMerge/>
            <w:shd w:val="clear" w:color="auto" w:fill="auto"/>
            <w:vAlign w:val="center"/>
          </w:tcPr>
          <w:p w:rsidR="00586CC7" w:rsidRPr="000F4512" w:rsidRDefault="00586CC7" w:rsidP="000B5A96">
            <w:pPr>
              <w:rPr>
                <w:rFonts w:eastAsia="Batang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586CC7" w:rsidRPr="000F4512" w:rsidRDefault="00586CC7" w:rsidP="00C325AA">
            <w:pPr>
              <w:jc w:val="center"/>
              <w:rPr>
                <w:rFonts w:eastAsia="Batang"/>
              </w:rPr>
            </w:pPr>
            <w:r w:rsidRPr="000F4512">
              <w:rPr>
                <w:rFonts w:eastAsia="Batang"/>
              </w:rPr>
              <w:t>0.8 mL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586CC7" w:rsidRPr="000F4512" w:rsidRDefault="00586CC7" w:rsidP="000B5A96">
            <w:pPr>
              <w:rPr>
                <w:rFonts w:eastAsia="Batang"/>
              </w:rPr>
            </w:pPr>
            <w:r w:rsidRPr="000F4512">
              <w:rPr>
                <w:rFonts w:eastAsia="Batang"/>
              </w:rPr>
              <w:t>100 mg/mL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86CC7" w:rsidRPr="000F4512" w:rsidRDefault="00586CC7" w:rsidP="00C325AA">
            <w:pPr>
              <w:rPr>
                <w:rFonts w:eastAsia="Batang"/>
              </w:rPr>
            </w:pPr>
            <w:r w:rsidRPr="000F4512">
              <w:rPr>
                <w:rFonts w:eastAsia="Batang"/>
              </w:rPr>
              <w:t>80</w:t>
            </w:r>
            <w:r w:rsidR="00C325AA">
              <w:rPr>
                <w:rFonts w:eastAsia="Batang"/>
              </w:rPr>
              <w:t xml:space="preserve"> mg/vial</w:t>
            </w:r>
          </w:p>
        </w:tc>
      </w:tr>
    </w:tbl>
    <w:p w:rsidR="00E20719" w:rsidRPr="00481EFF" w:rsidRDefault="0043778E" w:rsidP="000B5A96">
      <w:r>
        <w:tab/>
      </w:r>
      <w:r>
        <w:tab/>
      </w:r>
      <w:r w:rsidR="00C4599C" w:rsidRPr="00755858">
        <w:rPr>
          <w:i/>
        </w:rPr>
        <w:t>Not</w:t>
      </w:r>
      <w:r w:rsidR="00755858" w:rsidRPr="00755858">
        <w:rPr>
          <w:i/>
        </w:rPr>
        <w:t>e: not</w:t>
      </w:r>
      <w:r w:rsidR="00C4599C" w:rsidRPr="00755858">
        <w:rPr>
          <w:i/>
        </w:rPr>
        <w:t xml:space="preserve"> all </w:t>
      </w:r>
      <w:r w:rsidR="00755858" w:rsidRPr="00755858">
        <w:rPr>
          <w:i/>
        </w:rPr>
        <w:t>presentations above</w:t>
      </w:r>
      <w:r w:rsidR="00C4599C" w:rsidRPr="00755858">
        <w:rPr>
          <w:i/>
        </w:rPr>
        <w:t xml:space="preserve"> may be </w:t>
      </w:r>
      <w:r w:rsidR="00755858" w:rsidRPr="00755858">
        <w:rPr>
          <w:i/>
        </w:rPr>
        <w:t>available</w:t>
      </w:r>
      <w:r w:rsidR="00C4599C" w:rsidRPr="00481EFF">
        <w:t>.</w:t>
      </w:r>
    </w:p>
    <w:p w:rsidR="00E20719" w:rsidRPr="00FB13E5" w:rsidRDefault="00E20719" w:rsidP="00E20719">
      <w:pPr>
        <w:pStyle w:val="PIMinorHeading"/>
      </w:pPr>
      <w:r>
        <w:t>Storage conditions</w:t>
      </w:r>
    </w:p>
    <w:p w:rsidR="003B3A78" w:rsidRDefault="003B3A78" w:rsidP="000B5A96">
      <w:pPr>
        <w:rPr>
          <w:i/>
        </w:rPr>
      </w:pPr>
      <w:r>
        <w:t>STRENSIQ</w:t>
      </w:r>
      <w:r w:rsidRPr="00FB13E5">
        <w:t xml:space="preserve"> vials must be stored in </w:t>
      </w:r>
      <w:r>
        <w:t>a refrigerator (</w:t>
      </w:r>
      <w:r w:rsidRPr="00FB13E5">
        <w:t>2 º to 8º C</w:t>
      </w:r>
      <w:r w:rsidR="0034676F">
        <w:t>,</w:t>
      </w:r>
      <w:r w:rsidR="00B07A58">
        <w:t xml:space="preserve"> Do not freeze</w:t>
      </w:r>
      <w:r w:rsidR="0034676F">
        <w:t>)</w:t>
      </w:r>
      <w:r w:rsidRPr="00FB13E5">
        <w:t xml:space="preserve"> in the original packag</w:t>
      </w:r>
      <w:r w:rsidR="0034676F">
        <w:t>ing</w:t>
      </w:r>
      <w:r w:rsidRPr="00FB13E5">
        <w:t xml:space="preserve"> in order to protect from light.</w:t>
      </w:r>
      <w:r w:rsidR="00B07A58">
        <w:t xml:space="preserve"> </w:t>
      </w:r>
    </w:p>
    <w:p w:rsidR="003B3A78" w:rsidRDefault="003B3A78" w:rsidP="000B5A96"/>
    <w:p w:rsidR="003B3A78" w:rsidRPr="00FB13E5" w:rsidRDefault="005B38F6" w:rsidP="000B5A96">
      <w:pPr>
        <w:rPr>
          <w:lang w:eastAsia="fr-FR"/>
        </w:rPr>
      </w:pPr>
      <w:bookmarkStart w:id="7" w:name="_17_PATIENT_COUNSELING"/>
      <w:bookmarkEnd w:id="7"/>
      <w:r w:rsidRPr="005B38F6">
        <w:t>Out of refrigeration, the product should be kept at room temperature and administered within 1 hour</w:t>
      </w:r>
      <w:r>
        <w:t>.</w:t>
      </w:r>
      <w:r w:rsidR="003B3A78" w:rsidRPr="00FB13E5">
        <w:rPr>
          <w:lang w:eastAsia="fr-FR"/>
        </w:rPr>
        <w:t xml:space="preserve">  </w:t>
      </w:r>
    </w:p>
    <w:p w:rsidR="007A03CC" w:rsidRDefault="007A03CC" w:rsidP="000B5A96">
      <w:pPr>
        <w:rPr>
          <w:lang w:eastAsia="fr-FR"/>
        </w:rPr>
      </w:pPr>
    </w:p>
    <w:p w:rsidR="005B38F6" w:rsidRDefault="005B38F6" w:rsidP="000B5A96">
      <w:pPr>
        <w:rPr>
          <w:lang w:val="en-US"/>
        </w:rPr>
      </w:pPr>
      <w:proofErr w:type="gramStart"/>
      <w:r w:rsidRPr="00FB13E5">
        <w:rPr>
          <w:szCs w:val="24"/>
        </w:rPr>
        <w:t>Do not use</w:t>
      </w:r>
      <w:proofErr w:type="gramEnd"/>
      <w:r w:rsidRPr="00FB13E5">
        <w:rPr>
          <w:szCs w:val="24"/>
        </w:rPr>
        <w:t xml:space="preserve"> beyond the expiration date </w:t>
      </w:r>
      <w:r w:rsidR="00B07A58">
        <w:rPr>
          <w:szCs w:val="24"/>
        </w:rPr>
        <w:t xml:space="preserve">(EXP) </w:t>
      </w:r>
      <w:r w:rsidRPr="00FB13E5">
        <w:rPr>
          <w:szCs w:val="24"/>
        </w:rPr>
        <w:t xml:space="preserve">stamped on the </w:t>
      </w:r>
      <w:r w:rsidR="00B07A58">
        <w:rPr>
          <w:szCs w:val="24"/>
        </w:rPr>
        <w:t>packaging</w:t>
      </w:r>
      <w:r w:rsidRPr="00FB13E5">
        <w:rPr>
          <w:szCs w:val="24"/>
        </w:rPr>
        <w:t xml:space="preserve">. </w:t>
      </w:r>
      <w:r w:rsidRPr="007D18EB">
        <w:rPr>
          <w:lang w:val="en-US"/>
        </w:rPr>
        <w:t>Unused or expired medicine should be returned to a pharmacy for disposal</w:t>
      </w:r>
      <w:r>
        <w:rPr>
          <w:lang w:val="en-US"/>
        </w:rPr>
        <w:t>.</w:t>
      </w:r>
    </w:p>
    <w:p w:rsidR="00EA2BA2" w:rsidRDefault="00EA2BA2" w:rsidP="00490370">
      <w:pPr>
        <w:pStyle w:val="PIMajorHeading"/>
      </w:pPr>
      <w:r w:rsidRPr="00FB13E5">
        <w:t>NAME AND ADDRESS OF SPONSOR</w:t>
      </w:r>
    </w:p>
    <w:p w:rsidR="00EA2BA2" w:rsidRPr="00FB13E5" w:rsidRDefault="00EA2BA2" w:rsidP="004F60CE">
      <w:pPr>
        <w:pStyle w:val="CM16"/>
        <w:spacing w:after="0"/>
        <w:rPr>
          <w:rFonts w:ascii="Times New Roman" w:hAnsi="Times New Roman"/>
          <w:lang w:val="en-AU"/>
        </w:rPr>
      </w:pPr>
      <w:r w:rsidRPr="00FB13E5">
        <w:rPr>
          <w:rFonts w:ascii="Times New Roman" w:hAnsi="Times New Roman"/>
          <w:lang w:val="en-AU"/>
        </w:rPr>
        <w:t>Alexion Pharmaceuticals Australasia Pty Ltd</w:t>
      </w:r>
    </w:p>
    <w:p w:rsidR="00445E6C" w:rsidRPr="00915789" w:rsidRDefault="00445E6C" w:rsidP="000B5A96">
      <w:r w:rsidRPr="00915789">
        <w:t>Suite 40</w:t>
      </w:r>
      <w:r w:rsidR="00A968EB">
        <w:t>1</w:t>
      </w:r>
      <w:r w:rsidRPr="00915789">
        <w:t xml:space="preserve">. </w:t>
      </w:r>
      <w:proofErr w:type="gramStart"/>
      <w:r w:rsidRPr="00915789">
        <w:t>Level 4.</w:t>
      </w:r>
      <w:proofErr w:type="gramEnd"/>
      <w:r w:rsidRPr="00915789">
        <w:t xml:space="preserve"> Building A</w:t>
      </w:r>
    </w:p>
    <w:p w:rsidR="00445E6C" w:rsidRPr="00915789" w:rsidRDefault="00445E6C" w:rsidP="000B5A96">
      <w:r w:rsidRPr="00915789">
        <w:t>20 Rodborough Rd</w:t>
      </w:r>
    </w:p>
    <w:p w:rsidR="00445E6C" w:rsidRPr="00915789" w:rsidRDefault="00445E6C" w:rsidP="000B5A96">
      <w:r w:rsidRPr="00915789">
        <w:t>Frenchs Forest</w:t>
      </w:r>
      <w:r w:rsidR="00915789">
        <w:t xml:space="preserve"> NSW 2086</w:t>
      </w:r>
    </w:p>
    <w:p w:rsidR="00EA2BA2" w:rsidRPr="00FB13E5" w:rsidRDefault="00EA2BA2" w:rsidP="004F60CE">
      <w:pPr>
        <w:pStyle w:val="Default"/>
        <w:rPr>
          <w:rFonts w:ascii="Times New Roman" w:hAnsi="Times New Roman" w:cs="Times New Roman"/>
          <w:color w:val="auto"/>
          <w:lang w:val="en-AU"/>
        </w:rPr>
      </w:pPr>
    </w:p>
    <w:p w:rsidR="004F60CE" w:rsidRDefault="003B3A78" w:rsidP="004F60CE">
      <w:pPr>
        <w:pStyle w:val="Default"/>
        <w:rPr>
          <w:rFonts w:ascii="Times New Roman" w:hAnsi="Times New Roman" w:cs="Times New Roman"/>
          <w:color w:val="auto"/>
          <w:lang w:val="en-AU"/>
        </w:rPr>
      </w:pPr>
      <w:r w:rsidRPr="003B3A78">
        <w:rPr>
          <w:rFonts w:ascii="Times New Roman" w:hAnsi="Times New Roman" w:cs="Times New Roman"/>
          <w:color w:val="auto"/>
          <w:lang w:val="en-AU"/>
        </w:rPr>
        <w:t>Medical enquiries</w:t>
      </w:r>
      <w:r>
        <w:rPr>
          <w:rFonts w:ascii="Times New Roman" w:hAnsi="Times New Roman" w:cs="Times New Roman"/>
          <w:color w:val="auto"/>
          <w:lang w:val="en-AU"/>
        </w:rPr>
        <w:t xml:space="preserve">: 1800 </w:t>
      </w:r>
      <w:r w:rsidRPr="003B3A78">
        <w:rPr>
          <w:rFonts w:ascii="Times New Roman" w:hAnsi="Times New Roman" w:cs="Times New Roman"/>
          <w:color w:val="auto"/>
          <w:lang w:val="en-AU"/>
        </w:rPr>
        <w:t>788 189</w:t>
      </w:r>
    </w:p>
    <w:p w:rsidR="002D3EEA" w:rsidRDefault="002D3EEA" w:rsidP="00490370">
      <w:pPr>
        <w:pStyle w:val="PIMajorHeading"/>
      </w:pPr>
      <w:bookmarkStart w:id="8" w:name="_GoBack"/>
      <w:bookmarkEnd w:id="8"/>
      <w:r w:rsidRPr="00FB13E5">
        <w:t xml:space="preserve">POISONS SCHEDULE OF </w:t>
      </w:r>
      <w:r w:rsidR="002B7EA6" w:rsidRPr="00FB13E5">
        <w:t xml:space="preserve">THE </w:t>
      </w:r>
      <w:r w:rsidRPr="00FB13E5">
        <w:t>MEDICINE</w:t>
      </w:r>
    </w:p>
    <w:p w:rsidR="00887C2A" w:rsidRDefault="002D3EEA" w:rsidP="000B5A96">
      <w:r w:rsidRPr="00FB13E5">
        <w:t xml:space="preserve">S4. Prescription </w:t>
      </w:r>
      <w:r w:rsidR="007E3E77" w:rsidRPr="00FB13E5">
        <w:t>M</w:t>
      </w:r>
      <w:r w:rsidRPr="00FB13E5">
        <w:t>edicine</w:t>
      </w:r>
    </w:p>
    <w:p w:rsidR="00B1748E" w:rsidRDefault="00B1748E" w:rsidP="000B5A96"/>
    <w:p w:rsidR="004F60CE" w:rsidRDefault="004F60CE" w:rsidP="000B5A96"/>
    <w:p w:rsidR="00E22A9C" w:rsidRPr="00FB13E5" w:rsidRDefault="002B7EA6" w:rsidP="004F60CE">
      <w:pPr>
        <w:pStyle w:val="Default"/>
        <w:rPr>
          <w:rFonts w:ascii="Times New Roman" w:hAnsi="Times New Roman" w:cs="Times New Roman"/>
          <w:color w:val="auto"/>
          <w:sz w:val="28"/>
          <w:lang w:val="en-AU"/>
        </w:rPr>
      </w:pPr>
      <w:r w:rsidRPr="00AA7E9D">
        <w:rPr>
          <w:rStyle w:val="PIMajorHeadingChar"/>
          <w:rFonts w:ascii="Times New Roman" w:hAnsi="Times New Roman" w:cs="Times New Roman"/>
          <w:caps/>
        </w:rPr>
        <w:t>Date o</w:t>
      </w:r>
      <w:r w:rsidR="007C2FD1" w:rsidRPr="00AA7E9D">
        <w:rPr>
          <w:rStyle w:val="PIMajorHeadingChar"/>
          <w:rFonts w:ascii="Times New Roman" w:hAnsi="Times New Roman" w:cs="Times New Roman"/>
          <w:caps/>
        </w:rPr>
        <w:t>f</w:t>
      </w:r>
      <w:r w:rsidR="00EA2BA2" w:rsidRPr="00AA7E9D">
        <w:rPr>
          <w:rStyle w:val="PIMajorHeadingChar"/>
          <w:rFonts w:ascii="Times New Roman" w:hAnsi="Times New Roman" w:cs="Times New Roman"/>
          <w:caps/>
        </w:rPr>
        <w:t xml:space="preserve"> First Inclusion in the Australian Register of Therapeutic Goods (the ARTG)</w:t>
      </w:r>
      <w:r w:rsidR="00B17619" w:rsidRPr="00AA7E9D">
        <w:rPr>
          <w:rStyle w:val="PIMajorHeadingChar"/>
          <w:rFonts w:ascii="Times New Roman" w:hAnsi="Times New Roman" w:cs="Times New Roman"/>
          <w:caps/>
        </w:rPr>
        <w:t>:</w:t>
      </w:r>
      <w:r w:rsidR="0044703B" w:rsidRPr="00086803">
        <w:rPr>
          <w:rFonts w:ascii="Times New Roman" w:hAnsi="Times New Roman" w:cs="Times New Roman"/>
          <w:b/>
          <w:caps/>
          <w:color w:val="auto"/>
          <w:lang w:val="en-AU"/>
        </w:rPr>
        <w:t xml:space="preserve"> </w:t>
      </w:r>
      <w:r w:rsidR="00CB6F5B" w:rsidRPr="00CB6F5B">
        <w:rPr>
          <w:rFonts w:ascii="Times New Roman" w:hAnsi="Times New Roman" w:cs="Times New Roman"/>
          <w:color w:val="auto"/>
          <w:lang w:val="en-AU"/>
        </w:rPr>
        <w:t xml:space="preserve">14 </w:t>
      </w:r>
      <w:r w:rsidR="00CB6F5B">
        <w:rPr>
          <w:rFonts w:ascii="Times New Roman" w:hAnsi="Times New Roman" w:cs="Times New Roman"/>
          <w:color w:val="auto"/>
          <w:lang w:val="en-AU"/>
        </w:rPr>
        <w:t>January</w:t>
      </w:r>
      <w:r w:rsidR="00CB6F5B">
        <w:rPr>
          <w:rFonts w:ascii="Times New Roman" w:hAnsi="Times New Roman" w:cs="Times New Roman"/>
          <w:caps/>
          <w:color w:val="auto"/>
          <w:lang w:val="en-AU"/>
        </w:rPr>
        <w:t xml:space="preserve"> 2016</w:t>
      </w:r>
    </w:p>
    <w:sectPr w:rsidR="00E22A9C" w:rsidRPr="00FB13E5" w:rsidSect="000D1855">
      <w:headerReference w:type="default" r:id="rId10"/>
      <w:footerReference w:type="default" r:id="rId11"/>
      <w:pgSz w:w="11907" w:h="16839" w:code="9"/>
      <w:pgMar w:top="1418" w:right="1418" w:bottom="1418" w:left="1418" w:header="680" w:footer="680" w:gutter="79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931" w:rsidRDefault="00466931" w:rsidP="000B5A96">
      <w:r>
        <w:separator/>
      </w:r>
    </w:p>
    <w:p w:rsidR="00466931" w:rsidRDefault="00466931" w:rsidP="000B5A96"/>
  </w:endnote>
  <w:endnote w:type="continuationSeparator" w:id="0">
    <w:p w:rsidR="00466931" w:rsidRDefault="00466931" w:rsidP="000B5A96">
      <w:r>
        <w:continuationSeparator/>
      </w:r>
    </w:p>
    <w:p w:rsidR="00466931" w:rsidRDefault="00466931" w:rsidP="000B5A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 A 20 F 6 BE 8o 00">
    <w:altName w:val="TT A 20 F 6 BE 8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9AB" w:rsidRPr="00904D14" w:rsidRDefault="00AE2046" w:rsidP="000B5A96">
    <w:pPr>
      <w:pStyle w:val="Footer"/>
    </w:pPr>
    <w:r>
      <w:rPr>
        <w:rStyle w:val="PageNumber"/>
        <w:sz w:val="20"/>
        <w:szCs w:val="20"/>
      </w:rPr>
      <w:t>160104_D</w:t>
    </w:r>
    <w:r w:rsidR="00954823">
      <w:rPr>
        <w:rStyle w:val="PageNumber"/>
        <w:sz w:val="20"/>
        <w:szCs w:val="20"/>
      </w:rPr>
      <w:t>2</w:t>
    </w:r>
    <w:r w:rsidR="00F819AB">
      <w:rPr>
        <w:rStyle w:val="PageNumber"/>
        <w:sz w:val="20"/>
        <w:szCs w:val="20"/>
      </w:rPr>
      <w:t>_Strensiq PI</w:t>
    </w:r>
    <w:r w:rsidR="00F819AB">
      <w:rPr>
        <w:rStyle w:val="PageNumber"/>
        <w:sz w:val="16"/>
        <w:szCs w:val="16"/>
      </w:rPr>
      <w:tab/>
    </w:r>
    <w:r w:rsidR="00F819AB">
      <w:rPr>
        <w:rStyle w:val="PageNumber"/>
      </w:rPr>
      <w:fldChar w:fldCharType="begin"/>
    </w:r>
    <w:r w:rsidR="00F819AB">
      <w:rPr>
        <w:rStyle w:val="PageNumber"/>
      </w:rPr>
      <w:instrText xml:space="preserve"> PAGE </w:instrText>
    </w:r>
    <w:r w:rsidR="00F819AB">
      <w:rPr>
        <w:rStyle w:val="PageNumber"/>
      </w:rPr>
      <w:fldChar w:fldCharType="separate"/>
    </w:r>
    <w:r w:rsidR="00EF0DCB">
      <w:rPr>
        <w:rStyle w:val="PageNumber"/>
        <w:noProof/>
      </w:rPr>
      <w:t>1</w:t>
    </w:r>
    <w:r w:rsidR="00F819AB">
      <w:rPr>
        <w:rStyle w:val="PageNumber"/>
      </w:rPr>
      <w:fldChar w:fldCharType="end"/>
    </w:r>
    <w:r w:rsidR="00F819AB">
      <w:rPr>
        <w:rStyle w:val="PageNumber"/>
      </w:rPr>
      <w:tab/>
    </w:r>
  </w:p>
  <w:p w:rsidR="00F819AB" w:rsidRDefault="00F819AB" w:rsidP="000B5A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931" w:rsidRDefault="00466931" w:rsidP="000B5A96">
      <w:r>
        <w:separator/>
      </w:r>
    </w:p>
    <w:p w:rsidR="00466931" w:rsidRDefault="00466931" w:rsidP="000B5A96"/>
  </w:footnote>
  <w:footnote w:type="continuationSeparator" w:id="0">
    <w:p w:rsidR="00466931" w:rsidRDefault="00466931" w:rsidP="000B5A96">
      <w:r>
        <w:continuationSeparator/>
      </w:r>
    </w:p>
    <w:p w:rsidR="00466931" w:rsidRDefault="00466931" w:rsidP="000B5A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shd w:val="clear" w:color="auto" w:fill="E4F2E0"/>
      <w:tblLook w:val="04A0" w:firstRow="1" w:lastRow="0" w:firstColumn="1" w:lastColumn="0" w:noHBand="0" w:noVBand="1"/>
    </w:tblPr>
    <w:tblGrid>
      <w:gridCol w:w="8720"/>
    </w:tblGrid>
    <w:tr w:rsidR="00FC65F9" w:rsidTr="009A0C80">
      <w:tc>
        <w:tcPr>
          <w:tcW w:w="8720" w:type="dxa"/>
          <w:shd w:val="clear" w:color="auto" w:fill="E4F2E0"/>
        </w:tcPr>
        <w:p w:rsidR="00FC65F9" w:rsidRPr="00D361CA" w:rsidRDefault="00FC65F9" w:rsidP="00FC65F9">
          <w:pPr>
            <w:spacing w:before="40" w:after="40"/>
            <w:rPr>
              <w:b/>
              <w:sz w:val="20"/>
              <w:szCs w:val="20"/>
            </w:rPr>
          </w:pPr>
          <w:r w:rsidRPr="00FC65F9">
            <w:rPr>
              <w:rFonts w:asciiTheme="majorHAnsi" w:hAnsiTheme="majorHAnsi"/>
              <w:b/>
              <w:sz w:val="20"/>
              <w:szCs w:val="20"/>
            </w:rPr>
            <w:t xml:space="preserve">Attachment 1: Product information for </w:t>
          </w:r>
          <w:proofErr w:type="spellStart"/>
          <w:r w:rsidRPr="00FC65F9">
            <w:rPr>
              <w:rFonts w:asciiTheme="majorHAnsi" w:hAnsiTheme="majorHAnsi"/>
              <w:b/>
              <w:sz w:val="20"/>
              <w:szCs w:val="20"/>
            </w:rPr>
            <w:t>AusPAR</w:t>
          </w:r>
          <w:proofErr w:type="spellEnd"/>
          <w:r w:rsidRPr="00FC65F9">
            <w:rPr>
              <w:rFonts w:asciiTheme="majorHAnsi" w:hAnsiTheme="majorHAnsi"/>
              <w:b/>
              <w:sz w:val="20"/>
              <w:szCs w:val="20"/>
            </w:rPr>
            <w:t xml:space="preserve"> </w:t>
          </w:r>
          <w:proofErr w:type="spellStart"/>
          <w:r w:rsidRPr="00FC65F9">
            <w:rPr>
              <w:rFonts w:asciiTheme="majorHAnsi" w:hAnsiTheme="majorHAnsi"/>
              <w:b/>
              <w:sz w:val="20"/>
              <w:szCs w:val="20"/>
            </w:rPr>
            <w:t>Strensiq</w:t>
          </w:r>
          <w:proofErr w:type="spellEnd"/>
          <w:r w:rsidRPr="00FC65F9">
            <w:rPr>
              <w:rFonts w:asciiTheme="majorHAnsi" w:hAnsiTheme="majorHAnsi"/>
              <w:b/>
              <w:sz w:val="20"/>
              <w:szCs w:val="20"/>
            </w:rPr>
            <w:t xml:space="preserve"> sponsor Alexion Pharmaceuticals Australia Pty Ltd PM-2014-03845-1-3</w:t>
          </w:r>
          <w:r>
            <w:rPr>
              <w:rFonts w:asciiTheme="majorHAnsi" w:hAnsiTheme="majorHAnsi"/>
              <w:b/>
              <w:sz w:val="20"/>
              <w:szCs w:val="20"/>
            </w:rPr>
            <w:t xml:space="preserve"> </w:t>
          </w:r>
          <w:r w:rsidRPr="00FC65F9">
            <w:rPr>
              <w:rFonts w:asciiTheme="majorHAnsi" w:hAnsiTheme="majorHAnsi"/>
              <w:b/>
              <w:sz w:val="20"/>
              <w:szCs w:val="20"/>
            </w:rPr>
            <w:t xml:space="preserve">1 July 2016. This Product Information was approved at the time this </w:t>
          </w:r>
          <w:proofErr w:type="spellStart"/>
          <w:r w:rsidRPr="00FC65F9">
            <w:rPr>
              <w:rFonts w:asciiTheme="majorHAnsi" w:hAnsiTheme="majorHAnsi"/>
              <w:b/>
              <w:sz w:val="20"/>
              <w:szCs w:val="20"/>
            </w:rPr>
            <w:t>AusPAR</w:t>
          </w:r>
          <w:proofErr w:type="spellEnd"/>
          <w:r w:rsidRPr="00FC65F9">
            <w:rPr>
              <w:rFonts w:asciiTheme="majorHAnsi" w:hAnsiTheme="majorHAnsi"/>
              <w:b/>
              <w:sz w:val="20"/>
              <w:szCs w:val="20"/>
            </w:rPr>
            <w:t xml:space="preserve"> was publishe</w:t>
          </w:r>
          <w:r w:rsidRPr="00D361CA">
            <w:rPr>
              <w:b/>
              <w:sz w:val="20"/>
              <w:szCs w:val="20"/>
            </w:rPr>
            <w:t>d.</w:t>
          </w:r>
        </w:p>
      </w:tc>
    </w:tr>
  </w:tbl>
  <w:p w:rsidR="00FC65F9" w:rsidRDefault="00FC65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DD01CE"/>
    <w:multiLevelType w:val="hybridMultilevel"/>
    <w:tmpl w:val="228A56EF"/>
    <w:lvl w:ilvl="0" w:tplc="FFFFFFFF">
      <w:start w:val="1"/>
      <w:numFmt w:val="decimal"/>
      <w:suff w:val="nothing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2F6135F"/>
    <w:multiLevelType w:val="hybridMultilevel"/>
    <w:tmpl w:val="5C8410DD"/>
    <w:lvl w:ilvl="0" w:tplc="FFFFFFFF">
      <w:start w:val="1"/>
      <w:numFmt w:val="decimal"/>
      <w:suff w:val="nothing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851BB7"/>
    <w:multiLevelType w:val="hybridMultilevel"/>
    <w:tmpl w:val="D871C525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AF20F36"/>
    <w:multiLevelType w:val="hybridMultilevel"/>
    <w:tmpl w:val="5F4E8FB0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72CB7"/>
    <w:multiLevelType w:val="hybridMultilevel"/>
    <w:tmpl w:val="6AD87DB0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">
    <w:nsid w:val="0EC375CC"/>
    <w:multiLevelType w:val="hybridMultilevel"/>
    <w:tmpl w:val="54A24FC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468CC"/>
    <w:multiLevelType w:val="hybridMultilevel"/>
    <w:tmpl w:val="4F8C2782"/>
    <w:lvl w:ilvl="0" w:tplc="1602B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A821202"/>
    <w:multiLevelType w:val="hybridMultilevel"/>
    <w:tmpl w:val="6F92CC9A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51CDC"/>
    <w:multiLevelType w:val="hybridMultilevel"/>
    <w:tmpl w:val="A8D4775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B4426AB"/>
    <w:multiLevelType w:val="hybridMultilevel"/>
    <w:tmpl w:val="7CD0BC24"/>
    <w:lvl w:ilvl="0" w:tplc="6D8E618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AF1333"/>
    <w:multiLevelType w:val="hybridMultilevel"/>
    <w:tmpl w:val="9F00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9E7302"/>
    <w:multiLevelType w:val="hybridMultilevel"/>
    <w:tmpl w:val="DDCC5CFA"/>
    <w:lvl w:ilvl="0" w:tplc="04090019">
      <w:start w:val="1"/>
      <w:numFmt w:val="lowerLetter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>
    <w:nsid w:val="210D2234"/>
    <w:multiLevelType w:val="hybridMultilevel"/>
    <w:tmpl w:val="0024E6E6"/>
    <w:lvl w:ilvl="0" w:tplc="0409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805E1"/>
    <w:multiLevelType w:val="hybridMultilevel"/>
    <w:tmpl w:val="8608548E"/>
    <w:lvl w:ilvl="0" w:tplc="31B0744E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1B0744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7D1866"/>
    <w:multiLevelType w:val="hybridMultilevel"/>
    <w:tmpl w:val="77845D3C"/>
    <w:lvl w:ilvl="0" w:tplc="04090001">
      <w:start w:val="1"/>
      <w:numFmt w:val="bullet"/>
      <w:pStyle w:val="Bullet1"/>
      <w:lvlText w:val=""/>
      <w:lvlJc w:val="left"/>
      <w:pPr>
        <w:tabs>
          <w:tab w:val="num" w:pos="288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2B3F8A"/>
    <w:multiLevelType w:val="hybridMultilevel"/>
    <w:tmpl w:val="7F72DD2A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>
    <w:nsid w:val="295C6C23"/>
    <w:multiLevelType w:val="hybridMultilevel"/>
    <w:tmpl w:val="B478EFD2"/>
    <w:lvl w:ilvl="0" w:tplc="0409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7">
    <w:nsid w:val="2ABB7B09"/>
    <w:multiLevelType w:val="hybridMultilevel"/>
    <w:tmpl w:val="CE02C1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2D967E9C"/>
    <w:multiLevelType w:val="hybridMultilevel"/>
    <w:tmpl w:val="04C8C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A497F"/>
    <w:multiLevelType w:val="hybridMultilevel"/>
    <w:tmpl w:val="BD502BD2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E870C1"/>
    <w:multiLevelType w:val="hybridMultilevel"/>
    <w:tmpl w:val="F4F271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0D56FE"/>
    <w:multiLevelType w:val="hybridMultilevel"/>
    <w:tmpl w:val="4B5A333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3B32237B"/>
    <w:multiLevelType w:val="hybridMultilevel"/>
    <w:tmpl w:val="0B24E590"/>
    <w:lvl w:ilvl="0" w:tplc="B0D2E92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3EBF6ED1"/>
    <w:multiLevelType w:val="hybridMultilevel"/>
    <w:tmpl w:val="C93487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60714F"/>
    <w:multiLevelType w:val="hybridMultilevel"/>
    <w:tmpl w:val="E6B41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884821"/>
    <w:multiLevelType w:val="hybridMultilevel"/>
    <w:tmpl w:val="CFAA45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4E9C6E77"/>
    <w:multiLevelType w:val="multilevel"/>
    <w:tmpl w:val="2CA8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9B775C"/>
    <w:multiLevelType w:val="multilevel"/>
    <w:tmpl w:val="C29A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2E5967"/>
    <w:multiLevelType w:val="hybridMultilevel"/>
    <w:tmpl w:val="60FABB9E"/>
    <w:lvl w:ilvl="0" w:tplc="0409000B">
      <w:start w:val="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EB4731"/>
    <w:multiLevelType w:val="multilevel"/>
    <w:tmpl w:val="EF66E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AD2DC1"/>
    <w:multiLevelType w:val="hybridMultilevel"/>
    <w:tmpl w:val="1E68E640"/>
    <w:lvl w:ilvl="0" w:tplc="105C1A36">
      <w:numFmt w:val="bullet"/>
      <w:lvlText w:val="•"/>
      <w:lvlJc w:val="left"/>
      <w:pPr>
        <w:ind w:left="57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DF1BED"/>
    <w:multiLevelType w:val="hybridMultilevel"/>
    <w:tmpl w:val="A31CE6DA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C77F8B"/>
    <w:multiLevelType w:val="hybridMultilevel"/>
    <w:tmpl w:val="A8DEF5D2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3">
    <w:nsid w:val="67DE03F9"/>
    <w:multiLevelType w:val="hybridMultilevel"/>
    <w:tmpl w:val="3952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3D1B11"/>
    <w:multiLevelType w:val="hybridMultilevel"/>
    <w:tmpl w:val="058C30A2"/>
    <w:lvl w:ilvl="0" w:tplc="6D8E618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C35166"/>
    <w:multiLevelType w:val="hybridMultilevel"/>
    <w:tmpl w:val="EFFC5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942D53"/>
    <w:multiLevelType w:val="hybridMultilevel"/>
    <w:tmpl w:val="09C4F1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A191A"/>
    <w:multiLevelType w:val="hybridMultilevel"/>
    <w:tmpl w:val="EBAE2D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6"/>
  </w:num>
  <w:num w:numId="5">
    <w:abstractNumId w:val="14"/>
  </w:num>
  <w:num w:numId="6">
    <w:abstractNumId w:val="21"/>
  </w:num>
  <w:num w:numId="7">
    <w:abstractNumId w:val="4"/>
  </w:num>
  <w:num w:numId="8">
    <w:abstractNumId w:val="32"/>
  </w:num>
  <w:num w:numId="9">
    <w:abstractNumId w:val="24"/>
  </w:num>
  <w:num w:numId="10">
    <w:abstractNumId w:val="13"/>
  </w:num>
  <w:num w:numId="11">
    <w:abstractNumId w:val="6"/>
  </w:num>
  <w:num w:numId="12">
    <w:abstractNumId w:val="30"/>
  </w:num>
  <w:num w:numId="13">
    <w:abstractNumId w:val="15"/>
  </w:num>
  <w:num w:numId="14">
    <w:abstractNumId w:val="18"/>
  </w:num>
  <w:num w:numId="15">
    <w:abstractNumId w:val="28"/>
  </w:num>
  <w:num w:numId="16">
    <w:abstractNumId w:val="23"/>
  </w:num>
  <w:num w:numId="17">
    <w:abstractNumId w:val="11"/>
  </w:num>
  <w:num w:numId="18">
    <w:abstractNumId w:val="20"/>
  </w:num>
  <w:num w:numId="19">
    <w:abstractNumId w:val="8"/>
  </w:num>
  <w:num w:numId="20">
    <w:abstractNumId w:val="22"/>
  </w:num>
  <w:num w:numId="21">
    <w:abstractNumId w:val="26"/>
  </w:num>
  <w:num w:numId="22">
    <w:abstractNumId w:val="29"/>
  </w:num>
  <w:num w:numId="23">
    <w:abstractNumId w:val="27"/>
  </w:num>
  <w:num w:numId="24">
    <w:abstractNumId w:val="33"/>
  </w:num>
  <w:num w:numId="25">
    <w:abstractNumId w:val="7"/>
  </w:num>
  <w:num w:numId="26">
    <w:abstractNumId w:val="3"/>
  </w:num>
  <w:num w:numId="27">
    <w:abstractNumId w:val="34"/>
  </w:num>
  <w:num w:numId="28">
    <w:abstractNumId w:val="9"/>
  </w:num>
  <w:num w:numId="29">
    <w:abstractNumId w:val="17"/>
  </w:num>
  <w:num w:numId="30">
    <w:abstractNumId w:val="25"/>
  </w:num>
  <w:num w:numId="31">
    <w:abstractNumId w:val="35"/>
  </w:num>
  <w:num w:numId="32">
    <w:abstractNumId w:val="36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19"/>
  </w:num>
  <w:num w:numId="36">
    <w:abstractNumId w:val="12"/>
  </w:num>
  <w:num w:numId="37">
    <w:abstractNumId w:val="5"/>
  </w:num>
  <w:num w:numId="38">
    <w:abstractNumId w:val="10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de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EA"/>
    <w:rsid w:val="000023F4"/>
    <w:rsid w:val="00002751"/>
    <w:rsid w:val="00003AAE"/>
    <w:rsid w:val="000046BB"/>
    <w:rsid w:val="00005326"/>
    <w:rsid w:val="0000613A"/>
    <w:rsid w:val="00007A18"/>
    <w:rsid w:val="0001006A"/>
    <w:rsid w:val="00011484"/>
    <w:rsid w:val="000116F5"/>
    <w:rsid w:val="0001250C"/>
    <w:rsid w:val="00012C26"/>
    <w:rsid w:val="00015B02"/>
    <w:rsid w:val="00021FF6"/>
    <w:rsid w:val="00024080"/>
    <w:rsid w:val="00025122"/>
    <w:rsid w:val="00026C54"/>
    <w:rsid w:val="00027734"/>
    <w:rsid w:val="00027CB6"/>
    <w:rsid w:val="00027DC9"/>
    <w:rsid w:val="00027EAD"/>
    <w:rsid w:val="00031076"/>
    <w:rsid w:val="000310D0"/>
    <w:rsid w:val="00031704"/>
    <w:rsid w:val="0003711C"/>
    <w:rsid w:val="000403EF"/>
    <w:rsid w:val="00041D7C"/>
    <w:rsid w:val="00042762"/>
    <w:rsid w:val="00043CF8"/>
    <w:rsid w:val="00045D72"/>
    <w:rsid w:val="00046073"/>
    <w:rsid w:val="000463E8"/>
    <w:rsid w:val="000505DF"/>
    <w:rsid w:val="00051956"/>
    <w:rsid w:val="00052EEF"/>
    <w:rsid w:val="00056444"/>
    <w:rsid w:val="0005665A"/>
    <w:rsid w:val="00060747"/>
    <w:rsid w:val="00060B88"/>
    <w:rsid w:val="00061ECA"/>
    <w:rsid w:val="00066355"/>
    <w:rsid w:val="00067C76"/>
    <w:rsid w:val="00067E3D"/>
    <w:rsid w:val="00074504"/>
    <w:rsid w:val="00075BDF"/>
    <w:rsid w:val="00077658"/>
    <w:rsid w:val="00081E6D"/>
    <w:rsid w:val="000863B0"/>
    <w:rsid w:val="00086803"/>
    <w:rsid w:val="000869AB"/>
    <w:rsid w:val="00086F1E"/>
    <w:rsid w:val="00087156"/>
    <w:rsid w:val="00087342"/>
    <w:rsid w:val="00087367"/>
    <w:rsid w:val="00090231"/>
    <w:rsid w:val="000914FC"/>
    <w:rsid w:val="00091859"/>
    <w:rsid w:val="00092250"/>
    <w:rsid w:val="00092E9D"/>
    <w:rsid w:val="000932EB"/>
    <w:rsid w:val="00093B71"/>
    <w:rsid w:val="00094101"/>
    <w:rsid w:val="00097B97"/>
    <w:rsid w:val="000A0BF0"/>
    <w:rsid w:val="000A3179"/>
    <w:rsid w:val="000A41BA"/>
    <w:rsid w:val="000A4C59"/>
    <w:rsid w:val="000A5499"/>
    <w:rsid w:val="000A5612"/>
    <w:rsid w:val="000A671D"/>
    <w:rsid w:val="000B00A0"/>
    <w:rsid w:val="000B0EB9"/>
    <w:rsid w:val="000B1AEF"/>
    <w:rsid w:val="000B2336"/>
    <w:rsid w:val="000B4540"/>
    <w:rsid w:val="000B5A96"/>
    <w:rsid w:val="000B6479"/>
    <w:rsid w:val="000B68DE"/>
    <w:rsid w:val="000C04C3"/>
    <w:rsid w:val="000C23A1"/>
    <w:rsid w:val="000C5DB1"/>
    <w:rsid w:val="000C5DC6"/>
    <w:rsid w:val="000C62DB"/>
    <w:rsid w:val="000C76DE"/>
    <w:rsid w:val="000D0B33"/>
    <w:rsid w:val="000D1855"/>
    <w:rsid w:val="000D2CEE"/>
    <w:rsid w:val="000D49DB"/>
    <w:rsid w:val="000D50CE"/>
    <w:rsid w:val="000D5123"/>
    <w:rsid w:val="000D6E2B"/>
    <w:rsid w:val="000E0ED4"/>
    <w:rsid w:val="000E15A7"/>
    <w:rsid w:val="000E3E8C"/>
    <w:rsid w:val="000E5724"/>
    <w:rsid w:val="000F4512"/>
    <w:rsid w:val="000F6CDB"/>
    <w:rsid w:val="001003C7"/>
    <w:rsid w:val="00101C40"/>
    <w:rsid w:val="00102351"/>
    <w:rsid w:val="00110063"/>
    <w:rsid w:val="001108DB"/>
    <w:rsid w:val="00112B85"/>
    <w:rsid w:val="00112EF4"/>
    <w:rsid w:val="00113373"/>
    <w:rsid w:val="00121202"/>
    <w:rsid w:val="001216AB"/>
    <w:rsid w:val="00123755"/>
    <w:rsid w:val="001244D3"/>
    <w:rsid w:val="00124B43"/>
    <w:rsid w:val="00125194"/>
    <w:rsid w:val="00131259"/>
    <w:rsid w:val="00132AB0"/>
    <w:rsid w:val="00133828"/>
    <w:rsid w:val="00133DD6"/>
    <w:rsid w:val="00135C37"/>
    <w:rsid w:val="001404D6"/>
    <w:rsid w:val="0014173D"/>
    <w:rsid w:val="001425F5"/>
    <w:rsid w:val="001501FE"/>
    <w:rsid w:val="00150359"/>
    <w:rsid w:val="00150CED"/>
    <w:rsid w:val="00151E3D"/>
    <w:rsid w:val="00152426"/>
    <w:rsid w:val="00155256"/>
    <w:rsid w:val="0016035B"/>
    <w:rsid w:val="00160938"/>
    <w:rsid w:val="00162D78"/>
    <w:rsid w:val="00164BB6"/>
    <w:rsid w:val="0016523C"/>
    <w:rsid w:val="00165897"/>
    <w:rsid w:val="00166254"/>
    <w:rsid w:val="00167662"/>
    <w:rsid w:val="00167C07"/>
    <w:rsid w:val="00172FF8"/>
    <w:rsid w:val="00173CFA"/>
    <w:rsid w:val="00174181"/>
    <w:rsid w:val="001744A3"/>
    <w:rsid w:val="001753EA"/>
    <w:rsid w:val="0017623E"/>
    <w:rsid w:val="00177031"/>
    <w:rsid w:val="00180057"/>
    <w:rsid w:val="0018148F"/>
    <w:rsid w:val="001814B0"/>
    <w:rsid w:val="00181E1D"/>
    <w:rsid w:val="00183DCF"/>
    <w:rsid w:val="00184B97"/>
    <w:rsid w:val="00186D1B"/>
    <w:rsid w:val="00191102"/>
    <w:rsid w:val="0019320E"/>
    <w:rsid w:val="00193A6A"/>
    <w:rsid w:val="001947D3"/>
    <w:rsid w:val="0019515B"/>
    <w:rsid w:val="0019532B"/>
    <w:rsid w:val="00195BF2"/>
    <w:rsid w:val="00195ECC"/>
    <w:rsid w:val="001A0274"/>
    <w:rsid w:val="001A0B2D"/>
    <w:rsid w:val="001A0F7F"/>
    <w:rsid w:val="001A3C80"/>
    <w:rsid w:val="001A5EDB"/>
    <w:rsid w:val="001B005B"/>
    <w:rsid w:val="001B13CB"/>
    <w:rsid w:val="001B3E71"/>
    <w:rsid w:val="001B5227"/>
    <w:rsid w:val="001B5D8D"/>
    <w:rsid w:val="001B61EE"/>
    <w:rsid w:val="001B7973"/>
    <w:rsid w:val="001C1C5D"/>
    <w:rsid w:val="001C24A5"/>
    <w:rsid w:val="001C37CE"/>
    <w:rsid w:val="001C5269"/>
    <w:rsid w:val="001C56D2"/>
    <w:rsid w:val="001C5CD7"/>
    <w:rsid w:val="001C6816"/>
    <w:rsid w:val="001C7C7E"/>
    <w:rsid w:val="001D0847"/>
    <w:rsid w:val="001D093C"/>
    <w:rsid w:val="001D2FA2"/>
    <w:rsid w:val="001D4109"/>
    <w:rsid w:val="001D6EBF"/>
    <w:rsid w:val="001D7CEB"/>
    <w:rsid w:val="001E051B"/>
    <w:rsid w:val="001E0C62"/>
    <w:rsid w:val="001E14EA"/>
    <w:rsid w:val="001E192C"/>
    <w:rsid w:val="001E38A4"/>
    <w:rsid w:val="001E4E0F"/>
    <w:rsid w:val="001F01A8"/>
    <w:rsid w:val="001F122E"/>
    <w:rsid w:val="001F255A"/>
    <w:rsid w:val="001F29AE"/>
    <w:rsid w:val="001F3384"/>
    <w:rsid w:val="001F59EA"/>
    <w:rsid w:val="001F6455"/>
    <w:rsid w:val="00200BA7"/>
    <w:rsid w:val="002022FD"/>
    <w:rsid w:val="00207D75"/>
    <w:rsid w:val="002129E2"/>
    <w:rsid w:val="00213D6D"/>
    <w:rsid w:val="00216B34"/>
    <w:rsid w:val="00220195"/>
    <w:rsid w:val="00221DD2"/>
    <w:rsid w:val="00225B12"/>
    <w:rsid w:val="00225EBA"/>
    <w:rsid w:val="00226580"/>
    <w:rsid w:val="00230B26"/>
    <w:rsid w:val="00233081"/>
    <w:rsid w:val="0023608A"/>
    <w:rsid w:val="002360F3"/>
    <w:rsid w:val="002368EB"/>
    <w:rsid w:val="00237828"/>
    <w:rsid w:val="0024427C"/>
    <w:rsid w:val="0024592B"/>
    <w:rsid w:val="00245FEF"/>
    <w:rsid w:val="002522D6"/>
    <w:rsid w:val="0025376B"/>
    <w:rsid w:val="00255246"/>
    <w:rsid w:val="00255A60"/>
    <w:rsid w:val="00255B8A"/>
    <w:rsid w:val="002566BB"/>
    <w:rsid w:val="00260499"/>
    <w:rsid w:val="002638A5"/>
    <w:rsid w:val="0026490D"/>
    <w:rsid w:val="00267E76"/>
    <w:rsid w:val="00267ED7"/>
    <w:rsid w:val="0027183B"/>
    <w:rsid w:val="002761EF"/>
    <w:rsid w:val="00276B49"/>
    <w:rsid w:val="00280187"/>
    <w:rsid w:val="00280484"/>
    <w:rsid w:val="00283162"/>
    <w:rsid w:val="00283910"/>
    <w:rsid w:val="00284A27"/>
    <w:rsid w:val="002865FC"/>
    <w:rsid w:val="0029004E"/>
    <w:rsid w:val="0029023A"/>
    <w:rsid w:val="00291D5F"/>
    <w:rsid w:val="00292A12"/>
    <w:rsid w:val="00294A37"/>
    <w:rsid w:val="00295AFD"/>
    <w:rsid w:val="00295E68"/>
    <w:rsid w:val="002963BB"/>
    <w:rsid w:val="0029667A"/>
    <w:rsid w:val="00297876"/>
    <w:rsid w:val="002A15F5"/>
    <w:rsid w:val="002A1990"/>
    <w:rsid w:val="002A21F7"/>
    <w:rsid w:val="002A2318"/>
    <w:rsid w:val="002A24E8"/>
    <w:rsid w:val="002B1FB5"/>
    <w:rsid w:val="002B3522"/>
    <w:rsid w:val="002B44F5"/>
    <w:rsid w:val="002B47D0"/>
    <w:rsid w:val="002B5EA9"/>
    <w:rsid w:val="002B7EA6"/>
    <w:rsid w:val="002C0C7D"/>
    <w:rsid w:val="002C3B04"/>
    <w:rsid w:val="002C509D"/>
    <w:rsid w:val="002C6A5F"/>
    <w:rsid w:val="002C7BC1"/>
    <w:rsid w:val="002D2CE5"/>
    <w:rsid w:val="002D3EEA"/>
    <w:rsid w:val="002D5B05"/>
    <w:rsid w:val="002D67B5"/>
    <w:rsid w:val="002D6A3F"/>
    <w:rsid w:val="002D6C46"/>
    <w:rsid w:val="002D7018"/>
    <w:rsid w:val="002E133C"/>
    <w:rsid w:val="002E26E7"/>
    <w:rsid w:val="002E45E6"/>
    <w:rsid w:val="002E5B6F"/>
    <w:rsid w:val="002E6990"/>
    <w:rsid w:val="002E7A3A"/>
    <w:rsid w:val="002F3FA4"/>
    <w:rsid w:val="002F53EF"/>
    <w:rsid w:val="002F66B9"/>
    <w:rsid w:val="002F6EA1"/>
    <w:rsid w:val="00302BDC"/>
    <w:rsid w:val="0030305F"/>
    <w:rsid w:val="003056EE"/>
    <w:rsid w:val="0030663A"/>
    <w:rsid w:val="00306E19"/>
    <w:rsid w:val="003130C9"/>
    <w:rsid w:val="003139D4"/>
    <w:rsid w:val="00313DD5"/>
    <w:rsid w:val="00314A28"/>
    <w:rsid w:val="003153EB"/>
    <w:rsid w:val="0031618A"/>
    <w:rsid w:val="00320E95"/>
    <w:rsid w:val="003226F7"/>
    <w:rsid w:val="003246D8"/>
    <w:rsid w:val="00325399"/>
    <w:rsid w:val="00333D74"/>
    <w:rsid w:val="00334651"/>
    <w:rsid w:val="00334844"/>
    <w:rsid w:val="00334A58"/>
    <w:rsid w:val="0033511B"/>
    <w:rsid w:val="0033514F"/>
    <w:rsid w:val="003351C1"/>
    <w:rsid w:val="00335837"/>
    <w:rsid w:val="00336DDF"/>
    <w:rsid w:val="00337FA6"/>
    <w:rsid w:val="003422DC"/>
    <w:rsid w:val="003446EF"/>
    <w:rsid w:val="00344A86"/>
    <w:rsid w:val="00346730"/>
    <w:rsid w:val="0034676F"/>
    <w:rsid w:val="00346FC2"/>
    <w:rsid w:val="0034709B"/>
    <w:rsid w:val="003470B1"/>
    <w:rsid w:val="003512F9"/>
    <w:rsid w:val="00351C19"/>
    <w:rsid w:val="00351F98"/>
    <w:rsid w:val="00353A77"/>
    <w:rsid w:val="00353ABA"/>
    <w:rsid w:val="00355837"/>
    <w:rsid w:val="00357A92"/>
    <w:rsid w:val="003618D4"/>
    <w:rsid w:val="00361C64"/>
    <w:rsid w:val="003622D8"/>
    <w:rsid w:val="003629B3"/>
    <w:rsid w:val="003636F3"/>
    <w:rsid w:val="003638F2"/>
    <w:rsid w:val="0036405B"/>
    <w:rsid w:val="00364EE8"/>
    <w:rsid w:val="00365974"/>
    <w:rsid w:val="00365B45"/>
    <w:rsid w:val="003664D2"/>
    <w:rsid w:val="003679FA"/>
    <w:rsid w:val="00370924"/>
    <w:rsid w:val="00370B75"/>
    <w:rsid w:val="00371583"/>
    <w:rsid w:val="00371DCC"/>
    <w:rsid w:val="00373E46"/>
    <w:rsid w:val="00375052"/>
    <w:rsid w:val="00383E9B"/>
    <w:rsid w:val="00384552"/>
    <w:rsid w:val="00390725"/>
    <w:rsid w:val="00391BF9"/>
    <w:rsid w:val="003936DB"/>
    <w:rsid w:val="00393A1F"/>
    <w:rsid w:val="003966F8"/>
    <w:rsid w:val="0039700F"/>
    <w:rsid w:val="003A45BB"/>
    <w:rsid w:val="003A5DCC"/>
    <w:rsid w:val="003A5EE0"/>
    <w:rsid w:val="003B09BB"/>
    <w:rsid w:val="003B3A78"/>
    <w:rsid w:val="003B41EC"/>
    <w:rsid w:val="003B468A"/>
    <w:rsid w:val="003B5D03"/>
    <w:rsid w:val="003B6BCE"/>
    <w:rsid w:val="003B7478"/>
    <w:rsid w:val="003C3CD6"/>
    <w:rsid w:val="003C5307"/>
    <w:rsid w:val="003C5343"/>
    <w:rsid w:val="003C536D"/>
    <w:rsid w:val="003C69C2"/>
    <w:rsid w:val="003C71B4"/>
    <w:rsid w:val="003D0B47"/>
    <w:rsid w:val="003D58C1"/>
    <w:rsid w:val="003D5FAE"/>
    <w:rsid w:val="003D5FD4"/>
    <w:rsid w:val="003D63E9"/>
    <w:rsid w:val="003D64C9"/>
    <w:rsid w:val="003D7200"/>
    <w:rsid w:val="003D766F"/>
    <w:rsid w:val="003D7968"/>
    <w:rsid w:val="003E0B7B"/>
    <w:rsid w:val="003E0E4B"/>
    <w:rsid w:val="003E17F2"/>
    <w:rsid w:val="003E1884"/>
    <w:rsid w:val="003E2312"/>
    <w:rsid w:val="003E2E7A"/>
    <w:rsid w:val="003E3B5F"/>
    <w:rsid w:val="003E596E"/>
    <w:rsid w:val="003E6C17"/>
    <w:rsid w:val="003E7022"/>
    <w:rsid w:val="003E75F3"/>
    <w:rsid w:val="003E7A53"/>
    <w:rsid w:val="003E7DC3"/>
    <w:rsid w:val="003F025D"/>
    <w:rsid w:val="003F0876"/>
    <w:rsid w:val="003F19EC"/>
    <w:rsid w:val="003F2D39"/>
    <w:rsid w:val="003F33DD"/>
    <w:rsid w:val="003F7D93"/>
    <w:rsid w:val="00400144"/>
    <w:rsid w:val="00400A75"/>
    <w:rsid w:val="00400E19"/>
    <w:rsid w:val="004025DE"/>
    <w:rsid w:val="00402D4E"/>
    <w:rsid w:val="00402D83"/>
    <w:rsid w:val="00403AF6"/>
    <w:rsid w:val="004043F5"/>
    <w:rsid w:val="004051C6"/>
    <w:rsid w:val="00407D09"/>
    <w:rsid w:val="004104E3"/>
    <w:rsid w:val="00410DC9"/>
    <w:rsid w:val="004157A3"/>
    <w:rsid w:val="00415C2A"/>
    <w:rsid w:val="004163F5"/>
    <w:rsid w:val="00416A07"/>
    <w:rsid w:val="00417DF4"/>
    <w:rsid w:val="004207B8"/>
    <w:rsid w:val="00422BCA"/>
    <w:rsid w:val="0042312C"/>
    <w:rsid w:val="00423FA5"/>
    <w:rsid w:val="00425CBA"/>
    <w:rsid w:val="00426BBA"/>
    <w:rsid w:val="0042746E"/>
    <w:rsid w:val="00430426"/>
    <w:rsid w:val="00431655"/>
    <w:rsid w:val="004316D8"/>
    <w:rsid w:val="00431A3E"/>
    <w:rsid w:val="00432534"/>
    <w:rsid w:val="00433022"/>
    <w:rsid w:val="004339FA"/>
    <w:rsid w:val="00433A40"/>
    <w:rsid w:val="00434A5E"/>
    <w:rsid w:val="00434AC9"/>
    <w:rsid w:val="004350D2"/>
    <w:rsid w:val="00436E7C"/>
    <w:rsid w:val="0043778E"/>
    <w:rsid w:val="00437990"/>
    <w:rsid w:val="0044307F"/>
    <w:rsid w:val="00444873"/>
    <w:rsid w:val="00445D27"/>
    <w:rsid w:val="00445E6C"/>
    <w:rsid w:val="004460A2"/>
    <w:rsid w:val="0044703B"/>
    <w:rsid w:val="004530CF"/>
    <w:rsid w:val="00454AF9"/>
    <w:rsid w:val="00455D13"/>
    <w:rsid w:val="004564B4"/>
    <w:rsid w:val="00461514"/>
    <w:rsid w:val="00462DEA"/>
    <w:rsid w:val="00463E52"/>
    <w:rsid w:val="00464B81"/>
    <w:rsid w:val="004658DF"/>
    <w:rsid w:val="00465A6B"/>
    <w:rsid w:val="00466931"/>
    <w:rsid w:val="004670B5"/>
    <w:rsid w:val="0047114E"/>
    <w:rsid w:val="004720E5"/>
    <w:rsid w:val="004731F3"/>
    <w:rsid w:val="00473264"/>
    <w:rsid w:val="004750E0"/>
    <w:rsid w:val="00475A56"/>
    <w:rsid w:val="00475B3C"/>
    <w:rsid w:val="00477437"/>
    <w:rsid w:val="004776EE"/>
    <w:rsid w:val="0048141F"/>
    <w:rsid w:val="0048151F"/>
    <w:rsid w:val="00481EFF"/>
    <w:rsid w:val="00483A00"/>
    <w:rsid w:val="00485844"/>
    <w:rsid w:val="00487291"/>
    <w:rsid w:val="004900D6"/>
    <w:rsid w:val="00490370"/>
    <w:rsid w:val="00492979"/>
    <w:rsid w:val="00492B0B"/>
    <w:rsid w:val="00494A32"/>
    <w:rsid w:val="00495F6F"/>
    <w:rsid w:val="0049696E"/>
    <w:rsid w:val="00497451"/>
    <w:rsid w:val="004A172B"/>
    <w:rsid w:val="004A249E"/>
    <w:rsid w:val="004A4A34"/>
    <w:rsid w:val="004A4D8A"/>
    <w:rsid w:val="004A6914"/>
    <w:rsid w:val="004A7524"/>
    <w:rsid w:val="004B0714"/>
    <w:rsid w:val="004B3378"/>
    <w:rsid w:val="004B40B8"/>
    <w:rsid w:val="004B4A0F"/>
    <w:rsid w:val="004B6603"/>
    <w:rsid w:val="004B6751"/>
    <w:rsid w:val="004C182D"/>
    <w:rsid w:val="004C24F8"/>
    <w:rsid w:val="004C3734"/>
    <w:rsid w:val="004C4D45"/>
    <w:rsid w:val="004C561E"/>
    <w:rsid w:val="004C5761"/>
    <w:rsid w:val="004C6D55"/>
    <w:rsid w:val="004D13C5"/>
    <w:rsid w:val="004D31FE"/>
    <w:rsid w:val="004D3B60"/>
    <w:rsid w:val="004D4340"/>
    <w:rsid w:val="004D534C"/>
    <w:rsid w:val="004D5FF9"/>
    <w:rsid w:val="004D6175"/>
    <w:rsid w:val="004D6FBF"/>
    <w:rsid w:val="004E02DA"/>
    <w:rsid w:val="004E3C3C"/>
    <w:rsid w:val="004E3D02"/>
    <w:rsid w:val="004E466E"/>
    <w:rsid w:val="004E5781"/>
    <w:rsid w:val="004E6442"/>
    <w:rsid w:val="004E6D1A"/>
    <w:rsid w:val="004F065E"/>
    <w:rsid w:val="004F29CD"/>
    <w:rsid w:val="004F328E"/>
    <w:rsid w:val="004F60CE"/>
    <w:rsid w:val="004F6347"/>
    <w:rsid w:val="004F743C"/>
    <w:rsid w:val="004F7A8F"/>
    <w:rsid w:val="00500115"/>
    <w:rsid w:val="0050156F"/>
    <w:rsid w:val="00502C53"/>
    <w:rsid w:val="0050417C"/>
    <w:rsid w:val="00505119"/>
    <w:rsid w:val="00506BBB"/>
    <w:rsid w:val="00506F8A"/>
    <w:rsid w:val="00507A1A"/>
    <w:rsid w:val="00510E6C"/>
    <w:rsid w:val="005114DE"/>
    <w:rsid w:val="00512667"/>
    <w:rsid w:val="00515EEC"/>
    <w:rsid w:val="005209B0"/>
    <w:rsid w:val="00523839"/>
    <w:rsid w:val="0052412D"/>
    <w:rsid w:val="00525032"/>
    <w:rsid w:val="00525F65"/>
    <w:rsid w:val="00526D07"/>
    <w:rsid w:val="005306D9"/>
    <w:rsid w:val="00531E7B"/>
    <w:rsid w:val="005330BA"/>
    <w:rsid w:val="00536668"/>
    <w:rsid w:val="005373A3"/>
    <w:rsid w:val="00537F75"/>
    <w:rsid w:val="005402CF"/>
    <w:rsid w:val="00540847"/>
    <w:rsid w:val="0054105B"/>
    <w:rsid w:val="00541639"/>
    <w:rsid w:val="00541E0F"/>
    <w:rsid w:val="005421AE"/>
    <w:rsid w:val="0054461D"/>
    <w:rsid w:val="005449FD"/>
    <w:rsid w:val="00545D77"/>
    <w:rsid w:val="00546ADA"/>
    <w:rsid w:val="00546E76"/>
    <w:rsid w:val="005504B8"/>
    <w:rsid w:val="00550E10"/>
    <w:rsid w:val="00551FD6"/>
    <w:rsid w:val="0055306A"/>
    <w:rsid w:val="00553D7F"/>
    <w:rsid w:val="00553E9F"/>
    <w:rsid w:val="00555BE1"/>
    <w:rsid w:val="005564E7"/>
    <w:rsid w:val="00561423"/>
    <w:rsid w:val="0056261A"/>
    <w:rsid w:val="00562EB9"/>
    <w:rsid w:val="00563BE9"/>
    <w:rsid w:val="00564356"/>
    <w:rsid w:val="005645E4"/>
    <w:rsid w:val="0056571B"/>
    <w:rsid w:val="005679DC"/>
    <w:rsid w:val="005707C4"/>
    <w:rsid w:val="0057370B"/>
    <w:rsid w:val="00573CB3"/>
    <w:rsid w:val="00575C96"/>
    <w:rsid w:val="00575F52"/>
    <w:rsid w:val="00577D11"/>
    <w:rsid w:val="00577F0E"/>
    <w:rsid w:val="0058101F"/>
    <w:rsid w:val="0058223A"/>
    <w:rsid w:val="0058400E"/>
    <w:rsid w:val="00584D27"/>
    <w:rsid w:val="00586CC7"/>
    <w:rsid w:val="005874C7"/>
    <w:rsid w:val="00591996"/>
    <w:rsid w:val="005925EB"/>
    <w:rsid w:val="005929A9"/>
    <w:rsid w:val="00595588"/>
    <w:rsid w:val="005976CF"/>
    <w:rsid w:val="005A2B92"/>
    <w:rsid w:val="005A3F49"/>
    <w:rsid w:val="005A6670"/>
    <w:rsid w:val="005A7768"/>
    <w:rsid w:val="005A7911"/>
    <w:rsid w:val="005A7AE8"/>
    <w:rsid w:val="005B004B"/>
    <w:rsid w:val="005B2207"/>
    <w:rsid w:val="005B38F6"/>
    <w:rsid w:val="005B5870"/>
    <w:rsid w:val="005C0A83"/>
    <w:rsid w:val="005C1B42"/>
    <w:rsid w:val="005C2EA5"/>
    <w:rsid w:val="005C3C7F"/>
    <w:rsid w:val="005C6037"/>
    <w:rsid w:val="005C7EE2"/>
    <w:rsid w:val="005D02FB"/>
    <w:rsid w:val="005D16CB"/>
    <w:rsid w:val="005D1F9E"/>
    <w:rsid w:val="005D462A"/>
    <w:rsid w:val="005D7755"/>
    <w:rsid w:val="005D7F05"/>
    <w:rsid w:val="005E0A19"/>
    <w:rsid w:val="005E101F"/>
    <w:rsid w:val="005E1B1D"/>
    <w:rsid w:val="005E2633"/>
    <w:rsid w:val="005E2E60"/>
    <w:rsid w:val="005E3014"/>
    <w:rsid w:val="005E36B2"/>
    <w:rsid w:val="005E56CA"/>
    <w:rsid w:val="005E6E68"/>
    <w:rsid w:val="005E6F6E"/>
    <w:rsid w:val="005E79FF"/>
    <w:rsid w:val="005E7CC6"/>
    <w:rsid w:val="005F3D20"/>
    <w:rsid w:val="005F4CA3"/>
    <w:rsid w:val="005F6571"/>
    <w:rsid w:val="00602D9F"/>
    <w:rsid w:val="00603654"/>
    <w:rsid w:val="00603ED0"/>
    <w:rsid w:val="006053CC"/>
    <w:rsid w:val="006074FE"/>
    <w:rsid w:val="006106AC"/>
    <w:rsid w:val="00610904"/>
    <w:rsid w:val="00610CAB"/>
    <w:rsid w:val="006127DB"/>
    <w:rsid w:val="006127E4"/>
    <w:rsid w:val="00612BAC"/>
    <w:rsid w:val="0061433B"/>
    <w:rsid w:val="00614658"/>
    <w:rsid w:val="00614981"/>
    <w:rsid w:val="00614C8D"/>
    <w:rsid w:val="00616D24"/>
    <w:rsid w:val="00620469"/>
    <w:rsid w:val="00621C6F"/>
    <w:rsid w:val="0062284C"/>
    <w:rsid w:val="00626AF2"/>
    <w:rsid w:val="00626B44"/>
    <w:rsid w:val="006277C7"/>
    <w:rsid w:val="0063131D"/>
    <w:rsid w:val="00633940"/>
    <w:rsid w:val="00634C28"/>
    <w:rsid w:val="00636851"/>
    <w:rsid w:val="00636A9F"/>
    <w:rsid w:val="00637244"/>
    <w:rsid w:val="00643BE1"/>
    <w:rsid w:val="00647D17"/>
    <w:rsid w:val="00653928"/>
    <w:rsid w:val="0065716C"/>
    <w:rsid w:val="006571AC"/>
    <w:rsid w:val="00657662"/>
    <w:rsid w:val="00661E36"/>
    <w:rsid w:val="00664C9A"/>
    <w:rsid w:val="0066592B"/>
    <w:rsid w:val="00666377"/>
    <w:rsid w:val="00666C67"/>
    <w:rsid w:val="006670F1"/>
    <w:rsid w:val="00670BBC"/>
    <w:rsid w:val="006724D6"/>
    <w:rsid w:val="006730B0"/>
    <w:rsid w:val="006759F1"/>
    <w:rsid w:val="00675AB0"/>
    <w:rsid w:val="00675FE9"/>
    <w:rsid w:val="00676249"/>
    <w:rsid w:val="006767F7"/>
    <w:rsid w:val="006775F2"/>
    <w:rsid w:val="0067779B"/>
    <w:rsid w:val="00680882"/>
    <w:rsid w:val="006823F6"/>
    <w:rsid w:val="00682C3E"/>
    <w:rsid w:val="00682D1A"/>
    <w:rsid w:val="006831FF"/>
    <w:rsid w:val="00684B93"/>
    <w:rsid w:val="00685134"/>
    <w:rsid w:val="0069089A"/>
    <w:rsid w:val="00691A75"/>
    <w:rsid w:val="00697228"/>
    <w:rsid w:val="006A076D"/>
    <w:rsid w:val="006A10E0"/>
    <w:rsid w:val="006A13B9"/>
    <w:rsid w:val="006A1D1A"/>
    <w:rsid w:val="006A2FBF"/>
    <w:rsid w:val="006A5E4B"/>
    <w:rsid w:val="006A69D2"/>
    <w:rsid w:val="006A7202"/>
    <w:rsid w:val="006A7F28"/>
    <w:rsid w:val="006B05B3"/>
    <w:rsid w:val="006B2070"/>
    <w:rsid w:val="006B2DC3"/>
    <w:rsid w:val="006B39B7"/>
    <w:rsid w:val="006B788A"/>
    <w:rsid w:val="006C162E"/>
    <w:rsid w:val="006C2B55"/>
    <w:rsid w:val="006C34C9"/>
    <w:rsid w:val="006C36B2"/>
    <w:rsid w:val="006C5D7B"/>
    <w:rsid w:val="006C7FCD"/>
    <w:rsid w:val="006D1F21"/>
    <w:rsid w:val="006D2DA3"/>
    <w:rsid w:val="006D3893"/>
    <w:rsid w:val="006D500F"/>
    <w:rsid w:val="006D51E8"/>
    <w:rsid w:val="006D5F1D"/>
    <w:rsid w:val="006D608D"/>
    <w:rsid w:val="006D6362"/>
    <w:rsid w:val="006D6ACC"/>
    <w:rsid w:val="006E054E"/>
    <w:rsid w:val="006E1629"/>
    <w:rsid w:val="006E2196"/>
    <w:rsid w:val="006E39E5"/>
    <w:rsid w:val="006E4298"/>
    <w:rsid w:val="006E44F0"/>
    <w:rsid w:val="006E4B31"/>
    <w:rsid w:val="006E5CB7"/>
    <w:rsid w:val="006F0653"/>
    <w:rsid w:val="006F0A3F"/>
    <w:rsid w:val="006F1187"/>
    <w:rsid w:val="006F397F"/>
    <w:rsid w:val="006F41B1"/>
    <w:rsid w:val="006F5DC4"/>
    <w:rsid w:val="006F70A2"/>
    <w:rsid w:val="00704D10"/>
    <w:rsid w:val="00706473"/>
    <w:rsid w:val="007064A8"/>
    <w:rsid w:val="00707ABC"/>
    <w:rsid w:val="00710420"/>
    <w:rsid w:val="007140FA"/>
    <w:rsid w:val="0071482E"/>
    <w:rsid w:val="00715358"/>
    <w:rsid w:val="007162B0"/>
    <w:rsid w:val="007226FF"/>
    <w:rsid w:val="00723553"/>
    <w:rsid w:val="00723C3F"/>
    <w:rsid w:val="007325E6"/>
    <w:rsid w:val="00732744"/>
    <w:rsid w:val="00732E54"/>
    <w:rsid w:val="0073333E"/>
    <w:rsid w:val="00735053"/>
    <w:rsid w:val="007369B6"/>
    <w:rsid w:val="00736F54"/>
    <w:rsid w:val="00737368"/>
    <w:rsid w:val="00737D6E"/>
    <w:rsid w:val="007421C9"/>
    <w:rsid w:val="00744105"/>
    <w:rsid w:val="007449D9"/>
    <w:rsid w:val="00746BF3"/>
    <w:rsid w:val="00746D2F"/>
    <w:rsid w:val="007513D6"/>
    <w:rsid w:val="00751B18"/>
    <w:rsid w:val="00754B5A"/>
    <w:rsid w:val="00755858"/>
    <w:rsid w:val="00756CC9"/>
    <w:rsid w:val="0076203C"/>
    <w:rsid w:val="00762C2C"/>
    <w:rsid w:val="00763428"/>
    <w:rsid w:val="00765DE9"/>
    <w:rsid w:val="007665DE"/>
    <w:rsid w:val="00767073"/>
    <w:rsid w:val="00767E8D"/>
    <w:rsid w:val="007712ED"/>
    <w:rsid w:val="007742FD"/>
    <w:rsid w:val="00774334"/>
    <w:rsid w:val="0077465C"/>
    <w:rsid w:val="00774869"/>
    <w:rsid w:val="00776BCE"/>
    <w:rsid w:val="00777E7F"/>
    <w:rsid w:val="007806D9"/>
    <w:rsid w:val="007839EC"/>
    <w:rsid w:val="0078443B"/>
    <w:rsid w:val="007844C6"/>
    <w:rsid w:val="0078679A"/>
    <w:rsid w:val="00786DA6"/>
    <w:rsid w:val="00787C08"/>
    <w:rsid w:val="00787D19"/>
    <w:rsid w:val="007917D9"/>
    <w:rsid w:val="00795275"/>
    <w:rsid w:val="00795A3D"/>
    <w:rsid w:val="007A0029"/>
    <w:rsid w:val="007A03CC"/>
    <w:rsid w:val="007A2473"/>
    <w:rsid w:val="007A273D"/>
    <w:rsid w:val="007A5420"/>
    <w:rsid w:val="007A611B"/>
    <w:rsid w:val="007A6B4D"/>
    <w:rsid w:val="007A7668"/>
    <w:rsid w:val="007B01ED"/>
    <w:rsid w:val="007C1646"/>
    <w:rsid w:val="007C2F67"/>
    <w:rsid w:val="007C2FD1"/>
    <w:rsid w:val="007C4760"/>
    <w:rsid w:val="007C4857"/>
    <w:rsid w:val="007C4F5D"/>
    <w:rsid w:val="007C6BFD"/>
    <w:rsid w:val="007D18EB"/>
    <w:rsid w:val="007D217B"/>
    <w:rsid w:val="007D640B"/>
    <w:rsid w:val="007E2C92"/>
    <w:rsid w:val="007E3C98"/>
    <w:rsid w:val="007E3E77"/>
    <w:rsid w:val="007E46BF"/>
    <w:rsid w:val="007E67B8"/>
    <w:rsid w:val="007F35EE"/>
    <w:rsid w:val="007F7EAE"/>
    <w:rsid w:val="008047EB"/>
    <w:rsid w:val="0080797B"/>
    <w:rsid w:val="00813CCA"/>
    <w:rsid w:val="0082168A"/>
    <w:rsid w:val="008227CE"/>
    <w:rsid w:val="008227FE"/>
    <w:rsid w:val="00823124"/>
    <w:rsid w:val="00824D4D"/>
    <w:rsid w:val="00824FC4"/>
    <w:rsid w:val="0082644A"/>
    <w:rsid w:val="008271D2"/>
    <w:rsid w:val="00827A19"/>
    <w:rsid w:val="00827A2D"/>
    <w:rsid w:val="00830038"/>
    <w:rsid w:val="0083241E"/>
    <w:rsid w:val="0084035B"/>
    <w:rsid w:val="00842BE1"/>
    <w:rsid w:val="00843466"/>
    <w:rsid w:val="00845E69"/>
    <w:rsid w:val="00850C2F"/>
    <w:rsid w:val="008531E4"/>
    <w:rsid w:val="00857530"/>
    <w:rsid w:val="00861B7E"/>
    <w:rsid w:val="00863F06"/>
    <w:rsid w:val="008643C6"/>
    <w:rsid w:val="00864C27"/>
    <w:rsid w:val="00865796"/>
    <w:rsid w:val="008671D2"/>
    <w:rsid w:val="008722D8"/>
    <w:rsid w:val="00873AF0"/>
    <w:rsid w:val="008757F8"/>
    <w:rsid w:val="008778D3"/>
    <w:rsid w:val="00877D86"/>
    <w:rsid w:val="00880202"/>
    <w:rsid w:val="00887669"/>
    <w:rsid w:val="00887C2A"/>
    <w:rsid w:val="008908A5"/>
    <w:rsid w:val="00891F2C"/>
    <w:rsid w:val="008937DA"/>
    <w:rsid w:val="00894F21"/>
    <w:rsid w:val="008A156A"/>
    <w:rsid w:val="008A2552"/>
    <w:rsid w:val="008A78D0"/>
    <w:rsid w:val="008B0FF4"/>
    <w:rsid w:val="008B77D2"/>
    <w:rsid w:val="008C0CFD"/>
    <w:rsid w:val="008C1AC7"/>
    <w:rsid w:val="008C2210"/>
    <w:rsid w:val="008C34BB"/>
    <w:rsid w:val="008C4363"/>
    <w:rsid w:val="008C4793"/>
    <w:rsid w:val="008C51DF"/>
    <w:rsid w:val="008C6406"/>
    <w:rsid w:val="008C7B03"/>
    <w:rsid w:val="008D1090"/>
    <w:rsid w:val="008D1578"/>
    <w:rsid w:val="008D2006"/>
    <w:rsid w:val="008D287F"/>
    <w:rsid w:val="008D31A1"/>
    <w:rsid w:val="008D3BE2"/>
    <w:rsid w:val="008D50F0"/>
    <w:rsid w:val="008D7624"/>
    <w:rsid w:val="008E0DEC"/>
    <w:rsid w:val="008E1FA9"/>
    <w:rsid w:val="008E281C"/>
    <w:rsid w:val="008F006B"/>
    <w:rsid w:val="008F27CC"/>
    <w:rsid w:val="008F35DC"/>
    <w:rsid w:val="008F3671"/>
    <w:rsid w:val="008F4DC4"/>
    <w:rsid w:val="008F6752"/>
    <w:rsid w:val="008F734B"/>
    <w:rsid w:val="00901C38"/>
    <w:rsid w:val="009049C2"/>
    <w:rsid w:val="00904D14"/>
    <w:rsid w:val="00910B7A"/>
    <w:rsid w:val="00910DF0"/>
    <w:rsid w:val="009121FE"/>
    <w:rsid w:val="009128CB"/>
    <w:rsid w:val="00914095"/>
    <w:rsid w:val="009141E2"/>
    <w:rsid w:val="00915789"/>
    <w:rsid w:val="009170F6"/>
    <w:rsid w:val="00920A39"/>
    <w:rsid w:val="009222F5"/>
    <w:rsid w:val="009231FF"/>
    <w:rsid w:val="00923354"/>
    <w:rsid w:val="009237A1"/>
    <w:rsid w:val="009242B3"/>
    <w:rsid w:val="009245A7"/>
    <w:rsid w:val="009258DF"/>
    <w:rsid w:val="00925F48"/>
    <w:rsid w:val="00926901"/>
    <w:rsid w:val="00930B07"/>
    <w:rsid w:val="009311FC"/>
    <w:rsid w:val="00931770"/>
    <w:rsid w:val="0093273D"/>
    <w:rsid w:val="00933A3D"/>
    <w:rsid w:val="00933AFF"/>
    <w:rsid w:val="00934A9B"/>
    <w:rsid w:val="009358B5"/>
    <w:rsid w:val="009411F7"/>
    <w:rsid w:val="009434B0"/>
    <w:rsid w:val="00943E04"/>
    <w:rsid w:val="00945149"/>
    <w:rsid w:val="009465F5"/>
    <w:rsid w:val="009518B4"/>
    <w:rsid w:val="00952014"/>
    <w:rsid w:val="0095261C"/>
    <w:rsid w:val="009541DA"/>
    <w:rsid w:val="009545F6"/>
    <w:rsid w:val="00954823"/>
    <w:rsid w:val="00955A2B"/>
    <w:rsid w:val="00955D76"/>
    <w:rsid w:val="009569EF"/>
    <w:rsid w:val="0096038F"/>
    <w:rsid w:val="00960500"/>
    <w:rsid w:val="00963B92"/>
    <w:rsid w:val="009671AB"/>
    <w:rsid w:val="0096767E"/>
    <w:rsid w:val="0096776B"/>
    <w:rsid w:val="00967E54"/>
    <w:rsid w:val="009704E8"/>
    <w:rsid w:val="0097072C"/>
    <w:rsid w:val="009720CF"/>
    <w:rsid w:val="00973204"/>
    <w:rsid w:val="00974AA9"/>
    <w:rsid w:val="00974D4B"/>
    <w:rsid w:val="009803CB"/>
    <w:rsid w:val="00983645"/>
    <w:rsid w:val="00984EEC"/>
    <w:rsid w:val="009864FD"/>
    <w:rsid w:val="009928FB"/>
    <w:rsid w:val="00992963"/>
    <w:rsid w:val="009937DB"/>
    <w:rsid w:val="0099406D"/>
    <w:rsid w:val="00995A89"/>
    <w:rsid w:val="00997BF8"/>
    <w:rsid w:val="009A043A"/>
    <w:rsid w:val="009A04D8"/>
    <w:rsid w:val="009A39C8"/>
    <w:rsid w:val="009A55B7"/>
    <w:rsid w:val="009A7B20"/>
    <w:rsid w:val="009B1407"/>
    <w:rsid w:val="009B3033"/>
    <w:rsid w:val="009B5838"/>
    <w:rsid w:val="009B72F5"/>
    <w:rsid w:val="009C0773"/>
    <w:rsid w:val="009C1F29"/>
    <w:rsid w:val="009C2701"/>
    <w:rsid w:val="009C3F12"/>
    <w:rsid w:val="009C484F"/>
    <w:rsid w:val="009C4A12"/>
    <w:rsid w:val="009C577A"/>
    <w:rsid w:val="009C744C"/>
    <w:rsid w:val="009D10D0"/>
    <w:rsid w:val="009D26BC"/>
    <w:rsid w:val="009D33FF"/>
    <w:rsid w:val="009D3540"/>
    <w:rsid w:val="009D3AC8"/>
    <w:rsid w:val="009D4CDB"/>
    <w:rsid w:val="009D5B53"/>
    <w:rsid w:val="009D70FE"/>
    <w:rsid w:val="009E058D"/>
    <w:rsid w:val="009E08EF"/>
    <w:rsid w:val="009E0F9F"/>
    <w:rsid w:val="009E4A92"/>
    <w:rsid w:val="009E4B54"/>
    <w:rsid w:val="009E72D8"/>
    <w:rsid w:val="009E7693"/>
    <w:rsid w:val="009E7A8E"/>
    <w:rsid w:val="009F40D2"/>
    <w:rsid w:val="009F5548"/>
    <w:rsid w:val="009F6688"/>
    <w:rsid w:val="009F70BA"/>
    <w:rsid w:val="00A06958"/>
    <w:rsid w:val="00A0733D"/>
    <w:rsid w:val="00A10024"/>
    <w:rsid w:val="00A106AF"/>
    <w:rsid w:val="00A10AD5"/>
    <w:rsid w:val="00A11D23"/>
    <w:rsid w:val="00A123C4"/>
    <w:rsid w:val="00A132CA"/>
    <w:rsid w:val="00A13ACE"/>
    <w:rsid w:val="00A14369"/>
    <w:rsid w:val="00A17E74"/>
    <w:rsid w:val="00A20797"/>
    <w:rsid w:val="00A20C32"/>
    <w:rsid w:val="00A21F11"/>
    <w:rsid w:val="00A22E77"/>
    <w:rsid w:val="00A276CF"/>
    <w:rsid w:val="00A27C09"/>
    <w:rsid w:val="00A31237"/>
    <w:rsid w:val="00A33AF6"/>
    <w:rsid w:val="00A3465B"/>
    <w:rsid w:val="00A35104"/>
    <w:rsid w:val="00A367AA"/>
    <w:rsid w:val="00A37641"/>
    <w:rsid w:val="00A37E05"/>
    <w:rsid w:val="00A4025B"/>
    <w:rsid w:val="00A404B4"/>
    <w:rsid w:val="00A409F7"/>
    <w:rsid w:val="00A43A75"/>
    <w:rsid w:val="00A44B44"/>
    <w:rsid w:val="00A45ACC"/>
    <w:rsid w:val="00A46FFF"/>
    <w:rsid w:val="00A471A5"/>
    <w:rsid w:val="00A502B9"/>
    <w:rsid w:val="00A52131"/>
    <w:rsid w:val="00A52904"/>
    <w:rsid w:val="00A533D8"/>
    <w:rsid w:val="00A549C2"/>
    <w:rsid w:val="00A55CFB"/>
    <w:rsid w:val="00A6076D"/>
    <w:rsid w:val="00A6186E"/>
    <w:rsid w:val="00A61A01"/>
    <w:rsid w:val="00A61C67"/>
    <w:rsid w:val="00A63AC3"/>
    <w:rsid w:val="00A63F45"/>
    <w:rsid w:val="00A63F62"/>
    <w:rsid w:val="00A656BE"/>
    <w:rsid w:val="00A66F78"/>
    <w:rsid w:val="00A71D21"/>
    <w:rsid w:val="00A7226C"/>
    <w:rsid w:val="00A73B4A"/>
    <w:rsid w:val="00A73EC4"/>
    <w:rsid w:val="00A76745"/>
    <w:rsid w:val="00A779E5"/>
    <w:rsid w:val="00A77D36"/>
    <w:rsid w:val="00A80C56"/>
    <w:rsid w:val="00A814F3"/>
    <w:rsid w:val="00A84006"/>
    <w:rsid w:val="00A84445"/>
    <w:rsid w:val="00A84DF9"/>
    <w:rsid w:val="00A86F64"/>
    <w:rsid w:val="00A90793"/>
    <w:rsid w:val="00A917BC"/>
    <w:rsid w:val="00A92032"/>
    <w:rsid w:val="00A94137"/>
    <w:rsid w:val="00A960D0"/>
    <w:rsid w:val="00A96176"/>
    <w:rsid w:val="00A968EB"/>
    <w:rsid w:val="00A97233"/>
    <w:rsid w:val="00A97857"/>
    <w:rsid w:val="00A97B04"/>
    <w:rsid w:val="00AA3455"/>
    <w:rsid w:val="00AA5CBC"/>
    <w:rsid w:val="00AA5D7A"/>
    <w:rsid w:val="00AA6B58"/>
    <w:rsid w:val="00AA6C64"/>
    <w:rsid w:val="00AA7888"/>
    <w:rsid w:val="00AA7D24"/>
    <w:rsid w:val="00AA7E9D"/>
    <w:rsid w:val="00AB201D"/>
    <w:rsid w:val="00AB712C"/>
    <w:rsid w:val="00AC1C6F"/>
    <w:rsid w:val="00AC22A7"/>
    <w:rsid w:val="00AC41F2"/>
    <w:rsid w:val="00AC5E29"/>
    <w:rsid w:val="00AC5EF3"/>
    <w:rsid w:val="00AC73DA"/>
    <w:rsid w:val="00AC765B"/>
    <w:rsid w:val="00AC7749"/>
    <w:rsid w:val="00AC7937"/>
    <w:rsid w:val="00AD3BA1"/>
    <w:rsid w:val="00AD6BC1"/>
    <w:rsid w:val="00AD6BE8"/>
    <w:rsid w:val="00AD71CF"/>
    <w:rsid w:val="00AE1AFE"/>
    <w:rsid w:val="00AE2046"/>
    <w:rsid w:val="00AE3428"/>
    <w:rsid w:val="00AE5252"/>
    <w:rsid w:val="00AE5318"/>
    <w:rsid w:val="00AE670F"/>
    <w:rsid w:val="00AF310F"/>
    <w:rsid w:val="00AF3477"/>
    <w:rsid w:val="00AF3B2A"/>
    <w:rsid w:val="00AF57EC"/>
    <w:rsid w:val="00AF60C4"/>
    <w:rsid w:val="00B046A0"/>
    <w:rsid w:val="00B07A58"/>
    <w:rsid w:val="00B07FEB"/>
    <w:rsid w:val="00B13E95"/>
    <w:rsid w:val="00B16191"/>
    <w:rsid w:val="00B1748E"/>
    <w:rsid w:val="00B17619"/>
    <w:rsid w:val="00B176E1"/>
    <w:rsid w:val="00B1778E"/>
    <w:rsid w:val="00B17B1B"/>
    <w:rsid w:val="00B205AD"/>
    <w:rsid w:val="00B20898"/>
    <w:rsid w:val="00B24D40"/>
    <w:rsid w:val="00B274D4"/>
    <w:rsid w:val="00B30E59"/>
    <w:rsid w:val="00B331D9"/>
    <w:rsid w:val="00B34551"/>
    <w:rsid w:val="00B367F8"/>
    <w:rsid w:val="00B410BE"/>
    <w:rsid w:val="00B426B0"/>
    <w:rsid w:val="00B43782"/>
    <w:rsid w:val="00B45219"/>
    <w:rsid w:val="00B46449"/>
    <w:rsid w:val="00B51B85"/>
    <w:rsid w:val="00B52E08"/>
    <w:rsid w:val="00B53315"/>
    <w:rsid w:val="00B538BF"/>
    <w:rsid w:val="00B56B36"/>
    <w:rsid w:val="00B57F5D"/>
    <w:rsid w:val="00B61F3E"/>
    <w:rsid w:val="00B63EFF"/>
    <w:rsid w:val="00B6531D"/>
    <w:rsid w:val="00B7438A"/>
    <w:rsid w:val="00B751FB"/>
    <w:rsid w:val="00B76C9F"/>
    <w:rsid w:val="00B80A60"/>
    <w:rsid w:val="00B836C4"/>
    <w:rsid w:val="00B839FC"/>
    <w:rsid w:val="00B84DF9"/>
    <w:rsid w:val="00B85A4C"/>
    <w:rsid w:val="00B862E1"/>
    <w:rsid w:val="00B909BE"/>
    <w:rsid w:val="00B931A3"/>
    <w:rsid w:val="00B94415"/>
    <w:rsid w:val="00B94FD3"/>
    <w:rsid w:val="00B95833"/>
    <w:rsid w:val="00B95A46"/>
    <w:rsid w:val="00B95D97"/>
    <w:rsid w:val="00B96050"/>
    <w:rsid w:val="00B96A87"/>
    <w:rsid w:val="00B96F1C"/>
    <w:rsid w:val="00B97A39"/>
    <w:rsid w:val="00BA0DE9"/>
    <w:rsid w:val="00BA1822"/>
    <w:rsid w:val="00BA206E"/>
    <w:rsid w:val="00BA3694"/>
    <w:rsid w:val="00BA54EC"/>
    <w:rsid w:val="00BA675C"/>
    <w:rsid w:val="00BA79BA"/>
    <w:rsid w:val="00BB09EE"/>
    <w:rsid w:val="00BB223A"/>
    <w:rsid w:val="00BB2B31"/>
    <w:rsid w:val="00BB3A43"/>
    <w:rsid w:val="00BB3AE2"/>
    <w:rsid w:val="00BB75F1"/>
    <w:rsid w:val="00BC16A5"/>
    <w:rsid w:val="00BC1F70"/>
    <w:rsid w:val="00BC7664"/>
    <w:rsid w:val="00BD08EB"/>
    <w:rsid w:val="00BD3923"/>
    <w:rsid w:val="00BD3E21"/>
    <w:rsid w:val="00BD4648"/>
    <w:rsid w:val="00BD5F92"/>
    <w:rsid w:val="00BD627D"/>
    <w:rsid w:val="00BD7AFC"/>
    <w:rsid w:val="00BD7DF1"/>
    <w:rsid w:val="00BD7EE0"/>
    <w:rsid w:val="00BE11B5"/>
    <w:rsid w:val="00BE38BB"/>
    <w:rsid w:val="00BE51BD"/>
    <w:rsid w:val="00BE520C"/>
    <w:rsid w:val="00BE7BE1"/>
    <w:rsid w:val="00BF4741"/>
    <w:rsid w:val="00BF6F37"/>
    <w:rsid w:val="00C00C3D"/>
    <w:rsid w:val="00C01A33"/>
    <w:rsid w:val="00C0343B"/>
    <w:rsid w:val="00C04AA5"/>
    <w:rsid w:val="00C11BC6"/>
    <w:rsid w:val="00C154F4"/>
    <w:rsid w:val="00C2009A"/>
    <w:rsid w:val="00C220CE"/>
    <w:rsid w:val="00C22536"/>
    <w:rsid w:val="00C238EC"/>
    <w:rsid w:val="00C24E99"/>
    <w:rsid w:val="00C25F3D"/>
    <w:rsid w:val="00C26142"/>
    <w:rsid w:val="00C2647C"/>
    <w:rsid w:val="00C274AA"/>
    <w:rsid w:val="00C316B4"/>
    <w:rsid w:val="00C325AA"/>
    <w:rsid w:val="00C3292D"/>
    <w:rsid w:val="00C33739"/>
    <w:rsid w:val="00C3385B"/>
    <w:rsid w:val="00C34C66"/>
    <w:rsid w:val="00C34D4F"/>
    <w:rsid w:val="00C35C73"/>
    <w:rsid w:val="00C36404"/>
    <w:rsid w:val="00C40976"/>
    <w:rsid w:val="00C41D26"/>
    <w:rsid w:val="00C44589"/>
    <w:rsid w:val="00C4599C"/>
    <w:rsid w:val="00C468AB"/>
    <w:rsid w:val="00C46B92"/>
    <w:rsid w:val="00C47E6B"/>
    <w:rsid w:val="00C519E2"/>
    <w:rsid w:val="00C51CEB"/>
    <w:rsid w:val="00C52348"/>
    <w:rsid w:val="00C54100"/>
    <w:rsid w:val="00C5498C"/>
    <w:rsid w:val="00C5522F"/>
    <w:rsid w:val="00C573BE"/>
    <w:rsid w:val="00C600D4"/>
    <w:rsid w:val="00C60300"/>
    <w:rsid w:val="00C603C3"/>
    <w:rsid w:val="00C622AC"/>
    <w:rsid w:val="00C640DA"/>
    <w:rsid w:val="00C6575F"/>
    <w:rsid w:val="00C65C55"/>
    <w:rsid w:val="00C6781E"/>
    <w:rsid w:val="00C70998"/>
    <w:rsid w:val="00C712B0"/>
    <w:rsid w:val="00C74450"/>
    <w:rsid w:val="00C77A3E"/>
    <w:rsid w:val="00C80B17"/>
    <w:rsid w:val="00C81EDE"/>
    <w:rsid w:val="00C84472"/>
    <w:rsid w:val="00C8478E"/>
    <w:rsid w:val="00C84B18"/>
    <w:rsid w:val="00C87A0F"/>
    <w:rsid w:val="00C87B99"/>
    <w:rsid w:val="00C901C3"/>
    <w:rsid w:val="00C93214"/>
    <w:rsid w:val="00C93248"/>
    <w:rsid w:val="00C93DCD"/>
    <w:rsid w:val="00C955E8"/>
    <w:rsid w:val="00C95B88"/>
    <w:rsid w:val="00C96DAD"/>
    <w:rsid w:val="00C97FEC"/>
    <w:rsid w:val="00CA0528"/>
    <w:rsid w:val="00CA1E72"/>
    <w:rsid w:val="00CA5E19"/>
    <w:rsid w:val="00CA7D7C"/>
    <w:rsid w:val="00CB0B5D"/>
    <w:rsid w:val="00CB120A"/>
    <w:rsid w:val="00CB1D5B"/>
    <w:rsid w:val="00CB201B"/>
    <w:rsid w:val="00CB207F"/>
    <w:rsid w:val="00CB2619"/>
    <w:rsid w:val="00CB3D9A"/>
    <w:rsid w:val="00CB40A7"/>
    <w:rsid w:val="00CB45F6"/>
    <w:rsid w:val="00CB6F5B"/>
    <w:rsid w:val="00CC1511"/>
    <w:rsid w:val="00CC2062"/>
    <w:rsid w:val="00CC2AE8"/>
    <w:rsid w:val="00CC2F35"/>
    <w:rsid w:val="00CC4CCE"/>
    <w:rsid w:val="00CC5D6A"/>
    <w:rsid w:val="00CC6210"/>
    <w:rsid w:val="00CD0B29"/>
    <w:rsid w:val="00CD2988"/>
    <w:rsid w:val="00CD2A90"/>
    <w:rsid w:val="00CD2D37"/>
    <w:rsid w:val="00CD5007"/>
    <w:rsid w:val="00CD70BF"/>
    <w:rsid w:val="00CE00C7"/>
    <w:rsid w:val="00CE061E"/>
    <w:rsid w:val="00CE0AAE"/>
    <w:rsid w:val="00CE0AEC"/>
    <w:rsid w:val="00CE5F52"/>
    <w:rsid w:val="00CE6364"/>
    <w:rsid w:val="00CF1724"/>
    <w:rsid w:val="00CF2D7B"/>
    <w:rsid w:val="00CF3647"/>
    <w:rsid w:val="00CF399C"/>
    <w:rsid w:val="00CF4489"/>
    <w:rsid w:val="00CF568B"/>
    <w:rsid w:val="00CF5794"/>
    <w:rsid w:val="00D04DC9"/>
    <w:rsid w:val="00D07F70"/>
    <w:rsid w:val="00D147C6"/>
    <w:rsid w:val="00D14C47"/>
    <w:rsid w:val="00D1636C"/>
    <w:rsid w:val="00D20E16"/>
    <w:rsid w:val="00D22092"/>
    <w:rsid w:val="00D22EDC"/>
    <w:rsid w:val="00D23AB2"/>
    <w:rsid w:val="00D26D63"/>
    <w:rsid w:val="00D27AB8"/>
    <w:rsid w:val="00D27C80"/>
    <w:rsid w:val="00D341CE"/>
    <w:rsid w:val="00D34287"/>
    <w:rsid w:val="00D35368"/>
    <w:rsid w:val="00D3571D"/>
    <w:rsid w:val="00D37AED"/>
    <w:rsid w:val="00D40EB5"/>
    <w:rsid w:val="00D4151C"/>
    <w:rsid w:val="00D42ECB"/>
    <w:rsid w:val="00D44D5A"/>
    <w:rsid w:val="00D45279"/>
    <w:rsid w:val="00D456CB"/>
    <w:rsid w:val="00D45983"/>
    <w:rsid w:val="00D47BB7"/>
    <w:rsid w:val="00D50894"/>
    <w:rsid w:val="00D50BF3"/>
    <w:rsid w:val="00D50D7D"/>
    <w:rsid w:val="00D50DE9"/>
    <w:rsid w:val="00D525C7"/>
    <w:rsid w:val="00D527E6"/>
    <w:rsid w:val="00D5377D"/>
    <w:rsid w:val="00D54625"/>
    <w:rsid w:val="00D5612B"/>
    <w:rsid w:val="00D57036"/>
    <w:rsid w:val="00D6181F"/>
    <w:rsid w:val="00D61BD9"/>
    <w:rsid w:val="00D629CD"/>
    <w:rsid w:val="00D67511"/>
    <w:rsid w:val="00D70A77"/>
    <w:rsid w:val="00D71D62"/>
    <w:rsid w:val="00D74090"/>
    <w:rsid w:val="00D80AD0"/>
    <w:rsid w:val="00D80E35"/>
    <w:rsid w:val="00D81E79"/>
    <w:rsid w:val="00D82BCB"/>
    <w:rsid w:val="00D85747"/>
    <w:rsid w:val="00D86B70"/>
    <w:rsid w:val="00D924AC"/>
    <w:rsid w:val="00D92C59"/>
    <w:rsid w:val="00D9410E"/>
    <w:rsid w:val="00D95C7A"/>
    <w:rsid w:val="00D97CFA"/>
    <w:rsid w:val="00D97EFC"/>
    <w:rsid w:val="00DA0D6F"/>
    <w:rsid w:val="00DA2954"/>
    <w:rsid w:val="00DA42AF"/>
    <w:rsid w:val="00DA43DA"/>
    <w:rsid w:val="00DA47DB"/>
    <w:rsid w:val="00DA54CA"/>
    <w:rsid w:val="00DA6023"/>
    <w:rsid w:val="00DA74F8"/>
    <w:rsid w:val="00DB0764"/>
    <w:rsid w:val="00DB1CF6"/>
    <w:rsid w:val="00DB2CFE"/>
    <w:rsid w:val="00DB2E8D"/>
    <w:rsid w:val="00DB3CA5"/>
    <w:rsid w:val="00DB3F69"/>
    <w:rsid w:val="00DB4B9D"/>
    <w:rsid w:val="00DB698D"/>
    <w:rsid w:val="00DC06F5"/>
    <w:rsid w:val="00DC07DC"/>
    <w:rsid w:val="00DC133E"/>
    <w:rsid w:val="00DC1E33"/>
    <w:rsid w:val="00DC2920"/>
    <w:rsid w:val="00DC3AC2"/>
    <w:rsid w:val="00DC5818"/>
    <w:rsid w:val="00DC5F5B"/>
    <w:rsid w:val="00DC7532"/>
    <w:rsid w:val="00DC7D3E"/>
    <w:rsid w:val="00DD356D"/>
    <w:rsid w:val="00DD3A19"/>
    <w:rsid w:val="00DE188D"/>
    <w:rsid w:val="00DE49E2"/>
    <w:rsid w:val="00DE4A21"/>
    <w:rsid w:val="00DF3D39"/>
    <w:rsid w:val="00DF4E1D"/>
    <w:rsid w:val="00DF56A8"/>
    <w:rsid w:val="00DF7140"/>
    <w:rsid w:val="00E008A4"/>
    <w:rsid w:val="00E00A9E"/>
    <w:rsid w:val="00E029E5"/>
    <w:rsid w:val="00E03242"/>
    <w:rsid w:val="00E03852"/>
    <w:rsid w:val="00E04948"/>
    <w:rsid w:val="00E052F4"/>
    <w:rsid w:val="00E056F4"/>
    <w:rsid w:val="00E0668A"/>
    <w:rsid w:val="00E108F0"/>
    <w:rsid w:val="00E12546"/>
    <w:rsid w:val="00E13E1C"/>
    <w:rsid w:val="00E140C0"/>
    <w:rsid w:val="00E14387"/>
    <w:rsid w:val="00E14779"/>
    <w:rsid w:val="00E174A7"/>
    <w:rsid w:val="00E17B9C"/>
    <w:rsid w:val="00E20719"/>
    <w:rsid w:val="00E22A9C"/>
    <w:rsid w:val="00E250FE"/>
    <w:rsid w:val="00E30CED"/>
    <w:rsid w:val="00E33321"/>
    <w:rsid w:val="00E42EB3"/>
    <w:rsid w:val="00E434C6"/>
    <w:rsid w:val="00E43A02"/>
    <w:rsid w:val="00E44B76"/>
    <w:rsid w:val="00E461F4"/>
    <w:rsid w:val="00E472EE"/>
    <w:rsid w:val="00E47E7E"/>
    <w:rsid w:val="00E50AB5"/>
    <w:rsid w:val="00E51A35"/>
    <w:rsid w:val="00E528A7"/>
    <w:rsid w:val="00E53C75"/>
    <w:rsid w:val="00E55BEA"/>
    <w:rsid w:val="00E561CE"/>
    <w:rsid w:val="00E61A3B"/>
    <w:rsid w:val="00E63F14"/>
    <w:rsid w:val="00E65DF2"/>
    <w:rsid w:val="00E66299"/>
    <w:rsid w:val="00E74F2C"/>
    <w:rsid w:val="00E75E4D"/>
    <w:rsid w:val="00E8056B"/>
    <w:rsid w:val="00E83D5D"/>
    <w:rsid w:val="00E87A76"/>
    <w:rsid w:val="00E92F46"/>
    <w:rsid w:val="00E93D98"/>
    <w:rsid w:val="00E94514"/>
    <w:rsid w:val="00EA158E"/>
    <w:rsid w:val="00EA22A2"/>
    <w:rsid w:val="00EA2BA2"/>
    <w:rsid w:val="00EA2D03"/>
    <w:rsid w:val="00EA5DF0"/>
    <w:rsid w:val="00EA5EC5"/>
    <w:rsid w:val="00EA7B54"/>
    <w:rsid w:val="00EB06AA"/>
    <w:rsid w:val="00EB089F"/>
    <w:rsid w:val="00EB25DC"/>
    <w:rsid w:val="00EC1EDF"/>
    <w:rsid w:val="00EC2BB9"/>
    <w:rsid w:val="00EC5370"/>
    <w:rsid w:val="00EC5F52"/>
    <w:rsid w:val="00EC75A9"/>
    <w:rsid w:val="00ED0AF4"/>
    <w:rsid w:val="00ED1AFE"/>
    <w:rsid w:val="00ED747A"/>
    <w:rsid w:val="00ED786D"/>
    <w:rsid w:val="00EE58DF"/>
    <w:rsid w:val="00EE6E7C"/>
    <w:rsid w:val="00EF0C69"/>
    <w:rsid w:val="00EF0DCB"/>
    <w:rsid w:val="00EF6117"/>
    <w:rsid w:val="00F0010E"/>
    <w:rsid w:val="00F05598"/>
    <w:rsid w:val="00F05791"/>
    <w:rsid w:val="00F06047"/>
    <w:rsid w:val="00F0679A"/>
    <w:rsid w:val="00F067DA"/>
    <w:rsid w:val="00F06CD7"/>
    <w:rsid w:val="00F070CC"/>
    <w:rsid w:val="00F10D43"/>
    <w:rsid w:val="00F114EC"/>
    <w:rsid w:val="00F12948"/>
    <w:rsid w:val="00F12F84"/>
    <w:rsid w:val="00F14E41"/>
    <w:rsid w:val="00F16079"/>
    <w:rsid w:val="00F1648D"/>
    <w:rsid w:val="00F16930"/>
    <w:rsid w:val="00F16FFD"/>
    <w:rsid w:val="00F17CB5"/>
    <w:rsid w:val="00F208D9"/>
    <w:rsid w:val="00F211B0"/>
    <w:rsid w:val="00F23F66"/>
    <w:rsid w:val="00F261B7"/>
    <w:rsid w:val="00F272DC"/>
    <w:rsid w:val="00F30096"/>
    <w:rsid w:val="00F30140"/>
    <w:rsid w:val="00F30F8B"/>
    <w:rsid w:val="00F35156"/>
    <w:rsid w:val="00F354D8"/>
    <w:rsid w:val="00F36C69"/>
    <w:rsid w:val="00F40688"/>
    <w:rsid w:val="00F417B9"/>
    <w:rsid w:val="00F42552"/>
    <w:rsid w:val="00F4464D"/>
    <w:rsid w:val="00F46169"/>
    <w:rsid w:val="00F47622"/>
    <w:rsid w:val="00F500F3"/>
    <w:rsid w:val="00F5029D"/>
    <w:rsid w:val="00F51399"/>
    <w:rsid w:val="00F51F9E"/>
    <w:rsid w:val="00F5284C"/>
    <w:rsid w:val="00F5512A"/>
    <w:rsid w:val="00F56A67"/>
    <w:rsid w:val="00F6086A"/>
    <w:rsid w:val="00F608B1"/>
    <w:rsid w:val="00F61DE1"/>
    <w:rsid w:val="00F61FC1"/>
    <w:rsid w:val="00F645D9"/>
    <w:rsid w:val="00F65611"/>
    <w:rsid w:val="00F65BB2"/>
    <w:rsid w:val="00F663C2"/>
    <w:rsid w:val="00F666E6"/>
    <w:rsid w:val="00F711E2"/>
    <w:rsid w:val="00F7189C"/>
    <w:rsid w:val="00F72A90"/>
    <w:rsid w:val="00F73E1B"/>
    <w:rsid w:val="00F75A5A"/>
    <w:rsid w:val="00F75D5E"/>
    <w:rsid w:val="00F7644A"/>
    <w:rsid w:val="00F819AB"/>
    <w:rsid w:val="00F8296C"/>
    <w:rsid w:val="00F8492A"/>
    <w:rsid w:val="00F87CB4"/>
    <w:rsid w:val="00F9189D"/>
    <w:rsid w:val="00F91E45"/>
    <w:rsid w:val="00F93047"/>
    <w:rsid w:val="00F94EEA"/>
    <w:rsid w:val="00F95D3D"/>
    <w:rsid w:val="00F9786F"/>
    <w:rsid w:val="00F97ED3"/>
    <w:rsid w:val="00FA5529"/>
    <w:rsid w:val="00FA5FDF"/>
    <w:rsid w:val="00FA7BB1"/>
    <w:rsid w:val="00FA7F66"/>
    <w:rsid w:val="00FB13E5"/>
    <w:rsid w:val="00FB1567"/>
    <w:rsid w:val="00FB158B"/>
    <w:rsid w:val="00FB2A44"/>
    <w:rsid w:val="00FB3A89"/>
    <w:rsid w:val="00FB5AF7"/>
    <w:rsid w:val="00FC04DC"/>
    <w:rsid w:val="00FC1AB8"/>
    <w:rsid w:val="00FC29D5"/>
    <w:rsid w:val="00FC39F2"/>
    <w:rsid w:val="00FC5510"/>
    <w:rsid w:val="00FC582C"/>
    <w:rsid w:val="00FC591B"/>
    <w:rsid w:val="00FC5C00"/>
    <w:rsid w:val="00FC5C53"/>
    <w:rsid w:val="00FC65F9"/>
    <w:rsid w:val="00FC6FD3"/>
    <w:rsid w:val="00FC73A3"/>
    <w:rsid w:val="00FD1D8A"/>
    <w:rsid w:val="00FD4159"/>
    <w:rsid w:val="00FD4437"/>
    <w:rsid w:val="00FD4C9D"/>
    <w:rsid w:val="00FD58FD"/>
    <w:rsid w:val="00FD6F85"/>
    <w:rsid w:val="00FE0568"/>
    <w:rsid w:val="00FE15E1"/>
    <w:rsid w:val="00FE297C"/>
    <w:rsid w:val="00FE2C80"/>
    <w:rsid w:val="00FE4AEC"/>
    <w:rsid w:val="00FF1DF1"/>
    <w:rsid w:val="00FF3A26"/>
    <w:rsid w:val="00FF3B2E"/>
    <w:rsid w:val="00FF4AF3"/>
    <w:rsid w:val="00FF56CF"/>
    <w:rsid w:val="00FF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96"/>
    <w:rPr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rsid w:val="000B0E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62284C"/>
    <w:pPr>
      <w:keepNext/>
      <w:spacing w:before="60" w:after="60"/>
      <w:ind w:firstLine="288"/>
      <w:outlineLvl w:val="1"/>
    </w:pPr>
    <w:rPr>
      <w:rFonts w:cs="Arial"/>
      <w:b/>
      <w:bCs/>
      <w:iCs/>
      <w:sz w:val="16"/>
      <w:szCs w:val="16"/>
      <w:lang w:val="en-US" w:eastAsia="en-US"/>
    </w:rPr>
  </w:style>
  <w:style w:type="paragraph" w:styleId="Heading3">
    <w:name w:val="heading 3"/>
    <w:basedOn w:val="Normal"/>
    <w:next w:val="Normal"/>
    <w:qFormat/>
    <w:rsid w:val="00F65B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pPr>
      <w:widowControl w:val="0"/>
      <w:autoSpaceDE w:val="0"/>
      <w:autoSpaceDN w:val="0"/>
      <w:adjustRightInd w:val="0"/>
    </w:pPr>
    <w:rPr>
      <w:rFonts w:ascii="TT A 20 F 6 BE 8o 00" w:hAnsi="TT A 20 F 6 BE 8o 00" w:cs="TT A 20 F 6 BE 8o 00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after="53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Pr>
      <w:rFonts w:cs="Times New Roman"/>
      <w:color w:val="auto"/>
    </w:rPr>
  </w:style>
  <w:style w:type="paragraph" w:customStyle="1" w:styleId="CM16">
    <w:name w:val="CM16"/>
    <w:basedOn w:val="Default"/>
    <w:next w:val="Default"/>
    <w:link w:val="CM16Char"/>
    <w:pPr>
      <w:spacing w:after="11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pPr>
      <w:spacing w:after="375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pPr>
      <w:spacing w:after="273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line="278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pPr>
      <w:spacing w:after="778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Pr>
      <w:rFonts w:cs="Times New Roman"/>
      <w:color w:val="auto"/>
    </w:rPr>
  </w:style>
  <w:style w:type="paragraph" w:customStyle="1" w:styleId="CM20">
    <w:name w:val="CM20"/>
    <w:basedOn w:val="Default"/>
    <w:next w:val="Default"/>
    <w:pPr>
      <w:spacing w:after="102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pPr>
      <w:spacing w:after="167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line="278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7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pPr>
      <w:spacing w:line="27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pPr>
      <w:spacing w:line="276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pPr>
      <w:spacing w:after="468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pPr>
      <w:spacing w:after="638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pPr>
      <w:spacing w:line="238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76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pPr>
      <w:spacing w:after="410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76" w:lineRule="atLeast"/>
    </w:pPr>
    <w:rPr>
      <w:rFonts w:cs="Times New Roman"/>
      <w:color w:val="auto"/>
    </w:rPr>
  </w:style>
  <w:style w:type="paragraph" w:styleId="Header">
    <w:name w:val="header"/>
    <w:basedOn w:val="Normal"/>
    <w:rsid w:val="00AA6C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6C64"/>
    <w:pPr>
      <w:tabs>
        <w:tab w:val="center" w:pos="4320"/>
        <w:tab w:val="right" w:pos="8640"/>
      </w:tabs>
    </w:pPr>
  </w:style>
  <w:style w:type="paragraph" w:customStyle="1" w:styleId="AlexionBodyText">
    <w:name w:val="Alexion Body Text"/>
    <w:basedOn w:val="Normal"/>
    <w:link w:val="AlexionBodyTextChar"/>
    <w:rsid w:val="0062284C"/>
    <w:pPr>
      <w:spacing w:before="120" w:after="240"/>
      <w:ind w:firstLine="432"/>
    </w:pPr>
    <w:rPr>
      <w:sz w:val="16"/>
      <w:szCs w:val="20"/>
      <w:lang w:val="en-US"/>
    </w:rPr>
  </w:style>
  <w:style w:type="character" w:styleId="Hyperlink">
    <w:name w:val="Hyperlink"/>
    <w:rsid w:val="0062284C"/>
    <w:rPr>
      <w:color w:val="0000FF"/>
      <w:u w:val="single"/>
    </w:rPr>
  </w:style>
  <w:style w:type="character" w:customStyle="1" w:styleId="AlexionBodyTextChar">
    <w:name w:val="Alexion Body Text Char"/>
    <w:link w:val="AlexionBodyText"/>
    <w:rsid w:val="0062284C"/>
    <w:rPr>
      <w:sz w:val="16"/>
      <w:lang w:val="en-US" w:eastAsia="en-US" w:bidi="ar-SA"/>
    </w:rPr>
  </w:style>
  <w:style w:type="table" w:styleId="TableGrid">
    <w:name w:val="Table Grid"/>
    <w:basedOn w:val="TableNormal"/>
    <w:uiPriority w:val="59"/>
    <w:rsid w:val="00F65BB2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Title"/>
    <w:next w:val="Normal"/>
    <w:rsid w:val="00F65BB2"/>
    <w:pPr>
      <w:spacing w:before="60" w:after="60"/>
      <w:jc w:val="center"/>
    </w:pPr>
    <w:rPr>
      <w:b/>
      <w:sz w:val="16"/>
      <w:szCs w:val="24"/>
      <w:lang w:val="en-US" w:eastAsia="en-US"/>
    </w:rPr>
  </w:style>
  <w:style w:type="character" w:styleId="CommentReference">
    <w:name w:val="annotation reference"/>
    <w:rsid w:val="000B0EB9"/>
    <w:rPr>
      <w:sz w:val="16"/>
      <w:szCs w:val="16"/>
    </w:rPr>
  </w:style>
  <w:style w:type="paragraph" w:styleId="CommentText">
    <w:name w:val="annotation text"/>
    <w:aliases w:val="Comment Text Char2 Char,Comment Text Char1 Char Char,Comment Text Char Char Char Char,Comment Text Char Char1 Char,Comment Text Char Char"/>
    <w:basedOn w:val="Normal"/>
    <w:link w:val="CommentTextChar"/>
    <w:rsid w:val="000B0EB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EB9"/>
    <w:rPr>
      <w:b/>
      <w:bCs/>
    </w:rPr>
  </w:style>
  <w:style w:type="paragraph" w:styleId="BalloonText">
    <w:name w:val="Balloon Text"/>
    <w:basedOn w:val="Normal"/>
    <w:semiHidden/>
    <w:rsid w:val="000B0EB9"/>
    <w:rPr>
      <w:rFonts w:ascii="Tahoma" w:hAnsi="Tahoma" w:cs="Tahoma"/>
      <w:sz w:val="16"/>
      <w:szCs w:val="16"/>
    </w:rPr>
  </w:style>
  <w:style w:type="character" w:customStyle="1" w:styleId="FDAHeader3Char">
    <w:name w:val="FDA Header 3 Char"/>
    <w:rsid w:val="000B0EB9"/>
    <w:rPr>
      <w:rFonts w:ascii="Arial" w:hAnsi="Arial" w:cs="Arial"/>
      <w:b/>
      <w:bCs/>
      <w:noProof w:val="0"/>
      <w:sz w:val="24"/>
      <w:szCs w:val="24"/>
      <w:lang w:val="en-US" w:eastAsia="en-US" w:bidi="ar-SA"/>
    </w:rPr>
  </w:style>
  <w:style w:type="paragraph" w:customStyle="1" w:styleId="Bullet1">
    <w:name w:val="Bullet 1"/>
    <w:basedOn w:val="Normal"/>
    <w:rsid w:val="000B0EB9"/>
    <w:pPr>
      <w:numPr>
        <w:numId w:val="5"/>
      </w:numPr>
      <w:spacing w:before="120"/>
    </w:pPr>
    <w:rPr>
      <w:sz w:val="16"/>
      <w:szCs w:val="24"/>
      <w:lang w:val="en-US"/>
    </w:rPr>
  </w:style>
  <w:style w:type="paragraph" w:customStyle="1" w:styleId="Normal-text">
    <w:name w:val="Normal-text"/>
    <w:basedOn w:val="Normal"/>
    <w:rsid w:val="002C6A5F"/>
    <w:pPr>
      <w:tabs>
        <w:tab w:val="left" w:pos="0"/>
      </w:tabs>
      <w:suppressAutoHyphens/>
      <w:spacing w:before="60" w:after="120"/>
    </w:pPr>
    <w:rPr>
      <w:rFonts w:ascii="Arial" w:hAnsi="Arial"/>
      <w:szCs w:val="20"/>
      <w:lang w:val="en-US"/>
    </w:rPr>
  </w:style>
  <w:style w:type="character" w:styleId="PageNumber">
    <w:name w:val="page number"/>
    <w:basedOn w:val="DefaultParagraphFont"/>
    <w:rsid w:val="00904D14"/>
  </w:style>
  <w:style w:type="paragraph" w:customStyle="1" w:styleId="C-BodyText">
    <w:name w:val="C-Body Text"/>
    <w:link w:val="C-BodyTextChar"/>
    <w:rsid w:val="00B95833"/>
    <w:pPr>
      <w:spacing w:before="120" w:after="120" w:line="280" w:lineRule="atLeast"/>
    </w:pPr>
    <w:rPr>
      <w:sz w:val="24"/>
      <w:lang w:val="en-US" w:eastAsia="en-US"/>
    </w:rPr>
  </w:style>
  <w:style w:type="character" w:customStyle="1" w:styleId="C-BodyTextChar">
    <w:name w:val="C-Body Text Char"/>
    <w:link w:val="C-BodyText"/>
    <w:rsid w:val="00B95833"/>
    <w:rPr>
      <w:sz w:val="24"/>
    </w:rPr>
  </w:style>
  <w:style w:type="character" w:customStyle="1" w:styleId="CommentTextChar">
    <w:name w:val="Comment Text Char"/>
    <w:aliases w:val="Comment Text Char2 Char Char,Comment Text Char1 Char Char Char,Comment Text Char Char Char Char Char,Comment Text Char Char1 Char Char,Comment Text Char Char Char"/>
    <w:link w:val="CommentText"/>
    <w:rsid w:val="00051956"/>
    <w:rPr>
      <w:lang w:val="en-GB"/>
    </w:rPr>
  </w:style>
  <w:style w:type="paragraph" w:styleId="Revision">
    <w:name w:val="Revision"/>
    <w:hidden/>
    <w:uiPriority w:val="99"/>
    <w:semiHidden/>
    <w:rsid w:val="00CC5D6A"/>
    <w:rPr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C25F3D"/>
    <w:pPr>
      <w:spacing w:before="240" w:after="240"/>
    </w:pPr>
    <w:rPr>
      <w:szCs w:val="24"/>
      <w:lang w:val="en-US"/>
    </w:rPr>
  </w:style>
  <w:style w:type="paragraph" w:customStyle="1" w:styleId="PIMajorHeading">
    <w:name w:val="PIMajorHeading"/>
    <w:basedOn w:val="CM16"/>
    <w:link w:val="PIMajorHeadingChar"/>
    <w:qFormat/>
    <w:rsid w:val="00490370"/>
    <w:pPr>
      <w:keepNext/>
      <w:spacing w:before="360" w:after="120"/>
    </w:pPr>
    <w:rPr>
      <w:rFonts w:ascii="Times New Roman" w:hAnsi="Times New Roman"/>
      <w:b/>
      <w:lang w:val="en-AU"/>
    </w:rPr>
  </w:style>
  <w:style w:type="paragraph" w:customStyle="1" w:styleId="PIMinorHeading">
    <w:name w:val="PIMinorHeading"/>
    <w:basedOn w:val="Heading2"/>
    <w:link w:val="PIMinorHeadingChar"/>
    <w:qFormat/>
    <w:rsid w:val="0078443B"/>
    <w:pPr>
      <w:tabs>
        <w:tab w:val="left" w:pos="300"/>
      </w:tabs>
      <w:spacing w:before="240" w:after="120"/>
      <w:ind w:firstLine="0"/>
      <w:jc w:val="both"/>
    </w:pPr>
    <w:rPr>
      <w:sz w:val="24"/>
      <w:szCs w:val="24"/>
      <w:lang w:val="en-AU"/>
    </w:rPr>
  </w:style>
  <w:style w:type="character" w:customStyle="1" w:styleId="DefaultChar">
    <w:name w:val="Default Char"/>
    <w:link w:val="Default"/>
    <w:rsid w:val="00425CBA"/>
    <w:rPr>
      <w:rFonts w:ascii="TT A 20 F 6 BE 8o 00" w:hAnsi="TT A 20 F 6 BE 8o 00" w:cs="TT A 20 F 6 BE 8o 00"/>
      <w:color w:val="000000"/>
      <w:sz w:val="24"/>
      <w:szCs w:val="24"/>
    </w:rPr>
  </w:style>
  <w:style w:type="character" w:customStyle="1" w:styleId="CM16Char">
    <w:name w:val="CM16 Char"/>
    <w:link w:val="CM16"/>
    <w:rsid w:val="00425CBA"/>
    <w:rPr>
      <w:rFonts w:ascii="TT A 20 F 6 BE 8o 00" w:hAnsi="TT A 20 F 6 BE 8o 00" w:cs="TT A 20 F 6 BE 8o 00"/>
      <w:color w:val="000000"/>
      <w:sz w:val="24"/>
      <w:szCs w:val="24"/>
    </w:rPr>
  </w:style>
  <w:style w:type="character" w:customStyle="1" w:styleId="PIMajorHeadingChar">
    <w:name w:val="PIMajorHeading Char"/>
    <w:link w:val="PIMajorHeading"/>
    <w:rsid w:val="00490370"/>
    <w:rPr>
      <w:b/>
      <w:sz w:val="24"/>
      <w:szCs w:val="24"/>
      <w:lang w:val="en-AU"/>
    </w:rPr>
  </w:style>
  <w:style w:type="character" w:customStyle="1" w:styleId="C-BodyTextChar1">
    <w:name w:val="C-Body Text Char1"/>
    <w:rsid w:val="006F5DC4"/>
    <w:rPr>
      <w:rFonts w:eastAsia="Times New Roman"/>
      <w:sz w:val="24"/>
    </w:rPr>
  </w:style>
  <w:style w:type="character" w:customStyle="1" w:styleId="Heading2Char">
    <w:name w:val="Heading 2 Char"/>
    <w:link w:val="Heading2"/>
    <w:rsid w:val="00425CBA"/>
    <w:rPr>
      <w:rFonts w:cs="Arial"/>
      <w:b/>
      <w:bCs/>
      <w:iCs/>
      <w:sz w:val="16"/>
      <w:szCs w:val="16"/>
    </w:rPr>
  </w:style>
  <w:style w:type="character" w:customStyle="1" w:styleId="PIMinorHeadingChar">
    <w:name w:val="PIMinorHeading Char"/>
    <w:link w:val="PIMinorHeading"/>
    <w:rsid w:val="0078443B"/>
    <w:rPr>
      <w:rFonts w:cs="Arial"/>
      <w:b/>
      <w:bCs/>
      <w:iCs/>
      <w:sz w:val="24"/>
      <w:szCs w:val="24"/>
      <w:lang w:eastAsia="en-US"/>
    </w:rPr>
  </w:style>
  <w:style w:type="paragraph" w:customStyle="1" w:styleId="C-TableHeader">
    <w:name w:val="C-Table Header"/>
    <w:next w:val="C-TableText"/>
    <w:link w:val="C-TableHeaderChar"/>
    <w:rsid w:val="004104E3"/>
    <w:pPr>
      <w:keepNext/>
    </w:pPr>
    <w:rPr>
      <w:b/>
      <w:lang w:val="en-US" w:eastAsia="en-US"/>
    </w:rPr>
  </w:style>
  <w:style w:type="paragraph" w:customStyle="1" w:styleId="C-TableText">
    <w:name w:val="C-Table Text"/>
    <w:link w:val="C-TableTextChar"/>
    <w:rsid w:val="004104E3"/>
    <w:rPr>
      <w:lang w:val="en-US" w:eastAsia="en-US"/>
    </w:rPr>
  </w:style>
  <w:style w:type="table" w:customStyle="1" w:styleId="C-Table">
    <w:name w:val="C-Table"/>
    <w:basedOn w:val="TableNormal"/>
    <w:rsid w:val="004104E3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character" w:customStyle="1" w:styleId="C-TableTextChar">
    <w:name w:val="C-Table Text Char"/>
    <w:link w:val="C-TableText"/>
    <w:rsid w:val="004104E3"/>
  </w:style>
  <w:style w:type="character" w:customStyle="1" w:styleId="C-TableHeaderChar">
    <w:name w:val="C-Table Header Char"/>
    <w:link w:val="C-TableHeader"/>
    <w:locked/>
    <w:rsid w:val="004104E3"/>
    <w:rPr>
      <w:b/>
    </w:rPr>
  </w:style>
  <w:style w:type="paragraph" w:styleId="Caption">
    <w:name w:val="caption"/>
    <w:basedOn w:val="Normal"/>
    <w:next w:val="Normal"/>
    <w:uiPriority w:val="35"/>
    <w:unhideWhenUsed/>
    <w:qFormat/>
    <w:rsid w:val="004104E3"/>
    <w:pPr>
      <w:keepNext/>
    </w:pPr>
    <w:rPr>
      <w:b/>
      <w:bCs/>
      <w:szCs w:val="20"/>
    </w:rPr>
  </w:style>
  <w:style w:type="paragraph" w:customStyle="1" w:styleId="PIMinorHeadingsubsection">
    <w:name w:val="PIMinorHeadingsubsection"/>
    <w:basedOn w:val="Normal"/>
    <w:link w:val="PIMinorHeadingsubsectionChar"/>
    <w:qFormat/>
    <w:rsid w:val="00485844"/>
    <w:pPr>
      <w:spacing w:after="120"/>
    </w:pPr>
    <w:rPr>
      <w:i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C2EA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PIMinorHeadingsubsectionChar">
    <w:name w:val="PIMinorHeadingsubsection Char"/>
    <w:link w:val="PIMinorHeadingsubsection"/>
    <w:rsid w:val="00485844"/>
    <w:rPr>
      <w:i/>
      <w:sz w:val="24"/>
      <w:szCs w:val="22"/>
      <w:u w:val="single"/>
      <w:lang w:val="en-AU"/>
    </w:rPr>
  </w:style>
  <w:style w:type="character" w:customStyle="1" w:styleId="TitleChar">
    <w:name w:val="Title Char"/>
    <w:link w:val="Title"/>
    <w:uiPriority w:val="10"/>
    <w:rsid w:val="005C2EA5"/>
    <w:rPr>
      <w:rFonts w:ascii="Cambria" w:eastAsia="Times New Roman" w:hAnsi="Cambria" w:cs="Times New Roman"/>
      <w:b/>
      <w:bCs/>
      <w:kern w:val="28"/>
      <w:sz w:val="32"/>
      <w:szCs w:val="32"/>
      <w:lang w:val="en-AU"/>
    </w:rPr>
  </w:style>
  <w:style w:type="paragraph" w:styleId="ListParagraph">
    <w:name w:val="List Paragraph"/>
    <w:basedOn w:val="Normal"/>
    <w:uiPriority w:val="34"/>
    <w:qFormat/>
    <w:rsid w:val="00813CCA"/>
    <w:pPr>
      <w:spacing w:after="120"/>
      <w:ind w:left="720"/>
      <w:contextualSpacing/>
    </w:pPr>
    <w:rPr>
      <w:szCs w:val="24"/>
      <w:lang w:val="en-US"/>
    </w:rPr>
  </w:style>
  <w:style w:type="paragraph" w:customStyle="1" w:styleId="CM38">
    <w:name w:val="CM38"/>
    <w:basedOn w:val="Default"/>
    <w:next w:val="Default"/>
    <w:uiPriority w:val="99"/>
    <w:rsid w:val="00621C6F"/>
    <w:pPr>
      <w:widowControl/>
    </w:pPr>
    <w:rPr>
      <w:rFonts w:ascii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96"/>
    <w:rPr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rsid w:val="000B0E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62284C"/>
    <w:pPr>
      <w:keepNext/>
      <w:spacing w:before="60" w:after="60"/>
      <w:ind w:firstLine="288"/>
      <w:outlineLvl w:val="1"/>
    </w:pPr>
    <w:rPr>
      <w:rFonts w:cs="Arial"/>
      <w:b/>
      <w:bCs/>
      <w:iCs/>
      <w:sz w:val="16"/>
      <w:szCs w:val="16"/>
      <w:lang w:val="en-US" w:eastAsia="en-US"/>
    </w:rPr>
  </w:style>
  <w:style w:type="paragraph" w:styleId="Heading3">
    <w:name w:val="heading 3"/>
    <w:basedOn w:val="Normal"/>
    <w:next w:val="Normal"/>
    <w:qFormat/>
    <w:rsid w:val="00F65B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pPr>
      <w:widowControl w:val="0"/>
      <w:autoSpaceDE w:val="0"/>
      <w:autoSpaceDN w:val="0"/>
      <w:adjustRightInd w:val="0"/>
    </w:pPr>
    <w:rPr>
      <w:rFonts w:ascii="TT A 20 F 6 BE 8o 00" w:hAnsi="TT A 20 F 6 BE 8o 00" w:cs="TT A 20 F 6 BE 8o 00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after="53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Pr>
      <w:rFonts w:cs="Times New Roman"/>
      <w:color w:val="auto"/>
    </w:rPr>
  </w:style>
  <w:style w:type="paragraph" w:customStyle="1" w:styleId="CM16">
    <w:name w:val="CM16"/>
    <w:basedOn w:val="Default"/>
    <w:next w:val="Default"/>
    <w:link w:val="CM16Char"/>
    <w:pPr>
      <w:spacing w:after="11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pPr>
      <w:spacing w:after="375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pPr>
      <w:spacing w:after="273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line="278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pPr>
      <w:spacing w:after="778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Pr>
      <w:rFonts w:cs="Times New Roman"/>
      <w:color w:val="auto"/>
    </w:rPr>
  </w:style>
  <w:style w:type="paragraph" w:customStyle="1" w:styleId="CM20">
    <w:name w:val="CM20"/>
    <w:basedOn w:val="Default"/>
    <w:next w:val="Default"/>
    <w:pPr>
      <w:spacing w:after="102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pPr>
      <w:spacing w:after="167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line="278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7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pPr>
      <w:spacing w:line="27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pPr>
      <w:spacing w:line="276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pPr>
      <w:spacing w:after="468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pPr>
      <w:spacing w:after="638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pPr>
      <w:spacing w:line="238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76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pPr>
      <w:spacing w:after="410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76" w:lineRule="atLeast"/>
    </w:pPr>
    <w:rPr>
      <w:rFonts w:cs="Times New Roman"/>
      <w:color w:val="auto"/>
    </w:rPr>
  </w:style>
  <w:style w:type="paragraph" w:styleId="Header">
    <w:name w:val="header"/>
    <w:basedOn w:val="Normal"/>
    <w:rsid w:val="00AA6C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6C64"/>
    <w:pPr>
      <w:tabs>
        <w:tab w:val="center" w:pos="4320"/>
        <w:tab w:val="right" w:pos="8640"/>
      </w:tabs>
    </w:pPr>
  </w:style>
  <w:style w:type="paragraph" w:customStyle="1" w:styleId="AlexionBodyText">
    <w:name w:val="Alexion Body Text"/>
    <w:basedOn w:val="Normal"/>
    <w:link w:val="AlexionBodyTextChar"/>
    <w:rsid w:val="0062284C"/>
    <w:pPr>
      <w:spacing w:before="120" w:after="240"/>
      <w:ind w:firstLine="432"/>
    </w:pPr>
    <w:rPr>
      <w:sz w:val="16"/>
      <w:szCs w:val="20"/>
      <w:lang w:val="en-US"/>
    </w:rPr>
  </w:style>
  <w:style w:type="character" w:styleId="Hyperlink">
    <w:name w:val="Hyperlink"/>
    <w:rsid w:val="0062284C"/>
    <w:rPr>
      <w:color w:val="0000FF"/>
      <w:u w:val="single"/>
    </w:rPr>
  </w:style>
  <w:style w:type="character" w:customStyle="1" w:styleId="AlexionBodyTextChar">
    <w:name w:val="Alexion Body Text Char"/>
    <w:link w:val="AlexionBodyText"/>
    <w:rsid w:val="0062284C"/>
    <w:rPr>
      <w:sz w:val="16"/>
      <w:lang w:val="en-US" w:eastAsia="en-US" w:bidi="ar-SA"/>
    </w:rPr>
  </w:style>
  <w:style w:type="table" w:styleId="TableGrid">
    <w:name w:val="Table Grid"/>
    <w:basedOn w:val="TableNormal"/>
    <w:uiPriority w:val="59"/>
    <w:rsid w:val="00F65BB2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Title"/>
    <w:next w:val="Normal"/>
    <w:rsid w:val="00F65BB2"/>
    <w:pPr>
      <w:spacing w:before="60" w:after="60"/>
      <w:jc w:val="center"/>
    </w:pPr>
    <w:rPr>
      <w:b/>
      <w:sz w:val="16"/>
      <w:szCs w:val="24"/>
      <w:lang w:val="en-US" w:eastAsia="en-US"/>
    </w:rPr>
  </w:style>
  <w:style w:type="character" w:styleId="CommentReference">
    <w:name w:val="annotation reference"/>
    <w:rsid w:val="000B0EB9"/>
    <w:rPr>
      <w:sz w:val="16"/>
      <w:szCs w:val="16"/>
    </w:rPr>
  </w:style>
  <w:style w:type="paragraph" w:styleId="CommentText">
    <w:name w:val="annotation text"/>
    <w:aliases w:val="Comment Text Char2 Char,Comment Text Char1 Char Char,Comment Text Char Char Char Char,Comment Text Char Char1 Char,Comment Text Char Char"/>
    <w:basedOn w:val="Normal"/>
    <w:link w:val="CommentTextChar"/>
    <w:rsid w:val="000B0EB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EB9"/>
    <w:rPr>
      <w:b/>
      <w:bCs/>
    </w:rPr>
  </w:style>
  <w:style w:type="paragraph" w:styleId="BalloonText">
    <w:name w:val="Balloon Text"/>
    <w:basedOn w:val="Normal"/>
    <w:semiHidden/>
    <w:rsid w:val="000B0EB9"/>
    <w:rPr>
      <w:rFonts w:ascii="Tahoma" w:hAnsi="Tahoma" w:cs="Tahoma"/>
      <w:sz w:val="16"/>
      <w:szCs w:val="16"/>
    </w:rPr>
  </w:style>
  <w:style w:type="character" w:customStyle="1" w:styleId="FDAHeader3Char">
    <w:name w:val="FDA Header 3 Char"/>
    <w:rsid w:val="000B0EB9"/>
    <w:rPr>
      <w:rFonts w:ascii="Arial" w:hAnsi="Arial" w:cs="Arial"/>
      <w:b/>
      <w:bCs/>
      <w:noProof w:val="0"/>
      <w:sz w:val="24"/>
      <w:szCs w:val="24"/>
      <w:lang w:val="en-US" w:eastAsia="en-US" w:bidi="ar-SA"/>
    </w:rPr>
  </w:style>
  <w:style w:type="paragraph" w:customStyle="1" w:styleId="Bullet1">
    <w:name w:val="Bullet 1"/>
    <w:basedOn w:val="Normal"/>
    <w:rsid w:val="000B0EB9"/>
    <w:pPr>
      <w:numPr>
        <w:numId w:val="5"/>
      </w:numPr>
      <w:spacing w:before="120"/>
    </w:pPr>
    <w:rPr>
      <w:sz w:val="16"/>
      <w:szCs w:val="24"/>
      <w:lang w:val="en-US"/>
    </w:rPr>
  </w:style>
  <w:style w:type="paragraph" w:customStyle="1" w:styleId="Normal-text">
    <w:name w:val="Normal-text"/>
    <w:basedOn w:val="Normal"/>
    <w:rsid w:val="002C6A5F"/>
    <w:pPr>
      <w:tabs>
        <w:tab w:val="left" w:pos="0"/>
      </w:tabs>
      <w:suppressAutoHyphens/>
      <w:spacing w:before="60" w:after="120"/>
    </w:pPr>
    <w:rPr>
      <w:rFonts w:ascii="Arial" w:hAnsi="Arial"/>
      <w:szCs w:val="20"/>
      <w:lang w:val="en-US"/>
    </w:rPr>
  </w:style>
  <w:style w:type="character" w:styleId="PageNumber">
    <w:name w:val="page number"/>
    <w:basedOn w:val="DefaultParagraphFont"/>
    <w:rsid w:val="00904D14"/>
  </w:style>
  <w:style w:type="paragraph" w:customStyle="1" w:styleId="C-BodyText">
    <w:name w:val="C-Body Text"/>
    <w:link w:val="C-BodyTextChar"/>
    <w:rsid w:val="00B95833"/>
    <w:pPr>
      <w:spacing w:before="120" w:after="120" w:line="280" w:lineRule="atLeast"/>
    </w:pPr>
    <w:rPr>
      <w:sz w:val="24"/>
      <w:lang w:val="en-US" w:eastAsia="en-US"/>
    </w:rPr>
  </w:style>
  <w:style w:type="character" w:customStyle="1" w:styleId="C-BodyTextChar">
    <w:name w:val="C-Body Text Char"/>
    <w:link w:val="C-BodyText"/>
    <w:rsid w:val="00B95833"/>
    <w:rPr>
      <w:sz w:val="24"/>
    </w:rPr>
  </w:style>
  <w:style w:type="character" w:customStyle="1" w:styleId="CommentTextChar">
    <w:name w:val="Comment Text Char"/>
    <w:aliases w:val="Comment Text Char2 Char Char,Comment Text Char1 Char Char Char,Comment Text Char Char Char Char Char,Comment Text Char Char1 Char Char,Comment Text Char Char Char"/>
    <w:link w:val="CommentText"/>
    <w:rsid w:val="00051956"/>
    <w:rPr>
      <w:lang w:val="en-GB"/>
    </w:rPr>
  </w:style>
  <w:style w:type="paragraph" w:styleId="Revision">
    <w:name w:val="Revision"/>
    <w:hidden/>
    <w:uiPriority w:val="99"/>
    <w:semiHidden/>
    <w:rsid w:val="00CC5D6A"/>
    <w:rPr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C25F3D"/>
    <w:pPr>
      <w:spacing w:before="240" w:after="240"/>
    </w:pPr>
    <w:rPr>
      <w:szCs w:val="24"/>
      <w:lang w:val="en-US"/>
    </w:rPr>
  </w:style>
  <w:style w:type="paragraph" w:customStyle="1" w:styleId="PIMajorHeading">
    <w:name w:val="PIMajorHeading"/>
    <w:basedOn w:val="CM16"/>
    <w:link w:val="PIMajorHeadingChar"/>
    <w:qFormat/>
    <w:rsid w:val="00490370"/>
    <w:pPr>
      <w:keepNext/>
      <w:spacing w:before="360" w:after="120"/>
    </w:pPr>
    <w:rPr>
      <w:rFonts w:ascii="Times New Roman" w:hAnsi="Times New Roman"/>
      <w:b/>
      <w:lang w:val="en-AU"/>
    </w:rPr>
  </w:style>
  <w:style w:type="paragraph" w:customStyle="1" w:styleId="PIMinorHeading">
    <w:name w:val="PIMinorHeading"/>
    <w:basedOn w:val="Heading2"/>
    <w:link w:val="PIMinorHeadingChar"/>
    <w:qFormat/>
    <w:rsid w:val="0078443B"/>
    <w:pPr>
      <w:tabs>
        <w:tab w:val="left" w:pos="300"/>
      </w:tabs>
      <w:spacing w:before="240" w:after="120"/>
      <w:ind w:firstLine="0"/>
      <w:jc w:val="both"/>
    </w:pPr>
    <w:rPr>
      <w:sz w:val="24"/>
      <w:szCs w:val="24"/>
      <w:lang w:val="en-AU"/>
    </w:rPr>
  </w:style>
  <w:style w:type="character" w:customStyle="1" w:styleId="DefaultChar">
    <w:name w:val="Default Char"/>
    <w:link w:val="Default"/>
    <w:rsid w:val="00425CBA"/>
    <w:rPr>
      <w:rFonts w:ascii="TT A 20 F 6 BE 8o 00" w:hAnsi="TT A 20 F 6 BE 8o 00" w:cs="TT A 20 F 6 BE 8o 00"/>
      <w:color w:val="000000"/>
      <w:sz w:val="24"/>
      <w:szCs w:val="24"/>
    </w:rPr>
  </w:style>
  <w:style w:type="character" w:customStyle="1" w:styleId="CM16Char">
    <w:name w:val="CM16 Char"/>
    <w:link w:val="CM16"/>
    <w:rsid w:val="00425CBA"/>
    <w:rPr>
      <w:rFonts w:ascii="TT A 20 F 6 BE 8o 00" w:hAnsi="TT A 20 F 6 BE 8o 00" w:cs="TT A 20 F 6 BE 8o 00"/>
      <w:color w:val="000000"/>
      <w:sz w:val="24"/>
      <w:szCs w:val="24"/>
    </w:rPr>
  </w:style>
  <w:style w:type="character" w:customStyle="1" w:styleId="PIMajorHeadingChar">
    <w:name w:val="PIMajorHeading Char"/>
    <w:link w:val="PIMajorHeading"/>
    <w:rsid w:val="00490370"/>
    <w:rPr>
      <w:b/>
      <w:sz w:val="24"/>
      <w:szCs w:val="24"/>
      <w:lang w:val="en-AU"/>
    </w:rPr>
  </w:style>
  <w:style w:type="character" w:customStyle="1" w:styleId="C-BodyTextChar1">
    <w:name w:val="C-Body Text Char1"/>
    <w:rsid w:val="006F5DC4"/>
    <w:rPr>
      <w:rFonts w:eastAsia="Times New Roman"/>
      <w:sz w:val="24"/>
    </w:rPr>
  </w:style>
  <w:style w:type="character" w:customStyle="1" w:styleId="Heading2Char">
    <w:name w:val="Heading 2 Char"/>
    <w:link w:val="Heading2"/>
    <w:rsid w:val="00425CBA"/>
    <w:rPr>
      <w:rFonts w:cs="Arial"/>
      <w:b/>
      <w:bCs/>
      <w:iCs/>
      <w:sz w:val="16"/>
      <w:szCs w:val="16"/>
    </w:rPr>
  </w:style>
  <w:style w:type="character" w:customStyle="1" w:styleId="PIMinorHeadingChar">
    <w:name w:val="PIMinorHeading Char"/>
    <w:link w:val="PIMinorHeading"/>
    <w:rsid w:val="0078443B"/>
    <w:rPr>
      <w:rFonts w:cs="Arial"/>
      <w:b/>
      <w:bCs/>
      <w:iCs/>
      <w:sz w:val="24"/>
      <w:szCs w:val="24"/>
      <w:lang w:eastAsia="en-US"/>
    </w:rPr>
  </w:style>
  <w:style w:type="paragraph" w:customStyle="1" w:styleId="C-TableHeader">
    <w:name w:val="C-Table Header"/>
    <w:next w:val="C-TableText"/>
    <w:link w:val="C-TableHeaderChar"/>
    <w:rsid w:val="004104E3"/>
    <w:pPr>
      <w:keepNext/>
    </w:pPr>
    <w:rPr>
      <w:b/>
      <w:lang w:val="en-US" w:eastAsia="en-US"/>
    </w:rPr>
  </w:style>
  <w:style w:type="paragraph" w:customStyle="1" w:styleId="C-TableText">
    <w:name w:val="C-Table Text"/>
    <w:link w:val="C-TableTextChar"/>
    <w:rsid w:val="004104E3"/>
    <w:rPr>
      <w:lang w:val="en-US" w:eastAsia="en-US"/>
    </w:rPr>
  </w:style>
  <w:style w:type="table" w:customStyle="1" w:styleId="C-Table">
    <w:name w:val="C-Table"/>
    <w:basedOn w:val="TableNormal"/>
    <w:rsid w:val="004104E3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character" w:customStyle="1" w:styleId="C-TableTextChar">
    <w:name w:val="C-Table Text Char"/>
    <w:link w:val="C-TableText"/>
    <w:rsid w:val="004104E3"/>
  </w:style>
  <w:style w:type="character" w:customStyle="1" w:styleId="C-TableHeaderChar">
    <w:name w:val="C-Table Header Char"/>
    <w:link w:val="C-TableHeader"/>
    <w:locked/>
    <w:rsid w:val="004104E3"/>
    <w:rPr>
      <w:b/>
    </w:rPr>
  </w:style>
  <w:style w:type="paragraph" w:styleId="Caption">
    <w:name w:val="caption"/>
    <w:basedOn w:val="Normal"/>
    <w:next w:val="Normal"/>
    <w:uiPriority w:val="35"/>
    <w:unhideWhenUsed/>
    <w:qFormat/>
    <w:rsid w:val="004104E3"/>
    <w:pPr>
      <w:keepNext/>
    </w:pPr>
    <w:rPr>
      <w:b/>
      <w:bCs/>
      <w:szCs w:val="20"/>
    </w:rPr>
  </w:style>
  <w:style w:type="paragraph" w:customStyle="1" w:styleId="PIMinorHeadingsubsection">
    <w:name w:val="PIMinorHeadingsubsection"/>
    <w:basedOn w:val="Normal"/>
    <w:link w:val="PIMinorHeadingsubsectionChar"/>
    <w:qFormat/>
    <w:rsid w:val="00485844"/>
    <w:pPr>
      <w:spacing w:after="120"/>
    </w:pPr>
    <w:rPr>
      <w:i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C2EA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PIMinorHeadingsubsectionChar">
    <w:name w:val="PIMinorHeadingsubsection Char"/>
    <w:link w:val="PIMinorHeadingsubsection"/>
    <w:rsid w:val="00485844"/>
    <w:rPr>
      <w:i/>
      <w:sz w:val="24"/>
      <w:szCs w:val="22"/>
      <w:u w:val="single"/>
      <w:lang w:val="en-AU"/>
    </w:rPr>
  </w:style>
  <w:style w:type="character" w:customStyle="1" w:styleId="TitleChar">
    <w:name w:val="Title Char"/>
    <w:link w:val="Title"/>
    <w:uiPriority w:val="10"/>
    <w:rsid w:val="005C2EA5"/>
    <w:rPr>
      <w:rFonts w:ascii="Cambria" w:eastAsia="Times New Roman" w:hAnsi="Cambria" w:cs="Times New Roman"/>
      <w:b/>
      <w:bCs/>
      <w:kern w:val="28"/>
      <w:sz w:val="32"/>
      <w:szCs w:val="32"/>
      <w:lang w:val="en-AU"/>
    </w:rPr>
  </w:style>
  <w:style w:type="paragraph" w:styleId="ListParagraph">
    <w:name w:val="List Paragraph"/>
    <w:basedOn w:val="Normal"/>
    <w:uiPriority w:val="34"/>
    <w:qFormat/>
    <w:rsid w:val="00813CCA"/>
    <w:pPr>
      <w:spacing w:after="120"/>
      <w:ind w:left="720"/>
      <w:contextualSpacing/>
    </w:pPr>
    <w:rPr>
      <w:szCs w:val="24"/>
      <w:lang w:val="en-US"/>
    </w:rPr>
  </w:style>
  <w:style w:type="paragraph" w:customStyle="1" w:styleId="CM38">
    <w:name w:val="CM38"/>
    <w:basedOn w:val="Default"/>
    <w:next w:val="Default"/>
    <w:uiPriority w:val="99"/>
    <w:rsid w:val="00621C6F"/>
    <w:pPr>
      <w:widowControl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8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60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711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7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0270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6EBC3-7EFF-4311-A54A-94AC7DAF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4641</Words>
  <Characters>27198</Characters>
  <Application>Microsoft Office Word</Application>
  <DocSecurity>0</DocSecurity>
  <Lines>477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 aHUS PI</vt:lpstr>
    </vt:vector>
  </TitlesOfParts>
  <Company>Alexion Pharmaceuticals, Inc.</Company>
  <LinksUpToDate>false</LinksUpToDate>
  <CharactersWithSpaces>31635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AusPAR Attachment 1: Product Information for asfotase alfa rch</dc:title>
  <dc:subject>Prescription medicines</dc:subject>
  <dc:creator>Alexion Pharmaceuticals Australia Pty Ltd</dc:creator>
  <cp:keywords>AusPARs</cp:keywords>
  <cp:lastModifiedBy>Sheppard, Fran</cp:lastModifiedBy>
  <cp:revision>5</cp:revision>
  <cp:lastPrinted>2015-11-16T16:30:00Z</cp:lastPrinted>
  <dcterms:created xsi:type="dcterms:W3CDTF">2016-06-30T06:53:00Z</dcterms:created>
  <dcterms:modified xsi:type="dcterms:W3CDTF">2016-07-01T05:24:00Z</dcterms:modified>
</cp:coreProperties>
</file>