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B78" w:rsidRPr="001472C3" w:rsidRDefault="00CD4B78">
      <w:pPr>
        <w:pStyle w:val="Heading1"/>
        <w:suppressLineNumbers/>
        <w:suppressAutoHyphens/>
      </w:pPr>
      <w:r w:rsidRPr="001472C3">
        <w:t>PRODUCT INFORMATION</w:t>
      </w:r>
      <w:bookmarkStart w:id="0" w:name="_GoBack"/>
      <w:bookmarkEnd w:id="0"/>
    </w:p>
    <w:p w:rsidR="00A14950" w:rsidRPr="001472C3" w:rsidRDefault="00A14950">
      <w:pPr>
        <w:pStyle w:val="Heading1"/>
        <w:keepNext w:val="0"/>
        <w:suppressLineNumbers/>
        <w:suppressAutoHyphens/>
      </w:pPr>
    </w:p>
    <w:p w:rsidR="00DB53F5" w:rsidRPr="001472C3" w:rsidRDefault="00DB53F5">
      <w:pPr>
        <w:pStyle w:val="Heading1"/>
        <w:keepNext w:val="0"/>
        <w:suppressLineNumbers/>
        <w:suppressAutoHyphens/>
      </w:pPr>
      <w:r w:rsidRPr="001472C3">
        <w:t>NAME OF THE MEDICINE</w:t>
      </w:r>
    </w:p>
    <w:p w:rsidR="00DB53F5" w:rsidRPr="001472C3" w:rsidRDefault="00B91E18" w:rsidP="00BC2E07">
      <w:pPr>
        <w:jc w:val="both"/>
      </w:pPr>
      <w:r w:rsidRPr="001472C3">
        <w:t>NUVIGIL</w:t>
      </w:r>
      <w:r w:rsidRPr="001472C3">
        <w:rPr>
          <w:b/>
          <w:vertAlign w:val="superscript"/>
        </w:rPr>
        <w:t>®</w:t>
      </w:r>
      <w:r w:rsidRPr="001472C3">
        <w:t xml:space="preserve"> </w:t>
      </w:r>
      <w:r w:rsidR="00DB53F5" w:rsidRPr="001472C3">
        <w:t>(</w:t>
      </w:r>
      <w:proofErr w:type="spellStart"/>
      <w:r w:rsidRPr="001472C3">
        <w:t>ar</w:t>
      </w:r>
      <w:r w:rsidR="00DB53F5" w:rsidRPr="001472C3">
        <w:t>modafinil</w:t>
      </w:r>
      <w:proofErr w:type="spellEnd"/>
      <w:r w:rsidR="00DB53F5" w:rsidRPr="001472C3">
        <w:t xml:space="preserve">) is a wakefulness-promoting agent for oral administration.  </w:t>
      </w:r>
      <w:proofErr w:type="spellStart"/>
      <w:r w:rsidRPr="001472C3">
        <w:t>Armodafinil</w:t>
      </w:r>
      <w:proofErr w:type="spellEnd"/>
      <w:r w:rsidRPr="001472C3">
        <w:t xml:space="preserve"> is the </w:t>
      </w:r>
      <w:r w:rsidR="00F844DA">
        <w:t>(</w:t>
      </w:r>
      <w:r w:rsidRPr="00F844DA">
        <w:rPr>
          <w:i/>
        </w:rPr>
        <w:t>R</w:t>
      </w:r>
      <w:r w:rsidR="00F844DA">
        <w:rPr>
          <w:i/>
        </w:rPr>
        <w:t>)</w:t>
      </w:r>
      <w:r w:rsidRPr="001472C3">
        <w:t xml:space="preserve">-enantiomer of </w:t>
      </w:r>
      <w:proofErr w:type="spellStart"/>
      <w:r w:rsidRPr="001472C3">
        <w:t>modafinil</w:t>
      </w:r>
      <w:proofErr w:type="spellEnd"/>
      <w:r w:rsidRPr="001472C3">
        <w:t xml:space="preserve"> </w:t>
      </w:r>
      <w:r w:rsidR="00570763" w:rsidRPr="001472C3">
        <w:t>(MODAVIGIL</w:t>
      </w:r>
      <w:r w:rsidR="00570763" w:rsidRPr="001472C3">
        <w:rPr>
          <w:rFonts w:cs="Arial"/>
          <w:vertAlign w:val="superscript"/>
        </w:rPr>
        <w:t>®</w:t>
      </w:r>
      <w:r w:rsidR="00570763" w:rsidRPr="001472C3">
        <w:t xml:space="preserve">) </w:t>
      </w:r>
      <w:r w:rsidRPr="001472C3">
        <w:t xml:space="preserve">which is a </w:t>
      </w:r>
      <w:r w:rsidR="00F66B16">
        <w:t xml:space="preserve">1:1 </w:t>
      </w:r>
      <w:r w:rsidRPr="001472C3">
        <w:t xml:space="preserve">mixture of the </w:t>
      </w:r>
      <w:r w:rsidR="00F844DA">
        <w:t>(</w:t>
      </w:r>
      <w:r w:rsidRPr="00F844DA">
        <w:rPr>
          <w:i/>
        </w:rPr>
        <w:t>R</w:t>
      </w:r>
      <w:proofErr w:type="gramStart"/>
      <w:r w:rsidR="00F844DA">
        <w:t>)</w:t>
      </w:r>
      <w:r w:rsidRPr="001472C3">
        <w:t>-</w:t>
      </w:r>
      <w:proofErr w:type="gramEnd"/>
      <w:r w:rsidRPr="001472C3">
        <w:t xml:space="preserve"> and </w:t>
      </w:r>
      <w:r w:rsidR="00F844DA">
        <w:t>(</w:t>
      </w:r>
      <w:r w:rsidRPr="00F844DA">
        <w:rPr>
          <w:i/>
        </w:rPr>
        <w:t>S</w:t>
      </w:r>
      <w:r w:rsidR="00F844DA">
        <w:t>)</w:t>
      </w:r>
      <w:r w:rsidRPr="001472C3">
        <w:t xml:space="preserve">-enantiomers. </w:t>
      </w:r>
      <w:r w:rsidR="009A4ABD" w:rsidRPr="001472C3">
        <w:t>T</w:t>
      </w:r>
      <w:r w:rsidR="00DB53F5" w:rsidRPr="001472C3">
        <w:t xml:space="preserve">he chemical name </w:t>
      </w:r>
      <w:r w:rsidR="009A4ABD" w:rsidRPr="001472C3">
        <w:t xml:space="preserve">for </w:t>
      </w:r>
      <w:proofErr w:type="spellStart"/>
      <w:r w:rsidR="009A4ABD" w:rsidRPr="001472C3">
        <w:t>armodafinil</w:t>
      </w:r>
      <w:proofErr w:type="spellEnd"/>
      <w:r w:rsidR="009A4ABD" w:rsidRPr="001472C3">
        <w:t xml:space="preserve"> </w:t>
      </w:r>
      <w:r w:rsidR="00DB53F5" w:rsidRPr="001472C3">
        <w:t>is 2-[(</w:t>
      </w:r>
      <w:r w:rsidR="009A4ABD" w:rsidRPr="00F844DA">
        <w:rPr>
          <w:i/>
        </w:rPr>
        <w:t>R</w:t>
      </w:r>
      <w:r w:rsidR="009A4ABD" w:rsidRPr="001472C3">
        <w:t>)-(</w:t>
      </w:r>
      <w:proofErr w:type="spellStart"/>
      <w:r w:rsidR="00DB53F5" w:rsidRPr="001472C3">
        <w:t>diphenylmethyl</w:t>
      </w:r>
      <w:proofErr w:type="spellEnd"/>
      <w:proofErr w:type="gramStart"/>
      <w:r w:rsidR="00DB53F5" w:rsidRPr="001472C3">
        <w:t>)</w:t>
      </w:r>
      <w:proofErr w:type="spellStart"/>
      <w:r w:rsidR="00DB53F5" w:rsidRPr="001472C3">
        <w:t>sulfinyl</w:t>
      </w:r>
      <w:proofErr w:type="spellEnd"/>
      <w:proofErr w:type="gramEnd"/>
      <w:r w:rsidR="00DB53F5" w:rsidRPr="001472C3">
        <w:t>]</w:t>
      </w:r>
      <w:proofErr w:type="spellStart"/>
      <w:r w:rsidR="00DB53F5" w:rsidRPr="001472C3">
        <w:t>acetamide</w:t>
      </w:r>
      <w:proofErr w:type="spellEnd"/>
      <w:r w:rsidR="00DB53F5" w:rsidRPr="001472C3">
        <w:t>.  The molecular formula is C</w:t>
      </w:r>
      <w:r w:rsidR="00DB53F5" w:rsidRPr="001472C3">
        <w:rPr>
          <w:vertAlign w:val="subscript"/>
        </w:rPr>
        <w:t>15</w:t>
      </w:r>
      <w:r w:rsidR="00DB53F5" w:rsidRPr="001472C3">
        <w:t>H</w:t>
      </w:r>
      <w:r w:rsidR="00DB53F5" w:rsidRPr="001472C3">
        <w:rPr>
          <w:vertAlign w:val="subscript"/>
        </w:rPr>
        <w:t>15</w:t>
      </w:r>
      <w:r w:rsidR="00DB53F5" w:rsidRPr="001472C3">
        <w:t>NO</w:t>
      </w:r>
      <w:r w:rsidR="00DB53F5" w:rsidRPr="001472C3">
        <w:rPr>
          <w:vertAlign w:val="subscript"/>
        </w:rPr>
        <w:t>2</w:t>
      </w:r>
      <w:r w:rsidR="00DB53F5" w:rsidRPr="001472C3">
        <w:t>S and the molecular weight is 273.35.  The chemical structure is:</w:t>
      </w:r>
    </w:p>
    <w:p w:rsidR="00DB53F5" w:rsidRPr="001472C3" w:rsidRDefault="00DB53F5">
      <w:pPr>
        <w:pStyle w:val="Header"/>
        <w:suppressLineNumbers/>
        <w:tabs>
          <w:tab w:val="clear" w:pos="4153"/>
          <w:tab w:val="clear" w:pos="8306"/>
        </w:tabs>
        <w:suppressAutoHyphens/>
        <w:rPr>
          <w:noProof/>
        </w:rPr>
      </w:pPr>
      <w:r w:rsidRPr="001472C3">
        <w:rPr>
          <w:noProof/>
        </w:rPr>
        <w:tab/>
      </w:r>
      <w:r w:rsidRPr="001472C3">
        <w:rPr>
          <w:noProof/>
        </w:rPr>
        <w:tab/>
      </w:r>
      <w:r w:rsidR="008B6550" w:rsidRPr="001472C3">
        <w:rPr>
          <w:noProof/>
          <w:snapToGrid/>
          <w:lang w:eastAsia="en-AU"/>
        </w:rPr>
        <w:drawing>
          <wp:inline distT="0" distB="0" distL="0" distR="0" wp14:anchorId="73196113" wp14:editId="2FAE094B">
            <wp:extent cx="2242701" cy="1569492"/>
            <wp:effectExtent l="19050" t="0" r="5199"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242625" cy="1569439"/>
                    </a:xfrm>
                    <a:prstGeom prst="rect">
                      <a:avLst/>
                    </a:prstGeom>
                    <a:noFill/>
                    <a:ln w="9525">
                      <a:noFill/>
                      <a:miter lim="800000"/>
                      <a:headEnd/>
                      <a:tailEnd/>
                    </a:ln>
                  </pic:spPr>
                </pic:pic>
              </a:graphicData>
            </a:graphic>
          </wp:inline>
        </w:drawing>
      </w:r>
      <w:r w:rsidRPr="001472C3">
        <w:rPr>
          <w:noProof/>
        </w:rPr>
        <w:tab/>
      </w:r>
      <w:r w:rsidRPr="001472C3">
        <w:rPr>
          <w:noProof/>
        </w:rPr>
        <w:tab/>
      </w:r>
      <w:r w:rsidRPr="001472C3">
        <w:rPr>
          <w:noProof/>
        </w:rPr>
        <w:tab/>
      </w:r>
      <w:r w:rsidRPr="001472C3">
        <w:rPr>
          <w:noProof/>
        </w:rPr>
        <w:tab/>
      </w:r>
      <w:r w:rsidRPr="001472C3">
        <w:rPr>
          <w:noProof/>
        </w:rPr>
        <w:tab/>
      </w:r>
      <w:r w:rsidRPr="001472C3">
        <w:rPr>
          <w:noProof/>
        </w:rPr>
        <w:tab/>
      </w:r>
    </w:p>
    <w:p w:rsidR="00DB53F5" w:rsidRPr="001472C3" w:rsidRDefault="00DB53F5">
      <w:pPr>
        <w:pStyle w:val="Header"/>
        <w:suppressLineNumbers/>
        <w:tabs>
          <w:tab w:val="clear" w:pos="4153"/>
          <w:tab w:val="clear" w:pos="8306"/>
        </w:tabs>
        <w:suppressAutoHyphens/>
        <w:rPr>
          <w:noProof/>
        </w:rPr>
      </w:pPr>
      <w:r w:rsidRPr="001472C3">
        <w:rPr>
          <w:noProof/>
        </w:rPr>
        <w:tab/>
      </w:r>
      <w:r w:rsidRPr="001472C3">
        <w:rPr>
          <w:noProof/>
        </w:rPr>
        <w:tab/>
      </w:r>
      <w:r w:rsidRPr="001472C3">
        <w:rPr>
          <w:noProof/>
        </w:rPr>
        <w:tab/>
      </w:r>
      <w:r w:rsidRPr="001472C3">
        <w:rPr>
          <w:noProof/>
        </w:rPr>
        <w:tab/>
      </w:r>
      <w:r w:rsidRPr="001472C3">
        <w:rPr>
          <w:noProof/>
        </w:rPr>
        <w:tab/>
      </w:r>
      <w:r w:rsidRPr="001472C3">
        <w:rPr>
          <w:noProof/>
        </w:rPr>
        <w:tab/>
      </w:r>
      <w:r w:rsidRPr="001472C3">
        <w:rPr>
          <w:noProof/>
        </w:rPr>
        <w:tab/>
      </w:r>
    </w:p>
    <w:p w:rsidR="00DB53F5" w:rsidRPr="001472C3" w:rsidRDefault="00DB53F5">
      <w:pPr>
        <w:pStyle w:val="Heading1"/>
        <w:keepNext w:val="0"/>
        <w:suppressLineNumbers/>
        <w:suppressAutoHyphens/>
        <w:rPr>
          <w:b w:val="0"/>
        </w:rPr>
      </w:pPr>
      <w:r w:rsidRPr="001472C3">
        <w:rPr>
          <w:b w:val="0"/>
        </w:rPr>
        <w:t xml:space="preserve">The CAS registry number is </w:t>
      </w:r>
      <w:r w:rsidR="009A4ABD" w:rsidRPr="001472C3">
        <w:rPr>
          <w:b w:val="0"/>
        </w:rPr>
        <w:t>112111-43-0</w:t>
      </w:r>
      <w:r w:rsidRPr="001472C3">
        <w:rPr>
          <w:b w:val="0"/>
        </w:rPr>
        <w:t>.</w:t>
      </w:r>
    </w:p>
    <w:p w:rsidR="00DB53F5" w:rsidRPr="001472C3" w:rsidRDefault="00DB53F5">
      <w:pPr>
        <w:pStyle w:val="Heading1"/>
        <w:keepNext w:val="0"/>
        <w:suppressLineNumbers/>
        <w:suppressAutoHyphens/>
        <w:rPr>
          <w:b w:val="0"/>
        </w:rPr>
      </w:pPr>
    </w:p>
    <w:p w:rsidR="00DB53F5" w:rsidRPr="001472C3" w:rsidRDefault="00DB53F5">
      <w:pPr>
        <w:pStyle w:val="Heading1"/>
        <w:keepNext w:val="0"/>
        <w:suppressLineNumbers/>
        <w:suppressAutoHyphens/>
        <w:rPr>
          <w:b w:val="0"/>
        </w:rPr>
      </w:pPr>
      <w:r w:rsidRPr="001472C3">
        <w:t>DESCRIPTION</w:t>
      </w:r>
    </w:p>
    <w:p w:rsidR="00CB19B2" w:rsidRPr="001472C3" w:rsidRDefault="00BC2E07" w:rsidP="00BC2E07">
      <w:pPr>
        <w:pStyle w:val="Heading1"/>
        <w:keepNext w:val="0"/>
        <w:suppressLineNumbers/>
        <w:suppressAutoHyphens/>
        <w:jc w:val="both"/>
        <w:rPr>
          <w:b w:val="0"/>
        </w:rPr>
      </w:pPr>
      <w:proofErr w:type="spellStart"/>
      <w:r w:rsidRPr="001472C3">
        <w:rPr>
          <w:b w:val="0"/>
        </w:rPr>
        <w:t>Armodafinil</w:t>
      </w:r>
      <w:proofErr w:type="spellEnd"/>
      <w:r w:rsidRPr="001472C3">
        <w:rPr>
          <w:b w:val="0"/>
        </w:rPr>
        <w:t xml:space="preserve"> exists in multiple crystalline forms</w:t>
      </w:r>
      <w:r w:rsidR="00DB53F5" w:rsidRPr="001472C3">
        <w:rPr>
          <w:b w:val="0"/>
        </w:rPr>
        <w:t xml:space="preserve">. </w:t>
      </w:r>
      <w:r w:rsidRPr="001472C3">
        <w:rPr>
          <w:b w:val="0"/>
        </w:rPr>
        <w:t>Form 1, which is used in NUVIGIL</w:t>
      </w:r>
      <w:r w:rsidRPr="001472C3">
        <w:rPr>
          <w:b w:val="0"/>
          <w:vertAlign w:val="superscript"/>
        </w:rPr>
        <w:t>®</w:t>
      </w:r>
      <w:r w:rsidRPr="001472C3">
        <w:rPr>
          <w:b w:val="0"/>
        </w:rPr>
        <w:t xml:space="preserve">, is the least soluble form of </w:t>
      </w:r>
      <w:proofErr w:type="spellStart"/>
      <w:r w:rsidRPr="001472C3">
        <w:rPr>
          <w:b w:val="0"/>
        </w:rPr>
        <w:t>armodafinil</w:t>
      </w:r>
      <w:proofErr w:type="spellEnd"/>
      <w:r w:rsidRPr="001472C3">
        <w:rPr>
          <w:b w:val="0"/>
        </w:rPr>
        <w:t xml:space="preserve"> and is a white to off</w:t>
      </w:r>
      <w:r w:rsidR="00F66B16">
        <w:rPr>
          <w:b w:val="0"/>
        </w:rPr>
        <w:t>-</w:t>
      </w:r>
      <w:r w:rsidRPr="001472C3">
        <w:rPr>
          <w:b w:val="0"/>
        </w:rPr>
        <w:t xml:space="preserve">white, crystalline </w:t>
      </w:r>
      <w:r w:rsidR="00F66B16">
        <w:rPr>
          <w:b w:val="0"/>
        </w:rPr>
        <w:t>powder</w:t>
      </w:r>
      <w:r w:rsidR="00F66B16" w:rsidRPr="001472C3">
        <w:rPr>
          <w:b w:val="0"/>
        </w:rPr>
        <w:t xml:space="preserve"> </w:t>
      </w:r>
      <w:r w:rsidRPr="001472C3">
        <w:rPr>
          <w:b w:val="0"/>
        </w:rPr>
        <w:t xml:space="preserve">that is slightly soluble in water, sparingly soluble in </w:t>
      </w:r>
      <w:r w:rsidR="00DB53F5" w:rsidRPr="001472C3">
        <w:rPr>
          <w:b w:val="0"/>
        </w:rPr>
        <w:t>acetone</w:t>
      </w:r>
      <w:r w:rsidRPr="001472C3">
        <w:rPr>
          <w:b w:val="0"/>
        </w:rPr>
        <w:t xml:space="preserve"> and soluble in methanol</w:t>
      </w:r>
      <w:r w:rsidR="00DB53F5" w:rsidRPr="001472C3">
        <w:rPr>
          <w:b w:val="0"/>
        </w:rPr>
        <w:t xml:space="preserve">. </w:t>
      </w:r>
      <w:r w:rsidRPr="001472C3">
        <w:rPr>
          <w:b w:val="0"/>
        </w:rPr>
        <w:t xml:space="preserve">At least 90% of the </w:t>
      </w:r>
      <w:proofErr w:type="spellStart"/>
      <w:r w:rsidRPr="001472C3">
        <w:rPr>
          <w:b w:val="0"/>
        </w:rPr>
        <w:t>armodafinil</w:t>
      </w:r>
      <w:proofErr w:type="spellEnd"/>
      <w:r w:rsidRPr="001472C3">
        <w:rPr>
          <w:b w:val="0"/>
        </w:rPr>
        <w:t xml:space="preserve"> particles used in NUVIGIL</w:t>
      </w:r>
      <w:r w:rsidRPr="001472C3">
        <w:rPr>
          <w:b w:val="0"/>
          <w:vertAlign w:val="superscript"/>
        </w:rPr>
        <w:t>®</w:t>
      </w:r>
      <w:r w:rsidRPr="001472C3">
        <w:rPr>
          <w:b w:val="0"/>
        </w:rPr>
        <w:t xml:space="preserve"> have a diameter of less than 200 microns.  </w:t>
      </w:r>
    </w:p>
    <w:p w:rsidR="00DB53F5" w:rsidRPr="001472C3" w:rsidRDefault="00BC2E07" w:rsidP="00BC2E07">
      <w:pPr>
        <w:pStyle w:val="Heading1"/>
        <w:keepNext w:val="0"/>
        <w:suppressLineNumbers/>
        <w:suppressAutoHyphens/>
        <w:jc w:val="both"/>
        <w:rPr>
          <w:b w:val="0"/>
        </w:rPr>
      </w:pPr>
      <w:r w:rsidRPr="001472C3">
        <w:rPr>
          <w:b w:val="0"/>
        </w:rPr>
        <w:t>NUVIGIL</w:t>
      </w:r>
      <w:r w:rsidRPr="001472C3">
        <w:rPr>
          <w:b w:val="0"/>
          <w:vertAlign w:val="superscript"/>
        </w:rPr>
        <w:t xml:space="preserve">® </w:t>
      </w:r>
      <w:r w:rsidRPr="001472C3">
        <w:rPr>
          <w:b w:val="0"/>
        </w:rPr>
        <w:t xml:space="preserve">tablets contain 50, 150 or 250 mg of </w:t>
      </w:r>
      <w:proofErr w:type="spellStart"/>
      <w:r w:rsidRPr="001472C3">
        <w:rPr>
          <w:b w:val="0"/>
        </w:rPr>
        <w:t>armodafinil</w:t>
      </w:r>
      <w:proofErr w:type="spellEnd"/>
      <w:r w:rsidRPr="001472C3">
        <w:rPr>
          <w:b w:val="0"/>
        </w:rPr>
        <w:t xml:space="preserve"> </w:t>
      </w:r>
      <w:r w:rsidRPr="00D565C0">
        <w:rPr>
          <w:b w:val="0"/>
        </w:rPr>
        <w:t xml:space="preserve">and the following </w:t>
      </w:r>
      <w:r w:rsidR="00F66B16" w:rsidRPr="00D565C0">
        <w:rPr>
          <w:b w:val="0"/>
        </w:rPr>
        <w:t>inactive in</w:t>
      </w:r>
      <w:r w:rsidR="00B0538C" w:rsidRPr="00D565C0">
        <w:rPr>
          <w:b w:val="0"/>
        </w:rPr>
        <w:t>g</w:t>
      </w:r>
      <w:r w:rsidR="00F66B16" w:rsidRPr="00D565C0">
        <w:rPr>
          <w:b w:val="0"/>
        </w:rPr>
        <w:t>redients</w:t>
      </w:r>
      <w:r w:rsidRPr="00D565C0">
        <w:rPr>
          <w:b w:val="0"/>
        </w:rPr>
        <w:t xml:space="preserve">: </w:t>
      </w:r>
      <w:proofErr w:type="spellStart"/>
      <w:r w:rsidRPr="00D565C0">
        <w:rPr>
          <w:b w:val="0"/>
        </w:rPr>
        <w:t>croscarmellose</w:t>
      </w:r>
      <w:proofErr w:type="spellEnd"/>
      <w:r w:rsidRPr="00D565C0">
        <w:rPr>
          <w:b w:val="0"/>
        </w:rPr>
        <w:t xml:space="preserve"> sodium, lactose, magnesium stearate, microcrystalline cellulose, povidone, and </w:t>
      </w:r>
      <w:proofErr w:type="spellStart"/>
      <w:r w:rsidR="00F90CB7" w:rsidRPr="00D565C0">
        <w:rPr>
          <w:b w:val="0"/>
        </w:rPr>
        <w:t>pregelatinised</w:t>
      </w:r>
      <w:proofErr w:type="spellEnd"/>
      <w:r w:rsidR="00F90CB7" w:rsidRPr="00D565C0">
        <w:rPr>
          <w:b w:val="0"/>
        </w:rPr>
        <w:t xml:space="preserve"> maize </w:t>
      </w:r>
      <w:r w:rsidR="000C3364" w:rsidRPr="00D565C0">
        <w:rPr>
          <w:b w:val="0"/>
        </w:rPr>
        <w:t>starch</w:t>
      </w:r>
      <w:r w:rsidRPr="00D565C0">
        <w:rPr>
          <w:b w:val="0"/>
        </w:rPr>
        <w:t>.</w:t>
      </w:r>
    </w:p>
    <w:p w:rsidR="0073318A" w:rsidRDefault="0073318A">
      <w:pPr>
        <w:pStyle w:val="Heading1"/>
        <w:keepNext w:val="0"/>
        <w:suppressLineNumbers/>
        <w:suppressAutoHyphens/>
      </w:pPr>
    </w:p>
    <w:p w:rsidR="00DB53F5" w:rsidRPr="001472C3" w:rsidRDefault="00DB53F5">
      <w:pPr>
        <w:pStyle w:val="Heading1"/>
        <w:keepNext w:val="0"/>
        <w:suppressLineNumbers/>
        <w:suppressAutoHyphens/>
      </w:pPr>
      <w:r w:rsidRPr="001472C3">
        <w:t>PHARMACOLOGY</w:t>
      </w:r>
    </w:p>
    <w:p w:rsidR="009C0872" w:rsidRPr="001472C3" w:rsidRDefault="009C0872" w:rsidP="009C0872">
      <w:pPr>
        <w:pStyle w:val="Heading1"/>
        <w:keepNext w:val="0"/>
        <w:suppressLineNumbers/>
        <w:suppressAutoHyphens/>
      </w:pPr>
      <w:r w:rsidRPr="001472C3">
        <w:t>Pharmacodynamics</w:t>
      </w:r>
    </w:p>
    <w:p w:rsidR="00883AA5" w:rsidRPr="001472C3" w:rsidRDefault="00D31C16" w:rsidP="006E71E5">
      <w:r w:rsidRPr="001472C3">
        <w:t xml:space="preserve">The mechanism(s) through which </w:t>
      </w:r>
      <w:proofErr w:type="spellStart"/>
      <w:r w:rsidRPr="001472C3">
        <w:t>armodafinil</w:t>
      </w:r>
      <w:proofErr w:type="spellEnd"/>
      <w:r w:rsidRPr="001472C3">
        <w:t xml:space="preserve"> promote</w:t>
      </w:r>
      <w:r w:rsidR="00883AA5" w:rsidRPr="001472C3">
        <w:t>s</w:t>
      </w:r>
      <w:r w:rsidRPr="001472C3">
        <w:t xml:space="preserve"> wakefulness is unknown. </w:t>
      </w:r>
      <w:proofErr w:type="spellStart"/>
      <w:r w:rsidR="00883AA5" w:rsidRPr="001472C3">
        <w:t>A</w:t>
      </w:r>
      <w:r w:rsidRPr="001472C3">
        <w:t>rmodafinil</w:t>
      </w:r>
      <w:proofErr w:type="spellEnd"/>
      <w:r w:rsidRPr="001472C3">
        <w:t xml:space="preserve"> </w:t>
      </w:r>
      <w:r w:rsidR="0055583B">
        <w:t>[</w:t>
      </w:r>
      <w:r w:rsidR="00F844DA">
        <w:t>(</w:t>
      </w:r>
      <w:r w:rsidR="00883AA5" w:rsidRPr="00F844DA">
        <w:rPr>
          <w:i/>
        </w:rPr>
        <w:t>R</w:t>
      </w:r>
      <w:r w:rsidR="00F844DA">
        <w:rPr>
          <w:i/>
        </w:rPr>
        <w:t>)</w:t>
      </w:r>
      <w:r w:rsidR="00883AA5" w:rsidRPr="001472C3">
        <w:t>-</w:t>
      </w:r>
      <w:proofErr w:type="spellStart"/>
      <w:r w:rsidR="00883AA5" w:rsidRPr="001472C3">
        <w:t>modafinil</w:t>
      </w:r>
      <w:proofErr w:type="spellEnd"/>
      <w:r w:rsidR="00883AA5" w:rsidRPr="001472C3">
        <w:t>)</w:t>
      </w:r>
      <w:r w:rsidR="006E71E5">
        <w:t>]</w:t>
      </w:r>
      <w:r w:rsidR="00883AA5" w:rsidRPr="001472C3">
        <w:t xml:space="preserve"> has </w:t>
      </w:r>
      <w:r w:rsidRPr="001472C3">
        <w:t xml:space="preserve">pharmacological properties </w:t>
      </w:r>
      <w:r w:rsidR="00883AA5" w:rsidRPr="001472C3">
        <w:t xml:space="preserve">similar to those of </w:t>
      </w:r>
      <w:proofErr w:type="spellStart"/>
      <w:r w:rsidR="00883AA5" w:rsidRPr="001472C3">
        <w:t>modafinil</w:t>
      </w:r>
      <w:proofErr w:type="spellEnd"/>
      <w:r w:rsidR="00883AA5" w:rsidRPr="001472C3">
        <w:t xml:space="preserve"> </w:t>
      </w:r>
      <w:r w:rsidR="006E71E5">
        <w:t>[</w:t>
      </w:r>
      <w:r w:rsidR="00883AA5" w:rsidRPr="001472C3">
        <w:t xml:space="preserve">a mixture of </w:t>
      </w:r>
      <w:r w:rsidR="00F844DA">
        <w:t>(</w:t>
      </w:r>
      <w:r w:rsidR="00883AA5" w:rsidRPr="00F844DA">
        <w:rPr>
          <w:i/>
        </w:rPr>
        <w:t>R</w:t>
      </w:r>
      <w:proofErr w:type="gramStart"/>
      <w:r w:rsidR="00F844DA">
        <w:t>)</w:t>
      </w:r>
      <w:r w:rsidR="00883AA5" w:rsidRPr="001472C3">
        <w:t>-</w:t>
      </w:r>
      <w:proofErr w:type="gramEnd"/>
      <w:r w:rsidR="00883AA5" w:rsidRPr="001472C3">
        <w:t xml:space="preserve"> and </w:t>
      </w:r>
      <w:r w:rsidR="00F844DA">
        <w:t>(</w:t>
      </w:r>
      <w:r w:rsidR="00883AA5" w:rsidRPr="00F844DA">
        <w:rPr>
          <w:i/>
        </w:rPr>
        <w:t>S</w:t>
      </w:r>
      <w:r w:rsidR="00F844DA">
        <w:t>)</w:t>
      </w:r>
      <w:r w:rsidR="00883AA5" w:rsidRPr="001472C3">
        <w:t>-</w:t>
      </w:r>
      <w:proofErr w:type="spellStart"/>
      <w:r w:rsidR="00883AA5" w:rsidRPr="001472C3">
        <w:t>modafinil</w:t>
      </w:r>
      <w:proofErr w:type="spellEnd"/>
      <w:r w:rsidR="0055583B">
        <w:t>]</w:t>
      </w:r>
      <w:r w:rsidR="00883AA5" w:rsidRPr="001472C3">
        <w:t xml:space="preserve"> </w:t>
      </w:r>
      <w:r w:rsidRPr="001472C3">
        <w:t>to the extent tested</w:t>
      </w:r>
      <w:r w:rsidR="00883AA5" w:rsidRPr="001472C3">
        <w:t xml:space="preserve"> in animal and </w:t>
      </w:r>
      <w:r w:rsidR="00883AA5" w:rsidRPr="0055583B">
        <w:rPr>
          <w:i/>
          <w:iCs/>
        </w:rPr>
        <w:t>in vitro</w:t>
      </w:r>
      <w:r w:rsidR="00883AA5" w:rsidRPr="001472C3">
        <w:t xml:space="preserve"> studies. The </w:t>
      </w:r>
      <w:r w:rsidR="00F844DA">
        <w:t>(</w:t>
      </w:r>
      <w:r w:rsidR="00883AA5" w:rsidRPr="00F844DA">
        <w:rPr>
          <w:i/>
        </w:rPr>
        <w:t>R</w:t>
      </w:r>
      <w:proofErr w:type="gramStart"/>
      <w:r w:rsidR="00F844DA">
        <w:t>)</w:t>
      </w:r>
      <w:r w:rsidR="00883AA5" w:rsidRPr="001472C3">
        <w:t>-</w:t>
      </w:r>
      <w:proofErr w:type="gramEnd"/>
      <w:r w:rsidR="00883AA5" w:rsidRPr="001472C3">
        <w:t xml:space="preserve"> and </w:t>
      </w:r>
      <w:r w:rsidR="00F844DA">
        <w:t>(</w:t>
      </w:r>
      <w:r w:rsidR="00883AA5" w:rsidRPr="00F844DA">
        <w:rPr>
          <w:i/>
        </w:rPr>
        <w:t>S</w:t>
      </w:r>
      <w:r w:rsidR="00F844DA">
        <w:t>)</w:t>
      </w:r>
      <w:r w:rsidR="00883AA5" w:rsidRPr="001472C3">
        <w:t>-enantiomers have similar pharmacological actions in animals.</w:t>
      </w:r>
    </w:p>
    <w:p w:rsidR="00D31C16" w:rsidRPr="001472C3" w:rsidRDefault="007A6FEF" w:rsidP="00D31C16">
      <w:pPr>
        <w:suppressLineNumbers/>
        <w:suppressAutoHyphens/>
        <w:jc w:val="both"/>
      </w:pPr>
      <w:proofErr w:type="spellStart"/>
      <w:r w:rsidRPr="001472C3">
        <w:t>Armodafinil</w:t>
      </w:r>
      <w:proofErr w:type="spellEnd"/>
      <w:r w:rsidRPr="001472C3">
        <w:t xml:space="preserve"> and </w:t>
      </w:r>
      <w:proofErr w:type="spellStart"/>
      <w:r w:rsidRPr="001472C3">
        <w:t>modafinil</w:t>
      </w:r>
      <w:proofErr w:type="spellEnd"/>
      <w:r w:rsidRPr="001472C3">
        <w:t xml:space="preserve"> have wake-promoting actions similar to sympathomimetic agents including amphetamine and methylphenidate, although their pharmacologic profile is not identical to that of the sympathomimetic amines.</w:t>
      </w:r>
      <w:r w:rsidR="00D31C16" w:rsidRPr="001472C3">
        <w:t xml:space="preserve"> </w:t>
      </w:r>
    </w:p>
    <w:p w:rsidR="007A6FEF" w:rsidRPr="001472C3" w:rsidRDefault="007A6FEF" w:rsidP="007A6FEF">
      <w:pPr>
        <w:suppressLineNumbers/>
        <w:suppressAutoHyphens/>
        <w:jc w:val="both"/>
      </w:pPr>
      <w:proofErr w:type="spellStart"/>
      <w:r w:rsidRPr="001472C3">
        <w:t>Modafinil</w:t>
      </w:r>
      <w:proofErr w:type="spellEnd"/>
      <w:r w:rsidRPr="001472C3">
        <w:t xml:space="preserve">-induced wakefulness can be attenuated by the α1-adrenergic receptor antagonist, prazosin; however, </w:t>
      </w:r>
      <w:proofErr w:type="spellStart"/>
      <w:r w:rsidRPr="001472C3">
        <w:t>modafinil</w:t>
      </w:r>
      <w:proofErr w:type="spellEnd"/>
      <w:r w:rsidRPr="001472C3">
        <w:t xml:space="preserve"> is inactive in other </w:t>
      </w:r>
      <w:r w:rsidRPr="001472C3">
        <w:rPr>
          <w:i/>
        </w:rPr>
        <w:t>in vitro</w:t>
      </w:r>
      <w:r w:rsidRPr="001472C3">
        <w:t xml:space="preserve"> assay systems known to be responsive to α-adrenergic agonists such as the rat vas deferens preparation. </w:t>
      </w:r>
    </w:p>
    <w:p w:rsidR="00D31C16" w:rsidRPr="001472C3" w:rsidRDefault="00D31C16" w:rsidP="00D31C16">
      <w:pPr>
        <w:suppressLineNumbers/>
        <w:suppressAutoHyphens/>
        <w:jc w:val="both"/>
      </w:pPr>
      <w:proofErr w:type="spellStart"/>
      <w:r w:rsidRPr="001472C3">
        <w:t>Armodafinil</w:t>
      </w:r>
      <w:proofErr w:type="spellEnd"/>
      <w:r w:rsidRPr="001472C3">
        <w:t xml:space="preserve"> is </w:t>
      </w:r>
      <w:r w:rsidR="00AA1491">
        <w:t xml:space="preserve">an </w:t>
      </w:r>
      <w:r w:rsidRPr="001472C3">
        <w:t>indirect dopamine receptor agonist</w:t>
      </w:r>
      <w:r w:rsidR="00D05F95">
        <w:t>;</w:t>
      </w:r>
      <w:r w:rsidR="00B60329" w:rsidRPr="001472C3">
        <w:t xml:space="preserve"> </w:t>
      </w:r>
      <w:r w:rsidRPr="001472C3">
        <w:t xml:space="preserve">both </w:t>
      </w:r>
      <w:proofErr w:type="spellStart"/>
      <w:r w:rsidRPr="001472C3">
        <w:t>armodafinil</w:t>
      </w:r>
      <w:proofErr w:type="spellEnd"/>
      <w:r w:rsidRPr="001472C3">
        <w:t xml:space="preserve"> and </w:t>
      </w:r>
      <w:proofErr w:type="spellStart"/>
      <w:r w:rsidRPr="001472C3">
        <w:t>modafinil</w:t>
      </w:r>
      <w:proofErr w:type="spellEnd"/>
      <w:r w:rsidRPr="001472C3">
        <w:t xml:space="preserve"> bind</w:t>
      </w:r>
      <w:r w:rsidR="00D05F95">
        <w:t xml:space="preserve"> </w:t>
      </w:r>
      <w:r w:rsidR="00D05F95" w:rsidRPr="007A5D1B">
        <w:rPr>
          <w:i/>
        </w:rPr>
        <w:t>in vitro</w:t>
      </w:r>
      <w:r w:rsidRPr="001472C3">
        <w:t xml:space="preserve"> to the dopamine transporter and inhibit dopamine reuptake. For </w:t>
      </w:r>
      <w:proofErr w:type="spellStart"/>
      <w:r w:rsidRPr="001472C3">
        <w:t>modafinil</w:t>
      </w:r>
      <w:proofErr w:type="spellEnd"/>
      <w:r w:rsidRPr="001472C3">
        <w:t xml:space="preserve">, this activity has been associated </w:t>
      </w:r>
      <w:r w:rsidRPr="001472C3">
        <w:rPr>
          <w:i/>
        </w:rPr>
        <w:t>in vivo</w:t>
      </w:r>
      <w:r w:rsidRPr="001472C3">
        <w:t xml:space="preserve"> with increased extracellular dopamine levels in some brain regions of animals. In genetically </w:t>
      </w:r>
      <w:r w:rsidRPr="001472C3">
        <w:lastRenderedPageBreak/>
        <w:t xml:space="preserve">engineered mice lacking the dopamine transporter (DAT), </w:t>
      </w:r>
      <w:proofErr w:type="spellStart"/>
      <w:r w:rsidRPr="001472C3">
        <w:t>modafinil</w:t>
      </w:r>
      <w:proofErr w:type="spellEnd"/>
      <w:r w:rsidRPr="001472C3">
        <w:t xml:space="preserve"> lacked wake-promoting activity, suggesting that this activity was DAT-dependent. However, the wake-promoting effects of </w:t>
      </w:r>
      <w:proofErr w:type="spellStart"/>
      <w:r w:rsidRPr="001472C3">
        <w:t>modafinil</w:t>
      </w:r>
      <w:proofErr w:type="spellEnd"/>
      <w:r w:rsidRPr="001472C3">
        <w:t xml:space="preserve">, unlike those of amphetamine, were not antagonized by the dopamine receptor antagonist haloperidol in rats. In addition, alpha-methyl-p-tyrosine, a dopamine synthesis inhibitor, blocks the action of amphetamine, but does not block locomotor activity induced by </w:t>
      </w:r>
      <w:proofErr w:type="spellStart"/>
      <w:r w:rsidRPr="001472C3">
        <w:t>modafinil</w:t>
      </w:r>
      <w:proofErr w:type="spellEnd"/>
      <w:r w:rsidRPr="001472C3">
        <w:t xml:space="preserve">. </w:t>
      </w:r>
    </w:p>
    <w:p w:rsidR="00D31C16" w:rsidRPr="001472C3" w:rsidRDefault="00D31C16" w:rsidP="00D31C16">
      <w:pPr>
        <w:suppressLineNumbers/>
        <w:suppressAutoHyphens/>
        <w:jc w:val="both"/>
      </w:pPr>
      <w:r w:rsidRPr="001472C3">
        <w:t xml:space="preserve">In addition to its wake-promoting effects and ability to increase locomotor activity in animals, </w:t>
      </w:r>
      <w:proofErr w:type="spellStart"/>
      <w:r w:rsidRPr="001472C3">
        <w:t>modafinil</w:t>
      </w:r>
      <w:proofErr w:type="spellEnd"/>
      <w:r w:rsidRPr="001472C3">
        <w:t xml:space="preserve"> produces psychoactive and euphoric effects, alterations in mood, perception, thinking, and feelings typical of other CNS stimulants in humans. </w:t>
      </w:r>
      <w:proofErr w:type="spellStart"/>
      <w:r w:rsidRPr="001472C3">
        <w:t>Modafinil</w:t>
      </w:r>
      <w:proofErr w:type="spellEnd"/>
      <w:r w:rsidRPr="001472C3">
        <w:t xml:space="preserve"> has </w:t>
      </w:r>
      <w:r w:rsidRPr="00D565C0">
        <w:t xml:space="preserve">reinforcing properties, as evidenced by its self-administration in monkeys previously trained to self-administer cocaine; </w:t>
      </w:r>
      <w:proofErr w:type="spellStart"/>
      <w:r w:rsidRPr="00D565C0">
        <w:t>modafinil</w:t>
      </w:r>
      <w:proofErr w:type="spellEnd"/>
      <w:r w:rsidRPr="00D565C0">
        <w:t xml:space="preserve"> was also partially discriminated as stimulant-like</w:t>
      </w:r>
      <w:r w:rsidR="00BF40A3" w:rsidRPr="00D565C0">
        <w:t xml:space="preserve"> (see Abuse and Dependence Potential)</w:t>
      </w:r>
      <w:r w:rsidR="00055AF9" w:rsidRPr="00D565C0">
        <w:t>.</w:t>
      </w:r>
      <w:r w:rsidR="003B611C" w:rsidRPr="001472C3">
        <w:t xml:space="preserve"> </w:t>
      </w:r>
    </w:p>
    <w:p w:rsidR="00DB53F5" w:rsidRPr="001472C3" w:rsidRDefault="00D31C16" w:rsidP="00D31C16">
      <w:pPr>
        <w:suppressLineNumbers/>
        <w:suppressAutoHyphens/>
        <w:jc w:val="both"/>
      </w:pPr>
      <w:r w:rsidRPr="001C58C5">
        <w:t xml:space="preserve">Based on nonclinical </w:t>
      </w:r>
      <w:r w:rsidR="004C1033">
        <w:t xml:space="preserve">studies, two major metabolites, </w:t>
      </w:r>
      <w:r w:rsidRPr="001C58C5">
        <w:t>acid and</w:t>
      </w:r>
      <w:r w:rsidR="004C1033">
        <w:t xml:space="preserve"> </w:t>
      </w:r>
      <w:r w:rsidRPr="001C58C5">
        <w:t xml:space="preserve">sulfone, </w:t>
      </w:r>
      <w:r w:rsidR="00055AF9" w:rsidRPr="001C58C5">
        <w:t xml:space="preserve">of </w:t>
      </w:r>
      <w:proofErr w:type="spellStart"/>
      <w:r w:rsidR="00055AF9" w:rsidRPr="001C58C5">
        <w:t>modafinil</w:t>
      </w:r>
      <w:proofErr w:type="spellEnd"/>
      <w:r w:rsidR="00055AF9" w:rsidRPr="001C58C5">
        <w:t xml:space="preserve"> or </w:t>
      </w:r>
      <w:proofErr w:type="spellStart"/>
      <w:r w:rsidR="00055AF9" w:rsidRPr="001C58C5">
        <w:t>armodafinil</w:t>
      </w:r>
      <w:proofErr w:type="spellEnd"/>
      <w:r w:rsidR="00D05F95" w:rsidRPr="001C58C5">
        <w:t>,</w:t>
      </w:r>
      <w:r w:rsidR="00055AF9" w:rsidRPr="001C58C5">
        <w:t xml:space="preserve"> </w:t>
      </w:r>
      <w:r w:rsidRPr="001C58C5">
        <w:t>do not appear to contribute to the CNS-activating properties of the parent compounds.</w:t>
      </w:r>
    </w:p>
    <w:p w:rsidR="00DB53F5" w:rsidRPr="001472C3" w:rsidRDefault="00DB53F5">
      <w:pPr>
        <w:pStyle w:val="Heading1"/>
        <w:keepNext w:val="0"/>
        <w:suppressLineNumbers/>
        <w:suppressAutoHyphens/>
      </w:pPr>
      <w:r w:rsidRPr="001472C3">
        <w:t>Pharmacokinetics</w:t>
      </w:r>
    </w:p>
    <w:p w:rsidR="00DB53F5" w:rsidRPr="001472C3" w:rsidRDefault="00AF3152" w:rsidP="00D31C16">
      <w:pPr>
        <w:pStyle w:val="Heading3"/>
        <w:keepNext w:val="0"/>
        <w:suppressLineNumbers/>
        <w:suppressAutoHyphens/>
        <w:jc w:val="both"/>
      </w:pPr>
      <w:proofErr w:type="spellStart"/>
      <w:r>
        <w:rPr>
          <w:i w:val="0"/>
        </w:rPr>
        <w:t>Armodafinil</w:t>
      </w:r>
      <w:proofErr w:type="spellEnd"/>
      <w:r w:rsidR="00D31C16" w:rsidRPr="001472C3">
        <w:rPr>
          <w:i w:val="0"/>
        </w:rPr>
        <w:t xml:space="preserve"> exhibits linear time-independent kinetics following single and multiple oral dose administration. Increase in systemic exposure is proportional over the dose range of 50 to 400 mg. No time-dependent change in kinetics was observed through 12 weeks of dosing. Apparent steady state for </w:t>
      </w:r>
      <w:proofErr w:type="spellStart"/>
      <w:r>
        <w:rPr>
          <w:i w:val="0"/>
        </w:rPr>
        <w:t>armodafinil</w:t>
      </w:r>
      <w:proofErr w:type="spellEnd"/>
      <w:r w:rsidR="00D31C16" w:rsidRPr="001472C3">
        <w:rPr>
          <w:i w:val="0"/>
        </w:rPr>
        <w:t xml:space="preserve"> was reached within 7 days of dosing. At steady state, the systemic exposure for </w:t>
      </w:r>
      <w:proofErr w:type="spellStart"/>
      <w:r>
        <w:rPr>
          <w:i w:val="0"/>
        </w:rPr>
        <w:t>armodafinil</w:t>
      </w:r>
      <w:proofErr w:type="spellEnd"/>
      <w:r w:rsidR="00D31C16" w:rsidRPr="001472C3">
        <w:rPr>
          <w:i w:val="0"/>
        </w:rPr>
        <w:t xml:space="preserve"> is 1.8 times the exposure observed after a single dose. The concentration-time profiles of the </w:t>
      </w:r>
      <w:r w:rsidR="00F844DA">
        <w:rPr>
          <w:i w:val="0"/>
        </w:rPr>
        <w:t>(</w:t>
      </w:r>
      <w:r w:rsidR="00D31C16" w:rsidRPr="00F844DA">
        <w:t>R</w:t>
      </w:r>
      <w:r w:rsidR="00F844DA">
        <w:rPr>
          <w:i w:val="0"/>
        </w:rPr>
        <w:t>)</w:t>
      </w:r>
      <w:r w:rsidR="00D31C16" w:rsidRPr="001472C3">
        <w:rPr>
          <w:i w:val="0"/>
        </w:rPr>
        <w:t xml:space="preserve">-enantiomer following administration of </w:t>
      </w:r>
      <w:r>
        <w:rPr>
          <w:i w:val="0"/>
        </w:rPr>
        <w:t xml:space="preserve">a single-dose of </w:t>
      </w:r>
      <w:r w:rsidR="00D31C16" w:rsidRPr="001472C3">
        <w:rPr>
          <w:i w:val="0"/>
        </w:rPr>
        <w:t>50 mg NUVIGIL</w:t>
      </w:r>
      <w:r w:rsidR="0046201E" w:rsidRPr="001472C3">
        <w:rPr>
          <w:rFonts w:cs="Arial"/>
          <w:i w:val="0"/>
          <w:vertAlign w:val="superscript"/>
        </w:rPr>
        <w:t>®</w:t>
      </w:r>
      <w:r w:rsidR="00D31C16" w:rsidRPr="001472C3">
        <w:rPr>
          <w:i w:val="0"/>
        </w:rPr>
        <w:t xml:space="preserve"> or 100 mg </w:t>
      </w:r>
      <w:r w:rsidR="00142C90" w:rsidRPr="001472C3">
        <w:rPr>
          <w:i w:val="0"/>
        </w:rPr>
        <w:t>MODAVIGIL</w:t>
      </w:r>
      <w:r w:rsidR="00D31C16" w:rsidRPr="001472C3">
        <w:rPr>
          <w:i w:val="0"/>
          <w:vertAlign w:val="superscript"/>
        </w:rPr>
        <w:t>®</w:t>
      </w:r>
      <w:r w:rsidR="00D31C16" w:rsidRPr="001472C3">
        <w:rPr>
          <w:i w:val="0"/>
        </w:rPr>
        <w:t xml:space="preserve"> </w:t>
      </w:r>
      <w:r w:rsidR="00604A0C">
        <w:rPr>
          <w:i w:val="0"/>
        </w:rPr>
        <w:t>[</w:t>
      </w:r>
      <w:proofErr w:type="spellStart"/>
      <w:r w:rsidR="00D31C16" w:rsidRPr="001472C3">
        <w:rPr>
          <w:i w:val="0"/>
        </w:rPr>
        <w:t>modafinil</w:t>
      </w:r>
      <w:proofErr w:type="spellEnd"/>
      <w:r w:rsidR="00D70A5C" w:rsidRPr="001472C3">
        <w:rPr>
          <w:i w:val="0"/>
        </w:rPr>
        <w:t>,</w:t>
      </w:r>
      <w:r w:rsidR="00D70A5C" w:rsidRPr="001472C3">
        <w:rPr>
          <w:sz w:val="16"/>
          <w:szCs w:val="16"/>
        </w:rPr>
        <w:t xml:space="preserve"> </w:t>
      </w:r>
      <w:r w:rsidR="00D70A5C" w:rsidRPr="001472C3">
        <w:rPr>
          <w:i w:val="0"/>
        </w:rPr>
        <w:t xml:space="preserve">a 1:1 mixture of </w:t>
      </w:r>
      <w:r w:rsidR="00F844DA">
        <w:rPr>
          <w:i w:val="0"/>
        </w:rPr>
        <w:t>(</w:t>
      </w:r>
      <w:r w:rsidR="00D70A5C" w:rsidRPr="00F844DA">
        <w:t>R</w:t>
      </w:r>
      <w:proofErr w:type="gramStart"/>
      <w:r w:rsidR="00F844DA">
        <w:rPr>
          <w:i w:val="0"/>
        </w:rPr>
        <w:t>)</w:t>
      </w:r>
      <w:r w:rsidR="00D70A5C" w:rsidRPr="001472C3">
        <w:rPr>
          <w:i w:val="0"/>
        </w:rPr>
        <w:t>-</w:t>
      </w:r>
      <w:proofErr w:type="gramEnd"/>
      <w:r w:rsidR="00D70A5C" w:rsidRPr="001472C3">
        <w:rPr>
          <w:i w:val="0"/>
        </w:rPr>
        <w:t xml:space="preserve"> and </w:t>
      </w:r>
      <w:r w:rsidR="00F844DA">
        <w:rPr>
          <w:i w:val="0"/>
        </w:rPr>
        <w:t>(</w:t>
      </w:r>
      <w:r w:rsidR="00D70A5C" w:rsidRPr="00F844DA">
        <w:t>S</w:t>
      </w:r>
      <w:r w:rsidR="00F844DA">
        <w:rPr>
          <w:i w:val="0"/>
        </w:rPr>
        <w:t>)</w:t>
      </w:r>
      <w:r w:rsidR="00D70A5C" w:rsidRPr="001472C3">
        <w:rPr>
          <w:i w:val="0"/>
        </w:rPr>
        <w:t>-enantiomers</w:t>
      </w:r>
      <w:r w:rsidR="00604A0C">
        <w:rPr>
          <w:i w:val="0"/>
        </w:rPr>
        <w:t>]</w:t>
      </w:r>
      <w:r w:rsidR="00D31C16" w:rsidRPr="001472C3">
        <w:rPr>
          <w:i w:val="0"/>
        </w:rPr>
        <w:t xml:space="preserve"> are nearly superimposable.</w:t>
      </w:r>
      <w:r w:rsidR="00D70A5C" w:rsidRPr="001472C3">
        <w:rPr>
          <w:sz w:val="16"/>
          <w:szCs w:val="16"/>
        </w:rPr>
        <w:t xml:space="preserve"> </w:t>
      </w:r>
      <w:r w:rsidR="00D70A5C" w:rsidRPr="001472C3">
        <w:rPr>
          <w:i w:val="0"/>
        </w:rPr>
        <w:t xml:space="preserve">However, the </w:t>
      </w:r>
      <w:proofErr w:type="spellStart"/>
      <w:r w:rsidR="00D70A5C" w:rsidRPr="001472C3">
        <w:rPr>
          <w:i w:val="0"/>
        </w:rPr>
        <w:t>C</w:t>
      </w:r>
      <w:r w:rsidR="00D70A5C" w:rsidRPr="001472C3">
        <w:rPr>
          <w:i w:val="0"/>
          <w:vertAlign w:val="subscript"/>
        </w:rPr>
        <w:t>max</w:t>
      </w:r>
      <w:proofErr w:type="spellEnd"/>
      <w:r w:rsidR="00D70A5C" w:rsidRPr="001472C3">
        <w:rPr>
          <w:i w:val="0"/>
        </w:rPr>
        <w:t xml:space="preserve"> and AUC</w:t>
      </w:r>
      <w:r w:rsidR="00D70A5C" w:rsidRPr="001472C3">
        <w:rPr>
          <w:i w:val="0"/>
          <w:vertAlign w:val="subscript"/>
        </w:rPr>
        <w:t>0-∞</w:t>
      </w:r>
      <w:r w:rsidR="00D70A5C" w:rsidRPr="001472C3">
        <w:rPr>
          <w:i w:val="0"/>
        </w:rPr>
        <w:t xml:space="preserve">, of </w:t>
      </w:r>
      <w:proofErr w:type="spellStart"/>
      <w:r w:rsidR="00D70A5C" w:rsidRPr="001472C3">
        <w:rPr>
          <w:i w:val="0"/>
        </w:rPr>
        <w:t>armodafinil</w:t>
      </w:r>
      <w:proofErr w:type="spellEnd"/>
      <w:r w:rsidR="00D70A5C" w:rsidRPr="001472C3">
        <w:rPr>
          <w:i w:val="0"/>
        </w:rPr>
        <w:t xml:space="preserve"> at steady-state were approximately 37% and 70% higher, respectively, following administration of 200 mg NUVIGIL</w:t>
      </w:r>
      <w:r w:rsidR="00D70A5C" w:rsidRPr="001472C3">
        <w:rPr>
          <w:rFonts w:cs="Arial"/>
          <w:i w:val="0"/>
          <w:vertAlign w:val="superscript"/>
        </w:rPr>
        <w:t>®</w:t>
      </w:r>
      <w:r w:rsidR="00D70A5C" w:rsidRPr="001472C3">
        <w:rPr>
          <w:i w:val="0"/>
        </w:rPr>
        <w:t xml:space="preserve"> than the corresponding values of </w:t>
      </w:r>
      <w:proofErr w:type="spellStart"/>
      <w:r w:rsidR="00D70A5C" w:rsidRPr="001472C3">
        <w:rPr>
          <w:i w:val="0"/>
        </w:rPr>
        <w:t>modafinil</w:t>
      </w:r>
      <w:proofErr w:type="spellEnd"/>
      <w:r w:rsidR="00D70A5C" w:rsidRPr="001472C3">
        <w:rPr>
          <w:i w:val="0"/>
        </w:rPr>
        <w:t xml:space="preserve"> following administration of 200 mg </w:t>
      </w:r>
      <w:proofErr w:type="spellStart"/>
      <w:r w:rsidR="00C2312E" w:rsidRPr="001472C3">
        <w:rPr>
          <w:i w:val="0"/>
        </w:rPr>
        <w:t>modafinil</w:t>
      </w:r>
      <w:proofErr w:type="spellEnd"/>
      <w:r w:rsidR="007948DB" w:rsidRPr="001472C3">
        <w:rPr>
          <w:i w:val="0"/>
        </w:rPr>
        <w:t xml:space="preserve"> </w:t>
      </w:r>
      <w:r w:rsidR="00D70A5C" w:rsidRPr="001472C3">
        <w:rPr>
          <w:i w:val="0"/>
        </w:rPr>
        <w:t xml:space="preserve">due to the more rapid clearance of the </w:t>
      </w:r>
      <w:r w:rsidR="00F844DA">
        <w:rPr>
          <w:i w:val="0"/>
        </w:rPr>
        <w:t>(</w:t>
      </w:r>
      <w:r w:rsidR="00D70A5C" w:rsidRPr="00F844DA">
        <w:t>S</w:t>
      </w:r>
      <w:r w:rsidR="00F844DA">
        <w:rPr>
          <w:i w:val="0"/>
        </w:rPr>
        <w:t>)</w:t>
      </w:r>
      <w:r w:rsidR="00D70A5C" w:rsidRPr="001472C3">
        <w:rPr>
          <w:i w:val="0"/>
        </w:rPr>
        <w:t xml:space="preserve">-enantiomer (elimination half-life approximately 4 hours) as compared to the </w:t>
      </w:r>
      <w:r w:rsidR="00F844DA">
        <w:rPr>
          <w:i w:val="0"/>
        </w:rPr>
        <w:t>(</w:t>
      </w:r>
      <w:r w:rsidR="00D70A5C" w:rsidRPr="00F844DA">
        <w:t>R</w:t>
      </w:r>
      <w:r w:rsidR="00F844DA">
        <w:rPr>
          <w:i w:val="0"/>
        </w:rPr>
        <w:t>)</w:t>
      </w:r>
      <w:r w:rsidR="00D70A5C" w:rsidRPr="001472C3">
        <w:rPr>
          <w:i w:val="0"/>
        </w:rPr>
        <w:t>-enantiomer.</w:t>
      </w:r>
    </w:p>
    <w:p w:rsidR="00DB53F5" w:rsidRPr="001472C3" w:rsidRDefault="00DB53F5" w:rsidP="00F804D2">
      <w:pPr>
        <w:pStyle w:val="Heading3"/>
        <w:keepNext w:val="0"/>
        <w:suppressLineNumbers/>
        <w:suppressAutoHyphens/>
        <w:jc w:val="both"/>
      </w:pPr>
      <w:r w:rsidRPr="001472C3">
        <w:t xml:space="preserve">Absorption </w:t>
      </w:r>
    </w:p>
    <w:p w:rsidR="0074124F" w:rsidRDefault="00142C90" w:rsidP="00F804D2">
      <w:pPr>
        <w:pStyle w:val="Heading3"/>
        <w:keepNext w:val="0"/>
        <w:suppressLineNumbers/>
        <w:suppressAutoHyphens/>
        <w:jc w:val="both"/>
        <w:rPr>
          <w:i w:val="0"/>
        </w:rPr>
      </w:pPr>
      <w:r w:rsidRPr="001472C3">
        <w:rPr>
          <w:i w:val="0"/>
        </w:rPr>
        <w:t>NUVIGIL</w:t>
      </w:r>
      <w:r w:rsidRPr="001472C3">
        <w:rPr>
          <w:rFonts w:cs="Arial"/>
          <w:i w:val="0"/>
          <w:vertAlign w:val="superscript"/>
        </w:rPr>
        <w:t>®</w:t>
      </w:r>
      <w:r w:rsidRPr="001472C3">
        <w:rPr>
          <w:i w:val="0"/>
        </w:rPr>
        <w:t xml:space="preserve"> is readily absorbed after oral administration. The absolute oral bioavailability was not determined due to the aqueous insolubility of </w:t>
      </w:r>
      <w:proofErr w:type="spellStart"/>
      <w:r w:rsidRPr="001472C3">
        <w:rPr>
          <w:i w:val="0"/>
        </w:rPr>
        <w:t>armodafinil</w:t>
      </w:r>
      <w:proofErr w:type="spellEnd"/>
      <w:r w:rsidRPr="001472C3">
        <w:rPr>
          <w:i w:val="0"/>
        </w:rPr>
        <w:t>, which precluded intravenous administration.</w:t>
      </w:r>
    </w:p>
    <w:p w:rsidR="0074124F" w:rsidRPr="00FA5880" w:rsidRDefault="0074124F" w:rsidP="00F804D2">
      <w:pPr>
        <w:pStyle w:val="Heading3"/>
        <w:keepNext w:val="0"/>
        <w:suppressLineNumbers/>
        <w:suppressAutoHyphens/>
        <w:jc w:val="both"/>
        <w:rPr>
          <w:rFonts w:cs="Arial"/>
          <w:i w:val="0"/>
        </w:rPr>
      </w:pPr>
      <w:r w:rsidRPr="00FA5880">
        <w:rPr>
          <w:rFonts w:cs="Arial"/>
          <w:i w:val="0"/>
        </w:rPr>
        <w:t>Effect of Food</w:t>
      </w:r>
    </w:p>
    <w:p w:rsidR="0074124F" w:rsidRPr="00FA5880" w:rsidRDefault="0074124F" w:rsidP="00F804D2">
      <w:pPr>
        <w:jc w:val="both"/>
        <w:rPr>
          <w:rFonts w:cs="Arial"/>
        </w:rPr>
      </w:pPr>
      <w:r w:rsidRPr="00FA5880">
        <w:rPr>
          <w:rFonts w:cs="Arial"/>
        </w:rPr>
        <w:t xml:space="preserve">Food effect on oral bioavailability of </w:t>
      </w:r>
      <w:proofErr w:type="spellStart"/>
      <w:r w:rsidRPr="00FA5880">
        <w:rPr>
          <w:rFonts w:cs="Arial"/>
        </w:rPr>
        <w:t>Nuvigil</w:t>
      </w:r>
      <w:proofErr w:type="spellEnd"/>
      <w:r w:rsidRPr="00FA5880">
        <w:rPr>
          <w:rFonts w:cs="Arial"/>
        </w:rPr>
        <w:t xml:space="preserve"> is considered minimal; however, time to reach peak concentration (</w:t>
      </w:r>
      <w:proofErr w:type="spellStart"/>
      <w:r w:rsidRPr="00FA5880">
        <w:rPr>
          <w:rFonts w:cs="Arial"/>
        </w:rPr>
        <w:t>T</w:t>
      </w:r>
      <w:r w:rsidRPr="00FA5880">
        <w:rPr>
          <w:rFonts w:cs="Arial"/>
          <w:vertAlign w:val="subscript"/>
        </w:rPr>
        <w:t>max</w:t>
      </w:r>
      <w:proofErr w:type="spellEnd"/>
      <w:r w:rsidRPr="00FA5880">
        <w:rPr>
          <w:rFonts w:cs="Arial"/>
        </w:rPr>
        <w:t xml:space="preserve">) may be delayed by approximately 2-4 hours in the fed state. Since the delay in </w:t>
      </w:r>
      <w:proofErr w:type="spellStart"/>
      <w:r w:rsidRPr="00FA5880">
        <w:rPr>
          <w:rFonts w:cs="Arial"/>
        </w:rPr>
        <w:t>T</w:t>
      </w:r>
      <w:r w:rsidRPr="00FA5880">
        <w:rPr>
          <w:rFonts w:cs="Arial"/>
          <w:vertAlign w:val="subscript"/>
        </w:rPr>
        <w:t>max</w:t>
      </w:r>
      <w:proofErr w:type="spellEnd"/>
      <w:r w:rsidRPr="00FA5880">
        <w:rPr>
          <w:rFonts w:cs="Arial"/>
        </w:rPr>
        <w:t xml:space="preserve"> is also associated with elevated plasma concentrations later in time, food can potentially </w:t>
      </w:r>
      <w:proofErr w:type="gramStart"/>
      <w:r w:rsidRPr="00FA5880">
        <w:rPr>
          <w:rFonts w:cs="Arial"/>
        </w:rPr>
        <w:t>effect</w:t>
      </w:r>
      <w:proofErr w:type="gramEnd"/>
      <w:r w:rsidRPr="00FA5880">
        <w:rPr>
          <w:rFonts w:cs="Arial"/>
        </w:rPr>
        <w:t xml:space="preserve"> the onset and time course of pharmacologic action for </w:t>
      </w:r>
      <w:proofErr w:type="spellStart"/>
      <w:r w:rsidRPr="00FA5880">
        <w:rPr>
          <w:rFonts w:cs="Arial"/>
        </w:rPr>
        <w:t>Nuvigil</w:t>
      </w:r>
      <w:proofErr w:type="spellEnd"/>
      <w:r w:rsidRPr="00FA5880">
        <w:rPr>
          <w:rFonts w:cs="Arial"/>
        </w:rPr>
        <w:t>.</w:t>
      </w:r>
    </w:p>
    <w:p w:rsidR="00DF4AC0" w:rsidRPr="001472C3" w:rsidRDefault="00142C90">
      <w:pPr>
        <w:pStyle w:val="Heading3"/>
        <w:keepNext w:val="0"/>
        <w:suppressLineNumbers/>
        <w:suppressAutoHyphens/>
      </w:pPr>
      <w:r w:rsidRPr="001472C3">
        <w:t>Distribution</w:t>
      </w:r>
    </w:p>
    <w:p w:rsidR="00142C90" w:rsidRPr="001472C3" w:rsidRDefault="00142C90" w:rsidP="00142C90">
      <w:r w:rsidRPr="001472C3">
        <w:t>NUVIGIL</w:t>
      </w:r>
      <w:r w:rsidRPr="001472C3">
        <w:rPr>
          <w:rFonts w:cs="Arial"/>
          <w:i/>
          <w:vertAlign w:val="superscript"/>
        </w:rPr>
        <w:t>®</w:t>
      </w:r>
      <w:r w:rsidRPr="001472C3">
        <w:t xml:space="preserve"> has an apparent volume of distribution of approximately 42 L. Data specific to </w:t>
      </w:r>
      <w:proofErr w:type="spellStart"/>
      <w:r w:rsidRPr="001472C3">
        <w:t>armodafinil</w:t>
      </w:r>
      <w:proofErr w:type="spellEnd"/>
      <w:r w:rsidRPr="001472C3">
        <w:t xml:space="preserve"> protein binding are not available. However, </w:t>
      </w:r>
      <w:proofErr w:type="spellStart"/>
      <w:r w:rsidRPr="001472C3">
        <w:t>modafinil</w:t>
      </w:r>
      <w:proofErr w:type="spellEnd"/>
      <w:r w:rsidRPr="001472C3">
        <w:t xml:space="preserve"> is moderately bound to plasma protein (approximately 60%), mainly to albumin. The potential for interactions of NUVIGIL</w:t>
      </w:r>
      <w:r w:rsidR="0046201E" w:rsidRPr="001472C3">
        <w:rPr>
          <w:rFonts w:cs="Arial"/>
          <w:i/>
          <w:vertAlign w:val="superscript"/>
        </w:rPr>
        <w:t>®</w:t>
      </w:r>
      <w:r w:rsidRPr="001472C3">
        <w:t xml:space="preserve"> with highly protein-bound drugs is considered to be minimal.</w:t>
      </w:r>
    </w:p>
    <w:p w:rsidR="00DB53F5" w:rsidRPr="001472C3" w:rsidRDefault="00DB53F5">
      <w:pPr>
        <w:pStyle w:val="Heading3"/>
        <w:keepNext w:val="0"/>
        <w:suppressLineNumbers/>
        <w:suppressAutoHyphens/>
      </w:pPr>
      <w:r w:rsidRPr="001472C3">
        <w:t xml:space="preserve">Metabolism </w:t>
      </w:r>
    </w:p>
    <w:p w:rsidR="009E74C4" w:rsidRPr="001472C3" w:rsidRDefault="009E74C4" w:rsidP="009E74C4">
      <w:pPr>
        <w:pStyle w:val="Heading3"/>
        <w:keepNext w:val="0"/>
        <w:suppressLineNumbers/>
        <w:suppressAutoHyphens/>
        <w:jc w:val="both"/>
        <w:rPr>
          <w:i w:val="0"/>
        </w:rPr>
      </w:pPr>
      <w:r w:rsidRPr="001472C3">
        <w:t>In vitro</w:t>
      </w:r>
      <w:r w:rsidRPr="001472C3">
        <w:rPr>
          <w:i w:val="0"/>
        </w:rPr>
        <w:t xml:space="preserve"> and </w:t>
      </w:r>
      <w:r w:rsidRPr="001472C3">
        <w:t>in vivo</w:t>
      </w:r>
      <w:r w:rsidRPr="001472C3">
        <w:rPr>
          <w:i w:val="0"/>
        </w:rPr>
        <w:t xml:space="preserve"> data show that </w:t>
      </w:r>
      <w:proofErr w:type="spellStart"/>
      <w:r w:rsidRPr="001472C3">
        <w:rPr>
          <w:i w:val="0"/>
        </w:rPr>
        <w:t>armodafinil</w:t>
      </w:r>
      <w:proofErr w:type="spellEnd"/>
      <w:r w:rsidRPr="001472C3">
        <w:rPr>
          <w:i w:val="0"/>
        </w:rPr>
        <w:t xml:space="preserve"> undergoes hydrolytic </w:t>
      </w:r>
      <w:proofErr w:type="spellStart"/>
      <w:r w:rsidRPr="001472C3">
        <w:rPr>
          <w:i w:val="0"/>
        </w:rPr>
        <w:t>deamidation</w:t>
      </w:r>
      <w:proofErr w:type="spellEnd"/>
      <w:r w:rsidRPr="001472C3">
        <w:rPr>
          <w:i w:val="0"/>
        </w:rPr>
        <w:t xml:space="preserve">, S-oxidation, and aromatic ring hydroxylation, with subsequent glucuronide conjugation of the hydroxylated products. Amide hydrolysis is the single most prominent metabolic pathway, with sulfone formation by cytochrome P450 (CYP) 3A4/5 being next in importance. The other oxidative products are formed too slowly </w:t>
      </w:r>
      <w:r w:rsidRPr="001472C3">
        <w:t>in vitro</w:t>
      </w:r>
      <w:r w:rsidRPr="001472C3">
        <w:rPr>
          <w:i w:val="0"/>
        </w:rPr>
        <w:t xml:space="preserve"> to enable identification of the enzyme(s) responsible. Only two metabolites reach appreciable concentrations in plasma </w:t>
      </w:r>
      <w:r w:rsidR="00983CFB">
        <w:rPr>
          <w:i w:val="0"/>
        </w:rPr>
        <w:t>[</w:t>
      </w:r>
      <w:r w:rsidRPr="001472C3">
        <w:rPr>
          <w:i w:val="0"/>
        </w:rPr>
        <w:t xml:space="preserve">i.e., </w:t>
      </w:r>
      <w:r w:rsidR="00F844DA">
        <w:rPr>
          <w:i w:val="0"/>
        </w:rPr>
        <w:t>(</w:t>
      </w:r>
      <w:r w:rsidRPr="00F844DA">
        <w:t>R</w:t>
      </w:r>
      <w:r w:rsidR="00F844DA">
        <w:rPr>
          <w:i w:val="0"/>
        </w:rPr>
        <w:t>)</w:t>
      </w:r>
      <w:r w:rsidRPr="001472C3">
        <w:rPr>
          <w:i w:val="0"/>
        </w:rPr>
        <w:t>-</w:t>
      </w:r>
      <w:proofErr w:type="spellStart"/>
      <w:r w:rsidRPr="001472C3">
        <w:rPr>
          <w:i w:val="0"/>
        </w:rPr>
        <w:t>modafinil</w:t>
      </w:r>
      <w:proofErr w:type="spellEnd"/>
      <w:r w:rsidRPr="001472C3">
        <w:rPr>
          <w:i w:val="0"/>
        </w:rPr>
        <w:t xml:space="preserve"> acid and </w:t>
      </w:r>
      <w:proofErr w:type="spellStart"/>
      <w:r w:rsidRPr="001472C3">
        <w:rPr>
          <w:i w:val="0"/>
        </w:rPr>
        <w:t>modafinil</w:t>
      </w:r>
      <w:proofErr w:type="spellEnd"/>
      <w:r w:rsidRPr="001472C3">
        <w:rPr>
          <w:i w:val="0"/>
        </w:rPr>
        <w:t xml:space="preserve"> sulfone</w:t>
      </w:r>
      <w:r w:rsidR="00983CFB">
        <w:rPr>
          <w:i w:val="0"/>
        </w:rPr>
        <w:t>]</w:t>
      </w:r>
      <w:r w:rsidRPr="001472C3">
        <w:rPr>
          <w:i w:val="0"/>
        </w:rPr>
        <w:t xml:space="preserve">. </w:t>
      </w:r>
    </w:p>
    <w:p w:rsidR="009E74C4" w:rsidRPr="001472C3" w:rsidRDefault="009E74C4" w:rsidP="009E74C4">
      <w:pPr>
        <w:pStyle w:val="Heading3"/>
        <w:keepNext w:val="0"/>
        <w:suppressLineNumbers/>
        <w:suppressAutoHyphens/>
        <w:jc w:val="both"/>
        <w:rPr>
          <w:i w:val="0"/>
        </w:rPr>
      </w:pPr>
      <w:r w:rsidRPr="001472C3">
        <w:rPr>
          <w:i w:val="0"/>
        </w:rPr>
        <w:t>Data specific to NUVIGIL</w:t>
      </w:r>
      <w:r w:rsidRPr="001472C3">
        <w:rPr>
          <w:rFonts w:cs="Arial"/>
          <w:i w:val="0"/>
          <w:vertAlign w:val="superscript"/>
        </w:rPr>
        <w:t>®</w:t>
      </w:r>
      <w:r w:rsidRPr="001472C3">
        <w:rPr>
          <w:i w:val="0"/>
        </w:rPr>
        <w:t xml:space="preserve"> disposition are not available. However, </w:t>
      </w:r>
      <w:proofErr w:type="spellStart"/>
      <w:r w:rsidRPr="001472C3">
        <w:rPr>
          <w:i w:val="0"/>
        </w:rPr>
        <w:t>modafinil</w:t>
      </w:r>
      <w:proofErr w:type="spellEnd"/>
      <w:r w:rsidRPr="001472C3">
        <w:rPr>
          <w:i w:val="0"/>
        </w:rPr>
        <w:t xml:space="preserve"> is mainly eliminated via metabolism, predominantly in the liver, with less than 10% of the parent compound excreted in the </w:t>
      </w:r>
      <w:r w:rsidRPr="001472C3">
        <w:rPr>
          <w:i w:val="0"/>
        </w:rPr>
        <w:lastRenderedPageBreak/>
        <w:t>urine. A total of 81% of the administered radioactivity was recovered in 11 days post-dose, predominantly in the urine (80% vs. 1.0% in the faeces).</w:t>
      </w:r>
    </w:p>
    <w:p w:rsidR="00DF4AC0" w:rsidRPr="001472C3" w:rsidRDefault="00AD7666">
      <w:pPr>
        <w:pStyle w:val="Heading3"/>
        <w:keepNext w:val="0"/>
        <w:suppressLineNumbers/>
        <w:suppressAutoHyphens/>
      </w:pPr>
      <w:r w:rsidRPr="001472C3">
        <w:t>Elimination</w:t>
      </w:r>
    </w:p>
    <w:p w:rsidR="004F0ABC" w:rsidRPr="001472C3" w:rsidRDefault="009E24D0" w:rsidP="00F804D2">
      <w:pPr>
        <w:jc w:val="both"/>
      </w:pPr>
      <w:r w:rsidRPr="001472C3">
        <w:t>After oral administration of NUVIGIL</w:t>
      </w:r>
      <w:r w:rsidRPr="001472C3">
        <w:rPr>
          <w:rFonts w:cs="Arial"/>
          <w:vertAlign w:val="superscript"/>
        </w:rPr>
        <w:t>®</w:t>
      </w:r>
      <w:r w:rsidRPr="001472C3">
        <w:t xml:space="preserve">, </w:t>
      </w:r>
      <w:proofErr w:type="spellStart"/>
      <w:r w:rsidRPr="001472C3">
        <w:t>armodafinil</w:t>
      </w:r>
      <w:proofErr w:type="spellEnd"/>
      <w:r w:rsidRPr="001472C3">
        <w:t xml:space="preserve"> exhibits an apparent </w:t>
      </w:r>
      <w:proofErr w:type="spellStart"/>
      <w:r w:rsidRPr="001472C3">
        <w:t>monoexponential</w:t>
      </w:r>
      <w:proofErr w:type="spellEnd"/>
      <w:r w:rsidRPr="001472C3">
        <w:t xml:space="preserve"> decline from the peak plasma concentra</w:t>
      </w:r>
      <w:r w:rsidR="004D3BA5" w:rsidRPr="001472C3">
        <w:t xml:space="preserve">tion. The apparent terminal </w:t>
      </w:r>
      <w:r w:rsidR="0053192E" w:rsidRPr="00516DE9">
        <w:t>t</w:t>
      </w:r>
      <w:r w:rsidR="0053192E" w:rsidRPr="00516DE9">
        <w:rPr>
          <w:vertAlign w:val="subscript"/>
        </w:rPr>
        <w:t>½</w:t>
      </w:r>
      <w:r w:rsidR="00D07A99">
        <w:rPr>
          <w:vertAlign w:val="subscript"/>
        </w:rPr>
        <w:t xml:space="preserve"> </w:t>
      </w:r>
      <w:r w:rsidRPr="001472C3">
        <w:t>is approximately 15 hours. The oral clearance of NUVIGIL</w:t>
      </w:r>
      <w:r w:rsidRPr="001472C3">
        <w:rPr>
          <w:rFonts w:cs="Arial"/>
          <w:vertAlign w:val="superscript"/>
        </w:rPr>
        <w:t>®</w:t>
      </w:r>
      <w:r w:rsidRPr="001472C3">
        <w:t xml:space="preserve"> is approximately 33 mL/min.</w:t>
      </w:r>
    </w:p>
    <w:p w:rsidR="007B1E7A" w:rsidRPr="001472C3" w:rsidRDefault="007B1E7A" w:rsidP="00F768BA">
      <w:pPr>
        <w:jc w:val="both"/>
        <w:rPr>
          <w:b/>
          <w:i/>
        </w:rPr>
      </w:pPr>
      <w:r w:rsidRPr="001472C3">
        <w:rPr>
          <w:b/>
          <w:i/>
        </w:rPr>
        <w:t>Special Populations</w:t>
      </w:r>
    </w:p>
    <w:p w:rsidR="000E2C9B" w:rsidRPr="001472C3" w:rsidRDefault="000E2C9B" w:rsidP="000E2C9B">
      <w:pPr>
        <w:jc w:val="both"/>
        <w:rPr>
          <w:i/>
        </w:rPr>
      </w:pPr>
      <w:r w:rsidRPr="001472C3">
        <w:rPr>
          <w:i/>
        </w:rPr>
        <w:t>Children</w:t>
      </w:r>
    </w:p>
    <w:p w:rsidR="000E2C9B" w:rsidRPr="001472C3" w:rsidRDefault="000E2C9B" w:rsidP="000E2C9B">
      <w:pPr>
        <w:jc w:val="both"/>
      </w:pPr>
      <w:r w:rsidRPr="001472C3">
        <w:t xml:space="preserve">The pharmacokinetics of </w:t>
      </w:r>
      <w:proofErr w:type="spellStart"/>
      <w:r w:rsidRPr="001472C3">
        <w:t>armodafinil</w:t>
      </w:r>
      <w:proofErr w:type="spellEnd"/>
      <w:r w:rsidRPr="001472C3">
        <w:t xml:space="preserve"> </w:t>
      </w:r>
      <w:proofErr w:type="gramStart"/>
      <w:r w:rsidRPr="001472C3">
        <w:t>have</w:t>
      </w:r>
      <w:proofErr w:type="gramEnd"/>
      <w:r w:rsidRPr="001472C3">
        <w:t xml:space="preserve"> not been studied in children.</w:t>
      </w:r>
    </w:p>
    <w:p w:rsidR="0074707E" w:rsidRPr="001472C3" w:rsidRDefault="004D3BA5" w:rsidP="00F768BA">
      <w:pPr>
        <w:jc w:val="both"/>
        <w:rPr>
          <w:i/>
        </w:rPr>
      </w:pPr>
      <w:r w:rsidRPr="001472C3">
        <w:rPr>
          <w:i/>
        </w:rPr>
        <w:t>Age</w:t>
      </w:r>
    </w:p>
    <w:p w:rsidR="00A301A0" w:rsidRPr="001472C3" w:rsidRDefault="00A301A0" w:rsidP="002B0060">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auto"/>
          <w:szCs w:val="16"/>
        </w:rPr>
      </w:pPr>
      <w:r w:rsidRPr="001472C3">
        <w:rPr>
          <w:color w:val="auto"/>
          <w:szCs w:val="16"/>
        </w:rPr>
        <w:t xml:space="preserve">In a clinical study, systemic exposure of </w:t>
      </w:r>
      <w:proofErr w:type="spellStart"/>
      <w:r w:rsidRPr="001472C3">
        <w:rPr>
          <w:color w:val="auto"/>
          <w:szCs w:val="16"/>
        </w:rPr>
        <w:t>armodafinil</w:t>
      </w:r>
      <w:proofErr w:type="spellEnd"/>
      <w:r w:rsidRPr="001472C3">
        <w:rPr>
          <w:color w:val="auto"/>
          <w:szCs w:val="16"/>
        </w:rPr>
        <w:t xml:space="preserve"> was approximately 15% higher in elderly subjects (≥65 years of age, N=24), corresponding to approximately 12% lower oral clearance (CL/F), as compared to young subjects (18-45 years of age, N=25). Systemic exposure of </w:t>
      </w:r>
      <w:proofErr w:type="spellStart"/>
      <w:r w:rsidRPr="001472C3">
        <w:rPr>
          <w:color w:val="auto"/>
          <w:szCs w:val="16"/>
        </w:rPr>
        <w:t>armodafinil</w:t>
      </w:r>
      <w:proofErr w:type="spellEnd"/>
      <w:r w:rsidRPr="001472C3">
        <w:rPr>
          <w:color w:val="auto"/>
          <w:szCs w:val="16"/>
        </w:rPr>
        <w:t xml:space="preserve"> acid (metabolite) was approximately 61% and 73% greater for </w:t>
      </w:r>
      <w:proofErr w:type="spellStart"/>
      <w:r w:rsidRPr="001472C3">
        <w:rPr>
          <w:color w:val="auto"/>
          <w:szCs w:val="16"/>
        </w:rPr>
        <w:t>C</w:t>
      </w:r>
      <w:r w:rsidRPr="001472C3">
        <w:rPr>
          <w:color w:val="auto"/>
          <w:szCs w:val="16"/>
          <w:vertAlign w:val="subscript"/>
        </w:rPr>
        <w:t>max</w:t>
      </w:r>
      <w:proofErr w:type="spellEnd"/>
      <w:r w:rsidRPr="001472C3">
        <w:rPr>
          <w:color w:val="auto"/>
          <w:szCs w:val="16"/>
        </w:rPr>
        <w:t xml:space="preserve"> and AUC</w:t>
      </w:r>
      <w:r w:rsidRPr="001472C3">
        <w:rPr>
          <w:color w:val="auto"/>
          <w:szCs w:val="16"/>
          <w:vertAlign w:val="subscript"/>
        </w:rPr>
        <w:t>0-τ</w:t>
      </w:r>
      <w:r w:rsidRPr="001472C3">
        <w:rPr>
          <w:color w:val="auto"/>
          <w:szCs w:val="16"/>
        </w:rPr>
        <w:t xml:space="preserve">, respectively, compared to young subjects. Systemic exposure of the sulfone metabolite was approximately 20% lower for elderly subjects compared with young subjects. A subgroup analysis of elderly subjects demonstrated elderly </w:t>
      </w:r>
      <w:proofErr w:type="gramStart"/>
      <w:r w:rsidRPr="001472C3">
        <w:rPr>
          <w:color w:val="auto"/>
          <w:szCs w:val="16"/>
        </w:rPr>
        <w:t>subjects</w:t>
      </w:r>
      <w:proofErr w:type="gramEnd"/>
      <w:r w:rsidRPr="001472C3">
        <w:rPr>
          <w:color w:val="auto"/>
          <w:szCs w:val="16"/>
        </w:rPr>
        <w:t xml:space="preserve"> ≥75 and 65-74 years of age had approximately 21% and 9% lower oral clearance, respectively, compared to young subjects. Systemic exposure was approximately 10% greater in subjects 65-74 years of age (N=17) and 27% greater in subjects ≥75 years of age (N=7), respectively, when compared to young subjects. The change is considered not likely to be clinically significant for elderly </w:t>
      </w:r>
      <w:proofErr w:type="gramStart"/>
      <w:r w:rsidRPr="001472C3">
        <w:rPr>
          <w:color w:val="auto"/>
          <w:szCs w:val="16"/>
        </w:rPr>
        <w:t>patients,</w:t>
      </w:r>
      <w:proofErr w:type="gramEnd"/>
      <w:r w:rsidRPr="001472C3">
        <w:rPr>
          <w:color w:val="auto"/>
          <w:szCs w:val="16"/>
        </w:rPr>
        <w:t xml:space="preserve"> however, because some elderly patients have greater exposure to </w:t>
      </w:r>
      <w:proofErr w:type="spellStart"/>
      <w:r w:rsidRPr="001472C3">
        <w:rPr>
          <w:color w:val="auto"/>
          <w:szCs w:val="16"/>
        </w:rPr>
        <w:t>armodafinil</w:t>
      </w:r>
      <w:proofErr w:type="spellEnd"/>
      <w:r w:rsidRPr="001472C3">
        <w:rPr>
          <w:color w:val="auto"/>
          <w:szCs w:val="16"/>
        </w:rPr>
        <w:t xml:space="preserve">, consideration should be given to the use of lower doses. </w:t>
      </w:r>
    </w:p>
    <w:p w:rsidR="007B1E7A" w:rsidRPr="001472C3" w:rsidRDefault="007B1E7A" w:rsidP="00F768BA">
      <w:pPr>
        <w:jc w:val="both"/>
        <w:rPr>
          <w:i/>
        </w:rPr>
      </w:pPr>
      <w:r w:rsidRPr="001472C3">
        <w:rPr>
          <w:i/>
        </w:rPr>
        <w:t xml:space="preserve">Gender </w:t>
      </w:r>
    </w:p>
    <w:p w:rsidR="007B1E7A" w:rsidRPr="001472C3" w:rsidRDefault="007B1E7A" w:rsidP="00F768BA">
      <w:pPr>
        <w:jc w:val="both"/>
      </w:pPr>
      <w:r w:rsidRPr="001472C3">
        <w:t xml:space="preserve">Population pharmacokinetic analysis suggests no gender effect on the pharmacokinetics of </w:t>
      </w:r>
      <w:proofErr w:type="spellStart"/>
      <w:r w:rsidRPr="001472C3">
        <w:t>armodafinil</w:t>
      </w:r>
      <w:proofErr w:type="spellEnd"/>
      <w:r w:rsidR="00954110" w:rsidRPr="001472C3">
        <w:t>.</w:t>
      </w:r>
    </w:p>
    <w:p w:rsidR="00A301A0" w:rsidRPr="001472C3" w:rsidRDefault="007B1E7A" w:rsidP="00F768BA">
      <w:pPr>
        <w:jc w:val="both"/>
        <w:rPr>
          <w:i/>
        </w:rPr>
      </w:pPr>
      <w:r w:rsidRPr="001472C3">
        <w:rPr>
          <w:i/>
        </w:rPr>
        <w:t xml:space="preserve">Race </w:t>
      </w:r>
    </w:p>
    <w:p w:rsidR="007B1E7A" w:rsidRPr="001472C3" w:rsidRDefault="007B1E7A" w:rsidP="00F768BA">
      <w:pPr>
        <w:jc w:val="both"/>
      </w:pPr>
      <w:r w:rsidRPr="001472C3">
        <w:t xml:space="preserve">The influence of race on the pharmacokinetics of </w:t>
      </w:r>
      <w:proofErr w:type="spellStart"/>
      <w:r w:rsidRPr="001472C3">
        <w:t>armodafinil</w:t>
      </w:r>
      <w:proofErr w:type="spellEnd"/>
      <w:r w:rsidRPr="001472C3">
        <w:t xml:space="preserve"> has not been studied</w:t>
      </w:r>
      <w:r w:rsidR="00954110" w:rsidRPr="001472C3">
        <w:t>.</w:t>
      </w:r>
    </w:p>
    <w:p w:rsidR="0074707E" w:rsidRPr="001472C3" w:rsidRDefault="002B1E65" w:rsidP="00DC32D4">
      <w:pPr>
        <w:jc w:val="both"/>
        <w:rPr>
          <w:i/>
        </w:rPr>
      </w:pPr>
      <w:r w:rsidRPr="001472C3">
        <w:rPr>
          <w:i/>
        </w:rPr>
        <w:t>Renal impairment</w:t>
      </w:r>
    </w:p>
    <w:p w:rsidR="002B1E65" w:rsidRPr="003A4763" w:rsidRDefault="00A301A0" w:rsidP="002B0060">
      <w:pPr>
        <w:pStyle w:val="Header"/>
        <w:suppressLineNumbers/>
        <w:tabs>
          <w:tab w:val="clear" w:pos="4153"/>
          <w:tab w:val="clear" w:pos="8306"/>
        </w:tabs>
        <w:suppressAutoHyphens/>
        <w:jc w:val="both"/>
        <w:rPr>
          <w:rFonts w:cs="Arial"/>
        </w:rPr>
      </w:pPr>
      <w:r w:rsidRPr="001472C3">
        <w:rPr>
          <w:szCs w:val="16"/>
        </w:rPr>
        <w:t xml:space="preserve">In a single dose 200 mg </w:t>
      </w:r>
      <w:proofErr w:type="spellStart"/>
      <w:r w:rsidRPr="001472C3">
        <w:rPr>
          <w:szCs w:val="16"/>
        </w:rPr>
        <w:t>modafinil</w:t>
      </w:r>
      <w:proofErr w:type="spellEnd"/>
      <w:r w:rsidRPr="001472C3">
        <w:rPr>
          <w:szCs w:val="16"/>
        </w:rPr>
        <w:t xml:space="preserve"> study, severe chronic renal failure</w:t>
      </w:r>
      <w:r w:rsidR="002B1E65" w:rsidRPr="001472C3">
        <w:t xml:space="preserve"> (creatinine clearance ≤20</w:t>
      </w:r>
      <w:r w:rsidR="002B0060">
        <w:t xml:space="preserve"> </w:t>
      </w:r>
      <w:r w:rsidR="002B1E65" w:rsidRPr="001472C3">
        <w:t>mL/min)</w:t>
      </w:r>
      <w:r w:rsidRPr="001472C3">
        <w:t xml:space="preserve"> </w:t>
      </w:r>
      <w:r w:rsidRPr="001472C3">
        <w:rPr>
          <w:szCs w:val="16"/>
        </w:rPr>
        <w:t xml:space="preserve">did not significantly influence the pharmacokinetics of </w:t>
      </w:r>
      <w:proofErr w:type="spellStart"/>
      <w:r w:rsidRPr="001472C3">
        <w:rPr>
          <w:szCs w:val="16"/>
        </w:rPr>
        <w:t>modafinil</w:t>
      </w:r>
      <w:proofErr w:type="spellEnd"/>
      <w:r w:rsidRPr="001472C3">
        <w:rPr>
          <w:szCs w:val="16"/>
        </w:rPr>
        <w:t xml:space="preserve">, but exposure to </w:t>
      </w:r>
      <w:proofErr w:type="spellStart"/>
      <w:r w:rsidRPr="001472C3">
        <w:rPr>
          <w:szCs w:val="16"/>
        </w:rPr>
        <w:t>modafinil</w:t>
      </w:r>
      <w:proofErr w:type="spellEnd"/>
      <w:r w:rsidRPr="001472C3">
        <w:rPr>
          <w:szCs w:val="16"/>
        </w:rPr>
        <w:t xml:space="preserve"> </w:t>
      </w:r>
      <w:r w:rsidRPr="003A4763">
        <w:rPr>
          <w:szCs w:val="16"/>
        </w:rPr>
        <w:t>acid (metabolite)</w:t>
      </w:r>
      <w:r w:rsidR="002B1E65" w:rsidRPr="003A4763">
        <w:t xml:space="preserve"> was increased 9 fold</w:t>
      </w:r>
      <w:r w:rsidRPr="003A4763">
        <w:t>.</w:t>
      </w:r>
      <w:r w:rsidR="00F768BA" w:rsidRPr="003A4763">
        <w:t xml:space="preserve"> </w:t>
      </w:r>
      <w:r w:rsidR="00371176" w:rsidRPr="003A4763">
        <w:rPr>
          <w:rFonts w:cs="Arial"/>
          <w:bCs/>
        </w:rPr>
        <w:t>There is inadequate</w:t>
      </w:r>
      <w:r w:rsidR="00F804D2">
        <w:rPr>
          <w:rFonts w:cs="Arial"/>
          <w:bCs/>
        </w:rPr>
        <w:t xml:space="preserve"> </w:t>
      </w:r>
      <w:r w:rsidR="00371176" w:rsidRPr="003A4763">
        <w:rPr>
          <w:rFonts w:cs="Arial"/>
          <w:bCs/>
        </w:rPr>
        <w:t>information to determine</w:t>
      </w:r>
      <w:r w:rsidR="00F804D2">
        <w:rPr>
          <w:rFonts w:cs="Arial"/>
          <w:bCs/>
        </w:rPr>
        <w:t xml:space="preserve"> </w:t>
      </w:r>
      <w:r w:rsidR="00371176" w:rsidRPr="003A4763">
        <w:rPr>
          <w:rFonts w:cs="Arial"/>
          <w:bCs/>
        </w:rPr>
        <w:t>safety and efficacy of N</w:t>
      </w:r>
      <w:r w:rsidR="00060C3E" w:rsidRPr="003A4763">
        <w:rPr>
          <w:rFonts w:cs="Arial"/>
          <w:bCs/>
        </w:rPr>
        <w:t>UVIGIL</w:t>
      </w:r>
      <w:r w:rsidR="00371176" w:rsidRPr="003A4763">
        <w:rPr>
          <w:rFonts w:cs="Arial"/>
          <w:bCs/>
        </w:rPr>
        <w:t xml:space="preserve"> (</w:t>
      </w:r>
      <w:proofErr w:type="spellStart"/>
      <w:r w:rsidR="00371176" w:rsidRPr="003A4763">
        <w:rPr>
          <w:rFonts w:cs="Arial"/>
          <w:bCs/>
        </w:rPr>
        <w:t>armodafinil</w:t>
      </w:r>
      <w:proofErr w:type="spellEnd"/>
      <w:r w:rsidR="00371176" w:rsidRPr="003A4763">
        <w:rPr>
          <w:rFonts w:cs="Arial"/>
          <w:bCs/>
        </w:rPr>
        <w:t>) dosing</w:t>
      </w:r>
      <w:r w:rsidR="00F804D2">
        <w:rPr>
          <w:rFonts w:cs="Arial"/>
          <w:bCs/>
        </w:rPr>
        <w:t xml:space="preserve"> </w:t>
      </w:r>
      <w:r w:rsidR="00371176" w:rsidRPr="003A4763">
        <w:rPr>
          <w:rFonts w:cs="Arial"/>
          <w:bCs/>
        </w:rPr>
        <w:t>in patients with</w:t>
      </w:r>
      <w:r w:rsidR="00F804D2">
        <w:rPr>
          <w:rFonts w:cs="Arial"/>
          <w:bCs/>
        </w:rPr>
        <w:t xml:space="preserve"> </w:t>
      </w:r>
      <w:r w:rsidR="00371176" w:rsidRPr="003A4763">
        <w:rPr>
          <w:rFonts w:cs="Arial"/>
          <w:bCs/>
        </w:rPr>
        <w:t>renal impairment, mild, moderate or severe.</w:t>
      </w:r>
    </w:p>
    <w:p w:rsidR="00CC5912" w:rsidRPr="003A4763" w:rsidRDefault="002B1E65" w:rsidP="00F768BA">
      <w:pPr>
        <w:jc w:val="both"/>
        <w:rPr>
          <w:i/>
        </w:rPr>
      </w:pPr>
      <w:r w:rsidRPr="003A4763">
        <w:rPr>
          <w:i/>
        </w:rPr>
        <w:t>Hepatic impairment</w:t>
      </w:r>
    </w:p>
    <w:p w:rsidR="00F768BA" w:rsidRPr="00CC5912" w:rsidRDefault="00821FE8" w:rsidP="00F768BA">
      <w:pPr>
        <w:jc w:val="both"/>
        <w:rPr>
          <w:i/>
        </w:rPr>
      </w:pPr>
      <w:r w:rsidRPr="003A4763">
        <w:t>The</w:t>
      </w:r>
      <w:r w:rsidR="002B1E65" w:rsidRPr="003A4763">
        <w:t xml:space="preserve"> oral clearance of </w:t>
      </w:r>
      <w:proofErr w:type="spellStart"/>
      <w:r w:rsidR="002B1E65" w:rsidRPr="003A4763">
        <w:t>modafinil</w:t>
      </w:r>
      <w:proofErr w:type="spellEnd"/>
      <w:r w:rsidR="002B1E65" w:rsidRPr="003A4763">
        <w:t xml:space="preserve"> was decreased by about 60% </w:t>
      </w:r>
      <w:r w:rsidR="00201EC5" w:rsidRPr="003A4763">
        <w:t xml:space="preserve">in patients with cirrhosis of the liver </w:t>
      </w:r>
      <w:r w:rsidR="00371176" w:rsidRPr="003A4763">
        <w:t xml:space="preserve">(Child-Pugh Class B or C) </w:t>
      </w:r>
      <w:r w:rsidR="002B1E65" w:rsidRPr="003A4763">
        <w:t xml:space="preserve">and the steady state concentration was doubled </w:t>
      </w:r>
      <w:r w:rsidR="00CC5912" w:rsidRPr="003A4763">
        <w:t>compared to normal patients</w:t>
      </w:r>
      <w:r w:rsidR="002B1E65" w:rsidRPr="003A4763">
        <w:t>.</w:t>
      </w:r>
      <w:r w:rsidR="00F768BA" w:rsidRPr="003A4763">
        <w:t xml:space="preserve"> </w:t>
      </w:r>
      <w:r w:rsidR="00420759" w:rsidRPr="003A4763">
        <w:t>Therefore, t</w:t>
      </w:r>
      <w:r w:rsidR="00F768BA" w:rsidRPr="003A4763">
        <w:t>he dose of NUVIGIL</w:t>
      </w:r>
      <w:r w:rsidR="00F768BA" w:rsidRPr="003A4763">
        <w:rPr>
          <w:rFonts w:cs="Arial"/>
          <w:vertAlign w:val="superscript"/>
        </w:rPr>
        <w:t>®</w:t>
      </w:r>
      <w:r w:rsidR="00F768BA" w:rsidRPr="003A4763">
        <w:t xml:space="preserve"> should be reduced in patients with severe hepatic impairment (See DOSAGE AND ADMINISTRATION</w:t>
      </w:r>
      <w:r w:rsidR="003B611C" w:rsidRPr="003A4763">
        <w:rPr>
          <w:b/>
        </w:rPr>
        <w:t xml:space="preserve"> </w:t>
      </w:r>
      <w:r w:rsidR="003B611C" w:rsidRPr="003A4763">
        <w:t>and PRECAUTIONS).</w:t>
      </w:r>
      <w:r w:rsidR="00371176" w:rsidRPr="003A4763">
        <w:t xml:space="preserve"> </w:t>
      </w:r>
      <w:r w:rsidR="00371176" w:rsidRPr="003A4763">
        <w:rPr>
          <w:rFonts w:cs="Arial"/>
        </w:rPr>
        <w:t>There is a lack of data on dosing information for N</w:t>
      </w:r>
      <w:r w:rsidR="00060C3E" w:rsidRPr="003A4763">
        <w:rPr>
          <w:rFonts w:cs="Arial"/>
        </w:rPr>
        <w:t>UVIGIL</w:t>
      </w:r>
      <w:r w:rsidR="00F804D2">
        <w:rPr>
          <w:rFonts w:cs="Arial"/>
        </w:rPr>
        <w:t xml:space="preserve"> </w:t>
      </w:r>
      <w:r w:rsidR="00371176" w:rsidRPr="003A4763">
        <w:rPr>
          <w:rFonts w:cs="Arial"/>
        </w:rPr>
        <w:t>(</w:t>
      </w:r>
      <w:proofErr w:type="spellStart"/>
      <w:r w:rsidR="00371176" w:rsidRPr="003A4763">
        <w:rPr>
          <w:rFonts w:cs="Arial"/>
        </w:rPr>
        <w:t>armodafinil</w:t>
      </w:r>
      <w:proofErr w:type="spellEnd"/>
      <w:r w:rsidR="00371176" w:rsidRPr="003A4763">
        <w:rPr>
          <w:rFonts w:cs="Arial"/>
        </w:rPr>
        <w:t>) specific to the degree of liver impairment</w:t>
      </w:r>
      <w:r w:rsidR="00371176">
        <w:rPr>
          <w:rFonts w:cs="Arial"/>
          <w:color w:val="FF0000"/>
        </w:rPr>
        <w:t>.</w:t>
      </w:r>
      <w:r w:rsidR="00371176">
        <w:t xml:space="preserve"> </w:t>
      </w:r>
    </w:p>
    <w:p w:rsidR="002B1E65" w:rsidRPr="001472C3" w:rsidRDefault="002B1E65" w:rsidP="002B1E65">
      <w:pPr>
        <w:pStyle w:val="Header"/>
        <w:suppressLineNumbers/>
        <w:tabs>
          <w:tab w:val="clear" w:pos="4153"/>
          <w:tab w:val="clear" w:pos="8306"/>
        </w:tabs>
        <w:suppressAutoHyphens/>
        <w:jc w:val="both"/>
      </w:pPr>
    </w:p>
    <w:p w:rsidR="009E24D0" w:rsidRPr="001472C3" w:rsidRDefault="009E24D0" w:rsidP="009E24D0">
      <w:pPr>
        <w:jc w:val="both"/>
        <w:rPr>
          <w:b/>
        </w:rPr>
      </w:pPr>
      <w:r w:rsidRPr="001472C3">
        <w:rPr>
          <w:b/>
        </w:rPr>
        <w:t>CLINICAL TRIALS</w:t>
      </w:r>
    </w:p>
    <w:p w:rsidR="00AF22D4" w:rsidRPr="001472C3" w:rsidRDefault="00AF22D4" w:rsidP="009E24D0">
      <w:pPr>
        <w:jc w:val="both"/>
      </w:pPr>
      <w:r w:rsidRPr="001472C3">
        <w:t>The effectiveness of NUVIGIL</w:t>
      </w:r>
      <w:r w:rsidRPr="001472C3">
        <w:rPr>
          <w:rFonts w:cs="Arial"/>
          <w:vertAlign w:val="superscript"/>
        </w:rPr>
        <w:t>®</w:t>
      </w:r>
      <w:r w:rsidRPr="001472C3">
        <w:t xml:space="preserve"> in improving wakefulness has been established in the following sleep disorders: </w:t>
      </w:r>
      <w:r w:rsidRPr="00933523">
        <w:t>obstructive sleep apnoea</w:t>
      </w:r>
      <w:r w:rsidR="00180CD8" w:rsidRPr="00933523">
        <w:t>/hypopnoea</w:t>
      </w:r>
      <w:r w:rsidRPr="00933523">
        <w:t xml:space="preserve"> (OSA</w:t>
      </w:r>
      <w:r w:rsidR="00180CD8" w:rsidRPr="00933523">
        <w:t>HS</w:t>
      </w:r>
      <w:r w:rsidRPr="00933523">
        <w:t>),</w:t>
      </w:r>
      <w:r w:rsidRPr="001472C3">
        <w:t xml:space="preserve"> narcolepsy and shift work </w:t>
      </w:r>
      <w:r w:rsidR="002B1E65" w:rsidRPr="001472C3">
        <w:t xml:space="preserve">sleep </w:t>
      </w:r>
      <w:r w:rsidRPr="001472C3">
        <w:t>disorder (SW</w:t>
      </w:r>
      <w:r w:rsidR="002B1E65" w:rsidRPr="001472C3">
        <w:t>S</w:t>
      </w:r>
      <w:r w:rsidRPr="001472C3">
        <w:t xml:space="preserve">D). </w:t>
      </w:r>
    </w:p>
    <w:p w:rsidR="008E36F8" w:rsidRPr="001472C3" w:rsidRDefault="008E36F8" w:rsidP="002B0060">
      <w:pPr>
        <w:jc w:val="both"/>
      </w:pPr>
      <w:r w:rsidRPr="001472C3">
        <w:t xml:space="preserve">For each clinical trial, a p-value of </w:t>
      </w:r>
      <w:r w:rsidRPr="001472C3">
        <w:rPr>
          <w:rFonts w:cs="Arial"/>
        </w:rPr>
        <w:t>≤</w:t>
      </w:r>
      <w:r w:rsidRPr="001472C3">
        <w:t xml:space="preserve">0.05 was required for statistical significance. </w:t>
      </w:r>
    </w:p>
    <w:p w:rsidR="00AF22D4" w:rsidRPr="001472C3" w:rsidRDefault="00AF22D4" w:rsidP="009E24D0">
      <w:pPr>
        <w:jc w:val="both"/>
        <w:rPr>
          <w:b/>
          <w:i/>
        </w:rPr>
      </w:pPr>
      <w:r w:rsidRPr="00933523">
        <w:rPr>
          <w:b/>
          <w:i/>
        </w:rPr>
        <w:lastRenderedPageBreak/>
        <w:t>Obstructive Sleep Apnoea</w:t>
      </w:r>
      <w:r w:rsidR="00180CD8" w:rsidRPr="00933523">
        <w:rPr>
          <w:b/>
          <w:i/>
        </w:rPr>
        <w:t>/hypopnoea</w:t>
      </w:r>
      <w:r w:rsidRPr="00933523">
        <w:rPr>
          <w:b/>
          <w:i/>
        </w:rPr>
        <w:t xml:space="preserve"> (OSA</w:t>
      </w:r>
      <w:r w:rsidR="00180CD8" w:rsidRPr="00933523">
        <w:rPr>
          <w:b/>
          <w:i/>
        </w:rPr>
        <w:t>HS</w:t>
      </w:r>
      <w:r w:rsidRPr="00933523">
        <w:rPr>
          <w:b/>
          <w:i/>
        </w:rPr>
        <w:t>)</w:t>
      </w:r>
    </w:p>
    <w:p w:rsidR="002B1E65" w:rsidRPr="001472C3" w:rsidRDefault="00AF22D4" w:rsidP="009E24D0">
      <w:pPr>
        <w:jc w:val="both"/>
      </w:pPr>
      <w:r w:rsidRPr="001472C3">
        <w:t>The effectiveness of NUVIGIL</w:t>
      </w:r>
      <w:r w:rsidRPr="001472C3">
        <w:rPr>
          <w:rFonts w:cs="Arial"/>
          <w:vertAlign w:val="superscript"/>
        </w:rPr>
        <w:t>®</w:t>
      </w:r>
      <w:r w:rsidRPr="001472C3">
        <w:t xml:space="preserve"> in improving wakefulness in patients with excessive sleepiness associated with OSA</w:t>
      </w:r>
      <w:r w:rsidR="00F56EE3" w:rsidRPr="001472C3">
        <w:t>HS</w:t>
      </w:r>
      <w:r w:rsidRPr="001472C3">
        <w:t xml:space="preserve"> was established in two 12-week, multi-centre, placebo-controlled, parallel-group, double-blind studies of outpatients who met the International Classification of Sleep Disorders (ICSD) criteria for OSA</w:t>
      </w:r>
      <w:r w:rsidR="002B1E65" w:rsidRPr="001472C3">
        <w:t>HS</w:t>
      </w:r>
      <w:r w:rsidRPr="001472C3">
        <w:t xml:space="preserve"> (which are also consistent with the American Psychiatric Association DSM-IV</w:t>
      </w:r>
      <w:r w:rsidR="00E03643">
        <w:t>-TR</w:t>
      </w:r>
      <w:r w:rsidRPr="001472C3">
        <w:t xml:space="preserve"> criteria). Th</w:t>
      </w:r>
      <w:r w:rsidR="002B1E65" w:rsidRPr="001472C3">
        <w:t>ese criteria include either:</w:t>
      </w:r>
    </w:p>
    <w:p w:rsidR="002B1E65" w:rsidRPr="001472C3" w:rsidRDefault="00AF22D4" w:rsidP="007E12B4">
      <w:pPr>
        <w:pStyle w:val="ListParagraph"/>
        <w:numPr>
          <w:ilvl w:val="0"/>
          <w:numId w:val="19"/>
        </w:numPr>
        <w:ind w:left="714" w:hanging="357"/>
        <w:contextualSpacing w:val="0"/>
        <w:jc w:val="both"/>
      </w:pPr>
      <w:r w:rsidRPr="001472C3">
        <w:t xml:space="preserve">excessive sleepiness or insomnia, plus frequent episodes of impaired breathing during sleep, and associated features such as loud snoring, morning headaches or </w:t>
      </w:r>
      <w:r w:rsidR="002B1E65" w:rsidRPr="001472C3">
        <w:t xml:space="preserve">dry mouth upon awakening; or </w:t>
      </w:r>
    </w:p>
    <w:p w:rsidR="007E12B4" w:rsidRPr="001472C3" w:rsidRDefault="00AF22D4" w:rsidP="002B1E65">
      <w:pPr>
        <w:pStyle w:val="ListParagraph"/>
        <w:numPr>
          <w:ilvl w:val="0"/>
          <w:numId w:val="19"/>
        </w:numPr>
        <w:jc w:val="both"/>
      </w:pPr>
      <w:proofErr w:type="gramStart"/>
      <w:r w:rsidRPr="001472C3">
        <w:t>excessive</w:t>
      </w:r>
      <w:proofErr w:type="gramEnd"/>
      <w:r w:rsidRPr="001472C3">
        <w:t xml:space="preserve"> sleepiness or insomnia; and polysomnography demonstrating one of the following: more than five obstructive </w:t>
      </w:r>
      <w:proofErr w:type="spellStart"/>
      <w:r w:rsidRPr="001472C3">
        <w:t>apnoeas</w:t>
      </w:r>
      <w:proofErr w:type="spellEnd"/>
      <w:r w:rsidRPr="001472C3">
        <w:t xml:space="preserve">, each greater than 10 seconds in duration, per hour of sleep; and one or more of the following: frequent arousals from sleep associated with the </w:t>
      </w:r>
      <w:proofErr w:type="spellStart"/>
      <w:r w:rsidRPr="001472C3">
        <w:t>apnoeas</w:t>
      </w:r>
      <w:proofErr w:type="spellEnd"/>
      <w:r w:rsidRPr="001472C3">
        <w:t xml:space="preserve">, </w:t>
      </w:r>
      <w:proofErr w:type="spellStart"/>
      <w:r w:rsidRPr="001472C3">
        <w:t>bradytachycardia</w:t>
      </w:r>
      <w:proofErr w:type="spellEnd"/>
      <w:r w:rsidRPr="001472C3">
        <w:t xml:space="preserve">, or arterial oxygen desaturation in association with the </w:t>
      </w:r>
      <w:proofErr w:type="spellStart"/>
      <w:r w:rsidRPr="001472C3">
        <w:t>apnoeas</w:t>
      </w:r>
      <w:proofErr w:type="spellEnd"/>
      <w:r w:rsidRPr="001472C3">
        <w:t xml:space="preserve">. </w:t>
      </w:r>
    </w:p>
    <w:p w:rsidR="00AF22D4" w:rsidRPr="001472C3" w:rsidRDefault="00AF22D4" w:rsidP="007E12B4">
      <w:pPr>
        <w:jc w:val="both"/>
      </w:pPr>
      <w:r w:rsidRPr="001472C3">
        <w:t xml:space="preserve">In addition, for entry into these studies, all patients were required to have excessive sleepiness as demonstrated by a score </w:t>
      </w:r>
      <w:r w:rsidRPr="001472C3">
        <w:rPr>
          <w:rFonts w:cs="Arial"/>
        </w:rPr>
        <w:t>≥</w:t>
      </w:r>
      <w:r w:rsidRPr="001472C3">
        <w:t xml:space="preserve">10 on the Epworth Sleepiness Scale, despite treatment with continuous positive airway pressure (CPAP). Evidence that CPAP was effective in reducing episodes of apnoea/hypopnoea was required along with documentation of CPAP use. </w:t>
      </w:r>
    </w:p>
    <w:p w:rsidR="00AF22D4" w:rsidRPr="00933523" w:rsidRDefault="00AF22D4" w:rsidP="009E24D0">
      <w:pPr>
        <w:jc w:val="both"/>
      </w:pPr>
      <w:r w:rsidRPr="001472C3">
        <w:t xml:space="preserve">Patients were required to be compliant with CPAP, defined as CPAP use </w:t>
      </w:r>
      <w:r w:rsidRPr="001472C3">
        <w:rPr>
          <w:rFonts w:cs="Arial"/>
        </w:rPr>
        <w:t>≥</w:t>
      </w:r>
      <w:r w:rsidRPr="001472C3">
        <w:t xml:space="preserve">4 hours/night on </w:t>
      </w:r>
      <w:r w:rsidRPr="001472C3">
        <w:rPr>
          <w:rFonts w:cs="Arial"/>
        </w:rPr>
        <w:t>≥</w:t>
      </w:r>
      <w:r w:rsidRPr="001472C3">
        <w:t xml:space="preserve">70% of nights. CPAP use continued throughout the study. In both studies, the primary measures of effectiveness were 1) sleep latency, as assessed by the Maintenance of Wakefulness Test (MWT) and 2) the change in the patient’s overall disease status, as measured by the </w:t>
      </w:r>
      <w:r w:rsidRPr="00933523">
        <w:t xml:space="preserve">Clinical Global Impression of Change (CGI-C) at the final visit. For a successful trial both measures had to show statistically significant improvement. </w:t>
      </w:r>
    </w:p>
    <w:p w:rsidR="00F9449F" w:rsidRPr="00933523" w:rsidRDefault="00F9449F" w:rsidP="009E24D0">
      <w:pPr>
        <w:jc w:val="both"/>
      </w:pPr>
      <w:r w:rsidRPr="00933523">
        <w:t>The MWT measures latency (</w:t>
      </w:r>
      <w:r w:rsidR="00C15CC0">
        <w:t xml:space="preserve">in minutes) to sleep onset. </w:t>
      </w:r>
      <w:r w:rsidRPr="00933523">
        <w:t xml:space="preserve">An extended MWT was performed with test sessions at 2 hour intervals between 9AM and 7PM.  The primary analysis was the average of the sleep latencies from the first four test sessions (9AM to 3PM).  For each test session, the subject was asked to attempt to remain awake without using extraordinary measures.  Each test session was terminated after 30 minutes if no sleep occurred or immediately after sleep onset.  The CGI-C is a 7-point scale, </w:t>
      </w:r>
      <w:proofErr w:type="spellStart"/>
      <w:r w:rsidRPr="00933523">
        <w:t>centered</w:t>
      </w:r>
      <w:proofErr w:type="spellEnd"/>
      <w:r w:rsidRPr="00933523">
        <w:t xml:space="preserve"> at </w:t>
      </w:r>
      <w:r w:rsidRPr="00933523">
        <w:rPr>
          <w:i/>
        </w:rPr>
        <w:t>No Change</w:t>
      </w:r>
      <w:r w:rsidRPr="00933523">
        <w:t xml:space="preserve">, and ranging from </w:t>
      </w:r>
      <w:r w:rsidRPr="00933523">
        <w:rPr>
          <w:i/>
        </w:rPr>
        <w:t>Very Much Worse to Very Much Improved</w:t>
      </w:r>
      <w:r w:rsidRPr="00933523">
        <w:t>.  Evaluators were not given any specific guidance about the criteria they were to apply when rating patients.</w:t>
      </w:r>
    </w:p>
    <w:p w:rsidR="00AF22D4" w:rsidRPr="001472C3" w:rsidRDefault="00AF22D4" w:rsidP="009E24D0">
      <w:pPr>
        <w:jc w:val="both"/>
      </w:pPr>
      <w:r w:rsidRPr="00933523">
        <w:t xml:space="preserve">In </w:t>
      </w:r>
      <w:r w:rsidR="003D545B" w:rsidRPr="00933523">
        <w:t xml:space="preserve">the first </w:t>
      </w:r>
      <w:r w:rsidRPr="00933523">
        <w:t>study</w:t>
      </w:r>
      <w:r w:rsidR="001D59C8" w:rsidRPr="00933523">
        <w:t xml:space="preserve"> 3021</w:t>
      </w:r>
      <w:r w:rsidRPr="00933523">
        <w:t>, a total of 395 patients with OSA</w:t>
      </w:r>
      <w:r w:rsidR="00A958DE" w:rsidRPr="00933523">
        <w:t>HS</w:t>
      </w:r>
      <w:r w:rsidRPr="00933523">
        <w:t xml:space="preserve"> were randomized to receive NUVIGIL</w:t>
      </w:r>
      <w:r w:rsidRPr="00933523">
        <w:rPr>
          <w:rFonts w:cs="Arial"/>
          <w:vertAlign w:val="superscript"/>
        </w:rPr>
        <w:t>®</w:t>
      </w:r>
      <w:r w:rsidRPr="00933523">
        <w:t xml:space="preserve"> 150 mg/day, NUVIGIL</w:t>
      </w:r>
      <w:r w:rsidRPr="00933523">
        <w:rPr>
          <w:rFonts w:cs="Arial"/>
          <w:vertAlign w:val="superscript"/>
        </w:rPr>
        <w:t>®</w:t>
      </w:r>
      <w:r w:rsidRPr="00933523">
        <w:t xml:space="preserve"> 250 mg/day or matching placebo. Patients treated with NUVIGIL</w:t>
      </w:r>
      <w:r w:rsidRPr="00933523">
        <w:rPr>
          <w:rFonts w:cs="Arial"/>
          <w:vertAlign w:val="superscript"/>
        </w:rPr>
        <w:t>®</w:t>
      </w:r>
      <w:r w:rsidRPr="00933523">
        <w:t xml:space="preserve"> showed a statistically significant improvement in the ability to remain awake compared to placebo-treated patients as measured by the MWT at final visit. A statistically significant greater number of patients treated with NUVIGIL</w:t>
      </w:r>
      <w:r w:rsidRPr="00933523">
        <w:rPr>
          <w:rFonts w:cs="Arial"/>
          <w:vertAlign w:val="superscript"/>
        </w:rPr>
        <w:t>®</w:t>
      </w:r>
      <w:r w:rsidRPr="00933523">
        <w:t xml:space="preserve"> showed improvement in overall clinical condition as rated by the CGI-C scale at final visit. The average sleep latencies (in minutes) in the MWT at baseline for the trials are shown in Table 1 below, along with the average change from baseline on the MWT at final visit. The percentages of patients who showed any degree of improvement on the CGI-C in the clinical trials are shown in Table 2</w:t>
      </w:r>
      <w:r w:rsidR="00680A59" w:rsidRPr="00933523">
        <w:t xml:space="preserve"> below</w:t>
      </w:r>
      <w:r w:rsidRPr="00933523">
        <w:t>. The two doses of NUVIGIL</w:t>
      </w:r>
      <w:r w:rsidRPr="00933523">
        <w:rPr>
          <w:rFonts w:cs="Arial"/>
          <w:vertAlign w:val="superscript"/>
        </w:rPr>
        <w:t>®</w:t>
      </w:r>
      <w:r w:rsidRPr="00933523">
        <w:t xml:space="preserve"> produced statistically significant effects of similar magnitudes on the</w:t>
      </w:r>
      <w:r w:rsidRPr="001472C3">
        <w:t xml:space="preserve"> MWT, and also on the CGI-C. </w:t>
      </w:r>
    </w:p>
    <w:p w:rsidR="00652F64" w:rsidRPr="001472C3" w:rsidRDefault="001D59C8" w:rsidP="009E24D0">
      <w:pPr>
        <w:jc w:val="both"/>
      </w:pPr>
      <w:r w:rsidRPr="001472C3">
        <w:t xml:space="preserve">In </w:t>
      </w:r>
      <w:r w:rsidR="003D545B" w:rsidRPr="001472C3">
        <w:t xml:space="preserve">the second </w:t>
      </w:r>
      <w:r w:rsidR="00AF22D4" w:rsidRPr="001472C3">
        <w:t>study</w:t>
      </w:r>
      <w:r w:rsidRPr="001472C3">
        <w:t xml:space="preserve"> 3025</w:t>
      </w:r>
      <w:r w:rsidR="00AF22D4" w:rsidRPr="001472C3">
        <w:t xml:space="preserve">, 263 patients </w:t>
      </w:r>
      <w:r w:rsidR="00AF22D4" w:rsidRPr="00933523">
        <w:t>with OSA</w:t>
      </w:r>
      <w:r w:rsidR="00A958DE" w:rsidRPr="00933523">
        <w:t>HS</w:t>
      </w:r>
      <w:r w:rsidR="00AF22D4" w:rsidRPr="00933523">
        <w:t xml:space="preserve"> were</w:t>
      </w:r>
      <w:r w:rsidR="00AF22D4" w:rsidRPr="001472C3">
        <w:t xml:space="preserve"> randomized to either NUVIGIL</w:t>
      </w:r>
      <w:r w:rsidR="00AF22D4" w:rsidRPr="001472C3">
        <w:rPr>
          <w:rFonts w:cs="Arial"/>
          <w:vertAlign w:val="superscript"/>
        </w:rPr>
        <w:t>®</w:t>
      </w:r>
      <w:r w:rsidR="00AF22D4" w:rsidRPr="001472C3">
        <w:t xml:space="preserve"> 150 mg/day or placebo. Patients treated with NUVIGIL</w:t>
      </w:r>
      <w:r w:rsidR="00AF22D4" w:rsidRPr="001472C3">
        <w:rPr>
          <w:rFonts w:cs="Arial"/>
          <w:vertAlign w:val="superscript"/>
        </w:rPr>
        <w:t>®</w:t>
      </w:r>
      <w:r w:rsidR="00AF22D4" w:rsidRPr="001472C3">
        <w:t xml:space="preserve"> showed a statistically significant improvement in the ability to remain awake compared to placebo-treated p</w:t>
      </w:r>
      <w:r w:rsidRPr="001472C3">
        <w:t>atients as measured by the MWT (Table 1)</w:t>
      </w:r>
      <w:r w:rsidR="00AF22D4" w:rsidRPr="001472C3">
        <w:t>. A statistically significant greater number of patients treated with NUVIGIL</w:t>
      </w:r>
      <w:r w:rsidR="00AF22D4" w:rsidRPr="001472C3">
        <w:rPr>
          <w:rFonts w:cs="Arial"/>
          <w:vertAlign w:val="superscript"/>
        </w:rPr>
        <w:t>®</w:t>
      </w:r>
      <w:r w:rsidR="00AF22D4" w:rsidRPr="001472C3">
        <w:t xml:space="preserve"> showed improvement in overall clinical conditi</w:t>
      </w:r>
      <w:r w:rsidR="007E12B4" w:rsidRPr="001472C3">
        <w:t>on as rated by the CGI-C scale (</w:t>
      </w:r>
      <w:r w:rsidR="00AF22D4" w:rsidRPr="001472C3">
        <w:t>Table 2</w:t>
      </w:r>
      <w:r w:rsidR="007E12B4" w:rsidRPr="001472C3">
        <w:t>)</w:t>
      </w:r>
      <w:r w:rsidR="00AF22D4" w:rsidRPr="001472C3">
        <w:t xml:space="preserve">. </w:t>
      </w:r>
    </w:p>
    <w:p w:rsidR="00652F64" w:rsidRPr="001472C3" w:rsidRDefault="00B0538C" w:rsidP="009E24D0">
      <w:pPr>
        <w:jc w:val="both"/>
      </w:pPr>
      <w:r w:rsidRPr="001472C3">
        <w:t>Night time</w:t>
      </w:r>
      <w:r w:rsidR="00AF22D4" w:rsidRPr="001472C3">
        <w:t xml:space="preserve"> sleep measured with polysomnography was not affected by the use of NUVIGIL</w:t>
      </w:r>
      <w:r w:rsidR="00652F64" w:rsidRPr="001472C3">
        <w:rPr>
          <w:rFonts w:cs="Arial"/>
          <w:vertAlign w:val="superscript"/>
        </w:rPr>
        <w:t>®</w:t>
      </w:r>
      <w:r w:rsidR="00AF22D4" w:rsidRPr="001472C3">
        <w:t xml:space="preserve"> in either study. </w:t>
      </w:r>
    </w:p>
    <w:p w:rsidR="00652F64" w:rsidRPr="00FD35B9" w:rsidRDefault="00AF22D4" w:rsidP="009E24D0">
      <w:pPr>
        <w:jc w:val="both"/>
        <w:rPr>
          <w:b/>
          <w:i/>
        </w:rPr>
      </w:pPr>
      <w:r w:rsidRPr="00FD35B9">
        <w:rPr>
          <w:b/>
          <w:i/>
        </w:rPr>
        <w:lastRenderedPageBreak/>
        <w:t xml:space="preserve">Narcolepsy </w:t>
      </w:r>
    </w:p>
    <w:p w:rsidR="007E12B4" w:rsidRPr="001472C3" w:rsidRDefault="00AF22D4" w:rsidP="009E24D0">
      <w:pPr>
        <w:jc w:val="both"/>
      </w:pPr>
      <w:r w:rsidRPr="001472C3">
        <w:t>The effectiveness of NUVIGIL</w:t>
      </w:r>
      <w:r w:rsidR="00652F64" w:rsidRPr="001472C3">
        <w:rPr>
          <w:rFonts w:cs="Arial"/>
          <w:vertAlign w:val="superscript"/>
        </w:rPr>
        <w:t>®</w:t>
      </w:r>
      <w:r w:rsidRPr="001472C3">
        <w:t xml:space="preserve"> in improving wakefulness in patients with excessive sleepiness (ES) associated with narcolepsy was established in one 12-week, multi-</w:t>
      </w:r>
      <w:r w:rsidR="00652F64" w:rsidRPr="001472C3">
        <w:t>centre</w:t>
      </w:r>
      <w:r w:rsidRPr="001472C3">
        <w:t>, placebo-controlled, parallel-group, double-blind study of outpatients who met the ICSD criteria for narcolepsy.  A total of 196 patients were randomized to receive NUVIGIL</w:t>
      </w:r>
      <w:r w:rsidR="00652F64" w:rsidRPr="001472C3">
        <w:rPr>
          <w:rFonts w:cs="Arial"/>
          <w:vertAlign w:val="superscript"/>
        </w:rPr>
        <w:t>®</w:t>
      </w:r>
      <w:r w:rsidRPr="001472C3">
        <w:t xml:space="preserve"> 150 or 250 mg/day, or matching placebo. The ICSD criteria for narcolepsy include either</w:t>
      </w:r>
      <w:r w:rsidR="007E12B4" w:rsidRPr="001472C3">
        <w:t>:</w:t>
      </w:r>
    </w:p>
    <w:p w:rsidR="007E12B4" w:rsidRPr="001472C3" w:rsidRDefault="00AF22D4" w:rsidP="007E12B4">
      <w:pPr>
        <w:pStyle w:val="ListParagraph"/>
        <w:numPr>
          <w:ilvl w:val="0"/>
          <w:numId w:val="20"/>
        </w:numPr>
        <w:ind w:left="714" w:hanging="357"/>
        <w:contextualSpacing w:val="0"/>
        <w:jc w:val="both"/>
      </w:pPr>
      <w:r w:rsidRPr="001472C3">
        <w:t>recurrent daytime naps or lapses into sleep that occur almost daily for at least three months, plus sudden bilateral loss of postural muscle tone in association with in</w:t>
      </w:r>
      <w:r w:rsidR="007E12B4" w:rsidRPr="001472C3">
        <w:t xml:space="preserve">tense emotion (cataplexy), or </w:t>
      </w:r>
    </w:p>
    <w:p w:rsidR="007E12B4" w:rsidRPr="001472C3" w:rsidRDefault="00AF22D4" w:rsidP="007E12B4">
      <w:pPr>
        <w:pStyle w:val="ListParagraph"/>
        <w:numPr>
          <w:ilvl w:val="0"/>
          <w:numId w:val="20"/>
        </w:numPr>
        <w:jc w:val="both"/>
      </w:pPr>
      <w:r w:rsidRPr="001472C3">
        <w:t xml:space="preserve">a complaint of excessive sleepiness or sudden muscle weakness with associated features: sleep paralysis, hypnagogic hallucinations, automatic </w:t>
      </w:r>
      <w:r w:rsidR="00652F64" w:rsidRPr="001472C3">
        <w:t>behaviours</w:t>
      </w:r>
      <w:r w:rsidRPr="001472C3">
        <w:t xml:space="preserve">, disrupted major sleep episode; and polysomnography demonstrating one of the following: sleep latency less than 10 minutes or rapid eye movement (REM) sleep latency less than 20 minutes and a Multiple Sleep Latency Test (MSLT) that demonstrates a mean sleep latency of less than 5 minutes and two or more sleep onset REM periods and no medical or mental disorder accounts for the symptoms. </w:t>
      </w:r>
    </w:p>
    <w:p w:rsidR="00652F64" w:rsidRPr="001472C3" w:rsidRDefault="00AF22D4" w:rsidP="007E12B4">
      <w:pPr>
        <w:jc w:val="both"/>
      </w:pPr>
      <w:r w:rsidRPr="001472C3">
        <w:t>For entry into the stud</w:t>
      </w:r>
      <w:r w:rsidR="00794A1A">
        <w:t>y</w:t>
      </w:r>
      <w:r w:rsidRPr="001472C3">
        <w:t xml:space="preserve">, all patients were required to have objectively documented excessive daytime sleepiness, via MSLT with a sleep latency of 6 minutes or less and the absence of any other clinically significant active medical or psychiatric disorder. The MSLT, an objective polysomnographic assessment of the patient’s ability to fall asleep in an unstimulating environment, measured latency (in minutes) to sleep onset averaged over 4 test sessions at 2-hour intervals. For each test session, the subject was told to lie quietly and attempt to sleep. Each test session was terminated after 20 minutes if no sleep occurred or immediately after sleep onset. </w:t>
      </w:r>
    </w:p>
    <w:p w:rsidR="008E532E" w:rsidRPr="001472C3" w:rsidRDefault="00AF22D4" w:rsidP="009E24D0">
      <w:pPr>
        <w:jc w:val="both"/>
      </w:pPr>
      <w:r w:rsidRPr="001472C3">
        <w:t>The primary measures of effectiveness were: 1) sleep latency as assessed by the Maintenance of Wakefulness Test (MWT) and 2) the change in the patient’s overall disease status, as measured by the CGI-C at the final visit</w:t>
      </w:r>
      <w:r w:rsidR="008E532E" w:rsidRPr="001472C3">
        <w:t xml:space="preserve">. </w:t>
      </w:r>
      <w:r w:rsidR="00574060">
        <w:t xml:space="preserve">Each MWT test session was terminated after 20 minutes if no sleep occurred or immediately after onset in this study. </w:t>
      </w:r>
    </w:p>
    <w:p w:rsidR="00652F64" w:rsidRPr="001472C3" w:rsidRDefault="00AF22D4" w:rsidP="009E24D0">
      <w:pPr>
        <w:jc w:val="both"/>
      </w:pPr>
      <w:r w:rsidRPr="001472C3">
        <w:t>Patients treated with NUVIGIL</w:t>
      </w:r>
      <w:r w:rsidR="00652F64" w:rsidRPr="001472C3">
        <w:rPr>
          <w:rFonts w:cs="Arial"/>
          <w:vertAlign w:val="superscript"/>
        </w:rPr>
        <w:t>®</w:t>
      </w:r>
      <w:r w:rsidRPr="001472C3">
        <w:t xml:space="preserve"> showed a statistically significantly enhanced ability to remain awake on the MWT at each dose comp</w:t>
      </w:r>
      <w:r w:rsidR="00DE5416" w:rsidRPr="001472C3">
        <w:t>ared to placebo at final visit (</w:t>
      </w:r>
      <w:r w:rsidR="00B72D1F" w:rsidRPr="001472C3">
        <w:t>S</w:t>
      </w:r>
      <w:r w:rsidR="00DE5416" w:rsidRPr="001472C3">
        <w:t>ee Table 1)</w:t>
      </w:r>
      <w:r w:rsidRPr="001472C3">
        <w:t>. A statistically significant greater number of patients treated with NUVIGIL</w:t>
      </w:r>
      <w:r w:rsidR="00652F64" w:rsidRPr="001472C3">
        <w:rPr>
          <w:rFonts w:cs="Arial"/>
          <w:vertAlign w:val="superscript"/>
        </w:rPr>
        <w:t>®</w:t>
      </w:r>
      <w:r w:rsidRPr="001472C3">
        <w:t xml:space="preserve"> at each dose showed improvement in overall clinical condition as rated by </w:t>
      </w:r>
      <w:r w:rsidR="00DE5416" w:rsidRPr="001472C3">
        <w:t>the CGI-C scale at final visit (</w:t>
      </w:r>
      <w:r w:rsidRPr="001472C3">
        <w:t>Table 2</w:t>
      </w:r>
      <w:r w:rsidR="00DE5416" w:rsidRPr="001472C3">
        <w:t>)</w:t>
      </w:r>
      <w:r w:rsidRPr="001472C3">
        <w:t xml:space="preserve">. </w:t>
      </w:r>
    </w:p>
    <w:p w:rsidR="002C2B46" w:rsidRPr="001472C3" w:rsidRDefault="00AF22D4" w:rsidP="009E24D0">
      <w:pPr>
        <w:jc w:val="both"/>
      </w:pPr>
      <w:r w:rsidRPr="001472C3">
        <w:t>The two doses of NUVIGIL</w:t>
      </w:r>
      <w:r w:rsidR="002C2B46" w:rsidRPr="001472C3">
        <w:rPr>
          <w:rFonts w:cs="Arial"/>
          <w:vertAlign w:val="superscript"/>
        </w:rPr>
        <w:t>®</w:t>
      </w:r>
      <w:r w:rsidRPr="001472C3">
        <w:t xml:space="preserve"> produced statistically significant effects of similar magnitudes on the CGI-C. Although a statistically significant effect on the MWT was observed for each dose, the magnitude of effect was observed to be greater for the higher dose. </w:t>
      </w:r>
    </w:p>
    <w:p w:rsidR="00AF22D4" w:rsidRPr="001472C3" w:rsidRDefault="00AF22D4" w:rsidP="009E24D0">
      <w:pPr>
        <w:jc w:val="both"/>
      </w:pPr>
      <w:r w:rsidRPr="001472C3">
        <w:t>Night</w:t>
      </w:r>
      <w:r w:rsidR="002C2B46" w:rsidRPr="001472C3">
        <w:t xml:space="preserve"> </w:t>
      </w:r>
      <w:r w:rsidRPr="001472C3">
        <w:t>time sleep measured with polysomnography was not affected by the use of NUVIGIL</w:t>
      </w:r>
      <w:r w:rsidR="002C2B46" w:rsidRPr="001472C3">
        <w:rPr>
          <w:rFonts w:cs="Arial"/>
          <w:vertAlign w:val="superscript"/>
        </w:rPr>
        <w:t>®</w:t>
      </w:r>
      <w:r w:rsidRPr="001472C3">
        <w:t>.</w:t>
      </w:r>
    </w:p>
    <w:p w:rsidR="002C2B46" w:rsidRPr="00FD35B9" w:rsidRDefault="002C2B46" w:rsidP="009E24D0">
      <w:pPr>
        <w:jc w:val="both"/>
        <w:rPr>
          <w:b/>
          <w:i/>
        </w:rPr>
      </w:pPr>
      <w:r w:rsidRPr="00FD35B9">
        <w:rPr>
          <w:b/>
          <w:i/>
        </w:rPr>
        <w:t xml:space="preserve">Shift Work </w:t>
      </w:r>
      <w:r w:rsidR="00DE5416" w:rsidRPr="00FD35B9">
        <w:rPr>
          <w:b/>
          <w:i/>
        </w:rPr>
        <w:t xml:space="preserve">Sleep </w:t>
      </w:r>
      <w:r w:rsidRPr="00FD35B9">
        <w:rPr>
          <w:b/>
          <w:i/>
        </w:rPr>
        <w:t>Disorder (SW</w:t>
      </w:r>
      <w:r w:rsidR="00DE5416" w:rsidRPr="00FD35B9">
        <w:rPr>
          <w:b/>
          <w:i/>
        </w:rPr>
        <w:t>S</w:t>
      </w:r>
      <w:r w:rsidRPr="00FD35B9">
        <w:rPr>
          <w:b/>
          <w:i/>
        </w:rPr>
        <w:t xml:space="preserve">D) </w:t>
      </w:r>
    </w:p>
    <w:p w:rsidR="002C2B46" w:rsidRPr="001472C3" w:rsidRDefault="002C2B46" w:rsidP="00641FCF">
      <w:pPr>
        <w:jc w:val="both"/>
      </w:pPr>
      <w:r w:rsidRPr="001472C3">
        <w:t>The effectiveness of NUVIGIL</w:t>
      </w:r>
      <w:r w:rsidRPr="001472C3">
        <w:rPr>
          <w:rFonts w:cs="Arial"/>
          <w:vertAlign w:val="superscript"/>
        </w:rPr>
        <w:t>®</w:t>
      </w:r>
      <w:r w:rsidRPr="001472C3">
        <w:t xml:space="preserve"> in improving wakefulness in patients with excessive sleepiness associated with SW</w:t>
      </w:r>
      <w:r w:rsidR="00DE5416" w:rsidRPr="001472C3">
        <w:t>S</w:t>
      </w:r>
      <w:r w:rsidRPr="001472C3">
        <w:t>D was demonstrated in a 12-week, multi-centre, double-blind, placebo-controlled, parallel-group, clinical trial. A total of 254 patients with chronic SW</w:t>
      </w:r>
      <w:r w:rsidR="00CE5DD3" w:rsidRPr="001472C3">
        <w:t>S</w:t>
      </w:r>
      <w:r w:rsidRPr="001472C3">
        <w:t>D were randomized to receive NUVIGIL</w:t>
      </w:r>
      <w:r w:rsidRPr="001472C3">
        <w:rPr>
          <w:rFonts w:cs="Arial"/>
          <w:vertAlign w:val="superscript"/>
        </w:rPr>
        <w:t>®</w:t>
      </w:r>
      <w:r w:rsidRPr="001472C3">
        <w:t xml:space="preserve"> 150 mg/day or placebo. All patients met the ICSD criteria for chronic SW</w:t>
      </w:r>
      <w:r w:rsidR="00DE5416" w:rsidRPr="001472C3">
        <w:t>S</w:t>
      </w:r>
      <w:r w:rsidRPr="001472C3">
        <w:t xml:space="preserve">D </w:t>
      </w:r>
      <w:r w:rsidR="00DE5416" w:rsidRPr="001472C3">
        <w:t>(</w:t>
      </w:r>
      <w:r w:rsidRPr="001472C3">
        <w:t>which are consistent with the American Psychiatric Association DSM-IV</w:t>
      </w:r>
      <w:r w:rsidR="00DB7ED1" w:rsidRPr="001472C3">
        <w:t>-TR</w:t>
      </w:r>
      <w:r w:rsidRPr="001472C3">
        <w:t xml:space="preserve"> criteria for Circadian Rhythm Sleep Disorder: Shift Work Type</w:t>
      </w:r>
      <w:r w:rsidR="00DE5416" w:rsidRPr="001472C3">
        <w:t>)</w:t>
      </w:r>
      <w:r w:rsidRPr="001472C3">
        <w:t xml:space="preserve">. </w:t>
      </w:r>
      <w:r w:rsidR="0016548B" w:rsidRPr="001472C3">
        <w:t xml:space="preserve">These criteria include: 1) either, a) a primary complaint of excessive sleepiness or insomnia which is temporally associated with a work period (usually night work) that occurs during the habitual sleep phase, or b) polysomnography and the MSLT demonstrate loss of a normal sleep-wake pattern (i.e., disturbed </w:t>
      </w:r>
      <w:proofErr w:type="spellStart"/>
      <w:r w:rsidR="0016548B" w:rsidRPr="001472C3">
        <w:t>chronobiological</w:t>
      </w:r>
      <w:proofErr w:type="spellEnd"/>
      <w:r w:rsidR="0016548B" w:rsidRPr="001472C3">
        <w:t xml:space="preserve"> rhythmicity); and 2) no other medical or mental disorder accounts for the symptoms; and 3) the symptoms do not meet criteria for any other sleep disorder producing insomnia or excessive sleepiness (e.g., time zone change [jet lag] syndrome).</w:t>
      </w:r>
    </w:p>
    <w:p w:rsidR="002C2B46" w:rsidRPr="001472C3" w:rsidRDefault="002C2B46" w:rsidP="009E24D0">
      <w:pPr>
        <w:jc w:val="both"/>
      </w:pPr>
      <w:r w:rsidRPr="001472C3">
        <w:lastRenderedPageBreak/>
        <w:t>It should be noted that not all patients with a complaint of sleepiness who are also engaged in shift work meet the criteria for the diagnosis of SW</w:t>
      </w:r>
      <w:r w:rsidR="00DE5416" w:rsidRPr="001472C3">
        <w:t>S</w:t>
      </w:r>
      <w:r w:rsidRPr="001472C3">
        <w:t>D. In the clinical trial, only patients who were symptomatic for at least 3 months were enrolled.</w:t>
      </w:r>
    </w:p>
    <w:p w:rsidR="00712A95" w:rsidRDefault="002C2B46" w:rsidP="009E24D0">
      <w:pPr>
        <w:jc w:val="both"/>
      </w:pPr>
      <w:r w:rsidRPr="001472C3">
        <w:t xml:space="preserve">Enrolled patients were also required to work a minimum of 5 night shifts per month, have excessive sleepiness at the time of their night shifts (MSLT score </w:t>
      </w:r>
      <w:r w:rsidRPr="001472C3">
        <w:rPr>
          <w:rFonts w:cs="Arial"/>
        </w:rPr>
        <w:t>≤</w:t>
      </w:r>
      <w:r w:rsidRPr="001472C3">
        <w:t xml:space="preserve">6 minutes), and have daytime insomnia documented by a daytime </w:t>
      </w:r>
      <w:proofErr w:type="spellStart"/>
      <w:r w:rsidRPr="001472C3">
        <w:t>polysomnogram</w:t>
      </w:r>
      <w:proofErr w:type="spellEnd"/>
      <w:r w:rsidRPr="001472C3">
        <w:t xml:space="preserve"> (PSG). </w:t>
      </w:r>
    </w:p>
    <w:p w:rsidR="002C2B46" w:rsidRPr="001472C3" w:rsidRDefault="002C2B46" w:rsidP="009E24D0">
      <w:pPr>
        <w:jc w:val="both"/>
      </w:pPr>
      <w:r w:rsidRPr="001472C3">
        <w:t xml:space="preserve">The primary measures of effectiveness were 1) sleep latency, as assessed by the Multiple Sleep Latency Test (MSLT) performed during a simulated night shift at the final visit, and 2) the change in the patient’s overall disease status, as measured by the </w:t>
      </w:r>
      <w:r w:rsidR="00641FCF" w:rsidRPr="001472C3">
        <w:t>CGI-C at the final visit.</w:t>
      </w:r>
    </w:p>
    <w:p w:rsidR="002C2B46" w:rsidRPr="001472C3" w:rsidRDefault="002C2B46" w:rsidP="009E24D0">
      <w:pPr>
        <w:jc w:val="both"/>
      </w:pPr>
      <w:r w:rsidRPr="001472C3">
        <w:t>Patients treated with NUVIGIL</w:t>
      </w:r>
      <w:r w:rsidRPr="001472C3">
        <w:rPr>
          <w:rFonts w:cs="Arial"/>
          <w:vertAlign w:val="superscript"/>
        </w:rPr>
        <w:t>®</w:t>
      </w:r>
      <w:r w:rsidRPr="001472C3">
        <w:t xml:space="preserve"> showed a statistically significant prolongation in the time to sleep onset compared to placebo-treated patients, as measured by the night </w:t>
      </w:r>
      <w:r w:rsidR="00DE5416" w:rsidRPr="001472C3">
        <w:t>time MSLT at final visit (</w:t>
      </w:r>
      <w:r w:rsidR="00B72D1F" w:rsidRPr="001472C3">
        <w:t>S</w:t>
      </w:r>
      <w:r w:rsidR="00DE5416" w:rsidRPr="001472C3">
        <w:t xml:space="preserve">ee </w:t>
      </w:r>
      <w:r w:rsidRPr="001472C3">
        <w:t>Table 1</w:t>
      </w:r>
      <w:r w:rsidR="00DE5416" w:rsidRPr="001472C3">
        <w:t>)</w:t>
      </w:r>
      <w:r w:rsidRPr="001472C3">
        <w:t>. A statistically significant greater number of patients treated with NUVIGIL</w:t>
      </w:r>
      <w:r w:rsidRPr="001472C3">
        <w:rPr>
          <w:rFonts w:cs="Arial"/>
          <w:vertAlign w:val="superscript"/>
        </w:rPr>
        <w:t>®</w:t>
      </w:r>
      <w:r w:rsidRPr="001472C3">
        <w:t xml:space="preserve"> showed improvement in overall clinical condition as rated by </w:t>
      </w:r>
      <w:r w:rsidR="00DE5416" w:rsidRPr="001472C3">
        <w:t>the CGI-C scale at final visit (</w:t>
      </w:r>
      <w:r w:rsidR="00B72D1F" w:rsidRPr="001472C3">
        <w:t>S</w:t>
      </w:r>
      <w:r w:rsidR="00DE5416" w:rsidRPr="001472C3">
        <w:t xml:space="preserve">ee </w:t>
      </w:r>
      <w:r w:rsidRPr="001472C3">
        <w:t>Table 2</w:t>
      </w:r>
      <w:r w:rsidR="00DE5416" w:rsidRPr="001472C3">
        <w:t>)</w:t>
      </w:r>
      <w:r w:rsidRPr="001472C3">
        <w:t xml:space="preserve">. </w:t>
      </w:r>
    </w:p>
    <w:p w:rsidR="0032464A" w:rsidRPr="001472C3" w:rsidRDefault="002C2B46" w:rsidP="009E24D0">
      <w:pPr>
        <w:jc w:val="both"/>
      </w:pPr>
      <w:r w:rsidRPr="001472C3">
        <w:t>Daytime sleep measured with polysomnography was not affected by the use of NUVIGIL</w:t>
      </w:r>
      <w:r w:rsidRPr="001472C3">
        <w:rPr>
          <w:rFonts w:cs="Arial"/>
          <w:vertAlign w:val="superscript"/>
        </w:rPr>
        <w:t>®</w:t>
      </w:r>
      <w:r w:rsidRPr="001472C3">
        <w:t>.</w:t>
      </w:r>
    </w:p>
    <w:p w:rsidR="002117F8" w:rsidRDefault="002117F8" w:rsidP="002117F8">
      <w:pPr>
        <w:spacing w:after="0"/>
      </w:pPr>
    </w:p>
    <w:p w:rsidR="000E6802" w:rsidRDefault="000E6802" w:rsidP="002117F8">
      <w:pPr>
        <w:spacing w:after="0"/>
        <w:rPr>
          <w:b/>
          <w:sz w:val="18"/>
          <w:szCs w:val="18"/>
        </w:rPr>
      </w:pPr>
      <w:r w:rsidRPr="001472C3">
        <w:rPr>
          <w:b/>
          <w:sz w:val="18"/>
          <w:szCs w:val="18"/>
        </w:rPr>
        <w:t>Table 1</w:t>
      </w:r>
      <w:r w:rsidR="00F21B59">
        <w:rPr>
          <w:b/>
          <w:sz w:val="18"/>
          <w:szCs w:val="18"/>
        </w:rPr>
        <w:t xml:space="preserve"> </w:t>
      </w:r>
      <w:r w:rsidRPr="001472C3">
        <w:rPr>
          <w:b/>
          <w:sz w:val="18"/>
          <w:szCs w:val="18"/>
        </w:rPr>
        <w:tab/>
        <w:t>Average Baseline Sleep Latency and Change from Baseline at Final Visit (MWT and MSLT in minutes)</w:t>
      </w:r>
    </w:p>
    <w:p w:rsidR="00F21B59" w:rsidRPr="001472C3" w:rsidRDefault="00F21B59" w:rsidP="002117F8">
      <w:pPr>
        <w:spacing w:after="0"/>
        <w:rPr>
          <w:b/>
          <w:sz w:val="18"/>
          <w:szCs w:val="18"/>
        </w:rPr>
      </w:pPr>
    </w:p>
    <w:tbl>
      <w:tblPr>
        <w:tblStyle w:val="TableGrid"/>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187"/>
        <w:gridCol w:w="1019"/>
        <w:gridCol w:w="1019"/>
        <w:gridCol w:w="1136"/>
        <w:gridCol w:w="992"/>
        <w:gridCol w:w="1276"/>
        <w:gridCol w:w="992"/>
        <w:gridCol w:w="1559"/>
      </w:tblGrid>
      <w:tr w:rsidR="000E6802" w:rsidRPr="001472C3" w:rsidTr="00F21B59">
        <w:tc>
          <w:tcPr>
            <w:tcW w:w="1187" w:type="dxa"/>
          </w:tcPr>
          <w:p w:rsidR="000E6802" w:rsidRPr="001472C3" w:rsidRDefault="000E6802" w:rsidP="00F21B59">
            <w:pPr>
              <w:jc w:val="center"/>
              <w:rPr>
                <w:b/>
                <w:sz w:val="18"/>
                <w:szCs w:val="18"/>
              </w:rPr>
            </w:pPr>
            <w:r w:rsidRPr="001472C3">
              <w:rPr>
                <w:b/>
                <w:sz w:val="18"/>
                <w:szCs w:val="18"/>
              </w:rPr>
              <w:t>Disorder</w:t>
            </w:r>
          </w:p>
        </w:tc>
        <w:tc>
          <w:tcPr>
            <w:tcW w:w="1019" w:type="dxa"/>
          </w:tcPr>
          <w:p w:rsidR="000E6802" w:rsidRPr="001472C3" w:rsidRDefault="000E6802" w:rsidP="00F21B59">
            <w:pPr>
              <w:jc w:val="center"/>
              <w:rPr>
                <w:b/>
                <w:sz w:val="18"/>
                <w:szCs w:val="18"/>
              </w:rPr>
            </w:pPr>
            <w:r w:rsidRPr="001472C3">
              <w:rPr>
                <w:b/>
                <w:sz w:val="18"/>
                <w:szCs w:val="18"/>
              </w:rPr>
              <w:t>Measure</w:t>
            </w:r>
          </w:p>
        </w:tc>
        <w:tc>
          <w:tcPr>
            <w:tcW w:w="2155" w:type="dxa"/>
            <w:gridSpan w:val="2"/>
          </w:tcPr>
          <w:p w:rsidR="000E6802" w:rsidRPr="001472C3" w:rsidRDefault="000E6802" w:rsidP="00F21B59">
            <w:pPr>
              <w:jc w:val="center"/>
              <w:rPr>
                <w:b/>
                <w:sz w:val="18"/>
                <w:szCs w:val="18"/>
              </w:rPr>
            </w:pPr>
            <w:r w:rsidRPr="001472C3">
              <w:rPr>
                <w:b/>
                <w:sz w:val="18"/>
                <w:szCs w:val="18"/>
              </w:rPr>
              <w:t>NUVIGIL</w:t>
            </w:r>
            <w:r w:rsidR="003D3714" w:rsidRPr="001472C3">
              <w:rPr>
                <w:rFonts w:cs="Arial"/>
                <w:b/>
                <w:sz w:val="18"/>
                <w:szCs w:val="18"/>
                <w:vertAlign w:val="superscript"/>
              </w:rPr>
              <w:t>®</w:t>
            </w:r>
            <w:r w:rsidRPr="001472C3">
              <w:rPr>
                <w:b/>
                <w:sz w:val="18"/>
                <w:szCs w:val="18"/>
              </w:rPr>
              <w:t xml:space="preserve"> 150</w:t>
            </w:r>
            <w:r w:rsidR="002B0060">
              <w:rPr>
                <w:b/>
                <w:sz w:val="18"/>
                <w:szCs w:val="18"/>
              </w:rPr>
              <w:t xml:space="preserve"> </w:t>
            </w:r>
            <w:proofErr w:type="spellStart"/>
            <w:r w:rsidRPr="001472C3">
              <w:rPr>
                <w:b/>
                <w:sz w:val="18"/>
                <w:szCs w:val="18"/>
              </w:rPr>
              <w:t>mg</w:t>
            </w:r>
            <w:r w:rsidR="000B55F1" w:rsidRPr="001472C3">
              <w:rPr>
                <w:b/>
                <w:sz w:val="18"/>
                <w:szCs w:val="18"/>
                <w:vertAlign w:val="superscript"/>
              </w:rPr>
              <w:t>a</w:t>
            </w:r>
            <w:proofErr w:type="spellEnd"/>
          </w:p>
        </w:tc>
        <w:tc>
          <w:tcPr>
            <w:tcW w:w="2268" w:type="dxa"/>
            <w:gridSpan w:val="2"/>
          </w:tcPr>
          <w:p w:rsidR="000E6802" w:rsidRPr="001472C3" w:rsidRDefault="000E6802" w:rsidP="00F21B59">
            <w:pPr>
              <w:jc w:val="center"/>
              <w:rPr>
                <w:b/>
                <w:sz w:val="18"/>
                <w:szCs w:val="18"/>
              </w:rPr>
            </w:pPr>
            <w:r w:rsidRPr="001472C3">
              <w:rPr>
                <w:b/>
                <w:sz w:val="18"/>
                <w:szCs w:val="18"/>
              </w:rPr>
              <w:t>NUVIGIL</w:t>
            </w:r>
            <w:r w:rsidR="003D3714" w:rsidRPr="001472C3">
              <w:rPr>
                <w:rFonts w:cs="Arial"/>
                <w:b/>
                <w:sz w:val="18"/>
                <w:szCs w:val="18"/>
                <w:vertAlign w:val="superscript"/>
              </w:rPr>
              <w:t>®</w:t>
            </w:r>
            <w:r w:rsidRPr="001472C3">
              <w:rPr>
                <w:b/>
                <w:sz w:val="18"/>
                <w:szCs w:val="18"/>
              </w:rPr>
              <w:t xml:space="preserve"> 250</w:t>
            </w:r>
            <w:r w:rsidR="002B0060">
              <w:rPr>
                <w:b/>
                <w:sz w:val="18"/>
                <w:szCs w:val="18"/>
              </w:rPr>
              <w:t xml:space="preserve"> </w:t>
            </w:r>
            <w:proofErr w:type="spellStart"/>
            <w:r w:rsidRPr="001472C3">
              <w:rPr>
                <w:b/>
                <w:sz w:val="18"/>
                <w:szCs w:val="18"/>
              </w:rPr>
              <w:t>mg</w:t>
            </w:r>
            <w:r w:rsidR="000B55F1" w:rsidRPr="001472C3">
              <w:rPr>
                <w:b/>
                <w:sz w:val="18"/>
                <w:szCs w:val="18"/>
                <w:vertAlign w:val="superscript"/>
              </w:rPr>
              <w:t>a</w:t>
            </w:r>
            <w:proofErr w:type="spellEnd"/>
          </w:p>
        </w:tc>
        <w:tc>
          <w:tcPr>
            <w:tcW w:w="2551" w:type="dxa"/>
            <w:gridSpan w:val="2"/>
          </w:tcPr>
          <w:p w:rsidR="000E6802" w:rsidRPr="001472C3" w:rsidRDefault="000E6802" w:rsidP="00F21B59">
            <w:pPr>
              <w:jc w:val="center"/>
              <w:rPr>
                <w:b/>
                <w:sz w:val="18"/>
                <w:szCs w:val="18"/>
              </w:rPr>
            </w:pPr>
            <w:r w:rsidRPr="001472C3">
              <w:rPr>
                <w:b/>
                <w:sz w:val="18"/>
                <w:szCs w:val="18"/>
              </w:rPr>
              <w:t>Placebo</w:t>
            </w:r>
          </w:p>
        </w:tc>
      </w:tr>
      <w:tr w:rsidR="000E6802" w:rsidRPr="001472C3" w:rsidTr="00F21B59">
        <w:tc>
          <w:tcPr>
            <w:tcW w:w="1187" w:type="dxa"/>
          </w:tcPr>
          <w:p w:rsidR="000E6802" w:rsidRPr="001472C3" w:rsidRDefault="000E6802" w:rsidP="00F21B59">
            <w:pPr>
              <w:jc w:val="center"/>
              <w:rPr>
                <w:b/>
                <w:sz w:val="18"/>
                <w:szCs w:val="18"/>
              </w:rPr>
            </w:pPr>
          </w:p>
        </w:tc>
        <w:tc>
          <w:tcPr>
            <w:tcW w:w="1019" w:type="dxa"/>
          </w:tcPr>
          <w:p w:rsidR="000E6802" w:rsidRPr="001472C3" w:rsidRDefault="000E6802" w:rsidP="00F21B59">
            <w:pPr>
              <w:jc w:val="center"/>
              <w:rPr>
                <w:b/>
                <w:sz w:val="18"/>
                <w:szCs w:val="18"/>
              </w:rPr>
            </w:pPr>
          </w:p>
        </w:tc>
        <w:tc>
          <w:tcPr>
            <w:tcW w:w="1019" w:type="dxa"/>
          </w:tcPr>
          <w:p w:rsidR="000E6802" w:rsidRPr="001472C3" w:rsidRDefault="000E6802" w:rsidP="00F21B59">
            <w:pPr>
              <w:jc w:val="center"/>
              <w:rPr>
                <w:b/>
                <w:sz w:val="18"/>
                <w:szCs w:val="18"/>
              </w:rPr>
            </w:pPr>
            <w:r w:rsidRPr="001472C3">
              <w:rPr>
                <w:b/>
                <w:sz w:val="18"/>
                <w:szCs w:val="18"/>
              </w:rPr>
              <w:t>Baseline</w:t>
            </w:r>
          </w:p>
        </w:tc>
        <w:tc>
          <w:tcPr>
            <w:tcW w:w="1136" w:type="dxa"/>
          </w:tcPr>
          <w:p w:rsidR="000E6802" w:rsidRPr="001472C3" w:rsidRDefault="000E6802" w:rsidP="00F21B59">
            <w:pPr>
              <w:jc w:val="center"/>
              <w:rPr>
                <w:b/>
                <w:sz w:val="18"/>
                <w:szCs w:val="18"/>
              </w:rPr>
            </w:pPr>
            <w:r w:rsidRPr="001472C3">
              <w:rPr>
                <w:b/>
                <w:sz w:val="18"/>
                <w:szCs w:val="18"/>
              </w:rPr>
              <w:t>Change from Baseline</w:t>
            </w:r>
          </w:p>
        </w:tc>
        <w:tc>
          <w:tcPr>
            <w:tcW w:w="992" w:type="dxa"/>
          </w:tcPr>
          <w:p w:rsidR="000E6802" w:rsidRPr="001472C3" w:rsidRDefault="000E6802" w:rsidP="00F21B59">
            <w:pPr>
              <w:jc w:val="center"/>
              <w:rPr>
                <w:b/>
                <w:sz w:val="18"/>
                <w:szCs w:val="18"/>
              </w:rPr>
            </w:pPr>
            <w:r w:rsidRPr="001472C3">
              <w:rPr>
                <w:b/>
                <w:sz w:val="18"/>
                <w:szCs w:val="18"/>
              </w:rPr>
              <w:t>Baseline</w:t>
            </w:r>
          </w:p>
        </w:tc>
        <w:tc>
          <w:tcPr>
            <w:tcW w:w="1276" w:type="dxa"/>
          </w:tcPr>
          <w:p w:rsidR="000E6802" w:rsidRPr="001472C3" w:rsidRDefault="000E6802" w:rsidP="00F21B59">
            <w:pPr>
              <w:jc w:val="center"/>
              <w:rPr>
                <w:b/>
                <w:sz w:val="18"/>
                <w:szCs w:val="18"/>
              </w:rPr>
            </w:pPr>
            <w:r w:rsidRPr="001472C3">
              <w:rPr>
                <w:b/>
                <w:sz w:val="18"/>
                <w:szCs w:val="18"/>
              </w:rPr>
              <w:t>Change from Baseline</w:t>
            </w:r>
          </w:p>
        </w:tc>
        <w:tc>
          <w:tcPr>
            <w:tcW w:w="992" w:type="dxa"/>
          </w:tcPr>
          <w:p w:rsidR="000E6802" w:rsidRPr="001472C3" w:rsidRDefault="000E6802" w:rsidP="00F21B59">
            <w:pPr>
              <w:jc w:val="center"/>
              <w:rPr>
                <w:b/>
                <w:sz w:val="18"/>
                <w:szCs w:val="18"/>
              </w:rPr>
            </w:pPr>
            <w:r w:rsidRPr="001472C3">
              <w:rPr>
                <w:b/>
                <w:sz w:val="18"/>
                <w:szCs w:val="18"/>
              </w:rPr>
              <w:t>Baseline</w:t>
            </w:r>
          </w:p>
        </w:tc>
        <w:tc>
          <w:tcPr>
            <w:tcW w:w="1559" w:type="dxa"/>
          </w:tcPr>
          <w:p w:rsidR="000E6802" w:rsidRPr="001472C3" w:rsidRDefault="000E6802" w:rsidP="00F21B59">
            <w:pPr>
              <w:jc w:val="center"/>
              <w:rPr>
                <w:b/>
                <w:sz w:val="18"/>
                <w:szCs w:val="18"/>
              </w:rPr>
            </w:pPr>
            <w:r w:rsidRPr="001472C3">
              <w:rPr>
                <w:b/>
                <w:sz w:val="18"/>
                <w:szCs w:val="18"/>
              </w:rPr>
              <w:t>Change from Baseline</w:t>
            </w:r>
          </w:p>
        </w:tc>
      </w:tr>
      <w:tr w:rsidR="000E6802" w:rsidRPr="001472C3" w:rsidTr="00F21B59">
        <w:tc>
          <w:tcPr>
            <w:tcW w:w="1187" w:type="dxa"/>
            <w:vAlign w:val="center"/>
          </w:tcPr>
          <w:p w:rsidR="000E6802" w:rsidRPr="001472C3" w:rsidRDefault="000E6802" w:rsidP="00F21B59">
            <w:pPr>
              <w:jc w:val="center"/>
              <w:rPr>
                <w:b/>
                <w:sz w:val="18"/>
                <w:szCs w:val="18"/>
              </w:rPr>
            </w:pPr>
            <w:r w:rsidRPr="001472C3">
              <w:rPr>
                <w:b/>
                <w:sz w:val="18"/>
                <w:szCs w:val="18"/>
              </w:rPr>
              <w:t>OSA</w:t>
            </w:r>
            <w:r w:rsidR="002C30EE">
              <w:rPr>
                <w:b/>
                <w:sz w:val="18"/>
                <w:szCs w:val="18"/>
              </w:rPr>
              <w:t>HS</w:t>
            </w:r>
          </w:p>
        </w:tc>
        <w:tc>
          <w:tcPr>
            <w:tcW w:w="1019" w:type="dxa"/>
            <w:vAlign w:val="center"/>
          </w:tcPr>
          <w:p w:rsidR="000E6802" w:rsidRPr="001472C3" w:rsidRDefault="000E6802" w:rsidP="00F21B59">
            <w:pPr>
              <w:jc w:val="center"/>
              <w:rPr>
                <w:sz w:val="18"/>
                <w:szCs w:val="18"/>
              </w:rPr>
            </w:pPr>
            <w:r w:rsidRPr="001472C3">
              <w:rPr>
                <w:sz w:val="18"/>
                <w:szCs w:val="18"/>
              </w:rPr>
              <w:t>MWT</w:t>
            </w:r>
          </w:p>
        </w:tc>
        <w:tc>
          <w:tcPr>
            <w:tcW w:w="1019" w:type="dxa"/>
            <w:vAlign w:val="center"/>
          </w:tcPr>
          <w:p w:rsidR="000E6802" w:rsidRPr="001472C3" w:rsidRDefault="000E6802" w:rsidP="00F21B59">
            <w:pPr>
              <w:jc w:val="center"/>
              <w:rPr>
                <w:sz w:val="18"/>
                <w:szCs w:val="18"/>
              </w:rPr>
            </w:pPr>
            <w:r w:rsidRPr="001472C3">
              <w:rPr>
                <w:sz w:val="18"/>
                <w:szCs w:val="18"/>
              </w:rPr>
              <w:t>21.5</w:t>
            </w:r>
          </w:p>
        </w:tc>
        <w:tc>
          <w:tcPr>
            <w:tcW w:w="1136" w:type="dxa"/>
            <w:vAlign w:val="center"/>
          </w:tcPr>
          <w:p w:rsidR="000E6802" w:rsidRPr="001472C3" w:rsidRDefault="000E6802" w:rsidP="00F21B59">
            <w:pPr>
              <w:jc w:val="center"/>
              <w:rPr>
                <w:sz w:val="18"/>
                <w:szCs w:val="18"/>
              </w:rPr>
            </w:pPr>
            <w:r w:rsidRPr="001472C3">
              <w:rPr>
                <w:sz w:val="18"/>
                <w:szCs w:val="18"/>
              </w:rPr>
              <w:t>1.7</w:t>
            </w:r>
          </w:p>
        </w:tc>
        <w:tc>
          <w:tcPr>
            <w:tcW w:w="992" w:type="dxa"/>
            <w:vAlign w:val="center"/>
          </w:tcPr>
          <w:p w:rsidR="000E6802" w:rsidRPr="001472C3" w:rsidRDefault="000E6802" w:rsidP="00F21B59">
            <w:pPr>
              <w:jc w:val="center"/>
              <w:rPr>
                <w:sz w:val="18"/>
                <w:szCs w:val="18"/>
              </w:rPr>
            </w:pPr>
            <w:r w:rsidRPr="001472C3">
              <w:rPr>
                <w:sz w:val="18"/>
                <w:szCs w:val="18"/>
              </w:rPr>
              <w:t>23.3</w:t>
            </w:r>
          </w:p>
        </w:tc>
        <w:tc>
          <w:tcPr>
            <w:tcW w:w="1276" w:type="dxa"/>
            <w:vAlign w:val="center"/>
          </w:tcPr>
          <w:p w:rsidR="000E6802" w:rsidRPr="001472C3" w:rsidRDefault="000E6802" w:rsidP="00F21B59">
            <w:pPr>
              <w:jc w:val="center"/>
              <w:rPr>
                <w:sz w:val="18"/>
                <w:szCs w:val="18"/>
              </w:rPr>
            </w:pPr>
            <w:r w:rsidRPr="001472C3">
              <w:rPr>
                <w:sz w:val="18"/>
                <w:szCs w:val="18"/>
              </w:rPr>
              <w:t>2.2</w:t>
            </w:r>
          </w:p>
        </w:tc>
        <w:tc>
          <w:tcPr>
            <w:tcW w:w="992" w:type="dxa"/>
            <w:vAlign w:val="center"/>
          </w:tcPr>
          <w:p w:rsidR="000E6802" w:rsidRPr="001472C3" w:rsidRDefault="000E6802" w:rsidP="00F21B59">
            <w:pPr>
              <w:jc w:val="center"/>
              <w:rPr>
                <w:sz w:val="18"/>
                <w:szCs w:val="18"/>
              </w:rPr>
            </w:pPr>
            <w:r w:rsidRPr="001472C3">
              <w:rPr>
                <w:sz w:val="18"/>
                <w:szCs w:val="18"/>
              </w:rPr>
              <w:t>23.2</w:t>
            </w:r>
          </w:p>
        </w:tc>
        <w:tc>
          <w:tcPr>
            <w:tcW w:w="1559" w:type="dxa"/>
            <w:vAlign w:val="center"/>
          </w:tcPr>
          <w:p w:rsidR="000E6802" w:rsidRPr="001472C3" w:rsidRDefault="000E6802" w:rsidP="00F21B59">
            <w:pPr>
              <w:jc w:val="center"/>
              <w:rPr>
                <w:sz w:val="18"/>
                <w:szCs w:val="18"/>
              </w:rPr>
            </w:pPr>
            <w:r w:rsidRPr="001472C3">
              <w:rPr>
                <w:sz w:val="18"/>
                <w:szCs w:val="18"/>
              </w:rPr>
              <w:t>-1.7</w:t>
            </w:r>
          </w:p>
        </w:tc>
      </w:tr>
      <w:tr w:rsidR="000E6802" w:rsidRPr="001472C3" w:rsidTr="00F21B59">
        <w:tc>
          <w:tcPr>
            <w:tcW w:w="1187" w:type="dxa"/>
            <w:vAlign w:val="center"/>
          </w:tcPr>
          <w:p w:rsidR="000E6802" w:rsidRPr="001472C3" w:rsidRDefault="000E6802" w:rsidP="00F21B59">
            <w:pPr>
              <w:jc w:val="center"/>
              <w:rPr>
                <w:b/>
                <w:sz w:val="18"/>
                <w:szCs w:val="18"/>
              </w:rPr>
            </w:pPr>
            <w:r w:rsidRPr="001472C3">
              <w:rPr>
                <w:b/>
                <w:sz w:val="18"/>
                <w:szCs w:val="18"/>
              </w:rPr>
              <w:t>OSA</w:t>
            </w:r>
            <w:r w:rsidR="002C30EE">
              <w:rPr>
                <w:b/>
                <w:sz w:val="18"/>
                <w:szCs w:val="18"/>
              </w:rPr>
              <w:t>HS</w:t>
            </w:r>
          </w:p>
        </w:tc>
        <w:tc>
          <w:tcPr>
            <w:tcW w:w="1019" w:type="dxa"/>
            <w:vAlign w:val="center"/>
          </w:tcPr>
          <w:p w:rsidR="000E6802" w:rsidRPr="001472C3" w:rsidRDefault="000E6802" w:rsidP="00F21B59">
            <w:pPr>
              <w:jc w:val="center"/>
              <w:rPr>
                <w:sz w:val="18"/>
                <w:szCs w:val="18"/>
              </w:rPr>
            </w:pPr>
            <w:r w:rsidRPr="001472C3">
              <w:rPr>
                <w:sz w:val="18"/>
                <w:szCs w:val="18"/>
              </w:rPr>
              <w:t>MWT</w:t>
            </w:r>
          </w:p>
        </w:tc>
        <w:tc>
          <w:tcPr>
            <w:tcW w:w="1019" w:type="dxa"/>
            <w:vAlign w:val="center"/>
          </w:tcPr>
          <w:p w:rsidR="000E6802" w:rsidRPr="001472C3" w:rsidRDefault="000E6802" w:rsidP="00F21B59">
            <w:pPr>
              <w:jc w:val="center"/>
              <w:rPr>
                <w:sz w:val="18"/>
                <w:szCs w:val="18"/>
              </w:rPr>
            </w:pPr>
            <w:r w:rsidRPr="001472C3">
              <w:rPr>
                <w:sz w:val="18"/>
                <w:szCs w:val="18"/>
              </w:rPr>
              <w:t>23.7</w:t>
            </w:r>
          </w:p>
        </w:tc>
        <w:tc>
          <w:tcPr>
            <w:tcW w:w="1136" w:type="dxa"/>
            <w:vAlign w:val="center"/>
          </w:tcPr>
          <w:p w:rsidR="000E6802" w:rsidRPr="001472C3" w:rsidRDefault="000E6802" w:rsidP="00F21B59">
            <w:pPr>
              <w:jc w:val="center"/>
              <w:rPr>
                <w:sz w:val="18"/>
                <w:szCs w:val="18"/>
              </w:rPr>
            </w:pPr>
            <w:r w:rsidRPr="001472C3">
              <w:rPr>
                <w:sz w:val="18"/>
                <w:szCs w:val="18"/>
              </w:rPr>
              <w:t>2.3</w:t>
            </w:r>
          </w:p>
        </w:tc>
        <w:tc>
          <w:tcPr>
            <w:tcW w:w="992" w:type="dxa"/>
            <w:vAlign w:val="center"/>
          </w:tcPr>
          <w:p w:rsidR="000E6802" w:rsidRPr="001472C3" w:rsidRDefault="000E6802" w:rsidP="00F21B59">
            <w:pPr>
              <w:jc w:val="center"/>
              <w:rPr>
                <w:sz w:val="18"/>
                <w:szCs w:val="18"/>
              </w:rPr>
            </w:pPr>
            <w:r w:rsidRPr="001472C3">
              <w:rPr>
                <w:sz w:val="18"/>
                <w:szCs w:val="18"/>
              </w:rPr>
              <w:t>-</w:t>
            </w:r>
          </w:p>
        </w:tc>
        <w:tc>
          <w:tcPr>
            <w:tcW w:w="1276" w:type="dxa"/>
            <w:vAlign w:val="center"/>
          </w:tcPr>
          <w:p w:rsidR="000E6802" w:rsidRPr="001472C3" w:rsidRDefault="000E6802" w:rsidP="00F21B59">
            <w:pPr>
              <w:jc w:val="center"/>
              <w:rPr>
                <w:sz w:val="18"/>
                <w:szCs w:val="18"/>
              </w:rPr>
            </w:pPr>
            <w:r w:rsidRPr="001472C3">
              <w:rPr>
                <w:sz w:val="18"/>
                <w:szCs w:val="18"/>
              </w:rPr>
              <w:t>-</w:t>
            </w:r>
          </w:p>
        </w:tc>
        <w:tc>
          <w:tcPr>
            <w:tcW w:w="992" w:type="dxa"/>
            <w:vAlign w:val="center"/>
          </w:tcPr>
          <w:p w:rsidR="000E6802" w:rsidRPr="001472C3" w:rsidRDefault="000E6802" w:rsidP="00F21B59">
            <w:pPr>
              <w:jc w:val="center"/>
              <w:rPr>
                <w:sz w:val="18"/>
                <w:szCs w:val="18"/>
              </w:rPr>
            </w:pPr>
            <w:r w:rsidRPr="001472C3">
              <w:rPr>
                <w:sz w:val="18"/>
                <w:szCs w:val="18"/>
              </w:rPr>
              <w:t>23.3</w:t>
            </w:r>
          </w:p>
        </w:tc>
        <w:tc>
          <w:tcPr>
            <w:tcW w:w="1559" w:type="dxa"/>
            <w:vAlign w:val="center"/>
          </w:tcPr>
          <w:p w:rsidR="000E6802" w:rsidRPr="001472C3" w:rsidRDefault="000E6802" w:rsidP="00F21B59">
            <w:pPr>
              <w:jc w:val="center"/>
              <w:rPr>
                <w:sz w:val="18"/>
                <w:szCs w:val="18"/>
              </w:rPr>
            </w:pPr>
            <w:r w:rsidRPr="001472C3">
              <w:rPr>
                <w:sz w:val="18"/>
                <w:szCs w:val="18"/>
              </w:rPr>
              <w:t>-1.3</w:t>
            </w:r>
          </w:p>
        </w:tc>
      </w:tr>
      <w:tr w:rsidR="000E6802" w:rsidRPr="001472C3" w:rsidTr="00F21B59">
        <w:tc>
          <w:tcPr>
            <w:tcW w:w="1187" w:type="dxa"/>
            <w:vAlign w:val="center"/>
          </w:tcPr>
          <w:p w:rsidR="000E6802" w:rsidRPr="001472C3" w:rsidRDefault="000E6802" w:rsidP="00F21B59">
            <w:pPr>
              <w:jc w:val="center"/>
              <w:rPr>
                <w:b/>
                <w:sz w:val="18"/>
                <w:szCs w:val="18"/>
              </w:rPr>
            </w:pPr>
            <w:r w:rsidRPr="001472C3">
              <w:rPr>
                <w:b/>
                <w:sz w:val="18"/>
                <w:szCs w:val="18"/>
              </w:rPr>
              <w:t>Narcolepsy</w:t>
            </w:r>
          </w:p>
        </w:tc>
        <w:tc>
          <w:tcPr>
            <w:tcW w:w="1019" w:type="dxa"/>
            <w:vAlign w:val="center"/>
          </w:tcPr>
          <w:p w:rsidR="000E6802" w:rsidRPr="001472C3" w:rsidRDefault="000E6802" w:rsidP="00F21B59">
            <w:pPr>
              <w:jc w:val="center"/>
              <w:rPr>
                <w:sz w:val="18"/>
                <w:szCs w:val="18"/>
              </w:rPr>
            </w:pPr>
            <w:r w:rsidRPr="001472C3">
              <w:rPr>
                <w:sz w:val="18"/>
                <w:szCs w:val="18"/>
              </w:rPr>
              <w:t>MWT</w:t>
            </w:r>
          </w:p>
        </w:tc>
        <w:tc>
          <w:tcPr>
            <w:tcW w:w="1019" w:type="dxa"/>
            <w:vAlign w:val="center"/>
          </w:tcPr>
          <w:p w:rsidR="000E6802" w:rsidRPr="001472C3" w:rsidRDefault="000E6802" w:rsidP="00F21B59">
            <w:pPr>
              <w:jc w:val="center"/>
              <w:rPr>
                <w:sz w:val="18"/>
                <w:szCs w:val="18"/>
              </w:rPr>
            </w:pPr>
            <w:r w:rsidRPr="001472C3">
              <w:rPr>
                <w:sz w:val="18"/>
                <w:szCs w:val="18"/>
              </w:rPr>
              <w:t>12.1</w:t>
            </w:r>
          </w:p>
        </w:tc>
        <w:tc>
          <w:tcPr>
            <w:tcW w:w="1136" w:type="dxa"/>
            <w:vAlign w:val="center"/>
          </w:tcPr>
          <w:p w:rsidR="000E6802" w:rsidRPr="001472C3" w:rsidRDefault="000E6802" w:rsidP="00F21B59">
            <w:pPr>
              <w:jc w:val="center"/>
              <w:rPr>
                <w:sz w:val="18"/>
                <w:szCs w:val="18"/>
              </w:rPr>
            </w:pPr>
            <w:r w:rsidRPr="001472C3">
              <w:rPr>
                <w:sz w:val="18"/>
                <w:szCs w:val="18"/>
              </w:rPr>
              <w:t>1.3</w:t>
            </w:r>
          </w:p>
        </w:tc>
        <w:tc>
          <w:tcPr>
            <w:tcW w:w="992" w:type="dxa"/>
            <w:vAlign w:val="center"/>
          </w:tcPr>
          <w:p w:rsidR="000E6802" w:rsidRPr="001472C3" w:rsidRDefault="000E6802" w:rsidP="00F21B59">
            <w:pPr>
              <w:jc w:val="center"/>
              <w:rPr>
                <w:sz w:val="18"/>
                <w:szCs w:val="18"/>
              </w:rPr>
            </w:pPr>
            <w:r w:rsidRPr="001472C3">
              <w:rPr>
                <w:sz w:val="18"/>
                <w:szCs w:val="18"/>
              </w:rPr>
              <w:t>9.5</w:t>
            </w:r>
          </w:p>
        </w:tc>
        <w:tc>
          <w:tcPr>
            <w:tcW w:w="1276" w:type="dxa"/>
            <w:vAlign w:val="center"/>
          </w:tcPr>
          <w:p w:rsidR="000E6802" w:rsidRPr="001472C3" w:rsidRDefault="000E6802" w:rsidP="00F21B59">
            <w:pPr>
              <w:jc w:val="center"/>
              <w:rPr>
                <w:sz w:val="18"/>
                <w:szCs w:val="18"/>
              </w:rPr>
            </w:pPr>
            <w:r w:rsidRPr="001472C3">
              <w:rPr>
                <w:sz w:val="18"/>
                <w:szCs w:val="18"/>
              </w:rPr>
              <w:t>2.6</w:t>
            </w:r>
          </w:p>
        </w:tc>
        <w:tc>
          <w:tcPr>
            <w:tcW w:w="992" w:type="dxa"/>
            <w:vAlign w:val="center"/>
          </w:tcPr>
          <w:p w:rsidR="000E6802" w:rsidRPr="001472C3" w:rsidRDefault="000E6802" w:rsidP="00F21B59">
            <w:pPr>
              <w:jc w:val="center"/>
              <w:rPr>
                <w:sz w:val="18"/>
                <w:szCs w:val="18"/>
              </w:rPr>
            </w:pPr>
            <w:r w:rsidRPr="001472C3">
              <w:rPr>
                <w:sz w:val="18"/>
                <w:szCs w:val="18"/>
              </w:rPr>
              <w:t>12.5</w:t>
            </w:r>
          </w:p>
        </w:tc>
        <w:tc>
          <w:tcPr>
            <w:tcW w:w="1559" w:type="dxa"/>
            <w:vAlign w:val="center"/>
          </w:tcPr>
          <w:p w:rsidR="000E6802" w:rsidRPr="001472C3" w:rsidRDefault="000E6802" w:rsidP="00F21B59">
            <w:pPr>
              <w:jc w:val="center"/>
              <w:rPr>
                <w:sz w:val="18"/>
                <w:szCs w:val="18"/>
              </w:rPr>
            </w:pPr>
            <w:r w:rsidRPr="001472C3">
              <w:rPr>
                <w:sz w:val="18"/>
                <w:szCs w:val="18"/>
              </w:rPr>
              <w:t>-1.9</w:t>
            </w:r>
          </w:p>
        </w:tc>
      </w:tr>
      <w:tr w:rsidR="000E6802" w:rsidRPr="001472C3" w:rsidTr="00F21B59">
        <w:tc>
          <w:tcPr>
            <w:tcW w:w="1187" w:type="dxa"/>
            <w:vAlign w:val="center"/>
          </w:tcPr>
          <w:p w:rsidR="000E6802" w:rsidRPr="001472C3" w:rsidRDefault="000E6802" w:rsidP="00F21B59">
            <w:pPr>
              <w:jc w:val="center"/>
              <w:rPr>
                <w:b/>
                <w:sz w:val="18"/>
                <w:szCs w:val="18"/>
              </w:rPr>
            </w:pPr>
            <w:r w:rsidRPr="001472C3">
              <w:rPr>
                <w:b/>
                <w:sz w:val="18"/>
                <w:szCs w:val="18"/>
              </w:rPr>
              <w:t>SWSD</w:t>
            </w:r>
          </w:p>
        </w:tc>
        <w:tc>
          <w:tcPr>
            <w:tcW w:w="1019" w:type="dxa"/>
            <w:vAlign w:val="center"/>
          </w:tcPr>
          <w:p w:rsidR="000E6802" w:rsidRPr="001472C3" w:rsidRDefault="000E6802" w:rsidP="00F21B59">
            <w:pPr>
              <w:jc w:val="center"/>
              <w:rPr>
                <w:sz w:val="18"/>
                <w:szCs w:val="18"/>
              </w:rPr>
            </w:pPr>
            <w:r w:rsidRPr="001472C3">
              <w:rPr>
                <w:sz w:val="18"/>
                <w:szCs w:val="18"/>
              </w:rPr>
              <w:t>MSLT</w:t>
            </w:r>
          </w:p>
        </w:tc>
        <w:tc>
          <w:tcPr>
            <w:tcW w:w="1019" w:type="dxa"/>
            <w:vAlign w:val="center"/>
          </w:tcPr>
          <w:p w:rsidR="000E6802" w:rsidRPr="001472C3" w:rsidRDefault="000E6802" w:rsidP="00F21B59">
            <w:pPr>
              <w:jc w:val="center"/>
              <w:rPr>
                <w:sz w:val="18"/>
                <w:szCs w:val="18"/>
              </w:rPr>
            </w:pPr>
            <w:r w:rsidRPr="001472C3">
              <w:rPr>
                <w:sz w:val="18"/>
                <w:szCs w:val="18"/>
              </w:rPr>
              <w:t>2.3</w:t>
            </w:r>
          </w:p>
        </w:tc>
        <w:tc>
          <w:tcPr>
            <w:tcW w:w="1136" w:type="dxa"/>
            <w:vAlign w:val="center"/>
          </w:tcPr>
          <w:p w:rsidR="000E6802" w:rsidRPr="001472C3" w:rsidRDefault="000E6802" w:rsidP="00F21B59">
            <w:pPr>
              <w:jc w:val="center"/>
              <w:rPr>
                <w:sz w:val="18"/>
                <w:szCs w:val="18"/>
              </w:rPr>
            </w:pPr>
            <w:r w:rsidRPr="001472C3">
              <w:rPr>
                <w:sz w:val="18"/>
                <w:szCs w:val="18"/>
              </w:rPr>
              <w:t>3.1</w:t>
            </w:r>
          </w:p>
        </w:tc>
        <w:tc>
          <w:tcPr>
            <w:tcW w:w="992" w:type="dxa"/>
            <w:vAlign w:val="center"/>
          </w:tcPr>
          <w:p w:rsidR="000E6802" w:rsidRPr="001472C3" w:rsidRDefault="000E6802" w:rsidP="00F21B59">
            <w:pPr>
              <w:jc w:val="center"/>
              <w:rPr>
                <w:sz w:val="18"/>
                <w:szCs w:val="18"/>
              </w:rPr>
            </w:pPr>
            <w:r w:rsidRPr="001472C3">
              <w:rPr>
                <w:sz w:val="18"/>
                <w:szCs w:val="18"/>
              </w:rPr>
              <w:t>-</w:t>
            </w:r>
          </w:p>
        </w:tc>
        <w:tc>
          <w:tcPr>
            <w:tcW w:w="1276" w:type="dxa"/>
            <w:vAlign w:val="center"/>
          </w:tcPr>
          <w:p w:rsidR="000E6802" w:rsidRPr="001472C3" w:rsidRDefault="000E6802" w:rsidP="00F21B59">
            <w:pPr>
              <w:jc w:val="center"/>
              <w:rPr>
                <w:sz w:val="18"/>
                <w:szCs w:val="18"/>
              </w:rPr>
            </w:pPr>
            <w:r w:rsidRPr="001472C3">
              <w:rPr>
                <w:sz w:val="18"/>
                <w:szCs w:val="18"/>
              </w:rPr>
              <w:t>-</w:t>
            </w:r>
          </w:p>
        </w:tc>
        <w:tc>
          <w:tcPr>
            <w:tcW w:w="992" w:type="dxa"/>
            <w:vAlign w:val="center"/>
          </w:tcPr>
          <w:p w:rsidR="000E6802" w:rsidRPr="001472C3" w:rsidRDefault="000E6802" w:rsidP="00F21B59">
            <w:pPr>
              <w:jc w:val="center"/>
              <w:rPr>
                <w:sz w:val="18"/>
                <w:szCs w:val="18"/>
              </w:rPr>
            </w:pPr>
            <w:r w:rsidRPr="001472C3">
              <w:rPr>
                <w:sz w:val="18"/>
                <w:szCs w:val="18"/>
              </w:rPr>
              <w:t>2.4</w:t>
            </w:r>
          </w:p>
        </w:tc>
        <w:tc>
          <w:tcPr>
            <w:tcW w:w="1559" w:type="dxa"/>
            <w:vAlign w:val="center"/>
          </w:tcPr>
          <w:p w:rsidR="000E6802" w:rsidRPr="001472C3" w:rsidRDefault="000E6802" w:rsidP="00F21B59">
            <w:pPr>
              <w:jc w:val="center"/>
              <w:rPr>
                <w:sz w:val="18"/>
                <w:szCs w:val="18"/>
              </w:rPr>
            </w:pPr>
            <w:r w:rsidRPr="001472C3">
              <w:rPr>
                <w:sz w:val="18"/>
                <w:szCs w:val="18"/>
              </w:rPr>
              <w:t>0.4</w:t>
            </w:r>
          </w:p>
        </w:tc>
      </w:tr>
    </w:tbl>
    <w:p w:rsidR="000E6802" w:rsidRPr="001472C3" w:rsidRDefault="000B55F1" w:rsidP="00B348BF">
      <w:pPr>
        <w:spacing w:after="0"/>
        <w:jc w:val="both"/>
        <w:rPr>
          <w:sz w:val="14"/>
        </w:rPr>
      </w:pPr>
      <w:proofErr w:type="gramStart"/>
      <w:r w:rsidRPr="001472C3">
        <w:rPr>
          <w:sz w:val="14"/>
          <w:vertAlign w:val="superscript"/>
        </w:rPr>
        <w:t>a</w:t>
      </w:r>
      <w:proofErr w:type="gramEnd"/>
      <w:r w:rsidR="000E6802" w:rsidRPr="001472C3">
        <w:rPr>
          <w:sz w:val="14"/>
        </w:rPr>
        <w:t xml:space="preserve"> Significantly different than placebo for all trials</w:t>
      </w:r>
      <w:r w:rsidR="00A75740" w:rsidRPr="001472C3">
        <w:rPr>
          <w:sz w:val="14"/>
        </w:rPr>
        <w:t xml:space="preserve"> (p&lt;0.05)</w:t>
      </w:r>
    </w:p>
    <w:p w:rsidR="009672F0" w:rsidRPr="001472C3" w:rsidRDefault="009672F0" w:rsidP="00B348BF">
      <w:pPr>
        <w:spacing w:after="0"/>
        <w:jc w:val="both"/>
        <w:rPr>
          <w:b/>
          <w:sz w:val="18"/>
          <w:szCs w:val="18"/>
        </w:rPr>
      </w:pPr>
    </w:p>
    <w:p w:rsidR="002C2B46" w:rsidRPr="001472C3" w:rsidRDefault="00155137" w:rsidP="009E24D0">
      <w:pPr>
        <w:jc w:val="both"/>
        <w:rPr>
          <w:b/>
          <w:sz w:val="18"/>
          <w:szCs w:val="18"/>
        </w:rPr>
      </w:pPr>
      <w:r w:rsidRPr="001472C3">
        <w:rPr>
          <w:b/>
          <w:sz w:val="18"/>
          <w:szCs w:val="18"/>
        </w:rPr>
        <w:t xml:space="preserve">Table 2 </w:t>
      </w:r>
      <w:r w:rsidRPr="001472C3">
        <w:rPr>
          <w:b/>
          <w:sz w:val="18"/>
          <w:szCs w:val="18"/>
        </w:rPr>
        <w:tab/>
        <w:t>Clinical Global Impression of Change (CGI-C) (Percentage of Patients Who Improved at Final Visit)</w:t>
      </w:r>
    </w:p>
    <w:tbl>
      <w:tblPr>
        <w:tblStyle w:val="TableGrid"/>
        <w:tblW w:w="0" w:type="auto"/>
        <w:jc w:val="center"/>
        <w:tblInd w:w="-1220" w:type="dxa"/>
        <w:tblLook w:val="04A0" w:firstRow="1" w:lastRow="0" w:firstColumn="1" w:lastColumn="0" w:noHBand="0" w:noVBand="1"/>
      </w:tblPr>
      <w:tblGrid>
        <w:gridCol w:w="1220"/>
        <w:gridCol w:w="1374"/>
        <w:gridCol w:w="2262"/>
        <w:gridCol w:w="157"/>
        <w:gridCol w:w="2105"/>
        <w:gridCol w:w="1899"/>
      </w:tblGrid>
      <w:tr w:rsidR="009672F0" w:rsidRPr="001472C3" w:rsidTr="00F21B59">
        <w:trPr>
          <w:jc w:val="center"/>
        </w:trPr>
        <w:tc>
          <w:tcPr>
            <w:tcW w:w="2594" w:type="dxa"/>
            <w:gridSpan w:val="2"/>
            <w:tcBorders>
              <w:top w:val="single" w:sz="18" w:space="0" w:color="auto"/>
              <w:left w:val="single" w:sz="18" w:space="0" w:color="auto"/>
              <w:bottom w:val="single" w:sz="6" w:space="0" w:color="auto"/>
              <w:right w:val="single" w:sz="6" w:space="0" w:color="auto"/>
            </w:tcBorders>
          </w:tcPr>
          <w:p w:rsidR="009672F0" w:rsidRPr="001472C3" w:rsidRDefault="009672F0" w:rsidP="00F21B59">
            <w:pPr>
              <w:jc w:val="center"/>
              <w:rPr>
                <w:b/>
                <w:sz w:val="18"/>
                <w:szCs w:val="18"/>
              </w:rPr>
            </w:pPr>
            <w:r w:rsidRPr="001472C3">
              <w:rPr>
                <w:b/>
                <w:sz w:val="18"/>
                <w:szCs w:val="18"/>
              </w:rPr>
              <w:t>Disorder</w:t>
            </w:r>
          </w:p>
        </w:tc>
        <w:tc>
          <w:tcPr>
            <w:tcW w:w="2262" w:type="dxa"/>
            <w:tcBorders>
              <w:top w:val="single" w:sz="18" w:space="0" w:color="auto"/>
              <w:left w:val="single" w:sz="6" w:space="0" w:color="auto"/>
              <w:bottom w:val="single" w:sz="6" w:space="0" w:color="auto"/>
              <w:right w:val="single" w:sz="6" w:space="0" w:color="auto"/>
            </w:tcBorders>
          </w:tcPr>
          <w:p w:rsidR="009672F0" w:rsidRPr="001472C3" w:rsidRDefault="009672F0" w:rsidP="00F21B59">
            <w:pPr>
              <w:jc w:val="center"/>
              <w:rPr>
                <w:b/>
                <w:sz w:val="18"/>
                <w:szCs w:val="18"/>
              </w:rPr>
            </w:pPr>
            <w:r w:rsidRPr="001472C3">
              <w:rPr>
                <w:b/>
                <w:sz w:val="18"/>
                <w:szCs w:val="18"/>
              </w:rPr>
              <w:t>NUVIGIL</w:t>
            </w:r>
            <w:r w:rsidRPr="001472C3">
              <w:rPr>
                <w:rFonts w:cs="Arial"/>
                <w:b/>
                <w:sz w:val="18"/>
                <w:szCs w:val="18"/>
                <w:vertAlign w:val="superscript"/>
              </w:rPr>
              <w:t xml:space="preserve">® </w:t>
            </w:r>
            <w:r w:rsidRPr="001472C3">
              <w:rPr>
                <w:b/>
                <w:sz w:val="18"/>
                <w:szCs w:val="18"/>
              </w:rPr>
              <w:t>150</w:t>
            </w:r>
            <w:r w:rsidR="00983CFB">
              <w:rPr>
                <w:b/>
                <w:sz w:val="18"/>
                <w:szCs w:val="18"/>
              </w:rPr>
              <w:t xml:space="preserve"> </w:t>
            </w:r>
            <w:proofErr w:type="spellStart"/>
            <w:r w:rsidRPr="001472C3">
              <w:rPr>
                <w:b/>
                <w:sz w:val="18"/>
                <w:szCs w:val="18"/>
              </w:rPr>
              <w:t>mg</w:t>
            </w:r>
            <w:r w:rsidR="00B348BF" w:rsidRPr="001472C3">
              <w:rPr>
                <w:b/>
                <w:sz w:val="18"/>
                <w:szCs w:val="18"/>
                <w:vertAlign w:val="superscript"/>
              </w:rPr>
              <w:t>a</w:t>
            </w:r>
            <w:proofErr w:type="spellEnd"/>
          </w:p>
        </w:tc>
        <w:tc>
          <w:tcPr>
            <w:tcW w:w="2262" w:type="dxa"/>
            <w:gridSpan w:val="2"/>
            <w:tcBorders>
              <w:top w:val="single" w:sz="18" w:space="0" w:color="auto"/>
              <w:left w:val="single" w:sz="6" w:space="0" w:color="auto"/>
              <w:bottom w:val="single" w:sz="6" w:space="0" w:color="auto"/>
              <w:right w:val="single" w:sz="6" w:space="0" w:color="auto"/>
            </w:tcBorders>
          </w:tcPr>
          <w:p w:rsidR="009672F0" w:rsidRPr="001472C3" w:rsidRDefault="009672F0" w:rsidP="00F21B59">
            <w:pPr>
              <w:jc w:val="center"/>
              <w:rPr>
                <w:b/>
                <w:sz w:val="18"/>
                <w:szCs w:val="18"/>
              </w:rPr>
            </w:pPr>
            <w:r w:rsidRPr="001472C3">
              <w:rPr>
                <w:b/>
                <w:sz w:val="18"/>
                <w:szCs w:val="18"/>
              </w:rPr>
              <w:t>NUVIGIL</w:t>
            </w:r>
            <w:r w:rsidRPr="001472C3">
              <w:rPr>
                <w:rFonts w:cs="Arial"/>
                <w:b/>
                <w:sz w:val="18"/>
                <w:szCs w:val="18"/>
                <w:vertAlign w:val="superscript"/>
              </w:rPr>
              <w:t xml:space="preserve">® </w:t>
            </w:r>
            <w:r w:rsidRPr="001472C3">
              <w:rPr>
                <w:b/>
                <w:sz w:val="18"/>
                <w:szCs w:val="18"/>
              </w:rPr>
              <w:t>250</w:t>
            </w:r>
            <w:r w:rsidR="00983CFB">
              <w:rPr>
                <w:b/>
                <w:sz w:val="18"/>
                <w:szCs w:val="18"/>
              </w:rPr>
              <w:t xml:space="preserve"> </w:t>
            </w:r>
            <w:proofErr w:type="spellStart"/>
            <w:r w:rsidRPr="001472C3">
              <w:rPr>
                <w:b/>
                <w:sz w:val="18"/>
                <w:szCs w:val="18"/>
              </w:rPr>
              <w:t>mg</w:t>
            </w:r>
            <w:r w:rsidR="00B348BF" w:rsidRPr="001472C3">
              <w:rPr>
                <w:b/>
                <w:sz w:val="18"/>
                <w:szCs w:val="18"/>
                <w:vertAlign w:val="superscript"/>
              </w:rPr>
              <w:t>a</w:t>
            </w:r>
            <w:proofErr w:type="spellEnd"/>
          </w:p>
        </w:tc>
        <w:tc>
          <w:tcPr>
            <w:tcW w:w="1899" w:type="dxa"/>
            <w:tcBorders>
              <w:top w:val="single" w:sz="18" w:space="0" w:color="auto"/>
              <w:left w:val="single" w:sz="6" w:space="0" w:color="auto"/>
              <w:bottom w:val="single" w:sz="6" w:space="0" w:color="auto"/>
              <w:right w:val="single" w:sz="18" w:space="0" w:color="auto"/>
            </w:tcBorders>
          </w:tcPr>
          <w:p w:rsidR="009672F0" w:rsidRPr="001472C3" w:rsidRDefault="009672F0" w:rsidP="00F21B59">
            <w:pPr>
              <w:jc w:val="center"/>
              <w:rPr>
                <w:b/>
                <w:sz w:val="18"/>
                <w:szCs w:val="18"/>
              </w:rPr>
            </w:pPr>
            <w:r w:rsidRPr="001472C3">
              <w:rPr>
                <w:b/>
                <w:sz w:val="18"/>
                <w:szCs w:val="18"/>
              </w:rPr>
              <w:t>Placebo</w:t>
            </w:r>
          </w:p>
        </w:tc>
      </w:tr>
      <w:tr w:rsidR="009672F0" w:rsidRPr="001472C3" w:rsidTr="00F21B59">
        <w:trPr>
          <w:jc w:val="center"/>
        </w:trPr>
        <w:tc>
          <w:tcPr>
            <w:tcW w:w="2594" w:type="dxa"/>
            <w:gridSpan w:val="2"/>
            <w:tcBorders>
              <w:top w:val="single" w:sz="6" w:space="0" w:color="auto"/>
              <w:left w:val="single" w:sz="18" w:space="0" w:color="auto"/>
              <w:bottom w:val="single" w:sz="6" w:space="0" w:color="auto"/>
              <w:right w:val="single" w:sz="6" w:space="0" w:color="auto"/>
            </w:tcBorders>
          </w:tcPr>
          <w:p w:rsidR="009672F0" w:rsidRPr="001472C3" w:rsidRDefault="00402FEB" w:rsidP="00F21B59">
            <w:pPr>
              <w:jc w:val="center"/>
              <w:rPr>
                <w:b/>
                <w:sz w:val="18"/>
                <w:szCs w:val="18"/>
              </w:rPr>
            </w:pPr>
            <w:r w:rsidRPr="001472C3">
              <w:rPr>
                <w:b/>
                <w:sz w:val="18"/>
                <w:szCs w:val="18"/>
              </w:rPr>
              <w:t>OSA</w:t>
            </w:r>
            <w:r w:rsidR="002C30EE">
              <w:rPr>
                <w:b/>
                <w:sz w:val="18"/>
                <w:szCs w:val="18"/>
              </w:rPr>
              <w:t>HS</w:t>
            </w:r>
          </w:p>
        </w:tc>
        <w:tc>
          <w:tcPr>
            <w:tcW w:w="2262" w:type="dxa"/>
            <w:tcBorders>
              <w:top w:val="single" w:sz="6" w:space="0" w:color="auto"/>
              <w:left w:val="single" w:sz="6" w:space="0" w:color="auto"/>
              <w:bottom w:val="single" w:sz="6" w:space="0" w:color="auto"/>
              <w:right w:val="single" w:sz="6" w:space="0" w:color="auto"/>
            </w:tcBorders>
          </w:tcPr>
          <w:p w:rsidR="009672F0" w:rsidRPr="001472C3" w:rsidRDefault="00402FEB" w:rsidP="00F21B59">
            <w:pPr>
              <w:jc w:val="center"/>
              <w:rPr>
                <w:sz w:val="18"/>
                <w:szCs w:val="18"/>
              </w:rPr>
            </w:pPr>
            <w:r w:rsidRPr="001472C3">
              <w:rPr>
                <w:sz w:val="18"/>
                <w:szCs w:val="18"/>
              </w:rPr>
              <w:t>71%</w:t>
            </w:r>
          </w:p>
        </w:tc>
        <w:tc>
          <w:tcPr>
            <w:tcW w:w="2262" w:type="dxa"/>
            <w:gridSpan w:val="2"/>
            <w:tcBorders>
              <w:top w:val="single" w:sz="6" w:space="0" w:color="auto"/>
              <w:left w:val="single" w:sz="6" w:space="0" w:color="auto"/>
              <w:bottom w:val="single" w:sz="6" w:space="0" w:color="auto"/>
              <w:right w:val="single" w:sz="6" w:space="0" w:color="auto"/>
            </w:tcBorders>
          </w:tcPr>
          <w:p w:rsidR="009672F0" w:rsidRPr="001472C3" w:rsidRDefault="00402FEB" w:rsidP="00F21B59">
            <w:pPr>
              <w:jc w:val="center"/>
              <w:rPr>
                <w:sz w:val="18"/>
                <w:szCs w:val="18"/>
              </w:rPr>
            </w:pPr>
            <w:r w:rsidRPr="001472C3">
              <w:rPr>
                <w:sz w:val="18"/>
                <w:szCs w:val="18"/>
              </w:rPr>
              <w:t>74%</w:t>
            </w:r>
          </w:p>
        </w:tc>
        <w:tc>
          <w:tcPr>
            <w:tcW w:w="1899" w:type="dxa"/>
            <w:tcBorders>
              <w:top w:val="single" w:sz="6" w:space="0" w:color="auto"/>
              <w:left w:val="single" w:sz="6" w:space="0" w:color="auto"/>
              <w:bottom w:val="single" w:sz="6" w:space="0" w:color="auto"/>
              <w:right w:val="single" w:sz="18" w:space="0" w:color="auto"/>
            </w:tcBorders>
          </w:tcPr>
          <w:p w:rsidR="009672F0" w:rsidRPr="001472C3" w:rsidRDefault="00402FEB" w:rsidP="00F21B59">
            <w:pPr>
              <w:jc w:val="center"/>
              <w:rPr>
                <w:sz w:val="18"/>
                <w:szCs w:val="18"/>
              </w:rPr>
            </w:pPr>
            <w:r w:rsidRPr="001472C3">
              <w:rPr>
                <w:sz w:val="18"/>
                <w:szCs w:val="18"/>
              </w:rPr>
              <w:t>37%</w:t>
            </w:r>
          </w:p>
        </w:tc>
      </w:tr>
      <w:tr w:rsidR="009672F0" w:rsidRPr="001472C3" w:rsidTr="00F21B59">
        <w:trPr>
          <w:jc w:val="center"/>
        </w:trPr>
        <w:tc>
          <w:tcPr>
            <w:tcW w:w="2594" w:type="dxa"/>
            <w:gridSpan w:val="2"/>
            <w:tcBorders>
              <w:top w:val="single" w:sz="6" w:space="0" w:color="auto"/>
              <w:left w:val="single" w:sz="18" w:space="0" w:color="auto"/>
              <w:bottom w:val="single" w:sz="6" w:space="0" w:color="auto"/>
              <w:right w:val="single" w:sz="6" w:space="0" w:color="auto"/>
            </w:tcBorders>
          </w:tcPr>
          <w:p w:rsidR="009672F0" w:rsidRPr="001472C3" w:rsidRDefault="00402FEB" w:rsidP="00F21B59">
            <w:pPr>
              <w:jc w:val="center"/>
              <w:rPr>
                <w:b/>
                <w:sz w:val="18"/>
                <w:szCs w:val="18"/>
              </w:rPr>
            </w:pPr>
            <w:r w:rsidRPr="001472C3">
              <w:rPr>
                <w:b/>
                <w:sz w:val="18"/>
                <w:szCs w:val="18"/>
              </w:rPr>
              <w:t>OSA</w:t>
            </w:r>
            <w:r w:rsidR="002C30EE">
              <w:rPr>
                <w:b/>
                <w:sz w:val="18"/>
                <w:szCs w:val="18"/>
              </w:rPr>
              <w:t>HS</w:t>
            </w:r>
          </w:p>
        </w:tc>
        <w:tc>
          <w:tcPr>
            <w:tcW w:w="2262" w:type="dxa"/>
            <w:tcBorders>
              <w:top w:val="single" w:sz="6" w:space="0" w:color="auto"/>
              <w:left w:val="single" w:sz="6" w:space="0" w:color="auto"/>
              <w:bottom w:val="single" w:sz="6" w:space="0" w:color="auto"/>
              <w:right w:val="single" w:sz="6" w:space="0" w:color="auto"/>
            </w:tcBorders>
          </w:tcPr>
          <w:p w:rsidR="009672F0" w:rsidRPr="001472C3" w:rsidRDefault="00402FEB" w:rsidP="00F21B59">
            <w:pPr>
              <w:jc w:val="center"/>
              <w:rPr>
                <w:sz w:val="18"/>
                <w:szCs w:val="18"/>
              </w:rPr>
            </w:pPr>
            <w:r w:rsidRPr="001472C3">
              <w:rPr>
                <w:sz w:val="18"/>
                <w:szCs w:val="18"/>
              </w:rPr>
              <w:t>71%</w:t>
            </w:r>
          </w:p>
        </w:tc>
        <w:tc>
          <w:tcPr>
            <w:tcW w:w="2262" w:type="dxa"/>
            <w:gridSpan w:val="2"/>
            <w:tcBorders>
              <w:top w:val="single" w:sz="6" w:space="0" w:color="auto"/>
              <w:left w:val="single" w:sz="6" w:space="0" w:color="auto"/>
              <w:bottom w:val="single" w:sz="6" w:space="0" w:color="auto"/>
              <w:right w:val="single" w:sz="6" w:space="0" w:color="auto"/>
            </w:tcBorders>
          </w:tcPr>
          <w:p w:rsidR="009672F0" w:rsidRPr="001472C3" w:rsidRDefault="00402FEB" w:rsidP="00F21B59">
            <w:pPr>
              <w:jc w:val="center"/>
              <w:rPr>
                <w:sz w:val="18"/>
                <w:szCs w:val="18"/>
              </w:rPr>
            </w:pPr>
            <w:r w:rsidRPr="001472C3">
              <w:rPr>
                <w:sz w:val="18"/>
                <w:szCs w:val="18"/>
              </w:rPr>
              <w:t>-</w:t>
            </w:r>
          </w:p>
        </w:tc>
        <w:tc>
          <w:tcPr>
            <w:tcW w:w="1899" w:type="dxa"/>
            <w:tcBorders>
              <w:top w:val="single" w:sz="6" w:space="0" w:color="auto"/>
              <w:left w:val="single" w:sz="6" w:space="0" w:color="auto"/>
              <w:bottom w:val="single" w:sz="6" w:space="0" w:color="auto"/>
              <w:right w:val="single" w:sz="18" w:space="0" w:color="auto"/>
            </w:tcBorders>
          </w:tcPr>
          <w:p w:rsidR="009672F0" w:rsidRPr="001472C3" w:rsidRDefault="00402FEB" w:rsidP="00F21B59">
            <w:pPr>
              <w:jc w:val="center"/>
              <w:rPr>
                <w:sz w:val="18"/>
                <w:szCs w:val="18"/>
              </w:rPr>
            </w:pPr>
            <w:r w:rsidRPr="001472C3">
              <w:rPr>
                <w:sz w:val="18"/>
                <w:szCs w:val="18"/>
              </w:rPr>
              <w:t>53%</w:t>
            </w:r>
          </w:p>
        </w:tc>
      </w:tr>
      <w:tr w:rsidR="009672F0" w:rsidRPr="001472C3" w:rsidTr="00F21B59">
        <w:trPr>
          <w:jc w:val="center"/>
        </w:trPr>
        <w:tc>
          <w:tcPr>
            <w:tcW w:w="2594" w:type="dxa"/>
            <w:gridSpan w:val="2"/>
            <w:tcBorders>
              <w:top w:val="single" w:sz="6" w:space="0" w:color="auto"/>
              <w:left w:val="single" w:sz="18" w:space="0" w:color="auto"/>
              <w:bottom w:val="single" w:sz="6" w:space="0" w:color="auto"/>
              <w:right w:val="single" w:sz="6" w:space="0" w:color="auto"/>
            </w:tcBorders>
          </w:tcPr>
          <w:p w:rsidR="009672F0" w:rsidRPr="001472C3" w:rsidRDefault="00402FEB" w:rsidP="00F21B59">
            <w:pPr>
              <w:jc w:val="center"/>
              <w:rPr>
                <w:b/>
                <w:sz w:val="18"/>
                <w:szCs w:val="18"/>
              </w:rPr>
            </w:pPr>
            <w:r w:rsidRPr="001472C3">
              <w:rPr>
                <w:b/>
                <w:sz w:val="18"/>
                <w:szCs w:val="18"/>
              </w:rPr>
              <w:t>Narcolepsy</w:t>
            </w:r>
          </w:p>
        </w:tc>
        <w:tc>
          <w:tcPr>
            <w:tcW w:w="2262" w:type="dxa"/>
            <w:tcBorders>
              <w:top w:val="single" w:sz="6" w:space="0" w:color="auto"/>
              <w:left w:val="single" w:sz="6" w:space="0" w:color="auto"/>
              <w:bottom w:val="single" w:sz="6" w:space="0" w:color="auto"/>
              <w:right w:val="single" w:sz="6" w:space="0" w:color="auto"/>
            </w:tcBorders>
          </w:tcPr>
          <w:p w:rsidR="009672F0" w:rsidRPr="001472C3" w:rsidRDefault="00402FEB" w:rsidP="00F21B59">
            <w:pPr>
              <w:jc w:val="center"/>
              <w:rPr>
                <w:sz w:val="18"/>
                <w:szCs w:val="18"/>
              </w:rPr>
            </w:pPr>
            <w:r w:rsidRPr="001472C3">
              <w:rPr>
                <w:sz w:val="18"/>
                <w:szCs w:val="18"/>
              </w:rPr>
              <w:t>69%</w:t>
            </w:r>
          </w:p>
        </w:tc>
        <w:tc>
          <w:tcPr>
            <w:tcW w:w="2262" w:type="dxa"/>
            <w:gridSpan w:val="2"/>
            <w:tcBorders>
              <w:top w:val="single" w:sz="6" w:space="0" w:color="auto"/>
              <w:left w:val="single" w:sz="6" w:space="0" w:color="auto"/>
              <w:bottom w:val="single" w:sz="6" w:space="0" w:color="auto"/>
              <w:right w:val="single" w:sz="6" w:space="0" w:color="auto"/>
            </w:tcBorders>
          </w:tcPr>
          <w:p w:rsidR="009672F0" w:rsidRPr="001472C3" w:rsidRDefault="00402FEB" w:rsidP="00F21B59">
            <w:pPr>
              <w:jc w:val="center"/>
              <w:rPr>
                <w:sz w:val="18"/>
                <w:szCs w:val="18"/>
              </w:rPr>
            </w:pPr>
            <w:r w:rsidRPr="001472C3">
              <w:rPr>
                <w:sz w:val="18"/>
                <w:szCs w:val="18"/>
              </w:rPr>
              <w:t>73%</w:t>
            </w:r>
          </w:p>
        </w:tc>
        <w:tc>
          <w:tcPr>
            <w:tcW w:w="1899" w:type="dxa"/>
            <w:tcBorders>
              <w:top w:val="single" w:sz="6" w:space="0" w:color="auto"/>
              <w:left w:val="single" w:sz="6" w:space="0" w:color="auto"/>
              <w:bottom w:val="single" w:sz="6" w:space="0" w:color="auto"/>
              <w:right w:val="single" w:sz="18" w:space="0" w:color="auto"/>
            </w:tcBorders>
          </w:tcPr>
          <w:p w:rsidR="009672F0" w:rsidRPr="001472C3" w:rsidRDefault="00402FEB" w:rsidP="00F21B59">
            <w:pPr>
              <w:jc w:val="center"/>
              <w:rPr>
                <w:sz w:val="18"/>
                <w:szCs w:val="18"/>
              </w:rPr>
            </w:pPr>
            <w:r w:rsidRPr="001472C3">
              <w:rPr>
                <w:sz w:val="18"/>
                <w:szCs w:val="18"/>
              </w:rPr>
              <w:t>33%</w:t>
            </w:r>
          </w:p>
        </w:tc>
      </w:tr>
      <w:tr w:rsidR="009672F0" w:rsidRPr="001472C3" w:rsidTr="00F21B59">
        <w:trPr>
          <w:jc w:val="center"/>
        </w:trPr>
        <w:tc>
          <w:tcPr>
            <w:tcW w:w="2594" w:type="dxa"/>
            <w:gridSpan w:val="2"/>
            <w:tcBorders>
              <w:top w:val="single" w:sz="6" w:space="0" w:color="auto"/>
              <w:left w:val="single" w:sz="18" w:space="0" w:color="auto"/>
              <w:bottom w:val="single" w:sz="18" w:space="0" w:color="auto"/>
              <w:right w:val="single" w:sz="6" w:space="0" w:color="auto"/>
            </w:tcBorders>
          </w:tcPr>
          <w:p w:rsidR="009672F0" w:rsidRPr="001472C3" w:rsidRDefault="00402FEB" w:rsidP="00F21B59">
            <w:pPr>
              <w:jc w:val="center"/>
              <w:rPr>
                <w:b/>
                <w:sz w:val="18"/>
                <w:szCs w:val="18"/>
              </w:rPr>
            </w:pPr>
            <w:r w:rsidRPr="001472C3">
              <w:rPr>
                <w:b/>
                <w:sz w:val="18"/>
                <w:szCs w:val="18"/>
              </w:rPr>
              <w:t>SW</w:t>
            </w:r>
            <w:r w:rsidR="00DE5416" w:rsidRPr="001472C3">
              <w:rPr>
                <w:b/>
                <w:sz w:val="18"/>
                <w:szCs w:val="18"/>
              </w:rPr>
              <w:t>S</w:t>
            </w:r>
            <w:r w:rsidRPr="001472C3">
              <w:rPr>
                <w:b/>
                <w:sz w:val="18"/>
                <w:szCs w:val="18"/>
              </w:rPr>
              <w:t>D</w:t>
            </w:r>
          </w:p>
        </w:tc>
        <w:tc>
          <w:tcPr>
            <w:tcW w:w="2262" w:type="dxa"/>
            <w:tcBorders>
              <w:top w:val="single" w:sz="6" w:space="0" w:color="auto"/>
              <w:left w:val="single" w:sz="6" w:space="0" w:color="auto"/>
              <w:bottom w:val="single" w:sz="18" w:space="0" w:color="auto"/>
              <w:right w:val="single" w:sz="6" w:space="0" w:color="auto"/>
            </w:tcBorders>
          </w:tcPr>
          <w:p w:rsidR="009672F0" w:rsidRPr="001472C3" w:rsidRDefault="00402FEB" w:rsidP="00F21B59">
            <w:pPr>
              <w:jc w:val="center"/>
              <w:rPr>
                <w:sz w:val="18"/>
                <w:szCs w:val="18"/>
              </w:rPr>
            </w:pPr>
            <w:r w:rsidRPr="001472C3">
              <w:rPr>
                <w:sz w:val="18"/>
                <w:szCs w:val="18"/>
              </w:rPr>
              <w:t>79%</w:t>
            </w:r>
          </w:p>
        </w:tc>
        <w:tc>
          <w:tcPr>
            <w:tcW w:w="2262" w:type="dxa"/>
            <w:gridSpan w:val="2"/>
            <w:tcBorders>
              <w:top w:val="single" w:sz="6" w:space="0" w:color="auto"/>
              <w:left w:val="single" w:sz="6" w:space="0" w:color="auto"/>
              <w:bottom w:val="single" w:sz="18" w:space="0" w:color="auto"/>
              <w:right w:val="single" w:sz="6" w:space="0" w:color="auto"/>
            </w:tcBorders>
          </w:tcPr>
          <w:p w:rsidR="009672F0" w:rsidRPr="001472C3" w:rsidRDefault="00402FEB" w:rsidP="00F21B59">
            <w:pPr>
              <w:jc w:val="center"/>
              <w:rPr>
                <w:sz w:val="18"/>
                <w:szCs w:val="18"/>
              </w:rPr>
            </w:pPr>
            <w:r w:rsidRPr="001472C3">
              <w:rPr>
                <w:sz w:val="18"/>
                <w:szCs w:val="18"/>
              </w:rPr>
              <w:t>-</w:t>
            </w:r>
          </w:p>
        </w:tc>
        <w:tc>
          <w:tcPr>
            <w:tcW w:w="1899" w:type="dxa"/>
            <w:tcBorders>
              <w:top w:val="single" w:sz="6" w:space="0" w:color="auto"/>
              <w:left w:val="single" w:sz="6" w:space="0" w:color="auto"/>
              <w:bottom w:val="single" w:sz="18" w:space="0" w:color="auto"/>
              <w:right w:val="single" w:sz="18" w:space="0" w:color="auto"/>
            </w:tcBorders>
          </w:tcPr>
          <w:p w:rsidR="009672F0" w:rsidRPr="001472C3" w:rsidRDefault="00402FEB" w:rsidP="00F21B59">
            <w:pPr>
              <w:jc w:val="center"/>
              <w:rPr>
                <w:sz w:val="18"/>
                <w:szCs w:val="18"/>
              </w:rPr>
            </w:pPr>
            <w:r w:rsidRPr="001472C3">
              <w:rPr>
                <w:sz w:val="18"/>
                <w:szCs w:val="18"/>
              </w:rPr>
              <w:t>59%</w:t>
            </w:r>
          </w:p>
        </w:tc>
      </w:tr>
      <w:tr w:rsidR="00402FEB" w:rsidRPr="001472C3" w:rsidTr="00F21B59">
        <w:trPr>
          <w:gridBefore w:val="1"/>
          <w:gridAfter w:val="2"/>
          <w:wBefore w:w="1220" w:type="dxa"/>
          <w:wAfter w:w="4004" w:type="dxa"/>
          <w:jc w:val="center"/>
        </w:trPr>
        <w:tc>
          <w:tcPr>
            <w:tcW w:w="3793" w:type="dxa"/>
            <w:gridSpan w:val="3"/>
            <w:tcBorders>
              <w:top w:val="single" w:sz="18" w:space="0" w:color="auto"/>
              <w:left w:val="nil"/>
              <w:bottom w:val="nil"/>
              <w:right w:val="nil"/>
            </w:tcBorders>
          </w:tcPr>
          <w:p w:rsidR="00402FEB" w:rsidRPr="001472C3" w:rsidRDefault="00B348BF" w:rsidP="00202C0E">
            <w:pPr>
              <w:spacing w:after="0"/>
              <w:rPr>
                <w:sz w:val="14"/>
                <w:szCs w:val="14"/>
              </w:rPr>
            </w:pPr>
            <w:r w:rsidRPr="001472C3">
              <w:rPr>
                <w:sz w:val="14"/>
                <w:szCs w:val="14"/>
                <w:vertAlign w:val="superscript"/>
              </w:rPr>
              <w:t>a</w:t>
            </w:r>
            <w:r w:rsidRPr="001472C3">
              <w:rPr>
                <w:sz w:val="14"/>
                <w:szCs w:val="14"/>
              </w:rPr>
              <w:t xml:space="preserve"> </w:t>
            </w:r>
            <w:r w:rsidR="00402FEB" w:rsidRPr="001472C3">
              <w:rPr>
                <w:sz w:val="14"/>
                <w:szCs w:val="14"/>
              </w:rPr>
              <w:t>Significantly different than placebo for all trials (p</w:t>
            </w:r>
            <w:r w:rsidR="00402FEB" w:rsidRPr="001472C3">
              <w:rPr>
                <w:rFonts w:cs="Arial"/>
                <w:sz w:val="14"/>
                <w:szCs w:val="14"/>
              </w:rPr>
              <w:t>&lt;</w:t>
            </w:r>
            <w:r w:rsidR="00402FEB" w:rsidRPr="001472C3">
              <w:rPr>
                <w:sz w:val="14"/>
                <w:szCs w:val="14"/>
              </w:rPr>
              <w:t>0.05)</w:t>
            </w:r>
          </w:p>
          <w:p w:rsidR="00B348BF" w:rsidRPr="001472C3" w:rsidRDefault="00B348BF" w:rsidP="00087E76">
            <w:pPr>
              <w:spacing w:after="0"/>
              <w:jc w:val="both"/>
              <w:rPr>
                <w:sz w:val="14"/>
                <w:szCs w:val="14"/>
              </w:rPr>
            </w:pPr>
          </w:p>
        </w:tc>
      </w:tr>
    </w:tbl>
    <w:p w:rsidR="00402FEB" w:rsidRPr="001472C3" w:rsidRDefault="00402FEB" w:rsidP="009E24D0">
      <w:pPr>
        <w:jc w:val="both"/>
        <w:rPr>
          <w:b/>
        </w:rPr>
      </w:pPr>
      <w:r w:rsidRPr="001472C3">
        <w:rPr>
          <w:b/>
        </w:rPr>
        <w:t>INDICATIONS</w:t>
      </w:r>
    </w:p>
    <w:p w:rsidR="00402FEB" w:rsidRPr="001472C3" w:rsidRDefault="00402FEB" w:rsidP="00402FEB">
      <w:pPr>
        <w:tabs>
          <w:tab w:val="left" w:pos="284"/>
        </w:tabs>
        <w:autoSpaceDE w:val="0"/>
        <w:autoSpaceDN w:val="0"/>
        <w:jc w:val="both"/>
        <w:rPr>
          <w:rFonts w:cs="Arial"/>
          <w:bCs/>
        </w:rPr>
      </w:pPr>
      <w:r w:rsidRPr="001472C3">
        <w:rPr>
          <w:rFonts w:cs="Arial"/>
          <w:bCs/>
        </w:rPr>
        <w:t>NUVIGIL</w:t>
      </w:r>
      <w:r w:rsidRPr="001472C3">
        <w:rPr>
          <w:rFonts w:cs="Arial"/>
          <w:bCs/>
          <w:vertAlign w:val="superscript"/>
        </w:rPr>
        <w:t>®</w:t>
      </w:r>
      <w:r w:rsidRPr="001472C3">
        <w:rPr>
          <w:rFonts w:cs="Arial"/>
          <w:bCs/>
        </w:rPr>
        <w:t xml:space="preserve"> is indicated:</w:t>
      </w:r>
    </w:p>
    <w:p w:rsidR="00402FEB" w:rsidRPr="00042511" w:rsidRDefault="00402FEB" w:rsidP="00042511">
      <w:pPr>
        <w:pStyle w:val="ListParagraph"/>
        <w:numPr>
          <w:ilvl w:val="0"/>
          <w:numId w:val="24"/>
        </w:numPr>
        <w:autoSpaceDE w:val="0"/>
        <w:autoSpaceDN w:val="0"/>
        <w:jc w:val="both"/>
        <w:rPr>
          <w:rFonts w:cs="Arial"/>
          <w:bCs/>
        </w:rPr>
      </w:pPr>
      <w:r w:rsidRPr="00042511">
        <w:rPr>
          <w:rFonts w:cs="Arial"/>
          <w:bCs/>
        </w:rPr>
        <w:t>to improve wakefulness in patients with excessive daytime sleepiness associated with narcolepsy;</w:t>
      </w:r>
    </w:p>
    <w:p w:rsidR="00402FEB" w:rsidRPr="00042511" w:rsidRDefault="00402FEB" w:rsidP="00042511">
      <w:pPr>
        <w:pStyle w:val="ListParagraph"/>
        <w:numPr>
          <w:ilvl w:val="0"/>
          <w:numId w:val="24"/>
        </w:numPr>
        <w:autoSpaceDE w:val="0"/>
        <w:autoSpaceDN w:val="0"/>
        <w:jc w:val="both"/>
        <w:rPr>
          <w:rFonts w:cs="Arial"/>
          <w:bCs/>
        </w:rPr>
      </w:pPr>
      <w:r w:rsidRPr="00042511">
        <w:rPr>
          <w:rFonts w:cs="Arial"/>
          <w:bCs/>
        </w:rPr>
        <w:t>to treat excessive sleepiness associated with moderate to severe chronic shift work sleep disorder where nonpharmacological interventions are unsuccessful or inappropriate;</w:t>
      </w:r>
    </w:p>
    <w:p w:rsidR="00AC4BF5" w:rsidRPr="00042511" w:rsidRDefault="00402FEB" w:rsidP="00042511">
      <w:pPr>
        <w:pStyle w:val="ListParagraph"/>
        <w:numPr>
          <w:ilvl w:val="0"/>
          <w:numId w:val="24"/>
        </w:numPr>
        <w:autoSpaceDE w:val="0"/>
        <w:autoSpaceDN w:val="0"/>
        <w:spacing w:after="0"/>
        <w:jc w:val="both"/>
        <w:rPr>
          <w:rFonts w:cs="Arial"/>
          <w:bCs/>
          <w:lang w:val="en-US"/>
        </w:rPr>
      </w:pPr>
      <w:proofErr w:type="gramStart"/>
      <w:r w:rsidRPr="00042511">
        <w:rPr>
          <w:rFonts w:cs="Arial"/>
          <w:bCs/>
          <w:lang w:val="en-US"/>
        </w:rPr>
        <w:t>as</w:t>
      </w:r>
      <w:proofErr w:type="gramEnd"/>
      <w:r w:rsidRPr="00042511">
        <w:rPr>
          <w:rFonts w:cs="Arial"/>
          <w:bCs/>
          <w:lang w:val="en-US"/>
        </w:rPr>
        <w:t xml:space="preserve"> an adjunct to continuous positive airways pressure (CPAP) in obstructive sleep </w:t>
      </w:r>
      <w:proofErr w:type="spellStart"/>
      <w:r w:rsidRPr="00042511">
        <w:rPr>
          <w:rFonts w:cs="Arial"/>
          <w:bCs/>
          <w:lang w:val="en-US"/>
        </w:rPr>
        <w:t>apnoea</w:t>
      </w:r>
      <w:proofErr w:type="spellEnd"/>
      <w:r w:rsidRPr="00042511">
        <w:rPr>
          <w:rFonts w:cs="Arial"/>
          <w:bCs/>
          <w:lang w:val="en-US"/>
        </w:rPr>
        <w:t>/</w:t>
      </w:r>
      <w:proofErr w:type="spellStart"/>
      <w:r w:rsidRPr="00042511">
        <w:rPr>
          <w:rFonts w:cs="Arial"/>
          <w:bCs/>
          <w:lang w:val="en-US"/>
        </w:rPr>
        <w:t>hypopnoea</w:t>
      </w:r>
      <w:proofErr w:type="spellEnd"/>
      <w:r w:rsidRPr="00042511">
        <w:rPr>
          <w:rFonts w:cs="Arial"/>
          <w:bCs/>
          <w:lang w:val="en-US"/>
        </w:rPr>
        <w:t xml:space="preserve"> syndrome in order to improve wakefulness.</w:t>
      </w:r>
    </w:p>
    <w:p w:rsidR="000827DF" w:rsidRDefault="000827DF" w:rsidP="00055927">
      <w:pPr>
        <w:jc w:val="both"/>
        <w:rPr>
          <w:b/>
        </w:rPr>
      </w:pPr>
    </w:p>
    <w:p w:rsidR="00055927" w:rsidRPr="001472C3" w:rsidRDefault="00402FEB" w:rsidP="00055927">
      <w:pPr>
        <w:jc w:val="both"/>
        <w:rPr>
          <w:b/>
        </w:rPr>
      </w:pPr>
      <w:r w:rsidRPr="001472C3">
        <w:rPr>
          <w:b/>
        </w:rPr>
        <w:t>CONTRAINDICATION</w:t>
      </w:r>
      <w:r w:rsidR="0028358D" w:rsidRPr="001472C3">
        <w:rPr>
          <w:b/>
        </w:rPr>
        <w:t>S</w:t>
      </w:r>
    </w:p>
    <w:p w:rsidR="00042511" w:rsidRPr="00AE3E5F" w:rsidRDefault="00055927" w:rsidP="00AE3E5F">
      <w:pPr>
        <w:pStyle w:val="ListParagraph"/>
        <w:numPr>
          <w:ilvl w:val="0"/>
          <w:numId w:val="25"/>
        </w:numPr>
        <w:jc w:val="both"/>
        <w:rPr>
          <w:b/>
        </w:rPr>
      </w:pPr>
      <w:r w:rsidRPr="001472C3">
        <w:t xml:space="preserve">Hypersensitivity to </w:t>
      </w:r>
      <w:proofErr w:type="spellStart"/>
      <w:r w:rsidRPr="001472C3">
        <w:t>modafinil</w:t>
      </w:r>
      <w:proofErr w:type="spellEnd"/>
      <w:r w:rsidR="00A75740" w:rsidRPr="001472C3">
        <w:t xml:space="preserve">, </w:t>
      </w:r>
      <w:proofErr w:type="spellStart"/>
      <w:r w:rsidR="00A75740" w:rsidRPr="001472C3">
        <w:t>armodafinil</w:t>
      </w:r>
      <w:proofErr w:type="spellEnd"/>
      <w:r w:rsidRPr="001472C3">
        <w:t xml:space="preserve"> or any other component of the product.</w:t>
      </w:r>
    </w:p>
    <w:p w:rsidR="00055927" w:rsidRPr="00042511" w:rsidRDefault="00055927" w:rsidP="00042511">
      <w:pPr>
        <w:pStyle w:val="ListParagraph"/>
        <w:numPr>
          <w:ilvl w:val="0"/>
          <w:numId w:val="25"/>
        </w:numPr>
        <w:spacing w:after="0"/>
        <w:jc w:val="both"/>
        <w:rPr>
          <w:b/>
        </w:rPr>
      </w:pPr>
      <w:r w:rsidRPr="001472C3">
        <w:t>Use in pregnancy.</w:t>
      </w:r>
    </w:p>
    <w:p w:rsidR="000827DF" w:rsidRDefault="000827DF" w:rsidP="009E24D0">
      <w:pPr>
        <w:jc w:val="both"/>
        <w:rPr>
          <w:b/>
        </w:rPr>
      </w:pPr>
    </w:p>
    <w:p w:rsidR="00055927" w:rsidRDefault="00055927" w:rsidP="00F33911">
      <w:pPr>
        <w:keepNext/>
        <w:jc w:val="both"/>
        <w:rPr>
          <w:b/>
        </w:rPr>
      </w:pPr>
      <w:r w:rsidRPr="001472C3">
        <w:rPr>
          <w:b/>
        </w:rPr>
        <w:t>PRECAUTIONS</w:t>
      </w:r>
    </w:p>
    <w:p w:rsidR="0031178E" w:rsidRDefault="0031178E" w:rsidP="0031178E">
      <w:pPr>
        <w:pStyle w:val="Heading3"/>
        <w:keepNext w:val="0"/>
        <w:suppressLineNumbers/>
        <w:suppressAutoHyphens/>
        <w:jc w:val="both"/>
      </w:pPr>
      <w:proofErr w:type="spellStart"/>
      <w:r>
        <w:rPr>
          <w:i w:val="0"/>
        </w:rPr>
        <w:t>Armodafinil</w:t>
      </w:r>
      <w:proofErr w:type="spellEnd"/>
      <w:r>
        <w:rPr>
          <w:i w:val="0"/>
        </w:rPr>
        <w:t xml:space="preserve"> is a single enantiomer of racemic </w:t>
      </w:r>
      <w:proofErr w:type="spellStart"/>
      <w:r>
        <w:rPr>
          <w:i w:val="0"/>
        </w:rPr>
        <w:t>modafinil</w:t>
      </w:r>
      <w:proofErr w:type="spellEnd"/>
      <w:r>
        <w:rPr>
          <w:i w:val="0"/>
        </w:rPr>
        <w:t xml:space="preserve">. The two enantiomers of </w:t>
      </w:r>
      <w:proofErr w:type="spellStart"/>
      <w:r>
        <w:rPr>
          <w:i w:val="0"/>
        </w:rPr>
        <w:t>modafinil</w:t>
      </w:r>
      <w:proofErr w:type="spellEnd"/>
      <w:r>
        <w:rPr>
          <w:i w:val="0"/>
        </w:rPr>
        <w:t xml:space="preserve"> have different pharmacokinetics. The half-life of </w:t>
      </w:r>
      <w:proofErr w:type="spellStart"/>
      <w:r>
        <w:rPr>
          <w:i w:val="0"/>
        </w:rPr>
        <w:t>armodafinil</w:t>
      </w:r>
      <w:proofErr w:type="spellEnd"/>
      <w:r>
        <w:rPr>
          <w:i w:val="0"/>
        </w:rPr>
        <w:t>, the (</w:t>
      </w:r>
      <w:r w:rsidRPr="0031178E">
        <w:t>R</w:t>
      </w:r>
      <w:r>
        <w:rPr>
          <w:i w:val="0"/>
        </w:rPr>
        <w:t>)-enantiomer, is approximately three times that of the (</w:t>
      </w:r>
      <w:r w:rsidRPr="0031178E">
        <w:t>S</w:t>
      </w:r>
      <w:r>
        <w:rPr>
          <w:i w:val="0"/>
        </w:rPr>
        <w:t xml:space="preserve">)-enantiomer in adult humans. </w:t>
      </w:r>
      <w:r w:rsidR="003976C9" w:rsidRPr="003976C9">
        <w:rPr>
          <w:i w:val="0"/>
        </w:rPr>
        <w:t xml:space="preserve">The implications of the pharmacokinetic differences between the drugs </w:t>
      </w:r>
      <w:r w:rsidR="004537A8">
        <w:rPr>
          <w:i w:val="0"/>
        </w:rPr>
        <w:t>on</w:t>
      </w:r>
      <w:r w:rsidR="003976C9" w:rsidRPr="003976C9">
        <w:rPr>
          <w:i w:val="0"/>
        </w:rPr>
        <w:t xml:space="preserve"> the dur</w:t>
      </w:r>
      <w:r w:rsidR="003976C9">
        <w:rPr>
          <w:i w:val="0"/>
        </w:rPr>
        <w:t>ation of clinical action remain</w:t>
      </w:r>
      <w:r w:rsidR="003976C9" w:rsidRPr="003976C9">
        <w:rPr>
          <w:i w:val="0"/>
        </w:rPr>
        <w:t xml:space="preserve"> </w:t>
      </w:r>
      <w:proofErr w:type="spellStart"/>
      <w:r w:rsidR="003976C9" w:rsidRPr="003976C9">
        <w:rPr>
          <w:i w:val="0"/>
        </w:rPr>
        <w:t>unelucidated</w:t>
      </w:r>
      <w:proofErr w:type="spellEnd"/>
      <w:r w:rsidR="003976C9" w:rsidRPr="003976C9">
        <w:rPr>
          <w:i w:val="0"/>
        </w:rPr>
        <w:t>.</w:t>
      </w:r>
      <w:r w:rsidR="00FC0C87">
        <w:rPr>
          <w:i w:val="0"/>
        </w:rPr>
        <w:t xml:space="preserve"> </w:t>
      </w:r>
      <w:r>
        <w:rPr>
          <w:i w:val="0"/>
        </w:rPr>
        <w:t>No evidence of interconversion of the (</w:t>
      </w:r>
      <w:r w:rsidRPr="0031178E">
        <w:t>R</w:t>
      </w:r>
      <w:proofErr w:type="gramStart"/>
      <w:r>
        <w:rPr>
          <w:i w:val="0"/>
        </w:rPr>
        <w:t>)-</w:t>
      </w:r>
      <w:proofErr w:type="gramEnd"/>
      <w:r>
        <w:rPr>
          <w:i w:val="0"/>
        </w:rPr>
        <w:t xml:space="preserve"> and (</w:t>
      </w:r>
      <w:r w:rsidRPr="0031178E">
        <w:t>S</w:t>
      </w:r>
      <w:r>
        <w:rPr>
          <w:i w:val="0"/>
        </w:rPr>
        <w:t xml:space="preserve">)-enantiomers of </w:t>
      </w:r>
      <w:proofErr w:type="spellStart"/>
      <w:r>
        <w:rPr>
          <w:i w:val="0"/>
        </w:rPr>
        <w:t>modafinil</w:t>
      </w:r>
      <w:proofErr w:type="spellEnd"/>
      <w:r>
        <w:rPr>
          <w:i w:val="0"/>
        </w:rPr>
        <w:t xml:space="preserve"> have been observed </w:t>
      </w:r>
      <w:r w:rsidRPr="00055BBE">
        <w:rPr>
          <w:iCs/>
        </w:rPr>
        <w:t>in vitro</w:t>
      </w:r>
      <w:r>
        <w:rPr>
          <w:i w:val="0"/>
        </w:rPr>
        <w:t xml:space="preserve"> or </w:t>
      </w:r>
      <w:r w:rsidRPr="00055BBE">
        <w:rPr>
          <w:iCs/>
        </w:rPr>
        <w:t>in vivo</w:t>
      </w:r>
      <w:r>
        <w:rPr>
          <w:i w:val="0"/>
        </w:rPr>
        <w:t xml:space="preserve">. Thus, </w:t>
      </w:r>
      <w:proofErr w:type="spellStart"/>
      <w:r>
        <w:rPr>
          <w:i w:val="0"/>
        </w:rPr>
        <w:t>armodafinil</w:t>
      </w:r>
      <w:proofErr w:type="spellEnd"/>
      <w:r>
        <w:rPr>
          <w:i w:val="0"/>
        </w:rPr>
        <w:t xml:space="preserve"> and </w:t>
      </w:r>
      <w:proofErr w:type="spellStart"/>
      <w:r>
        <w:rPr>
          <w:i w:val="0"/>
        </w:rPr>
        <w:t>modafinil</w:t>
      </w:r>
      <w:proofErr w:type="spellEnd"/>
      <w:r>
        <w:rPr>
          <w:i w:val="0"/>
        </w:rPr>
        <w:t xml:space="preserve"> are not bioequivalent, and therefore are not directly substitutable, (refer to Dosage and Administration). </w:t>
      </w:r>
    </w:p>
    <w:p w:rsidR="00055927" w:rsidRPr="001472C3" w:rsidRDefault="00055927" w:rsidP="009E24D0">
      <w:pPr>
        <w:jc w:val="both"/>
        <w:rPr>
          <w:b/>
        </w:rPr>
      </w:pPr>
      <w:r w:rsidRPr="001472C3">
        <w:rPr>
          <w:b/>
        </w:rPr>
        <w:t xml:space="preserve">Serious Rash, including </w:t>
      </w:r>
      <w:proofErr w:type="gramStart"/>
      <w:r w:rsidRPr="001472C3">
        <w:rPr>
          <w:b/>
        </w:rPr>
        <w:t>Stevens-Johnson Syndrome</w:t>
      </w:r>
      <w:proofErr w:type="gramEnd"/>
    </w:p>
    <w:p w:rsidR="00055927" w:rsidRPr="001472C3" w:rsidRDefault="00055927" w:rsidP="00055BBE">
      <w:pPr>
        <w:jc w:val="both"/>
      </w:pPr>
      <w:r w:rsidRPr="001472C3">
        <w:t xml:space="preserve">Serious rash requiring hospitalization and discontinuation of treatment has been reported in adults in association with the use of </w:t>
      </w:r>
      <w:r w:rsidR="006725DB">
        <w:t>NUVIGIL</w:t>
      </w:r>
      <w:r w:rsidR="007A3CD8">
        <w:rPr>
          <w:rFonts w:cs="Arial"/>
          <w:vertAlign w:val="superscript"/>
        </w:rPr>
        <w:t>®</w:t>
      </w:r>
      <w:r w:rsidR="007A3CD8">
        <w:rPr>
          <w:vertAlign w:val="superscript"/>
        </w:rPr>
        <w:t xml:space="preserve"> </w:t>
      </w:r>
      <w:r w:rsidR="007A3CD8">
        <w:t>(</w:t>
      </w:r>
      <w:proofErr w:type="spellStart"/>
      <w:r w:rsidR="007A3CD8">
        <w:t>armodafinil</w:t>
      </w:r>
      <w:proofErr w:type="spellEnd"/>
      <w:r w:rsidR="007A3CD8">
        <w:t xml:space="preserve">) and </w:t>
      </w:r>
      <w:proofErr w:type="spellStart"/>
      <w:r w:rsidRPr="001472C3">
        <w:t>modafinil</w:t>
      </w:r>
      <w:proofErr w:type="spellEnd"/>
      <w:r w:rsidR="009B4F34" w:rsidRPr="001472C3">
        <w:t xml:space="preserve"> </w:t>
      </w:r>
      <w:r w:rsidR="00055BBE">
        <w:t>[</w:t>
      </w:r>
      <w:r w:rsidR="009B4F34" w:rsidRPr="001472C3">
        <w:t xml:space="preserve">the racemic mixture of </w:t>
      </w:r>
      <w:r w:rsidR="00D06D4F">
        <w:t>(</w:t>
      </w:r>
      <w:r w:rsidR="009B4F34" w:rsidRPr="00D06D4F">
        <w:rPr>
          <w:i/>
        </w:rPr>
        <w:t>S</w:t>
      </w:r>
      <w:proofErr w:type="gramStart"/>
      <w:r w:rsidR="00D06D4F">
        <w:t>)</w:t>
      </w:r>
      <w:r w:rsidR="009B4F34" w:rsidRPr="001472C3">
        <w:t>-</w:t>
      </w:r>
      <w:proofErr w:type="gramEnd"/>
      <w:r w:rsidR="009B4F34" w:rsidRPr="001472C3">
        <w:t xml:space="preserve"> and </w:t>
      </w:r>
      <w:r w:rsidR="00D06D4F">
        <w:t>(</w:t>
      </w:r>
      <w:r w:rsidR="009B4F34" w:rsidRPr="00D06D4F">
        <w:rPr>
          <w:i/>
        </w:rPr>
        <w:t>R</w:t>
      </w:r>
      <w:r w:rsidR="00D06D4F">
        <w:t>)</w:t>
      </w:r>
      <w:r w:rsidR="009B4F34" w:rsidRPr="001472C3">
        <w:t>-enantiomers</w:t>
      </w:r>
      <w:r w:rsidR="00055BBE">
        <w:t>]</w:t>
      </w:r>
      <w:r w:rsidR="00055BBE" w:rsidRPr="001472C3">
        <w:t xml:space="preserve">. </w:t>
      </w:r>
    </w:p>
    <w:p w:rsidR="00055927" w:rsidRPr="001472C3" w:rsidRDefault="00924F4D" w:rsidP="009E24D0">
      <w:pPr>
        <w:jc w:val="both"/>
      </w:pPr>
      <w:r w:rsidRPr="002117F8">
        <w:t>NUVIGIL</w:t>
      </w:r>
      <w:r w:rsidRPr="002117F8">
        <w:rPr>
          <w:rFonts w:cs="Arial"/>
          <w:bCs/>
          <w:vertAlign w:val="superscript"/>
        </w:rPr>
        <w:t>®</w:t>
      </w:r>
      <w:r w:rsidRPr="002117F8">
        <w:t xml:space="preserve"> </w:t>
      </w:r>
      <w:r w:rsidR="00055927" w:rsidRPr="002117F8">
        <w:t>has not been studied in paediatric patients in any setting and is not approved for use in paediatric patients for any indication.</w:t>
      </w:r>
      <w:r w:rsidR="00055927" w:rsidRPr="001472C3">
        <w:t xml:space="preserve"> </w:t>
      </w:r>
    </w:p>
    <w:p w:rsidR="00055927" w:rsidRPr="001472C3" w:rsidRDefault="00055927" w:rsidP="009E24D0">
      <w:pPr>
        <w:jc w:val="both"/>
      </w:pPr>
      <w:r w:rsidRPr="001472C3">
        <w:t xml:space="preserve">In clinical trials of </w:t>
      </w:r>
      <w:proofErr w:type="spellStart"/>
      <w:r w:rsidRPr="001472C3">
        <w:t>modafinil</w:t>
      </w:r>
      <w:proofErr w:type="spellEnd"/>
      <w:r w:rsidRPr="001472C3">
        <w:t xml:space="preserve">, the incidence of rash resulting in discontinuation was approximately 0.8% (13 per 1,585) in paediatric patients (age &lt;17 years); these rashes included 1 case of possible </w:t>
      </w:r>
      <w:proofErr w:type="gramStart"/>
      <w:r w:rsidRPr="001472C3">
        <w:t>Stevens-Johnson Syndrome</w:t>
      </w:r>
      <w:proofErr w:type="gramEnd"/>
      <w:r w:rsidRPr="001472C3">
        <w:t xml:space="preserve"> (SJS) and 1 case of apparent multi-organ hypersensitivity reaction. Several of the cases were associated with fever and other abnormalities (e.g., vomiting, </w:t>
      </w:r>
      <w:r w:rsidR="00272AFC" w:rsidRPr="001472C3">
        <w:t>leukopenia</w:t>
      </w:r>
      <w:r w:rsidRPr="001472C3">
        <w:t xml:space="preserve">). The median time to rash that resulted in discontinuation was 13 days. No such cases were observed among 380 paediatric patients who received placebo. No serious skin rashes have been reported in adult clinical trials (0 per 4,264) of </w:t>
      </w:r>
      <w:proofErr w:type="spellStart"/>
      <w:r w:rsidRPr="001472C3">
        <w:t>modafinil</w:t>
      </w:r>
      <w:proofErr w:type="spellEnd"/>
      <w:r w:rsidRPr="001472C3">
        <w:t xml:space="preserve">. Rare cases of serious or life-threatening rash, including SJS, Toxic Epidermal Necrolysis (TEN), and Drug Rash with Eosinophilia and Systemic Symptoms (DRESS) have been reported in adults and children in worldwide post-marketing experience. The reporting rate of TEN and SJS associated with </w:t>
      </w:r>
      <w:proofErr w:type="spellStart"/>
      <w:r w:rsidRPr="001472C3">
        <w:t>modafinil</w:t>
      </w:r>
      <w:proofErr w:type="spellEnd"/>
      <w:r w:rsidRPr="001472C3">
        <w:t xml:space="preserve"> use, which is generally accepted to be an underestimate due to underreporting, exceeds the background incidence rate. Estimates of the background incidence rate for these serious skin reactions in the general population range between 1 to 2 cases per million-person years. </w:t>
      </w:r>
    </w:p>
    <w:p w:rsidR="00055927" w:rsidRPr="001472C3" w:rsidRDefault="00924F4D" w:rsidP="009E24D0">
      <w:pPr>
        <w:jc w:val="both"/>
      </w:pPr>
      <w:r w:rsidRPr="001472C3">
        <w:t>C</w:t>
      </w:r>
      <w:r w:rsidR="00055927" w:rsidRPr="001472C3">
        <w:t>ases of serious rash similar to those observed with</w:t>
      </w:r>
      <w:r w:rsidR="00055927" w:rsidRPr="001472C3">
        <w:rPr>
          <w:b/>
        </w:rPr>
        <w:t xml:space="preserve"> </w:t>
      </w:r>
      <w:proofErr w:type="spellStart"/>
      <w:r w:rsidR="00055927" w:rsidRPr="001472C3">
        <w:t>modafinil</w:t>
      </w:r>
      <w:proofErr w:type="spellEnd"/>
      <w:r w:rsidR="00055927" w:rsidRPr="001472C3">
        <w:t xml:space="preserve"> including skin and mouth blistering have been reported in adults in post-marketing experience</w:t>
      </w:r>
      <w:r w:rsidRPr="001472C3">
        <w:t xml:space="preserve"> with NUVIGIL</w:t>
      </w:r>
      <w:r w:rsidRPr="001472C3">
        <w:rPr>
          <w:rFonts w:cs="Arial"/>
          <w:bCs/>
          <w:vertAlign w:val="superscript"/>
        </w:rPr>
        <w:t>®</w:t>
      </w:r>
      <w:r w:rsidR="00055927" w:rsidRPr="001472C3">
        <w:t xml:space="preserve">. </w:t>
      </w:r>
    </w:p>
    <w:p w:rsidR="00055927" w:rsidRPr="001472C3" w:rsidRDefault="00055927" w:rsidP="009E24D0">
      <w:pPr>
        <w:jc w:val="both"/>
      </w:pPr>
      <w:r w:rsidRPr="001472C3">
        <w:t xml:space="preserve">There are no factors that are known to predict the risk of occurrence or the severity of rash associated with </w:t>
      </w:r>
      <w:proofErr w:type="spellStart"/>
      <w:r w:rsidRPr="001472C3">
        <w:t>armodafinil</w:t>
      </w:r>
      <w:proofErr w:type="spellEnd"/>
      <w:r w:rsidRPr="001472C3">
        <w:t xml:space="preserve"> or </w:t>
      </w:r>
      <w:proofErr w:type="spellStart"/>
      <w:r w:rsidRPr="001472C3">
        <w:t>modafinil</w:t>
      </w:r>
      <w:proofErr w:type="spellEnd"/>
      <w:r w:rsidRPr="001472C3">
        <w:t xml:space="preserve">. Nearly all cases of serious rash associated with these drugs occurred within 1 to 5 weeks after treatment initiation. However, isolated cases have been reported after prolonged treatment (e.g. 3 months). Accordingly, duration of therapy cannot be relied upon as a means to predict the potential risk heralded by the first appearance of a rash. </w:t>
      </w:r>
    </w:p>
    <w:p w:rsidR="00055927" w:rsidRPr="001472C3" w:rsidRDefault="00055927" w:rsidP="009E24D0">
      <w:pPr>
        <w:jc w:val="both"/>
      </w:pPr>
      <w:r w:rsidRPr="001472C3">
        <w:t xml:space="preserve">Although benign rashes also occur with </w:t>
      </w:r>
      <w:r w:rsidR="00E26594" w:rsidRPr="001472C3">
        <w:t>NUVIGIL</w:t>
      </w:r>
      <w:r w:rsidR="00E26594" w:rsidRPr="001472C3">
        <w:rPr>
          <w:rFonts w:cs="Arial"/>
          <w:bCs/>
          <w:vertAlign w:val="superscript"/>
        </w:rPr>
        <w:t>®</w:t>
      </w:r>
      <w:r w:rsidRPr="001472C3">
        <w:t xml:space="preserve">, it is not possible to reliably predict which rashes will prove to be serious. Accordingly, </w:t>
      </w:r>
      <w:r w:rsidR="00E26594" w:rsidRPr="001472C3">
        <w:t>NUVIGIL</w:t>
      </w:r>
      <w:r w:rsidR="00E26594" w:rsidRPr="001472C3">
        <w:rPr>
          <w:rFonts w:cs="Arial"/>
          <w:bCs/>
          <w:vertAlign w:val="superscript"/>
        </w:rPr>
        <w:t>®</w:t>
      </w:r>
      <w:r w:rsidRPr="001472C3">
        <w:t xml:space="preserve"> should be discontinued at the first sign of rash, unless the rash is clearly not drug-related. Discontinuation of treatment may not prevent a rash from becoming life-threatening or permanently disabling or disfiguring.</w:t>
      </w:r>
    </w:p>
    <w:p w:rsidR="00055927" w:rsidRPr="001472C3" w:rsidRDefault="00055927" w:rsidP="009E24D0">
      <w:pPr>
        <w:jc w:val="both"/>
        <w:rPr>
          <w:b/>
        </w:rPr>
      </w:pPr>
      <w:r w:rsidRPr="001472C3">
        <w:rPr>
          <w:b/>
        </w:rPr>
        <w:t xml:space="preserve">Angioedema and </w:t>
      </w:r>
      <w:proofErr w:type="spellStart"/>
      <w:r w:rsidRPr="001472C3">
        <w:rPr>
          <w:b/>
        </w:rPr>
        <w:t>Anaphylactoid</w:t>
      </w:r>
      <w:proofErr w:type="spellEnd"/>
      <w:r w:rsidRPr="001472C3">
        <w:rPr>
          <w:b/>
        </w:rPr>
        <w:t xml:space="preserve"> Reactions </w:t>
      </w:r>
    </w:p>
    <w:p w:rsidR="00055927" w:rsidRPr="001472C3" w:rsidRDefault="00E26594" w:rsidP="009E24D0">
      <w:pPr>
        <w:jc w:val="both"/>
      </w:pPr>
      <w:r w:rsidRPr="001472C3">
        <w:t>A</w:t>
      </w:r>
      <w:r w:rsidR="00055927" w:rsidRPr="001472C3">
        <w:t xml:space="preserve">ngioedema and hypersensitivity (with rash, dysphagia, and bronchospasm), were observed with </w:t>
      </w:r>
      <w:r w:rsidRPr="001472C3">
        <w:t>NUVIGIL</w:t>
      </w:r>
      <w:r w:rsidRPr="001472C3">
        <w:rPr>
          <w:rFonts w:cs="Arial"/>
          <w:bCs/>
          <w:vertAlign w:val="superscript"/>
        </w:rPr>
        <w:t>®</w:t>
      </w:r>
      <w:r w:rsidR="00055927" w:rsidRPr="001472C3">
        <w:t xml:space="preserve">. Patients should be advised to discontinue therapy and immediately report to their </w:t>
      </w:r>
      <w:r w:rsidR="00055927" w:rsidRPr="001472C3">
        <w:lastRenderedPageBreak/>
        <w:t>physician any signs or symptoms suggesting angioedema or anaphylaxis (e.g., swelling of face, eyes, lips, tongue or larynx; difficulty in swallowing or breathing; hoarseness).</w:t>
      </w:r>
    </w:p>
    <w:p w:rsidR="008362DF" w:rsidRPr="001472C3" w:rsidRDefault="008362DF" w:rsidP="009E24D0">
      <w:pPr>
        <w:jc w:val="both"/>
        <w:rPr>
          <w:b/>
        </w:rPr>
      </w:pPr>
      <w:r w:rsidRPr="001472C3">
        <w:rPr>
          <w:b/>
        </w:rPr>
        <w:t xml:space="preserve">Multi-organ Hypersensitivity Reactions </w:t>
      </w:r>
    </w:p>
    <w:p w:rsidR="009B2BBB" w:rsidRPr="001472C3" w:rsidRDefault="008362DF" w:rsidP="009E24D0">
      <w:pPr>
        <w:jc w:val="both"/>
      </w:pPr>
      <w:r w:rsidRPr="001472C3">
        <w:t xml:space="preserve">Multi-organ hypersensitivity reactions, including at least one fatality in </w:t>
      </w:r>
      <w:r w:rsidR="009117DE" w:rsidRPr="001472C3">
        <w:t>post marketing</w:t>
      </w:r>
      <w:r w:rsidRPr="001472C3">
        <w:t xml:space="preserve"> experience, have occurred in close temporal association (median time to detection 13 days: range 4-33) to the initiation of </w:t>
      </w:r>
      <w:proofErr w:type="spellStart"/>
      <w:r w:rsidRPr="001472C3">
        <w:t>modafinil</w:t>
      </w:r>
      <w:proofErr w:type="spellEnd"/>
      <w:r w:rsidRPr="001472C3">
        <w:t xml:space="preserve">. A similar risk of multi-organ hypersensitivity reactions with </w:t>
      </w:r>
      <w:proofErr w:type="spellStart"/>
      <w:r w:rsidRPr="001472C3">
        <w:t>armodafinil</w:t>
      </w:r>
      <w:proofErr w:type="spellEnd"/>
      <w:r w:rsidRPr="001472C3">
        <w:t xml:space="preserve"> cannot be ruled out. </w:t>
      </w:r>
    </w:p>
    <w:p w:rsidR="00055927" w:rsidRPr="001472C3" w:rsidRDefault="008362DF" w:rsidP="009E24D0">
      <w:pPr>
        <w:jc w:val="both"/>
      </w:pPr>
      <w:r w:rsidRPr="001472C3">
        <w:t xml:space="preserve">Although there have been a limited number of reports, multi-organ hypersensitivity reactions may result in hospitalization or be life-threatening. There are no factors that are known to predict the risk of occurrence or the severity of multi-organ hypersensitivity reactions. Signs and symptoms of this disorder were diverse; however, patients typically, although not exclusively, presented with fever and rash associated with other organ system involvement. Other associated manifestations included myocarditis, hepatitis, liver function test abnormalities, </w:t>
      </w:r>
      <w:r w:rsidR="009117DE" w:rsidRPr="001472C3">
        <w:t>haematological</w:t>
      </w:r>
      <w:r w:rsidRPr="001472C3">
        <w:t xml:space="preserve"> abnormalities (e.g., eosinophilia, leukopenia, </w:t>
      </w:r>
      <w:proofErr w:type="gramStart"/>
      <w:r w:rsidRPr="001472C3">
        <w:t>thrombocytopenia</w:t>
      </w:r>
      <w:proofErr w:type="gramEnd"/>
      <w:r w:rsidRPr="001472C3">
        <w:t>), pruritus, and asthenia. Because multi-organ hypersensitivity is variable in its expression, other organ system symptoms and signs, not noted here, may occur.</w:t>
      </w:r>
    </w:p>
    <w:p w:rsidR="00F21B59" w:rsidRPr="00F33911" w:rsidRDefault="00F75A8B" w:rsidP="009E24D0">
      <w:pPr>
        <w:jc w:val="both"/>
      </w:pPr>
      <w:r w:rsidRPr="001472C3">
        <w:t>If a multi-organ hypersensitivity reaction is suspected, NUVIGIL</w:t>
      </w:r>
      <w:r w:rsidRPr="001472C3">
        <w:rPr>
          <w:rFonts w:cs="Arial"/>
          <w:bCs/>
          <w:vertAlign w:val="superscript"/>
        </w:rPr>
        <w:t>®</w:t>
      </w:r>
      <w:r w:rsidRPr="001472C3">
        <w:t xml:space="preserve"> should be discontinued. Although there are no case reports to indicate cross-sensitivity with other drugs that produce this syndrome, the experience with drugs associated with multi-organ hypersensitivity would indicate this to be a possibility.</w:t>
      </w:r>
    </w:p>
    <w:p w:rsidR="00F75A8B" w:rsidRPr="001472C3" w:rsidRDefault="00F75A8B" w:rsidP="009E24D0">
      <w:pPr>
        <w:jc w:val="both"/>
        <w:rPr>
          <w:b/>
        </w:rPr>
      </w:pPr>
      <w:r w:rsidRPr="001472C3">
        <w:rPr>
          <w:b/>
        </w:rPr>
        <w:t xml:space="preserve">Persistent Sleepiness </w:t>
      </w:r>
    </w:p>
    <w:p w:rsidR="00D52774" w:rsidRPr="00AE3E5F" w:rsidRDefault="00F75A8B" w:rsidP="009E24D0">
      <w:pPr>
        <w:jc w:val="both"/>
      </w:pPr>
      <w:r w:rsidRPr="001472C3">
        <w:t>Patients with abnormal levels of sleepiness who take NUVIGIL</w:t>
      </w:r>
      <w:r w:rsidRPr="001472C3">
        <w:rPr>
          <w:rFonts w:cs="Arial"/>
          <w:bCs/>
          <w:vertAlign w:val="superscript"/>
        </w:rPr>
        <w:t>®</w:t>
      </w:r>
      <w:r w:rsidRPr="001472C3">
        <w:t xml:space="preserve"> should be advised that their level of wakefulness may not return to normal. Patients with excessive sleepiness, including those taking NUVIGIL</w:t>
      </w:r>
      <w:r w:rsidRPr="001472C3">
        <w:rPr>
          <w:rFonts w:cs="Arial"/>
          <w:bCs/>
          <w:vertAlign w:val="superscript"/>
        </w:rPr>
        <w:t>®</w:t>
      </w:r>
      <w:r w:rsidRPr="001472C3">
        <w:t xml:space="preserve">, should be frequently reassessed for their degree of sleepiness and, if appropriate, advised to avoid driving or any other potentially dangerous activity. Prescribers should also be aware that patients may not acknowledge sleepiness or drowsiness until directly questioned about drowsiness or sleepiness during specific activities. </w:t>
      </w:r>
    </w:p>
    <w:p w:rsidR="00F75A8B" w:rsidRPr="001472C3" w:rsidRDefault="00F75A8B" w:rsidP="009E24D0">
      <w:pPr>
        <w:jc w:val="both"/>
        <w:rPr>
          <w:b/>
        </w:rPr>
      </w:pPr>
      <w:r w:rsidRPr="001472C3">
        <w:rPr>
          <w:b/>
        </w:rPr>
        <w:t xml:space="preserve">Psychiatric Symptoms </w:t>
      </w:r>
    </w:p>
    <w:p w:rsidR="00D52774" w:rsidRPr="001472C3" w:rsidRDefault="00F75A8B" w:rsidP="009E24D0">
      <w:pPr>
        <w:jc w:val="both"/>
      </w:pPr>
      <w:r w:rsidRPr="001472C3">
        <w:t xml:space="preserve">In </w:t>
      </w:r>
      <w:r w:rsidR="00D52774" w:rsidRPr="001472C3">
        <w:t>pr</w:t>
      </w:r>
      <w:r w:rsidR="006858CB" w:rsidRPr="001472C3">
        <w:t>e</w:t>
      </w:r>
      <w:r w:rsidR="00D52774" w:rsidRPr="001472C3">
        <w:t xml:space="preserve">-approval narcolepsy, </w:t>
      </w:r>
      <w:r w:rsidR="00D52774" w:rsidRPr="00CD3B05">
        <w:t>OSA</w:t>
      </w:r>
      <w:r w:rsidR="00A958DE" w:rsidRPr="00CD3B05">
        <w:t>HS</w:t>
      </w:r>
      <w:r w:rsidR="00D52774" w:rsidRPr="001472C3">
        <w:t xml:space="preserve"> and SW</w:t>
      </w:r>
      <w:r w:rsidR="002C30EE">
        <w:t>S</w:t>
      </w:r>
      <w:r w:rsidR="00D52774" w:rsidRPr="001472C3">
        <w:t xml:space="preserve">D </w:t>
      </w:r>
      <w:r w:rsidRPr="001472C3">
        <w:t>controlled trial</w:t>
      </w:r>
      <w:r w:rsidR="00D52774" w:rsidRPr="001472C3">
        <w:t>s of</w:t>
      </w:r>
      <w:r w:rsidRPr="001472C3">
        <w:t xml:space="preserve"> NUVIGIL</w:t>
      </w:r>
      <w:r w:rsidR="001C68B5" w:rsidRPr="001472C3">
        <w:rPr>
          <w:rFonts w:cs="Arial"/>
          <w:bCs/>
          <w:vertAlign w:val="superscript"/>
        </w:rPr>
        <w:t>®</w:t>
      </w:r>
      <w:r w:rsidRPr="001472C3">
        <w:t>, anxiety, agitation, nervousness, and irritability were reasons for treatment discontinuation more often in patients on NUVIGIL</w:t>
      </w:r>
      <w:r w:rsidR="001C68B5" w:rsidRPr="001472C3">
        <w:rPr>
          <w:rFonts w:cs="Arial"/>
          <w:bCs/>
          <w:vertAlign w:val="superscript"/>
        </w:rPr>
        <w:t>®</w:t>
      </w:r>
      <w:r w:rsidRPr="001472C3">
        <w:t xml:space="preserve"> compared to placebo (NUVIGIL</w:t>
      </w:r>
      <w:r w:rsidR="0065372D" w:rsidRPr="001472C3">
        <w:rPr>
          <w:rFonts w:cs="Arial"/>
          <w:bCs/>
          <w:vertAlign w:val="superscript"/>
        </w:rPr>
        <w:t>®</w:t>
      </w:r>
      <w:r w:rsidRPr="001472C3">
        <w:t xml:space="preserve"> 1.2% and placebo 0.3%). </w:t>
      </w:r>
      <w:r w:rsidR="00D52774" w:rsidRPr="001472C3">
        <w:t>D</w:t>
      </w:r>
      <w:r w:rsidRPr="001472C3">
        <w:t>epression was also a reason for treatment discontinuation more often in patients on NUVIGIL</w:t>
      </w:r>
      <w:r w:rsidR="001C68B5" w:rsidRPr="001472C3">
        <w:rPr>
          <w:rFonts w:cs="Arial"/>
          <w:bCs/>
          <w:vertAlign w:val="superscript"/>
        </w:rPr>
        <w:t>®</w:t>
      </w:r>
      <w:r w:rsidRPr="001472C3">
        <w:t xml:space="preserve"> compared to placebo (NUVIGIL</w:t>
      </w:r>
      <w:r w:rsidR="00D17063" w:rsidRPr="001472C3">
        <w:rPr>
          <w:rFonts w:cs="Arial"/>
          <w:bCs/>
          <w:vertAlign w:val="superscript"/>
        </w:rPr>
        <w:t>®</w:t>
      </w:r>
      <w:r w:rsidRPr="001472C3">
        <w:t xml:space="preserve"> 0.6% and placebo 0.2%). </w:t>
      </w:r>
      <w:r w:rsidR="00D52774" w:rsidRPr="001472C3">
        <w:t>C</w:t>
      </w:r>
      <w:r w:rsidRPr="001472C3">
        <w:t xml:space="preserve">ases of suicide ideation were observed in clinical trials. </w:t>
      </w:r>
    </w:p>
    <w:p w:rsidR="00F75A8B" w:rsidRPr="001472C3" w:rsidRDefault="00F75A8B" w:rsidP="009E24D0">
      <w:pPr>
        <w:jc w:val="both"/>
      </w:pPr>
      <w:r w:rsidRPr="001472C3">
        <w:t>Caution should be exercised when NUVIGIL</w:t>
      </w:r>
      <w:r w:rsidR="001C68B5" w:rsidRPr="001472C3">
        <w:rPr>
          <w:rFonts w:cs="Arial"/>
          <w:bCs/>
          <w:vertAlign w:val="superscript"/>
        </w:rPr>
        <w:t>®</w:t>
      </w:r>
      <w:r w:rsidRPr="001472C3">
        <w:t xml:space="preserve"> is given to patients with a history of psychosis, depression, or mania. If psychiatric symptoms develop in association with NUVIGIL</w:t>
      </w:r>
      <w:r w:rsidR="001C68B5" w:rsidRPr="001472C3">
        <w:rPr>
          <w:rFonts w:cs="Arial"/>
          <w:bCs/>
          <w:vertAlign w:val="superscript"/>
        </w:rPr>
        <w:t>®</w:t>
      </w:r>
      <w:r w:rsidRPr="001472C3">
        <w:t xml:space="preserve"> administration, consider discontinuing NUVIGIL</w:t>
      </w:r>
      <w:r w:rsidR="001C68B5" w:rsidRPr="001472C3">
        <w:rPr>
          <w:rFonts w:cs="Arial"/>
          <w:bCs/>
          <w:vertAlign w:val="superscript"/>
        </w:rPr>
        <w:t>®</w:t>
      </w:r>
      <w:r w:rsidRPr="001472C3">
        <w:t>.</w:t>
      </w:r>
    </w:p>
    <w:p w:rsidR="00D52774" w:rsidRPr="001472C3" w:rsidRDefault="00D52774" w:rsidP="00D52774">
      <w:pPr>
        <w:jc w:val="both"/>
      </w:pPr>
      <w:r w:rsidRPr="001472C3">
        <w:t xml:space="preserve">Psychiatric adverse experiences have been reported in patients treated with </w:t>
      </w:r>
      <w:proofErr w:type="spellStart"/>
      <w:r w:rsidRPr="001472C3">
        <w:t>modafinil</w:t>
      </w:r>
      <w:proofErr w:type="spellEnd"/>
      <w:r w:rsidRPr="001472C3">
        <w:t xml:space="preserve">. </w:t>
      </w:r>
      <w:proofErr w:type="spellStart"/>
      <w:r w:rsidRPr="001472C3">
        <w:t>Modafinil</w:t>
      </w:r>
      <w:proofErr w:type="spellEnd"/>
      <w:r w:rsidRPr="001472C3">
        <w:t xml:space="preserve"> and </w:t>
      </w:r>
      <w:proofErr w:type="spellStart"/>
      <w:r w:rsidRPr="001472C3">
        <w:t>armodafinil</w:t>
      </w:r>
      <w:proofErr w:type="spellEnd"/>
      <w:r w:rsidRPr="001472C3">
        <w:t xml:space="preserve"> (NUVIGIL</w:t>
      </w:r>
      <w:r w:rsidRPr="001472C3">
        <w:rPr>
          <w:rFonts w:cs="Arial"/>
          <w:bCs/>
          <w:vertAlign w:val="superscript"/>
        </w:rPr>
        <w:t>®</w:t>
      </w:r>
      <w:r w:rsidRPr="001472C3">
        <w:t>) are very closely related. Therefore, the incidence and type of psychiatric symptoms associated with NUVIGIL</w:t>
      </w:r>
      <w:r w:rsidRPr="001472C3">
        <w:rPr>
          <w:rFonts w:cs="Arial"/>
          <w:bCs/>
          <w:vertAlign w:val="superscript"/>
        </w:rPr>
        <w:t>®</w:t>
      </w:r>
      <w:r w:rsidRPr="001472C3">
        <w:t xml:space="preserve"> are expected to be similar to the incidence and type of these events with </w:t>
      </w:r>
      <w:proofErr w:type="spellStart"/>
      <w:r w:rsidRPr="001472C3">
        <w:t>modafinil</w:t>
      </w:r>
      <w:proofErr w:type="spellEnd"/>
      <w:r w:rsidRPr="001472C3">
        <w:t xml:space="preserve">. </w:t>
      </w:r>
    </w:p>
    <w:p w:rsidR="00D52774" w:rsidRPr="001472C3" w:rsidRDefault="00D52774" w:rsidP="00D52774">
      <w:pPr>
        <w:jc w:val="both"/>
      </w:pPr>
      <w:proofErr w:type="spellStart"/>
      <w:r w:rsidRPr="001472C3">
        <w:t>Postmarketing</w:t>
      </w:r>
      <w:proofErr w:type="spellEnd"/>
      <w:r w:rsidRPr="001472C3">
        <w:t xml:space="preserve"> adverse events associated with the use of </w:t>
      </w:r>
      <w:proofErr w:type="spellStart"/>
      <w:r w:rsidRPr="001472C3">
        <w:t>modafinil</w:t>
      </w:r>
      <w:proofErr w:type="spellEnd"/>
      <w:r w:rsidRPr="001472C3">
        <w:t xml:space="preserve"> have included mania, delusions, hallucinations, suicidal ideation and aggression, some resulting in hospitalization. Many, but not all, patients had a prior psychiatric history. One healthy male volunteer developed ideas of reference, paranoid delusions, and auditory hallucinations in association with multiple daily 600 mg doses of </w:t>
      </w:r>
      <w:proofErr w:type="spellStart"/>
      <w:r w:rsidRPr="001472C3">
        <w:t>modafinil</w:t>
      </w:r>
      <w:proofErr w:type="spellEnd"/>
      <w:r w:rsidRPr="001472C3">
        <w:t xml:space="preserve"> and sleep deprivation. There was no evidence of psychosis 36 hours after drug discontinuation. </w:t>
      </w:r>
    </w:p>
    <w:p w:rsidR="001979CF" w:rsidRPr="001472C3" w:rsidRDefault="001979CF" w:rsidP="00585E47">
      <w:pPr>
        <w:keepNext/>
        <w:suppressLineNumbers/>
        <w:suppressAutoHyphens/>
        <w:rPr>
          <w:b/>
        </w:rPr>
      </w:pPr>
      <w:r w:rsidRPr="001472C3">
        <w:rPr>
          <w:b/>
        </w:rPr>
        <w:lastRenderedPageBreak/>
        <w:t>Effects on Ability to Drive and Use of Machines</w:t>
      </w:r>
    </w:p>
    <w:p w:rsidR="001979CF" w:rsidRPr="001472C3" w:rsidRDefault="00AF4A01" w:rsidP="00C06A47">
      <w:pPr>
        <w:suppressLineNumbers/>
        <w:suppressAutoHyphens/>
      </w:pPr>
      <w:r w:rsidRPr="001472C3">
        <w:rPr>
          <w:rFonts w:cs="Arial"/>
          <w:bCs/>
        </w:rPr>
        <w:t>Although NUVIGIL</w:t>
      </w:r>
      <w:r w:rsidR="00D17063" w:rsidRPr="001472C3">
        <w:rPr>
          <w:rFonts w:cs="Arial"/>
          <w:bCs/>
          <w:vertAlign w:val="superscript"/>
        </w:rPr>
        <w:t>®</w:t>
      </w:r>
      <w:r w:rsidRPr="001472C3">
        <w:rPr>
          <w:rFonts w:cs="Arial"/>
          <w:bCs/>
        </w:rPr>
        <w:t xml:space="preserve"> has not been shown to produce functional impairment, any drug affecting the CNS may alter judgment, thinking or motor skills.</w:t>
      </w:r>
      <w:r w:rsidRPr="001472C3">
        <w:rPr>
          <w:sz w:val="16"/>
        </w:rPr>
        <w:t xml:space="preserve"> </w:t>
      </w:r>
      <w:r w:rsidR="001979CF" w:rsidRPr="001472C3">
        <w:t xml:space="preserve">Patients should be cautioned about operating </w:t>
      </w:r>
      <w:proofErr w:type="gramStart"/>
      <w:r w:rsidR="001979CF" w:rsidRPr="001472C3">
        <w:t>an automobile</w:t>
      </w:r>
      <w:proofErr w:type="gramEnd"/>
      <w:r w:rsidR="001979CF" w:rsidRPr="001472C3">
        <w:t xml:space="preserve"> or other hazardous machinery until they are reasonably certain that NUVIGIL</w:t>
      </w:r>
      <w:r w:rsidR="001979CF" w:rsidRPr="001472C3">
        <w:rPr>
          <w:rFonts w:cs="Arial"/>
          <w:bCs/>
          <w:vertAlign w:val="superscript"/>
        </w:rPr>
        <w:t>®</w:t>
      </w:r>
      <w:r w:rsidR="001979CF" w:rsidRPr="001472C3">
        <w:rPr>
          <w:rFonts w:cs="Arial"/>
          <w:bCs/>
        </w:rPr>
        <w:t xml:space="preserve"> therapy will not adversely affect their ability to engage in such activities.</w:t>
      </w:r>
    </w:p>
    <w:p w:rsidR="003D2911" w:rsidRPr="001472C3" w:rsidRDefault="003D2911" w:rsidP="009E24D0">
      <w:pPr>
        <w:jc w:val="both"/>
        <w:rPr>
          <w:b/>
        </w:rPr>
      </w:pPr>
      <w:r w:rsidRPr="001472C3">
        <w:rPr>
          <w:b/>
        </w:rPr>
        <w:t xml:space="preserve">Cardiovascular System </w:t>
      </w:r>
    </w:p>
    <w:p w:rsidR="003D2911" w:rsidRPr="001472C3" w:rsidRDefault="003D2911" w:rsidP="009E24D0">
      <w:pPr>
        <w:jc w:val="both"/>
      </w:pPr>
      <w:r w:rsidRPr="001472C3">
        <w:t>NUVIGIL</w:t>
      </w:r>
      <w:r w:rsidRPr="001472C3">
        <w:rPr>
          <w:rFonts w:cs="Arial"/>
          <w:bCs/>
          <w:vertAlign w:val="superscript"/>
        </w:rPr>
        <w:t>®</w:t>
      </w:r>
      <w:r w:rsidRPr="001472C3">
        <w:t xml:space="preserve"> has not been evaluated or used to any appreciable extent in patients with a recent history of myocardial infarction or unstable angina, and such patients should be treated with caution. </w:t>
      </w:r>
    </w:p>
    <w:p w:rsidR="003D2911" w:rsidRPr="001472C3" w:rsidRDefault="003D2911" w:rsidP="009E24D0">
      <w:pPr>
        <w:jc w:val="both"/>
      </w:pPr>
      <w:r w:rsidRPr="001472C3">
        <w:t xml:space="preserve">In clinical studies of </w:t>
      </w:r>
      <w:proofErr w:type="spellStart"/>
      <w:r w:rsidR="009564EB">
        <w:t>modafinil</w:t>
      </w:r>
      <w:proofErr w:type="spellEnd"/>
      <w:r w:rsidRPr="001472C3">
        <w:t xml:space="preserve">, </w:t>
      </w:r>
      <w:r w:rsidR="00E63D48" w:rsidRPr="001472C3">
        <w:t>cardiovascular adverse events,</w:t>
      </w:r>
      <w:r w:rsidRPr="001472C3">
        <w:t xml:space="preserve"> including chest pain, palpitations, dyspnoea and transient ischemic T-wave changes on ECG were observed in three subjects in association with mitral valve prolapse or left ventricular hypertrophy. It is recommended that NUVIGIL</w:t>
      </w:r>
      <w:r w:rsidRPr="001472C3">
        <w:rPr>
          <w:rFonts w:cs="Arial"/>
          <w:bCs/>
          <w:vertAlign w:val="superscript"/>
        </w:rPr>
        <w:t>®</w:t>
      </w:r>
      <w:r w:rsidRPr="001472C3">
        <w:t xml:space="preserve"> tablets not be used in patients with a history of left ventricular hypertrophy or in patients with mitral valve prolapse who have experienced </w:t>
      </w:r>
      <w:r w:rsidR="00122941">
        <w:t xml:space="preserve">the </w:t>
      </w:r>
      <w:r w:rsidRPr="001472C3">
        <w:t xml:space="preserve">mitral valve prolapse syndrome when previously receiving CNS stimulants. </w:t>
      </w:r>
      <w:r w:rsidR="00E63D48" w:rsidRPr="001472C3">
        <w:t xml:space="preserve">Findings suggestive </w:t>
      </w:r>
      <w:r w:rsidRPr="001472C3">
        <w:t>of mitral valve prolapse syndrome include</w:t>
      </w:r>
      <w:r w:rsidR="00E81A89" w:rsidRPr="001472C3">
        <w:t>,</w:t>
      </w:r>
      <w:r w:rsidRPr="001472C3">
        <w:t xml:space="preserve"> but are not limited to</w:t>
      </w:r>
      <w:r w:rsidR="00E81A89" w:rsidRPr="001472C3">
        <w:t>,</w:t>
      </w:r>
      <w:r w:rsidRPr="001472C3">
        <w:t xml:space="preserve"> ischemic ECG changes, chest pain, or arrhythmia. If new onset of any of these symptoms occurs, consider cardiac evaluation. </w:t>
      </w:r>
    </w:p>
    <w:p w:rsidR="003A4A43" w:rsidRPr="001472C3" w:rsidRDefault="003D2911" w:rsidP="003A4A43">
      <w:pPr>
        <w:jc w:val="both"/>
      </w:pPr>
      <w:r w:rsidRPr="001472C3">
        <w:t>Blood pressure monitoring in short-term (</w:t>
      </w:r>
      <w:r w:rsidRPr="001472C3">
        <w:rPr>
          <w:rFonts w:cs="Arial"/>
        </w:rPr>
        <w:t>≤</w:t>
      </w:r>
      <w:r w:rsidRPr="001472C3">
        <w:t xml:space="preserve">3 months) </w:t>
      </w:r>
      <w:r w:rsidR="0041598C" w:rsidRPr="001472C3">
        <w:t xml:space="preserve">pre-approval </w:t>
      </w:r>
      <w:r w:rsidRPr="001472C3">
        <w:t>controlled trials</w:t>
      </w:r>
      <w:r w:rsidR="0041598C" w:rsidRPr="001472C3">
        <w:t xml:space="preserve"> of </w:t>
      </w:r>
      <w:r w:rsidR="0041598C" w:rsidRPr="00CD3B05">
        <w:t>OSA</w:t>
      </w:r>
      <w:r w:rsidR="00A958DE" w:rsidRPr="00CD3B05">
        <w:t>HS</w:t>
      </w:r>
      <w:r w:rsidR="0041598C" w:rsidRPr="00CD3B05">
        <w:t>,</w:t>
      </w:r>
      <w:r w:rsidR="0041598C" w:rsidRPr="001472C3">
        <w:t xml:space="preserve"> SW</w:t>
      </w:r>
      <w:r w:rsidR="002C30EE">
        <w:t>S</w:t>
      </w:r>
      <w:r w:rsidR="0041598C" w:rsidRPr="001472C3">
        <w:t>D, and narcolepsy</w:t>
      </w:r>
      <w:r w:rsidRPr="001472C3">
        <w:t xml:space="preserve"> showed small average increases in mean systolic and diastolic blood pressure in patients receiving NUVIGIL</w:t>
      </w:r>
      <w:r w:rsidRPr="001472C3">
        <w:rPr>
          <w:rFonts w:cs="Arial"/>
          <w:bCs/>
          <w:vertAlign w:val="superscript"/>
        </w:rPr>
        <w:t>®</w:t>
      </w:r>
      <w:r w:rsidRPr="001472C3">
        <w:t xml:space="preserve"> as compared to placebo (1.2 to 4.3 mmHg in the various experimental groups). There </w:t>
      </w:r>
      <w:proofErr w:type="gramStart"/>
      <w:r w:rsidRPr="001472C3">
        <w:t>was</w:t>
      </w:r>
      <w:proofErr w:type="gramEnd"/>
      <w:r w:rsidRPr="001472C3">
        <w:t xml:space="preserve"> also a slightly greater proportion of patients on NUVIGIL</w:t>
      </w:r>
      <w:r w:rsidRPr="001472C3">
        <w:rPr>
          <w:rFonts w:cs="Arial"/>
          <w:bCs/>
          <w:vertAlign w:val="superscript"/>
        </w:rPr>
        <w:t>®</w:t>
      </w:r>
      <w:r w:rsidRPr="001472C3">
        <w:t xml:space="preserve"> requiring new or increased use of antihypertensive medications (2.9%) compared to patients on placebo (1.8%). </w:t>
      </w:r>
      <w:r w:rsidR="0041598C" w:rsidRPr="001472C3">
        <w:t>There was a small, but consistent, average increase in pulse rate over placebo in pre-approval controlled trials.  This increase varied from 0.9 to 3.5 BPM.</w:t>
      </w:r>
      <w:r w:rsidR="0041598C" w:rsidRPr="001472C3">
        <w:rPr>
          <w:sz w:val="16"/>
        </w:rPr>
        <w:t xml:space="preserve"> </w:t>
      </w:r>
      <w:r w:rsidRPr="001472C3">
        <w:t xml:space="preserve">Increased monitoring of </w:t>
      </w:r>
      <w:r w:rsidR="0041598C" w:rsidRPr="001472C3">
        <w:t xml:space="preserve">heart rate and </w:t>
      </w:r>
      <w:r w:rsidRPr="001472C3">
        <w:t>blood pressure may be appropriate in patients on NUVIGIL</w:t>
      </w:r>
      <w:r w:rsidRPr="001472C3">
        <w:rPr>
          <w:rFonts w:cs="Arial"/>
          <w:bCs/>
          <w:vertAlign w:val="superscript"/>
        </w:rPr>
        <w:t>®</w:t>
      </w:r>
      <w:r w:rsidRPr="001472C3">
        <w:t>.</w:t>
      </w:r>
      <w:r w:rsidR="0041598C" w:rsidRPr="001472C3">
        <w:t xml:space="preserve"> Caution should be exercised when prescribing NUVIGIL</w:t>
      </w:r>
      <w:r w:rsidR="0041598C" w:rsidRPr="001472C3">
        <w:rPr>
          <w:rFonts w:cs="Arial"/>
          <w:bCs/>
          <w:vertAlign w:val="superscript"/>
        </w:rPr>
        <w:t>®</w:t>
      </w:r>
      <w:r w:rsidR="0041598C" w:rsidRPr="001472C3">
        <w:t xml:space="preserve"> to patients with known cardiovascular disease. </w:t>
      </w:r>
    </w:p>
    <w:p w:rsidR="003A4A43" w:rsidRPr="001472C3" w:rsidRDefault="003A4A43" w:rsidP="003A4A43">
      <w:pPr>
        <w:jc w:val="both"/>
        <w:rPr>
          <w:b/>
        </w:rPr>
      </w:pPr>
      <w:r w:rsidRPr="001472C3">
        <w:rPr>
          <w:b/>
        </w:rPr>
        <w:t>Patients (Women) Using Contraception</w:t>
      </w:r>
    </w:p>
    <w:p w:rsidR="00394E13" w:rsidRPr="001472C3" w:rsidRDefault="003A4A43" w:rsidP="009E24D0">
      <w:pPr>
        <w:jc w:val="both"/>
      </w:pPr>
      <w:r w:rsidRPr="001472C3">
        <w:t>Sexually active women of child-bearing potential should be established on a contraceptive program before taking NUVIGIL</w:t>
      </w:r>
      <w:r w:rsidRPr="001472C3">
        <w:rPr>
          <w:rFonts w:cs="Arial"/>
          <w:bCs/>
          <w:vertAlign w:val="superscript"/>
        </w:rPr>
        <w:t>®</w:t>
      </w:r>
      <w:r w:rsidRPr="001472C3">
        <w:t xml:space="preserve">. </w:t>
      </w:r>
    </w:p>
    <w:p w:rsidR="003A4A43" w:rsidRPr="001472C3" w:rsidRDefault="003A4A43" w:rsidP="009E24D0">
      <w:pPr>
        <w:jc w:val="both"/>
      </w:pPr>
      <w:r w:rsidRPr="001472C3">
        <w:t>The effectiveness of steroidal contraceptives may be reduced when used with NUVIGIL</w:t>
      </w:r>
      <w:r w:rsidRPr="001472C3">
        <w:rPr>
          <w:rFonts w:cs="Arial"/>
          <w:bCs/>
          <w:vertAlign w:val="superscript"/>
        </w:rPr>
        <w:t>®</w:t>
      </w:r>
      <w:r w:rsidRPr="001472C3">
        <w:t xml:space="preserve"> and for one month after discontinuation of therapy (See </w:t>
      </w:r>
      <w:r w:rsidR="003D3714" w:rsidRPr="001472C3">
        <w:t>INTERACTIONS WITH OTHER MEDICINES</w:t>
      </w:r>
      <w:r w:rsidRPr="00E754A7">
        <w:t xml:space="preserve">). Alternative or concomitant methods of contraception are recommended for patients </w:t>
      </w:r>
      <w:r w:rsidR="00E754A7">
        <w:t xml:space="preserve">taking steroidal contraceptive (e.g., </w:t>
      </w:r>
      <w:proofErr w:type="spellStart"/>
      <w:r w:rsidR="00055BBE">
        <w:t>E</w:t>
      </w:r>
      <w:r w:rsidR="00E754A7">
        <w:t>thinylestradiol</w:t>
      </w:r>
      <w:proofErr w:type="spellEnd"/>
      <w:r w:rsidR="00E754A7">
        <w:t xml:space="preserve">) when </w:t>
      </w:r>
      <w:r w:rsidRPr="00E754A7">
        <w:t xml:space="preserve">treated </w:t>
      </w:r>
      <w:r w:rsidR="00E754A7">
        <w:t xml:space="preserve">concomitantly </w:t>
      </w:r>
      <w:r w:rsidRPr="00E754A7">
        <w:t>with NUVIGIL</w:t>
      </w:r>
      <w:r w:rsidRPr="00E754A7">
        <w:rPr>
          <w:rFonts w:cs="Arial"/>
          <w:bCs/>
          <w:vertAlign w:val="superscript"/>
        </w:rPr>
        <w:t>®</w:t>
      </w:r>
      <w:r w:rsidRPr="00E754A7">
        <w:t xml:space="preserve"> and for one month after discontinuation of NUVIGIL</w:t>
      </w:r>
      <w:r w:rsidRPr="00E754A7">
        <w:rPr>
          <w:rFonts w:cs="Arial"/>
          <w:bCs/>
          <w:vertAlign w:val="superscript"/>
        </w:rPr>
        <w:t>®</w:t>
      </w:r>
      <w:r w:rsidRPr="00E754A7">
        <w:t xml:space="preserve"> treatment.</w:t>
      </w:r>
    </w:p>
    <w:p w:rsidR="00055BBE" w:rsidRDefault="009979E8" w:rsidP="009E24D0">
      <w:pPr>
        <w:jc w:val="both"/>
        <w:rPr>
          <w:b/>
        </w:rPr>
      </w:pPr>
      <w:r w:rsidRPr="00B87870">
        <w:rPr>
          <w:b/>
        </w:rPr>
        <w:t xml:space="preserve">Genotoxicity </w:t>
      </w:r>
    </w:p>
    <w:p w:rsidR="00E872A3" w:rsidRPr="00B87870" w:rsidRDefault="00E872A3" w:rsidP="009E24D0">
      <w:pPr>
        <w:jc w:val="both"/>
      </w:pPr>
      <w:proofErr w:type="spellStart"/>
      <w:r w:rsidRPr="001472C3">
        <w:t>Armodafinil</w:t>
      </w:r>
      <w:proofErr w:type="spellEnd"/>
      <w:r w:rsidRPr="001472C3">
        <w:t xml:space="preserve"> was </w:t>
      </w:r>
      <w:r w:rsidR="00F54EB9" w:rsidRPr="001472C3">
        <w:t>negative</w:t>
      </w:r>
      <w:r w:rsidRPr="001472C3">
        <w:t xml:space="preserve"> in an </w:t>
      </w:r>
      <w:r w:rsidRPr="001472C3">
        <w:rPr>
          <w:i/>
        </w:rPr>
        <w:t>in vitro</w:t>
      </w:r>
      <w:r w:rsidRPr="001472C3">
        <w:t xml:space="preserve"> bacterial reverse mutation assay and in an </w:t>
      </w:r>
      <w:r w:rsidRPr="001472C3">
        <w:rPr>
          <w:i/>
        </w:rPr>
        <w:t>in vitro</w:t>
      </w:r>
      <w:r w:rsidRPr="001472C3">
        <w:t xml:space="preserve"> chromosomal aberration assay in human lymphocytes. </w:t>
      </w:r>
      <w:proofErr w:type="spellStart"/>
      <w:r w:rsidRPr="001472C3">
        <w:t>Modafinil</w:t>
      </w:r>
      <w:proofErr w:type="spellEnd"/>
      <w:r w:rsidRPr="001472C3">
        <w:t xml:space="preserve"> </w:t>
      </w:r>
      <w:r w:rsidR="00F54EB9" w:rsidRPr="001472C3">
        <w:t xml:space="preserve">was negative </w:t>
      </w:r>
      <w:r w:rsidRPr="001472C3">
        <w:t xml:space="preserve">in a series of </w:t>
      </w:r>
      <w:r w:rsidRPr="001472C3">
        <w:rPr>
          <w:i/>
        </w:rPr>
        <w:t>in vitro</w:t>
      </w:r>
      <w:r w:rsidRPr="001472C3">
        <w:t xml:space="preserve"> (i.e., bacterial reverse mutation, mouse lymphoma </w:t>
      </w:r>
      <w:proofErr w:type="spellStart"/>
      <w:r w:rsidRPr="001472C3">
        <w:t>tk</w:t>
      </w:r>
      <w:proofErr w:type="spellEnd"/>
      <w:r w:rsidRPr="001472C3">
        <w:t>, chromosomal aberration in human lymphocytes, cell transformation in BALB/3T3 mouse embryo cells</w:t>
      </w:r>
      <w:r w:rsidRPr="00B87870">
        <w:t xml:space="preserve">) </w:t>
      </w:r>
      <w:r w:rsidR="008B39DF" w:rsidRPr="00B87870">
        <w:t xml:space="preserve">and </w:t>
      </w:r>
      <w:r w:rsidRPr="00B87870">
        <w:rPr>
          <w:i/>
        </w:rPr>
        <w:t>in vivo</w:t>
      </w:r>
      <w:r w:rsidRPr="00B87870">
        <w:t xml:space="preserve"> (mouse bone marrow micronucleus) assays. </w:t>
      </w:r>
      <w:r w:rsidR="00AA1C74" w:rsidRPr="00B87870">
        <w:t xml:space="preserve">These studies indicate that </w:t>
      </w:r>
      <w:proofErr w:type="spellStart"/>
      <w:r w:rsidR="00AA1C74" w:rsidRPr="00B87870">
        <w:t>armodafinil</w:t>
      </w:r>
      <w:proofErr w:type="spellEnd"/>
      <w:r w:rsidR="00AA1C74" w:rsidRPr="00B87870">
        <w:t xml:space="preserve"> has a low genotoxic potential. </w:t>
      </w:r>
    </w:p>
    <w:p w:rsidR="00A87A87" w:rsidRPr="00B87870" w:rsidRDefault="00A87A87" w:rsidP="009E24D0">
      <w:pPr>
        <w:jc w:val="both"/>
        <w:rPr>
          <w:rFonts w:cs="Arial"/>
          <w:b/>
          <w:iCs/>
        </w:rPr>
      </w:pPr>
      <w:r w:rsidRPr="00B87870">
        <w:rPr>
          <w:rFonts w:cs="Arial"/>
          <w:b/>
          <w:iCs/>
        </w:rPr>
        <w:t>Carcinogenicity</w:t>
      </w:r>
    </w:p>
    <w:p w:rsidR="00C4083D" w:rsidRPr="00B87870" w:rsidRDefault="00AF3C40" w:rsidP="00AF3C40">
      <w:pPr>
        <w:shd w:val="clear" w:color="auto" w:fill="FFFFFF"/>
        <w:jc w:val="both"/>
        <w:rPr>
          <w:rFonts w:eastAsia="TimesNewRoman"/>
        </w:rPr>
      </w:pPr>
      <w:r>
        <w:t xml:space="preserve">An oral </w:t>
      </w:r>
      <w:r w:rsidR="001D1FF9" w:rsidRPr="00B87870">
        <w:t xml:space="preserve">carcinogenicity study </w:t>
      </w:r>
      <w:r>
        <w:t xml:space="preserve">conducted for 94-101 weeks in mice found no evidence of tumour development or neoplastic change in mice that received </w:t>
      </w:r>
      <w:r w:rsidR="001D1FF9" w:rsidRPr="00B87870">
        <w:t xml:space="preserve">up to </w:t>
      </w:r>
      <w:r w:rsidR="001D1FF9" w:rsidRPr="00B87870">
        <w:rPr>
          <w:rFonts w:eastAsia="TimesNewRoman"/>
        </w:rPr>
        <w:t xml:space="preserve">300 mg/kg/day </w:t>
      </w:r>
      <w:proofErr w:type="spellStart"/>
      <w:r>
        <w:rPr>
          <w:rFonts w:eastAsia="TimesNewRoman"/>
        </w:rPr>
        <w:t>armodafinil</w:t>
      </w:r>
      <w:proofErr w:type="spellEnd"/>
      <w:r>
        <w:rPr>
          <w:rFonts w:eastAsia="TimesNewRoman"/>
        </w:rPr>
        <w:t xml:space="preserve"> </w:t>
      </w:r>
      <w:r w:rsidR="001D1FF9" w:rsidRPr="00B87870">
        <w:rPr>
          <w:rFonts w:eastAsia="TimesNewRoman"/>
        </w:rPr>
        <w:t>in males</w:t>
      </w:r>
      <w:r>
        <w:rPr>
          <w:rFonts w:eastAsia="TimesNewRoman"/>
        </w:rPr>
        <w:t>, or</w:t>
      </w:r>
      <w:r w:rsidR="001D1FF9" w:rsidRPr="00B87870">
        <w:rPr>
          <w:rFonts w:eastAsia="TimesNewRoman"/>
        </w:rPr>
        <w:t xml:space="preserve"> </w:t>
      </w:r>
      <w:r>
        <w:rPr>
          <w:rFonts w:eastAsia="TimesNewRoman"/>
        </w:rPr>
        <w:t>up to</w:t>
      </w:r>
      <w:r w:rsidRPr="00B87870">
        <w:rPr>
          <w:rFonts w:eastAsia="TimesNewRoman"/>
        </w:rPr>
        <w:t xml:space="preserve"> </w:t>
      </w:r>
      <w:r w:rsidR="001D1FF9" w:rsidRPr="00B87870">
        <w:rPr>
          <w:rFonts w:eastAsia="TimesNewRoman"/>
        </w:rPr>
        <w:t xml:space="preserve">100 mg/kg/day in females. </w:t>
      </w:r>
      <w:r>
        <w:rPr>
          <w:rFonts w:eastAsia="TimesNewRoman"/>
        </w:rPr>
        <w:t>At t</w:t>
      </w:r>
      <w:r w:rsidRPr="00B87870">
        <w:rPr>
          <w:rFonts w:eastAsia="TimesNewRoman"/>
        </w:rPr>
        <w:t xml:space="preserve">he </w:t>
      </w:r>
      <w:r w:rsidR="001D1FF9" w:rsidRPr="00B87870">
        <w:rPr>
          <w:rFonts w:eastAsia="TimesNewRoman"/>
        </w:rPr>
        <w:t xml:space="preserve">highest dose </w:t>
      </w:r>
      <w:r>
        <w:rPr>
          <w:rFonts w:eastAsia="TimesNewRoman"/>
        </w:rPr>
        <w:t xml:space="preserve">in mice the </w:t>
      </w:r>
      <w:r w:rsidR="001D1FF9" w:rsidRPr="00B87870">
        <w:rPr>
          <w:rFonts w:eastAsia="TimesNewRoman"/>
        </w:rPr>
        <w:t xml:space="preserve">plasma </w:t>
      </w:r>
      <w:proofErr w:type="spellStart"/>
      <w:r w:rsidR="001D1FF9" w:rsidRPr="00B87870">
        <w:rPr>
          <w:rFonts w:eastAsia="TimesNewRoman"/>
        </w:rPr>
        <w:t>armodafinil</w:t>
      </w:r>
      <w:proofErr w:type="spellEnd"/>
      <w:r w:rsidR="001D1FF9" w:rsidRPr="00B87870">
        <w:rPr>
          <w:rFonts w:eastAsia="TimesNewRoman"/>
        </w:rPr>
        <w:t xml:space="preserve"> exposure </w:t>
      </w:r>
      <w:r>
        <w:rPr>
          <w:rFonts w:eastAsia="TimesNewRoman"/>
        </w:rPr>
        <w:t xml:space="preserve">(AUC) was </w:t>
      </w:r>
      <w:r w:rsidR="001D1FF9" w:rsidRPr="00B87870">
        <w:rPr>
          <w:rFonts w:eastAsia="TimesNewRoman"/>
        </w:rPr>
        <w:t>similar in males (</w:t>
      </w:r>
      <w:proofErr w:type="gramStart"/>
      <w:r w:rsidR="001D1FF9" w:rsidRPr="00B87870">
        <w:rPr>
          <w:rFonts w:eastAsia="TimesNewRoman"/>
        </w:rPr>
        <w:t>1.3x</w:t>
      </w:r>
      <w:proofErr w:type="gramEnd"/>
      <w:r w:rsidR="001D1FF9" w:rsidRPr="00B87870">
        <w:rPr>
          <w:rFonts w:eastAsia="TimesNewRoman"/>
        </w:rPr>
        <w:t>) and less in females (0.5x) than that in humans at the maximum recommended human dose (MRHD) of NUVIGIL®.</w:t>
      </w:r>
      <w:r w:rsidR="00560087">
        <w:rPr>
          <w:rFonts w:eastAsia="TimesNewRoman"/>
        </w:rPr>
        <w:t xml:space="preserve"> </w:t>
      </w:r>
      <w:r w:rsidR="00845492" w:rsidRPr="00B87870">
        <w:rPr>
          <w:rFonts w:cs="Arial"/>
          <w:bCs/>
        </w:rPr>
        <w:t>Similarly, a</w:t>
      </w:r>
      <w:r w:rsidR="00845492" w:rsidRPr="00B87870">
        <w:rPr>
          <w:rFonts w:cs="Arial"/>
          <w:bCs/>
          <w:vertAlign w:val="superscript"/>
        </w:rPr>
        <w:t xml:space="preserve"> </w:t>
      </w:r>
      <w:r w:rsidR="00845492" w:rsidRPr="00B87870">
        <w:rPr>
          <w:rFonts w:cs="Arial"/>
          <w:bCs/>
        </w:rPr>
        <w:t xml:space="preserve">carcinogenicity study which administered </w:t>
      </w:r>
      <w:proofErr w:type="spellStart"/>
      <w:r w:rsidR="00845492" w:rsidRPr="00B87870">
        <w:rPr>
          <w:rFonts w:cs="Arial"/>
          <w:bCs/>
        </w:rPr>
        <w:t>modafinil</w:t>
      </w:r>
      <w:proofErr w:type="spellEnd"/>
      <w:r w:rsidR="00845492" w:rsidRPr="00B87870">
        <w:rPr>
          <w:rFonts w:cs="Arial"/>
          <w:bCs/>
        </w:rPr>
        <w:t xml:space="preserve"> a mixture of </w:t>
      </w:r>
      <w:r w:rsidR="00055BBE">
        <w:rPr>
          <w:rFonts w:cs="Arial"/>
          <w:bCs/>
        </w:rPr>
        <w:t>(</w:t>
      </w:r>
      <w:r w:rsidR="00845492" w:rsidRPr="00B87870">
        <w:rPr>
          <w:rFonts w:cs="Arial"/>
          <w:bCs/>
        </w:rPr>
        <w:t>R</w:t>
      </w:r>
      <w:r w:rsidR="00055BBE">
        <w:rPr>
          <w:rFonts w:cs="Arial"/>
          <w:bCs/>
        </w:rPr>
        <w:t>)</w:t>
      </w:r>
      <w:r w:rsidR="00845492" w:rsidRPr="00B87870">
        <w:rPr>
          <w:rFonts w:cs="Arial"/>
          <w:bCs/>
        </w:rPr>
        <w:t xml:space="preserve">- and </w:t>
      </w:r>
      <w:r w:rsidR="00055BBE">
        <w:rPr>
          <w:rFonts w:cs="Arial"/>
          <w:bCs/>
        </w:rPr>
        <w:t>(</w:t>
      </w:r>
      <w:r w:rsidR="00845492" w:rsidRPr="00B87870">
        <w:rPr>
          <w:rFonts w:cs="Arial"/>
          <w:bCs/>
        </w:rPr>
        <w:t>S</w:t>
      </w:r>
      <w:r w:rsidR="00055BBE">
        <w:rPr>
          <w:rFonts w:cs="Arial"/>
          <w:bCs/>
        </w:rPr>
        <w:t>)</w:t>
      </w:r>
      <w:r w:rsidR="00845492" w:rsidRPr="00B87870">
        <w:rPr>
          <w:rFonts w:cs="Arial"/>
          <w:bCs/>
        </w:rPr>
        <w:t xml:space="preserve">- </w:t>
      </w:r>
      <w:proofErr w:type="spellStart"/>
      <w:r w:rsidR="00845492" w:rsidRPr="00B87870">
        <w:rPr>
          <w:rFonts w:cs="Arial"/>
          <w:bCs/>
        </w:rPr>
        <w:t>modafinil</w:t>
      </w:r>
      <w:proofErr w:type="spellEnd"/>
      <w:r w:rsidR="00845492" w:rsidRPr="00B87870">
        <w:rPr>
          <w:rFonts w:cs="Arial"/>
          <w:bCs/>
        </w:rPr>
        <w:t xml:space="preserve">) to rats by the dietary route for 104 weeks at </w:t>
      </w:r>
      <w:r w:rsidR="009C4D99">
        <w:rPr>
          <w:rFonts w:cs="Arial"/>
          <w:bCs/>
        </w:rPr>
        <w:t xml:space="preserve">oral </w:t>
      </w:r>
      <w:r w:rsidR="00845492" w:rsidRPr="00B87870">
        <w:rPr>
          <w:rFonts w:cs="Arial"/>
          <w:bCs/>
        </w:rPr>
        <w:t xml:space="preserve">doses of 6, 30 and 60 mg/kg/day found no evidence of tumorigenesis associated with </w:t>
      </w:r>
      <w:proofErr w:type="spellStart"/>
      <w:r w:rsidR="00845492" w:rsidRPr="00B87870">
        <w:rPr>
          <w:rFonts w:cs="Arial"/>
          <w:bCs/>
        </w:rPr>
        <w:t>modafinil</w:t>
      </w:r>
      <w:proofErr w:type="spellEnd"/>
      <w:r w:rsidR="00845492" w:rsidRPr="00B87870">
        <w:rPr>
          <w:rFonts w:cs="Arial"/>
          <w:bCs/>
        </w:rPr>
        <w:t xml:space="preserve"> </w:t>
      </w:r>
      <w:r w:rsidR="00845492" w:rsidRPr="00B87870">
        <w:rPr>
          <w:rFonts w:cs="Arial"/>
          <w:bCs/>
        </w:rPr>
        <w:lastRenderedPageBreak/>
        <w:t xml:space="preserve">administration. However, minimal toxicity was observed in the high dose group. These results indicate that the exposure of </w:t>
      </w:r>
      <w:proofErr w:type="spellStart"/>
      <w:r w:rsidR="00845492" w:rsidRPr="00B87870">
        <w:rPr>
          <w:rFonts w:cs="Arial"/>
          <w:bCs/>
        </w:rPr>
        <w:t>armodafinil</w:t>
      </w:r>
      <w:proofErr w:type="spellEnd"/>
      <w:r w:rsidR="00845492" w:rsidRPr="00B87870">
        <w:rPr>
          <w:rFonts w:cs="Arial"/>
          <w:bCs/>
        </w:rPr>
        <w:t xml:space="preserve"> or </w:t>
      </w:r>
      <w:proofErr w:type="spellStart"/>
      <w:r w:rsidR="00845492" w:rsidRPr="00B87870">
        <w:rPr>
          <w:rFonts w:cs="Arial"/>
          <w:bCs/>
        </w:rPr>
        <w:t>modafinil</w:t>
      </w:r>
      <w:proofErr w:type="spellEnd"/>
      <w:r w:rsidR="00845492" w:rsidRPr="00B87870">
        <w:rPr>
          <w:rFonts w:cs="Arial"/>
          <w:bCs/>
        </w:rPr>
        <w:t xml:space="preserve"> was insufficient to adequately assess carcinogenic potential. </w:t>
      </w:r>
      <w:r w:rsidR="00845492" w:rsidRPr="00B87870">
        <w:rPr>
          <w:rFonts w:cs="Arial"/>
        </w:rPr>
        <w:t xml:space="preserve"> </w:t>
      </w:r>
    </w:p>
    <w:p w:rsidR="00AD48A4" w:rsidRPr="001472C3" w:rsidRDefault="00E7581B" w:rsidP="003D3714">
      <w:pPr>
        <w:autoSpaceDE w:val="0"/>
        <w:autoSpaceDN w:val="0"/>
        <w:adjustRightInd w:val="0"/>
        <w:rPr>
          <w:rFonts w:cs="Arial"/>
          <w:b/>
        </w:rPr>
      </w:pPr>
      <w:r w:rsidRPr="00B87870">
        <w:rPr>
          <w:rFonts w:cs="Arial"/>
          <w:b/>
          <w:iCs/>
        </w:rPr>
        <w:t>Effects on fertility</w:t>
      </w:r>
      <w:r w:rsidR="00A87A87">
        <w:rPr>
          <w:rFonts w:cs="Arial"/>
          <w:b/>
          <w:iCs/>
        </w:rPr>
        <w:t xml:space="preserve"> </w:t>
      </w:r>
    </w:p>
    <w:p w:rsidR="00AF358B" w:rsidRPr="001472C3" w:rsidRDefault="00AF358B" w:rsidP="00042511">
      <w:pPr>
        <w:jc w:val="both"/>
      </w:pPr>
      <w:r w:rsidRPr="001472C3">
        <w:t xml:space="preserve">A fertility and early embryonic development (to implantation) study was not conducted with </w:t>
      </w:r>
      <w:proofErr w:type="spellStart"/>
      <w:r w:rsidRPr="001472C3">
        <w:t>armodafinil</w:t>
      </w:r>
      <w:proofErr w:type="spellEnd"/>
      <w:r w:rsidRPr="001472C3">
        <w:t xml:space="preserve"> alone. </w:t>
      </w:r>
    </w:p>
    <w:p w:rsidR="00AF358B" w:rsidRPr="001472C3" w:rsidRDefault="00AF358B" w:rsidP="00042511">
      <w:pPr>
        <w:jc w:val="both"/>
      </w:pPr>
      <w:r w:rsidRPr="001472C3">
        <w:t xml:space="preserve">Oral administration of </w:t>
      </w:r>
      <w:proofErr w:type="spellStart"/>
      <w:r w:rsidRPr="001472C3">
        <w:t>modafinil</w:t>
      </w:r>
      <w:proofErr w:type="spellEnd"/>
      <w:r w:rsidRPr="001472C3">
        <w:t xml:space="preserve"> (doses of up to 480 mg/kg/day) to male and female rats prior to and throughout </w:t>
      </w:r>
      <w:r w:rsidR="00BD17DE" w:rsidRPr="001472C3">
        <w:t>mating</w:t>
      </w:r>
      <w:r w:rsidRPr="001472C3">
        <w:t xml:space="preserve"> and continuing in females through day 7 of gestation</w:t>
      </w:r>
      <w:r w:rsidR="00E7581B">
        <w:t xml:space="preserve"> </w:t>
      </w:r>
      <w:r w:rsidR="00E7581B" w:rsidRPr="00560087">
        <w:t>(implantation) had no adverse effect on</w:t>
      </w:r>
      <w:r w:rsidRPr="00560087">
        <w:t xml:space="preserve"> fertility or reproductive parameters</w:t>
      </w:r>
      <w:r w:rsidR="00C95780" w:rsidRPr="00560087">
        <w:t>, apart from an increase in time to mate at the highest dose</w:t>
      </w:r>
      <w:r w:rsidRPr="00560087">
        <w:t xml:space="preserve">. The no-effect dose </w:t>
      </w:r>
      <w:r w:rsidR="00C95780" w:rsidRPr="00560087">
        <w:t xml:space="preserve">for effects on fertility </w:t>
      </w:r>
      <w:r w:rsidRPr="00560087">
        <w:t xml:space="preserve">of </w:t>
      </w:r>
      <w:r w:rsidR="00C95780" w:rsidRPr="00560087">
        <w:t xml:space="preserve">480 </w:t>
      </w:r>
      <w:r w:rsidRPr="00560087">
        <w:t xml:space="preserve">mg/kg/day was associated with a </w:t>
      </w:r>
      <w:proofErr w:type="spellStart"/>
      <w:r w:rsidR="00C95780" w:rsidRPr="00560087">
        <w:t>modafinil</w:t>
      </w:r>
      <w:proofErr w:type="spellEnd"/>
      <w:r w:rsidR="00C95780" w:rsidRPr="00560087">
        <w:t xml:space="preserve"> exposure (plasma AUC) about twice </w:t>
      </w:r>
      <w:proofErr w:type="gramStart"/>
      <w:r w:rsidR="00D17063" w:rsidRPr="00560087">
        <w:t>that in humans</w:t>
      </w:r>
      <w:proofErr w:type="gramEnd"/>
      <w:r w:rsidR="00D17063" w:rsidRPr="00560087">
        <w:t xml:space="preserve"> at the MHRD.</w:t>
      </w:r>
      <w:r w:rsidR="00D17063" w:rsidRPr="001472C3">
        <w:t xml:space="preserve"> </w:t>
      </w:r>
    </w:p>
    <w:p w:rsidR="00AF358B" w:rsidRPr="001472C3" w:rsidRDefault="00AF358B" w:rsidP="003D3714">
      <w:pPr>
        <w:jc w:val="both"/>
        <w:rPr>
          <w:b/>
        </w:rPr>
      </w:pPr>
      <w:r w:rsidRPr="001472C3">
        <w:rPr>
          <w:b/>
        </w:rPr>
        <w:t>Use in Pregnancy (Category B3)</w:t>
      </w:r>
    </w:p>
    <w:p w:rsidR="00AF358B" w:rsidRPr="001472C3" w:rsidRDefault="00D06531" w:rsidP="001E3A4A">
      <w:pPr>
        <w:jc w:val="both"/>
      </w:pPr>
      <w:proofErr w:type="spellStart"/>
      <w:r w:rsidRPr="00560087">
        <w:rPr>
          <w:rFonts w:cs="Arial"/>
        </w:rPr>
        <w:t>Modafinil</w:t>
      </w:r>
      <w:proofErr w:type="spellEnd"/>
      <w:r w:rsidRPr="00560087">
        <w:rPr>
          <w:rFonts w:cs="Arial"/>
        </w:rPr>
        <w:t xml:space="preserve"> and/or its metabolites cross the placenta in rats, but placental transfer of </w:t>
      </w:r>
      <w:proofErr w:type="spellStart"/>
      <w:r w:rsidRPr="00560087">
        <w:rPr>
          <w:rFonts w:cs="Arial"/>
        </w:rPr>
        <w:t>armodafinil</w:t>
      </w:r>
      <w:proofErr w:type="spellEnd"/>
      <w:r w:rsidRPr="00560087">
        <w:rPr>
          <w:rFonts w:cs="Arial"/>
        </w:rPr>
        <w:t xml:space="preserve"> </w:t>
      </w:r>
      <w:r w:rsidRPr="00560087">
        <w:rPr>
          <w:rFonts w:cs="Arial"/>
          <w:i/>
        </w:rPr>
        <w:t xml:space="preserve">per </w:t>
      </w:r>
      <w:r w:rsidRPr="00560087">
        <w:rPr>
          <w:rFonts w:cs="Arial"/>
        </w:rPr>
        <w:t xml:space="preserve">se has not been studied. </w:t>
      </w:r>
      <w:r w:rsidR="00AF358B" w:rsidRPr="00560087">
        <w:rPr>
          <w:rFonts w:cs="Arial"/>
        </w:rPr>
        <w:t xml:space="preserve">In studies </w:t>
      </w:r>
      <w:r w:rsidR="00C23909" w:rsidRPr="00560087">
        <w:rPr>
          <w:rFonts w:cs="Arial"/>
        </w:rPr>
        <w:t xml:space="preserve">of </w:t>
      </w:r>
      <w:proofErr w:type="spellStart"/>
      <w:r w:rsidR="00C23909" w:rsidRPr="00560087">
        <w:rPr>
          <w:rFonts w:cs="Arial"/>
        </w:rPr>
        <w:t>armodafinil</w:t>
      </w:r>
      <w:proofErr w:type="spellEnd"/>
      <w:r w:rsidR="00C23909" w:rsidRPr="00560087">
        <w:t xml:space="preserve"> </w:t>
      </w:r>
      <w:r w:rsidR="001B1AED">
        <w:t>[</w:t>
      </w:r>
      <w:r w:rsidR="00CA7A56" w:rsidRPr="00560087">
        <w:t>(</w:t>
      </w:r>
      <w:r w:rsidR="00C23909" w:rsidRPr="00560087">
        <w:rPr>
          <w:i/>
        </w:rPr>
        <w:t>R</w:t>
      </w:r>
      <w:r w:rsidR="00CA7A56" w:rsidRPr="00560087">
        <w:t>)</w:t>
      </w:r>
      <w:r w:rsidR="00C23909" w:rsidRPr="00560087">
        <w:t>-</w:t>
      </w:r>
      <w:proofErr w:type="spellStart"/>
      <w:r w:rsidR="00C23909" w:rsidRPr="00560087">
        <w:t>modafinil</w:t>
      </w:r>
      <w:proofErr w:type="spellEnd"/>
      <w:r w:rsidR="001E3A4A">
        <w:t>]</w:t>
      </w:r>
      <w:r w:rsidR="001E3A4A" w:rsidRPr="00560087">
        <w:t xml:space="preserve"> </w:t>
      </w:r>
      <w:r w:rsidR="00C23909" w:rsidRPr="00560087">
        <w:t xml:space="preserve">and </w:t>
      </w:r>
      <w:proofErr w:type="spellStart"/>
      <w:r w:rsidR="00C23909" w:rsidRPr="00560087">
        <w:t>modafinil</w:t>
      </w:r>
      <w:proofErr w:type="spellEnd"/>
      <w:r w:rsidR="00C23909" w:rsidRPr="00560087">
        <w:t xml:space="preserve"> </w:t>
      </w:r>
      <w:r w:rsidR="001E3A4A">
        <w:t>[</w:t>
      </w:r>
      <w:r w:rsidR="00C23909" w:rsidRPr="00560087">
        <w:t xml:space="preserve">a mixture of </w:t>
      </w:r>
      <w:r w:rsidR="00CA7A56" w:rsidRPr="00560087">
        <w:t>(</w:t>
      </w:r>
      <w:r w:rsidR="00C23909" w:rsidRPr="00560087">
        <w:rPr>
          <w:i/>
        </w:rPr>
        <w:t>R</w:t>
      </w:r>
      <w:proofErr w:type="gramStart"/>
      <w:r w:rsidR="00CA7A56" w:rsidRPr="00560087">
        <w:t>)</w:t>
      </w:r>
      <w:r w:rsidR="00C23909" w:rsidRPr="00560087">
        <w:t>-</w:t>
      </w:r>
      <w:proofErr w:type="gramEnd"/>
      <w:r w:rsidR="00C23909" w:rsidRPr="00560087">
        <w:t xml:space="preserve"> and </w:t>
      </w:r>
      <w:r w:rsidR="00CA7A56" w:rsidRPr="00560087">
        <w:t>(</w:t>
      </w:r>
      <w:r w:rsidR="00C23909" w:rsidRPr="00560087">
        <w:rPr>
          <w:i/>
        </w:rPr>
        <w:t>S</w:t>
      </w:r>
      <w:r w:rsidR="00CA7A56" w:rsidRPr="00560087">
        <w:t>)</w:t>
      </w:r>
      <w:r w:rsidR="00C23909" w:rsidRPr="00560087">
        <w:t>-</w:t>
      </w:r>
      <w:proofErr w:type="spellStart"/>
      <w:r w:rsidR="00C23909" w:rsidRPr="00560087">
        <w:t>modafinil</w:t>
      </w:r>
      <w:proofErr w:type="spellEnd"/>
      <w:r w:rsidR="001B1AED">
        <w:t>]</w:t>
      </w:r>
      <w:r w:rsidR="00C23909" w:rsidRPr="00560087">
        <w:t xml:space="preserve"> </w:t>
      </w:r>
      <w:r w:rsidR="00AF358B" w:rsidRPr="00560087">
        <w:t>con</w:t>
      </w:r>
      <w:r w:rsidR="00AF358B" w:rsidRPr="001472C3">
        <w:t>ducted in rats (</w:t>
      </w:r>
      <w:proofErr w:type="spellStart"/>
      <w:r w:rsidR="00AF358B" w:rsidRPr="001472C3">
        <w:t>armodafinil</w:t>
      </w:r>
      <w:proofErr w:type="spellEnd"/>
      <w:r w:rsidR="00AF358B" w:rsidRPr="001472C3">
        <w:t xml:space="preserve">, </w:t>
      </w:r>
      <w:proofErr w:type="spellStart"/>
      <w:r w:rsidR="00AF358B" w:rsidRPr="001472C3">
        <w:t>modafinil</w:t>
      </w:r>
      <w:proofErr w:type="spellEnd"/>
      <w:r w:rsidR="00AF358B" w:rsidRPr="001472C3">
        <w:t>) and rabbits (</w:t>
      </w:r>
      <w:proofErr w:type="spellStart"/>
      <w:r w:rsidR="00AF358B" w:rsidRPr="001472C3">
        <w:t>modafinil</w:t>
      </w:r>
      <w:proofErr w:type="spellEnd"/>
      <w:r w:rsidR="00AF358B" w:rsidRPr="001472C3">
        <w:t xml:space="preserve">), developmental toxicity was observed at clinically relevant </w:t>
      </w:r>
      <w:r w:rsidR="006B3043">
        <w:t xml:space="preserve">plasma </w:t>
      </w:r>
      <w:r w:rsidR="00AF358B" w:rsidRPr="001472C3">
        <w:t xml:space="preserve">exposures. </w:t>
      </w:r>
    </w:p>
    <w:p w:rsidR="00AF358B" w:rsidRPr="001472C3" w:rsidRDefault="00AF358B" w:rsidP="001B1AED">
      <w:pPr>
        <w:jc w:val="both"/>
      </w:pPr>
      <w:r w:rsidRPr="001472C3">
        <w:t xml:space="preserve">Oral administration of </w:t>
      </w:r>
      <w:proofErr w:type="spellStart"/>
      <w:r w:rsidRPr="001472C3">
        <w:t>armodafinil</w:t>
      </w:r>
      <w:proofErr w:type="spellEnd"/>
      <w:r w:rsidRPr="001472C3">
        <w:t xml:space="preserve"> (60, 200, or 600 mg/kg/day) to pregnant rats throughout organogenesis resulted in increased incidences of </w:t>
      </w:r>
      <w:proofErr w:type="spellStart"/>
      <w:r w:rsidR="001D5191">
        <w:t>fetal</w:t>
      </w:r>
      <w:proofErr w:type="spellEnd"/>
      <w:r w:rsidR="001D5191" w:rsidRPr="001472C3">
        <w:t xml:space="preserve"> </w:t>
      </w:r>
      <w:r w:rsidRPr="001472C3">
        <w:t xml:space="preserve">visceral and skeletal variations and decreased </w:t>
      </w:r>
      <w:proofErr w:type="spellStart"/>
      <w:r w:rsidR="00D5101B">
        <w:t>fetal</w:t>
      </w:r>
      <w:proofErr w:type="spellEnd"/>
      <w:r w:rsidR="00D5101B" w:rsidRPr="001472C3">
        <w:t xml:space="preserve"> </w:t>
      </w:r>
      <w:r w:rsidRPr="001472C3">
        <w:t>body weights</w:t>
      </w:r>
      <w:r w:rsidR="00FC34AB">
        <w:t xml:space="preserve"> at the highest dose. The highest no-effect dose for </w:t>
      </w:r>
      <w:proofErr w:type="spellStart"/>
      <w:r w:rsidR="00FC34AB">
        <w:t>embryof</w:t>
      </w:r>
      <w:r w:rsidR="00D5101B">
        <w:t>etal</w:t>
      </w:r>
      <w:proofErr w:type="spellEnd"/>
      <w:r w:rsidR="00FC34AB">
        <w:t xml:space="preserve"> </w:t>
      </w:r>
      <w:r w:rsidR="001E33F5">
        <w:t xml:space="preserve">developmental toxicity in rat </w:t>
      </w:r>
      <w:r w:rsidRPr="001E33F5">
        <w:t xml:space="preserve">was associated with a plasma </w:t>
      </w:r>
      <w:proofErr w:type="spellStart"/>
      <w:r w:rsidRPr="001E33F5">
        <w:t>armodafinil</w:t>
      </w:r>
      <w:proofErr w:type="spellEnd"/>
      <w:r w:rsidRPr="001E33F5">
        <w:t xml:space="preserve"> exposure (AUC) </w:t>
      </w:r>
      <w:r w:rsidR="005337BC" w:rsidRPr="001E33F5">
        <w:t xml:space="preserve">less </w:t>
      </w:r>
      <w:proofErr w:type="gramStart"/>
      <w:r w:rsidR="005337BC" w:rsidRPr="001E33F5">
        <w:t xml:space="preserve">than </w:t>
      </w:r>
      <w:r w:rsidR="00FF0983" w:rsidRPr="00560087">
        <w:t xml:space="preserve"> </w:t>
      </w:r>
      <w:r w:rsidR="005337BC" w:rsidRPr="00560087">
        <w:t>that</w:t>
      </w:r>
      <w:proofErr w:type="gramEnd"/>
      <w:r w:rsidR="005337BC" w:rsidRPr="00560087">
        <w:t xml:space="preserve"> </w:t>
      </w:r>
      <w:r w:rsidRPr="00560087">
        <w:t xml:space="preserve">in humans at the </w:t>
      </w:r>
      <w:r w:rsidR="005337BC" w:rsidRPr="00560087">
        <w:t xml:space="preserve">MRHD </w:t>
      </w:r>
      <w:r w:rsidRPr="00560087">
        <w:t xml:space="preserve">of </w:t>
      </w:r>
      <w:r w:rsidR="005337BC" w:rsidRPr="00560087">
        <w:t>NUVIGIL</w:t>
      </w:r>
      <w:r w:rsidR="00DD09CB" w:rsidRPr="00560087">
        <w:rPr>
          <w:rFonts w:cs="Arial"/>
          <w:vertAlign w:val="superscript"/>
        </w:rPr>
        <w:t>®</w:t>
      </w:r>
      <w:r w:rsidR="005337BC" w:rsidRPr="00560087">
        <w:t xml:space="preserve"> (</w:t>
      </w:r>
      <w:r w:rsidRPr="00560087">
        <w:t>250 mg</w:t>
      </w:r>
      <w:r w:rsidR="005337BC" w:rsidRPr="00560087">
        <w:t>/day)</w:t>
      </w:r>
      <w:r w:rsidRPr="00560087">
        <w:t>.</w:t>
      </w:r>
      <w:r w:rsidRPr="001472C3">
        <w:t xml:space="preserve"> </w:t>
      </w:r>
    </w:p>
    <w:p w:rsidR="005337BC" w:rsidRPr="00560087" w:rsidRDefault="00FF0983" w:rsidP="00042511">
      <w:pPr>
        <w:jc w:val="both"/>
      </w:pPr>
      <w:r w:rsidRPr="001E33F5">
        <w:t xml:space="preserve">Similarly, </w:t>
      </w:r>
      <w:proofErr w:type="spellStart"/>
      <w:r w:rsidRPr="001E33F5">
        <w:t>m</w:t>
      </w:r>
      <w:r w:rsidR="00AF358B" w:rsidRPr="001472C3">
        <w:t>odafinil</w:t>
      </w:r>
      <w:proofErr w:type="spellEnd"/>
      <w:r w:rsidR="00AF358B" w:rsidRPr="001472C3">
        <w:t xml:space="preserve"> (50, 100, or 200 mg/kg/day) administered orally to pregnant rats throughout organogenesis caused, in the absence of maternal toxicity, an increase in resorptions and an increased incidence of visceral and skeletal variations in the offspring at the highest dose</w:t>
      </w:r>
      <w:r w:rsidR="005A1453">
        <w:t xml:space="preserve"> tested</w:t>
      </w:r>
      <w:r w:rsidR="00AF358B" w:rsidRPr="001472C3">
        <w:t xml:space="preserve">. </w:t>
      </w:r>
      <w:r w:rsidR="003E7A55">
        <w:t xml:space="preserve">The higher no-effect dose for </w:t>
      </w:r>
      <w:proofErr w:type="spellStart"/>
      <w:r w:rsidR="003E7A55">
        <w:t>embryofetal</w:t>
      </w:r>
      <w:proofErr w:type="spellEnd"/>
      <w:r w:rsidR="003E7A55">
        <w:t xml:space="preserve"> developmental toxicity in rats (100 mg/kg/day) was associated with a plasma </w:t>
      </w:r>
      <w:proofErr w:type="spellStart"/>
      <w:r w:rsidR="003E7A55">
        <w:t>armodafinil</w:t>
      </w:r>
      <w:proofErr w:type="spellEnd"/>
      <w:r w:rsidR="003E7A55">
        <w:t xml:space="preserve"> AUC less than that in humans at the MRHD of </w:t>
      </w:r>
      <w:r w:rsidR="003E7A55" w:rsidRPr="001472C3">
        <w:t>NUVIGIL</w:t>
      </w:r>
      <w:r w:rsidR="003E7A55" w:rsidRPr="001472C3">
        <w:rPr>
          <w:rFonts w:cs="Arial"/>
          <w:bCs/>
          <w:vertAlign w:val="superscript"/>
        </w:rPr>
        <w:t>®</w:t>
      </w:r>
      <w:r w:rsidR="003E7A55">
        <w:t xml:space="preserve">. </w:t>
      </w:r>
      <w:r w:rsidR="00D130F3" w:rsidRPr="00560087">
        <w:t>I</w:t>
      </w:r>
      <w:r w:rsidR="00AF358B" w:rsidRPr="00560087">
        <w:t>n a subsequent study of up to 480 mg/kg/day</w:t>
      </w:r>
      <w:r w:rsidR="005A1453" w:rsidRPr="00560087">
        <w:t xml:space="preserve"> of </w:t>
      </w:r>
      <w:proofErr w:type="spellStart"/>
      <w:r w:rsidR="005A1453" w:rsidRPr="00560087">
        <w:t>modafinil</w:t>
      </w:r>
      <w:proofErr w:type="spellEnd"/>
      <w:r w:rsidR="005A1453" w:rsidRPr="00560087">
        <w:t>,</w:t>
      </w:r>
      <w:r w:rsidR="00AF358B" w:rsidRPr="00560087">
        <w:t xml:space="preserve"> no adverse effects on </w:t>
      </w:r>
      <w:proofErr w:type="spellStart"/>
      <w:r w:rsidR="00AF358B" w:rsidRPr="00560087">
        <w:t>embryofetal</w:t>
      </w:r>
      <w:proofErr w:type="spellEnd"/>
      <w:r w:rsidR="00AF358B" w:rsidRPr="00560087">
        <w:t xml:space="preserve"> development were observed. </w:t>
      </w:r>
    </w:p>
    <w:p w:rsidR="00AF358B" w:rsidRPr="003E7A55" w:rsidRDefault="00BC6062" w:rsidP="00042511">
      <w:pPr>
        <w:jc w:val="both"/>
      </w:pPr>
      <w:r w:rsidRPr="00560087">
        <w:t>I</w:t>
      </w:r>
      <w:r w:rsidR="00AF358B" w:rsidRPr="00560087">
        <w:t xml:space="preserve">n pregnant rabbits, the incidences of </w:t>
      </w:r>
      <w:proofErr w:type="spellStart"/>
      <w:r w:rsidR="00E46C79">
        <w:t>fetal</w:t>
      </w:r>
      <w:proofErr w:type="spellEnd"/>
      <w:r w:rsidR="00E46C79" w:rsidRPr="00560087">
        <w:t xml:space="preserve"> </w:t>
      </w:r>
      <w:r w:rsidR="00AF358B" w:rsidRPr="00560087">
        <w:t xml:space="preserve">structural alterations and </w:t>
      </w:r>
      <w:proofErr w:type="spellStart"/>
      <w:r w:rsidR="00AF358B" w:rsidRPr="00560087">
        <w:t>embryofetal</w:t>
      </w:r>
      <w:proofErr w:type="spellEnd"/>
      <w:r w:rsidR="00AF358B" w:rsidRPr="00560087">
        <w:t xml:space="preserve"> death were increased at the highest dose</w:t>
      </w:r>
      <w:r w:rsidRPr="00560087">
        <w:t xml:space="preserve"> of 180 mg/kg/day </w:t>
      </w:r>
      <w:proofErr w:type="spellStart"/>
      <w:r w:rsidRPr="00560087">
        <w:t>modafinil</w:t>
      </w:r>
      <w:proofErr w:type="spellEnd"/>
      <w:r w:rsidR="00AF358B" w:rsidRPr="00560087">
        <w:t xml:space="preserve">. </w:t>
      </w:r>
      <w:r w:rsidR="003E7A55">
        <w:t xml:space="preserve">At the highest no-effect dose for developmental toxicity, plasma </w:t>
      </w:r>
      <w:proofErr w:type="spellStart"/>
      <w:r w:rsidR="003E7A55">
        <w:t>armodafinil</w:t>
      </w:r>
      <w:proofErr w:type="spellEnd"/>
      <w:r w:rsidR="003E7A55">
        <w:t xml:space="preserve"> AUC was less than that in humans at the MRHD of </w:t>
      </w:r>
      <w:r w:rsidR="003E7A55" w:rsidRPr="001472C3">
        <w:t>NUVIGIL</w:t>
      </w:r>
      <w:r w:rsidR="003E7A55" w:rsidRPr="001472C3">
        <w:rPr>
          <w:rFonts w:cs="Arial"/>
          <w:bCs/>
          <w:vertAlign w:val="superscript"/>
        </w:rPr>
        <w:t>®</w:t>
      </w:r>
      <w:r w:rsidR="003E7A55">
        <w:rPr>
          <w:rFonts w:cs="Arial"/>
          <w:bCs/>
        </w:rPr>
        <w:t>.</w:t>
      </w:r>
    </w:p>
    <w:p w:rsidR="00CD3B05" w:rsidRDefault="00AF358B" w:rsidP="00042511">
      <w:pPr>
        <w:jc w:val="both"/>
      </w:pPr>
      <w:proofErr w:type="spellStart"/>
      <w:r w:rsidRPr="00560087">
        <w:t>Modafinil</w:t>
      </w:r>
      <w:proofErr w:type="spellEnd"/>
      <w:r w:rsidRPr="00560087">
        <w:t xml:space="preserve"> administration to rats throughout gestation and lactation at oral doses of up to 200 mg/kg/day resulted in decreased viability in the offspring at doses greater than 20 mg/kg/day</w:t>
      </w:r>
      <w:r w:rsidR="003E7A55">
        <w:t xml:space="preserve">, a dose associated with plasma </w:t>
      </w:r>
      <w:proofErr w:type="spellStart"/>
      <w:r w:rsidR="003E7A55">
        <w:t>armodafinil</w:t>
      </w:r>
      <w:proofErr w:type="spellEnd"/>
      <w:r w:rsidR="003E7A55">
        <w:t xml:space="preserve"> AUC less than that in humans at the MRHD of </w:t>
      </w:r>
      <w:r w:rsidR="003E7A55" w:rsidRPr="001472C3">
        <w:t>NUVIGIL</w:t>
      </w:r>
      <w:r w:rsidR="003E7A55" w:rsidRPr="001472C3">
        <w:rPr>
          <w:rFonts w:cs="Arial"/>
          <w:bCs/>
          <w:vertAlign w:val="superscript"/>
        </w:rPr>
        <w:t>®</w:t>
      </w:r>
      <w:r w:rsidR="003E7A55">
        <w:rPr>
          <w:rFonts w:cs="Arial"/>
          <w:bCs/>
        </w:rPr>
        <w:t>.</w:t>
      </w:r>
      <w:r w:rsidRPr="00560087">
        <w:t xml:space="preserve"> No effects on postnatal developmental and neurobehavioral parameters were observed in surviving offspring.</w:t>
      </w:r>
      <w:r w:rsidRPr="001472C3">
        <w:t xml:space="preserve"> </w:t>
      </w:r>
    </w:p>
    <w:p w:rsidR="007B6DED" w:rsidRPr="00E46C79" w:rsidRDefault="0035392E" w:rsidP="0035392E">
      <w:pPr>
        <w:suppressLineNumbers/>
        <w:suppressAutoHyphens/>
      </w:pPr>
      <w:r w:rsidRPr="00C23909">
        <w:t xml:space="preserve">As there are no adequate and well-controlled trials with </w:t>
      </w:r>
      <w:r w:rsidR="00F83E1A" w:rsidRPr="00C23909">
        <w:rPr>
          <w:rFonts w:cs="Arial"/>
          <w:snapToGrid/>
          <w:szCs w:val="16"/>
          <w:lang w:eastAsia="en-AU"/>
        </w:rPr>
        <w:t>NUVIGIL</w:t>
      </w:r>
      <w:r w:rsidR="00F83E1A" w:rsidRPr="00C23909">
        <w:rPr>
          <w:rFonts w:cs="Arial"/>
          <w:snapToGrid/>
          <w:szCs w:val="16"/>
          <w:vertAlign w:val="superscript"/>
          <w:lang w:eastAsia="en-AU"/>
        </w:rPr>
        <w:t>®</w:t>
      </w:r>
      <w:r w:rsidRPr="00C23909">
        <w:t xml:space="preserve"> in pregnant women, it should be contraindicated during pregnancy.</w:t>
      </w:r>
      <w:r w:rsidRPr="001472C3">
        <w:t xml:space="preserve"> </w:t>
      </w:r>
      <w:r w:rsidR="007B6DED" w:rsidRPr="00407621">
        <w:rPr>
          <w:rFonts w:cs="Arial"/>
        </w:rPr>
        <w:t xml:space="preserve">Intrauterine growth restriction and spontaneous abortion has been reported in association with </w:t>
      </w:r>
      <w:proofErr w:type="spellStart"/>
      <w:r w:rsidR="007B6DED" w:rsidRPr="00407621">
        <w:rPr>
          <w:rFonts w:cs="Arial"/>
        </w:rPr>
        <w:t>armodafinil</w:t>
      </w:r>
      <w:proofErr w:type="spellEnd"/>
      <w:r w:rsidR="007B6DED" w:rsidRPr="00407621">
        <w:rPr>
          <w:rFonts w:cs="Arial"/>
        </w:rPr>
        <w:t xml:space="preserve"> and </w:t>
      </w:r>
      <w:proofErr w:type="spellStart"/>
      <w:r w:rsidR="007B6DED" w:rsidRPr="00F14208">
        <w:rPr>
          <w:rFonts w:cs="Arial"/>
        </w:rPr>
        <w:t>modafinil</w:t>
      </w:r>
      <w:proofErr w:type="spellEnd"/>
      <w:r w:rsidR="000D1D5C" w:rsidRPr="00F14208">
        <w:rPr>
          <w:rFonts w:cs="Arial"/>
        </w:rPr>
        <w:t xml:space="preserve"> in humans</w:t>
      </w:r>
      <w:r w:rsidR="007B6DED" w:rsidRPr="00F14208">
        <w:rPr>
          <w:rFonts w:cs="Arial"/>
        </w:rPr>
        <w:t>.</w:t>
      </w:r>
      <w:r w:rsidR="007B6DED" w:rsidRPr="00407621">
        <w:rPr>
          <w:rFonts w:cs="Arial"/>
        </w:rPr>
        <w:t xml:space="preserve"> Whether the cases reported with </w:t>
      </w:r>
      <w:proofErr w:type="spellStart"/>
      <w:r w:rsidR="007B6DED" w:rsidRPr="00407621">
        <w:rPr>
          <w:rFonts w:cs="Arial"/>
        </w:rPr>
        <w:t>armodafinil</w:t>
      </w:r>
      <w:proofErr w:type="spellEnd"/>
      <w:r w:rsidR="007B6DED" w:rsidRPr="00407621">
        <w:rPr>
          <w:rFonts w:cs="Arial"/>
        </w:rPr>
        <w:t xml:space="preserve"> are drug related is unknown. </w:t>
      </w:r>
    </w:p>
    <w:p w:rsidR="0017348B" w:rsidRPr="001472C3" w:rsidRDefault="0035392E" w:rsidP="003D3714">
      <w:pPr>
        <w:suppressLineNumbers/>
        <w:suppressAutoHyphens/>
      </w:pPr>
      <w:r w:rsidRPr="001472C3">
        <w:t xml:space="preserve">Patients should be cautioned regarding the potential increased risk of pregnancy when using steroidal contraceptives with </w:t>
      </w:r>
      <w:r w:rsidR="00F83E1A" w:rsidRPr="001472C3">
        <w:rPr>
          <w:rFonts w:cs="Arial"/>
          <w:snapToGrid/>
          <w:szCs w:val="16"/>
          <w:lang w:eastAsia="en-AU"/>
        </w:rPr>
        <w:t>NUVIGIL</w:t>
      </w:r>
      <w:r w:rsidR="00F83E1A" w:rsidRPr="001472C3">
        <w:rPr>
          <w:rFonts w:cs="Arial"/>
          <w:snapToGrid/>
          <w:szCs w:val="16"/>
          <w:vertAlign w:val="superscript"/>
          <w:lang w:eastAsia="en-AU"/>
        </w:rPr>
        <w:t>®</w:t>
      </w:r>
      <w:r w:rsidRPr="001472C3">
        <w:rPr>
          <w:b/>
          <w:sz w:val="24"/>
          <w:vertAlign w:val="superscript"/>
        </w:rPr>
        <w:t xml:space="preserve"> </w:t>
      </w:r>
      <w:r w:rsidRPr="001472C3">
        <w:t>and for one month after discontinuation of therapy (</w:t>
      </w:r>
      <w:r w:rsidR="00B72D1F" w:rsidRPr="001472C3">
        <w:t>S</w:t>
      </w:r>
      <w:r w:rsidR="003D3714" w:rsidRPr="001472C3">
        <w:t>ee INTERACTIONS WITH OTHER MEDICINES</w:t>
      </w:r>
      <w:r w:rsidRPr="001472C3">
        <w:t>).</w:t>
      </w:r>
    </w:p>
    <w:p w:rsidR="0017348B" w:rsidRPr="001472C3" w:rsidRDefault="0017348B" w:rsidP="00585E47">
      <w:pPr>
        <w:keepNext/>
        <w:jc w:val="both"/>
        <w:rPr>
          <w:b/>
        </w:rPr>
      </w:pPr>
      <w:r w:rsidRPr="001472C3">
        <w:rPr>
          <w:b/>
        </w:rPr>
        <w:lastRenderedPageBreak/>
        <w:t>Use in Lactation</w:t>
      </w:r>
    </w:p>
    <w:p w:rsidR="0017348B" w:rsidRPr="001472C3" w:rsidRDefault="0017348B" w:rsidP="0017348B">
      <w:pPr>
        <w:jc w:val="both"/>
      </w:pPr>
      <w:r w:rsidRPr="001472C3">
        <w:t xml:space="preserve">It is not known whether </w:t>
      </w:r>
      <w:proofErr w:type="spellStart"/>
      <w:r w:rsidRPr="001472C3">
        <w:t>armodafinil</w:t>
      </w:r>
      <w:proofErr w:type="spellEnd"/>
      <w:r w:rsidRPr="001472C3">
        <w:t xml:space="preserve"> or its metabolites are excreted in human milk. </w:t>
      </w:r>
      <w:proofErr w:type="spellStart"/>
      <w:r w:rsidR="00394543" w:rsidRPr="00F14208">
        <w:t>Modafinil</w:t>
      </w:r>
      <w:proofErr w:type="spellEnd"/>
      <w:r w:rsidR="00394543" w:rsidRPr="00F14208">
        <w:t xml:space="preserve"> and/or its metabolites</w:t>
      </w:r>
      <w:r w:rsidR="0073318A">
        <w:t xml:space="preserve"> including </w:t>
      </w:r>
      <w:proofErr w:type="spellStart"/>
      <w:r w:rsidR="0073318A">
        <w:t>modafinil</w:t>
      </w:r>
      <w:proofErr w:type="spellEnd"/>
      <w:r w:rsidR="0073318A">
        <w:t xml:space="preserve"> sulfone and </w:t>
      </w:r>
      <w:proofErr w:type="spellStart"/>
      <w:r w:rsidR="0073318A">
        <w:t>modafinil</w:t>
      </w:r>
      <w:proofErr w:type="spellEnd"/>
      <w:r w:rsidR="0073318A">
        <w:t xml:space="preserve"> acid </w:t>
      </w:r>
      <w:r w:rsidR="00394543" w:rsidRPr="00F14208">
        <w:t>have been found in the milk of lactating rats. B</w:t>
      </w:r>
      <w:r w:rsidR="00F83E1A" w:rsidRPr="00F14208">
        <w:t xml:space="preserve">reastfeeding is not recommended during administration of </w:t>
      </w:r>
      <w:r w:rsidRPr="00F14208">
        <w:t>NUVIGIL</w:t>
      </w:r>
      <w:r w:rsidR="001C1B74" w:rsidRPr="00F14208">
        <w:rPr>
          <w:rFonts w:cs="Arial"/>
          <w:vertAlign w:val="superscript"/>
        </w:rPr>
        <w:t>®</w:t>
      </w:r>
      <w:r w:rsidRPr="00F14208">
        <w:t>.</w:t>
      </w:r>
    </w:p>
    <w:p w:rsidR="00AF358B" w:rsidRPr="001472C3" w:rsidRDefault="0017348B" w:rsidP="003D3714">
      <w:pPr>
        <w:jc w:val="both"/>
        <w:rPr>
          <w:b/>
        </w:rPr>
      </w:pPr>
      <w:r w:rsidRPr="001472C3">
        <w:rPr>
          <w:b/>
        </w:rPr>
        <w:t>Abuse and Dependence Potential</w:t>
      </w:r>
    </w:p>
    <w:p w:rsidR="0017348B" w:rsidRPr="001472C3" w:rsidRDefault="0017348B" w:rsidP="00042511">
      <w:pPr>
        <w:jc w:val="both"/>
      </w:pPr>
      <w:r w:rsidRPr="001472C3">
        <w:t xml:space="preserve">Although the abuse potential of </w:t>
      </w:r>
      <w:proofErr w:type="spellStart"/>
      <w:r w:rsidRPr="001472C3">
        <w:t>armodafinil</w:t>
      </w:r>
      <w:proofErr w:type="spellEnd"/>
      <w:r w:rsidRPr="001472C3">
        <w:t xml:space="preserve"> has not been specifically studied, its abuse potential is likely to be similar to that of </w:t>
      </w:r>
      <w:proofErr w:type="spellStart"/>
      <w:r w:rsidRPr="001472C3">
        <w:t>modafinil</w:t>
      </w:r>
      <w:proofErr w:type="spellEnd"/>
      <w:r w:rsidR="00570763" w:rsidRPr="001472C3">
        <w:t>.</w:t>
      </w:r>
    </w:p>
    <w:p w:rsidR="0017348B" w:rsidRPr="001472C3" w:rsidRDefault="0017348B" w:rsidP="00042511">
      <w:pPr>
        <w:jc w:val="both"/>
      </w:pPr>
      <w:r w:rsidRPr="001472C3">
        <w:t xml:space="preserve">In humans, </w:t>
      </w:r>
      <w:proofErr w:type="spellStart"/>
      <w:r w:rsidRPr="001472C3">
        <w:t>modafinil</w:t>
      </w:r>
      <w:proofErr w:type="spellEnd"/>
      <w:r w:rsidRPr="001472C3">
        <w:t xml:space="preserve"> produces psychoactive and euphoric effects, alterations in mood, perception, thinking and feelings typical of other CNS stimulants. In </w:t>
      </w:r>
      <w:r w:rsidRPr="001472C3">
        <w:rPr>
          <w:i/>
        </w:rPr>
        <w:t>in vitro</w:t>
      </w:r>
      <w:r w:rsidRPr="001472C3">
        <w:t xml:space="preserve"> binding studies, </w:t>
      </w:r>
      <w:proofErr w:type="spellStart"/>
      <w:r w:rsidRPr="001472C3">
        <w:t>modafinil</w:t>
      </w:r>
      <w:proofErr w:type="spellEnd"/>
      <w:r w:rsidRPr="001472C3">
        <w:t xml:space="preserve"> binds to the dopamine reuptake site and causes an increase in extracellular dopamine, but no increase in dopamine release. </w:t>
      </w:r>
      <w:proofErr w:type="spellStart"/>
      <w:r w:rsidRPr="001472C3">
        <w:t>Modafinil</w:t>
      </w:r>
      <w:proofErr w:type="spellEnd"/>
      <w:r w:rsidRPr="001472C3">
        <w:t xml:space="preserve"> is reinforcing, as evidenced by its self-administration in monkeys previously trained to self-administer cocaine. In some studies, </w:t>
      </w:r>
      <w:proofErr w:type="spellStart"/>
      <w:r w:rsidRPr="001472C3">
        <w:t>modafinil</w:t>
      </w:r>
      <w:proofErr w:type="spellEnd"/>
      <w:r w:rsidRPr="001472C3">
        <w:t xml:space="preserve"> was also partially discriminated as stimulant-like. Physicians should follow patients closely, especially those with a history of drug and/or stimulant (e.g., methylphenidate, amphetamine, or cocaine) abuse. Patients should be observed for signs of misuse or abuse (e.g., </w:t>
      </w:r>
      <w:proofErr w:type="spellStart"/>
      <w:r w:rsidRPr="001472C3">
        <w:t>incrementation</w:t>
      </w:r>
      <w:proofErr w:type="spellEnd"/>
      <w:r w:rsidRPr="001472C3">
        <w:t xml:space="preserve"> of doses or drug-seeking behaviour). </w:t>
      </w:r>
    </w:p>
    <w:p w:rsidR="00E872A3" w:rsidRPr="001472C3" w:rsidRDefault="0017348B" w:rsidP="003D3714">
      <w:pPr>
        <w:jc w:val="both"/>
      </w:pPr>
      <w:r w:rsidRPr="001472C3">
        <w:t xml:space="preserve">The abuse potential of </w:t>
      </w:r>
      <w:proofErr w:type="spellStart"/>
      <w:r w:rsidRPr="001472C3">
        <w:t>modafinil</w:t>
      </w:r>
      <w:proofErr w:type="spellEnd"/>
      <w:r w:rsidRPr="001472C3">
        <w:t xml:space="preserve"> (200, 400, and 800 mg) was assessed relative to methylphenidate (45 and 90 mg) in an inpatient study in individuals experienced with drugs of abuse. Results from this clinical study demonstrated that </w:t>
      </w:r>
      <w:proofErr w:type="spellStart"/>
      <w:r w:rsidRPr="001472C3">
        <w:t>modafinil</w:t>
      </w:r>
      <w:proofErr w:type="spellEnd"/>
      <w:r w:rsidRPr="001472C3">
        <w:t xml:space="preserve"> produced psychoactive and euphoric effects and feelings consistent with other scheduled CNS stimulants (methylphenidate).</w:t>
      </w:r>
    </w:p>
    <w:p w:rsidR="00E872A3" w:rsidRPr="001472C3" w:rsidRDefault="00E872A3" w:rsidP="003D3714">
      <w:pPr>
        <w:jc w:val="both"/>
        <w:rPr>
          <w:b/>
        </w:rPr>
      </w:pPr>
      <w:r w:rsidRPr="001472C3">
        <w:rPr>
          <w:b/>
        </w:rPr>
        <w:t>Effect on laboratory tests</w:t>
      </w:r>
    </w:p>
    <w:p w:rsidR="0023741F" w:rsidRPr="00F33911" w:rsidRDefault="001C1B74" w:rsidP="003D3714">
      <w:pPr>
        <w:autoSpaceDE w:val="0"/>
        <w:autoSpaceDN w:val="0"/>
        <w:adjustRightInd w:val="0"/>
        <w:jc w:val="both"/>
        <w:rPr>
          <w:rFonts w:cs="Arial"/>
          <w:snapToGrid/>
          <w:szCs w:val="16"/>
          <w:lang w:eastAsia="en-AU"/>
        </w:rPr>
      </w:pPr>
      <w:r w:rsidRPr="001472C3">
        <w:rPr>
          <w:rFonts w:cs="Arial"/>
          <w:snapToGrid/>
          <w:szCs w:val="16"/>
          <w:lang w:eastAsia="en-AU"/>
        </w:rPr>
        <w:t xml:space="preserve">Clinical chemistry, </w:t>
      </w:r>
      <w:r w:rsidR="004F0ABC" w:rsidRPr="001472C3">
        <w:rPr>
          <w:rFonts w:cs="Arial"/>
          <w:snapToGrid/>
          <w:szCs w:val="16"/>
          <w:lang w:eastAsia="en-AU"/>
        </w:rPr>
        <w:t>haematology</w:t>
      </w:r>
      <w:r w:rsidRPr="001472C3">
        <w:rPr>
          <w:rFonts w:cs="Arial"/>
          <w:snapToGrid/>
          <w:szCs w:val="16"/>
          <w:lang w:eastAsia="en-AU"/>
        </w:rPr>
        <w:t>, and urinalysis parameters were</w:t>
      </w:r>
      <w:r w:rsidR="00CC2E74" w:rsidRPr="001472C3">
        <w:rPr>
          <w:rFonts w:asciiTheme="minorHAnsi" w:eastAsiaTheme="minorHAnsi" w:hAnsiTheme="minorHAnsi" w:cstheme="minorBidi"/>
          <w:snapToGrid/>
          <w:sz w:val="22"/>
          <w:szCs w:val="22"/>
          <w:lang w:val="en-GB"/>
        </w:rPr>
        <w:t xml:space="preserve"> </w:t>
      </w:r>
      <w:r w:rsidR="00CC2E74" w:rsidRPr="001472C3">
        <w:rPr>
          <w:rFonts w:cs="Arial"/>
          <w:snapToGrid/>
          <w:szCs w:val="16"/>
          <w:lang w:val="en-GB" w:eastAsia="en-AU"/>
        </w:rPr>
        <w:t>monitored in the studies</w:t>
      </w:r>
      <w:r w:rsidRPr="001472C3">
        <w:rPr>
          <w:rFonts w:cs="Arial"/>
          <w:snapToGrid/>
          <w:szCs w:val="16"/>
          <w:lang w:eastAsia="en-AU"/>
        </w:rPr>
        <w:t>. Mean plasma levels of</w:t>
      </w:r>
      <w:r w:rsidR="004F0ABC" w:rsidRPr="001472C3">
        <w:rPr>
          <w:rFonts w:cs="Arial"/>
          <w:snapToGrid/>
          <w:szCs w:val="16"/>
          <w:lang w:eastAsia="en-AU"/>
        </w:rPr>
        <w:t xml:space="preserve"> </w:t>
      </w:r>
      <w:r w:rsidRPr="001472C3">
        <w:rPr>
          <w:rFonts w:cs="Arial"/>
          <w:snapToGrid/>
          <w:szCs w:val="16"/>
          <w:lang w:eastAsia="en-AU"/>
        </w:rPr>
        <w:t xml:space="preserve">gamma </w:t>
      </w:r>
      <w:proofErr w:type="spellStart"/>
      <w:r w:rsidRPr="001472C3">
        <w:rPr>
          <w:rFonts w:cs="Arial"/>
          <w:snapToGrid/>
          <w:szCs w:val="16"/>
          <w:lang w:eastAsia="en-AU"/>
        </w:rPr>
        <w:t>glutamyltransferase</w:t>
      </w:r>
      <w:proofErr w:type="spellEnd"/>
      <w:r w:rsidRPr="001472C3">
        <w:rPr>
          <w:rFonts w:cs="Arial"/>
          <w:snapToGrid/>
          <w:szCs w:val="16"/>
          <w:lang w:eastAsia="en-AU"/>
        </w:rPr>
        <w:t xml:space="preserve"> (GGT) and alkaline phosphatase (AP) were found to be higher following </w:t>
      </w:r>
      <w:r w:rsidR="004F0ABC" w:rsidRPr="001472C3">
        <w:rPr>
          <w:rFonts w:cs="Arial"/>
          <w:snapToGrid/>
          <w:szCs w:val="16"/>
          <w:lang w:eastAsia="en-AU"/>
        </w:rPr>
        <w:t>a</w:t>
      </w:r>
      <w:r w:rsidRPr="001472C3">
        <w:rPr>
          <w:rFonts w:cs="Arial"/>
          <w:snapToGrid/>
          <w:szCs w:val="16"/>
          <w:lang w:eastAsia="en-AU"/>
        </w:rPr>
        <w:t>dministration</w:t>
      </w:r>
      <w:r w:rsidR="004F0ABC" w:rsidRPr="001472C3">
        <w:rPr>
          <w:rFonts w:cs="Arial"/>
          <w:snapToGrid/>
          <w:szCs w:val="16"/>
          <w:lang w:eastAsia="en-AU"/>
        </w:rPr>
        <w:t xml:space="preserve"> </w:t>
      </w:r>
      <w:r w:rsidRPr="001472C3">
        <w:rPr>
          <w:rFonts w:cs="Arial"/>
          <w:snapToGrid/>
          <w:szCs w:val="16"/>
          <w:lang w:eastAsia="en-AU"/>
        </w:rPr>
        <w:t>of NUVIGIL</w:t>
      </w:r>
      <w:r w:rsidR="004F0ABC" w:rsidRPr="001472C3">
        <w:rPr>
          <w:rFonts w:cs="Arial"/>
          <w:snapToGrid/>
          <w:szCs w:val="16"/>
          <w:vertAlign w:val="superscript"/>
          <w:lang w:eastAsia="en-AU"/>
        </w:rPr>
        <w:t>®</w:t>
      </w:r>
      <w:r w:rsidRPr="001472C3">
        <w:rPr>
          <w:rFonts w:cs="Arial"/>
          <w:snapToGrid/>
          <w:szCs w:val="16"/>
          <w:lang w:eastAsia="en-AU"/>
        </w:rPr>
        <w:t>, but not placebo. Few subjects, however, had GGT or AP elevations outside of the normal range. No</w:t>
      </w:r>
      <w:r w:rsidR="004F0ABC" w:rsidRPr="001472C3">
        <w:rPr>
          <w:rFonts w:cs="Arial"/>
          <w:snapToGrid/>
          <w:szCs w:val="16"/>
          <w:lang w:eastAsia="en-AU"/>
        </w:rPr>
        <w:t xml:space="preserve"> </w:t>
      </w:r>
      <w:r w:rsidRPr="001472C3">
        <w:rPr>
          <w:rFonts w:cs="Arial"/>
          <w:snapToGrid/>
          <w:szCs w:val="16"/>
          <w:lang w:eastAsia="en-AU"/>
        </w:rPr>
        <w:t>differences were apparent in alanine aminotransferase</w:t>
      </w:r>
      <w:r w:rsidR="00DD09CB">
        <w:rPr>
          <w:rFonts w:cs="Arial"/>
          <w:snapToGrid/>
          <w:szCs w:val="16"/>
          <w:lang w:eastAsia="en-AU"/>
        </w:rPr>
        <w:t xml:space="preserve"> </w:t>
      </w:r>
      <w:r w:rsidR="004F0ABC" w:rsidRPr="001472C3">
        <w:rPr>
          <w:rFonts w:cs="Arial"/>
          <w:snapToGrid/>
          <w:szCs w:val="16"/>
          <w:lang w:eastAsia="en-AU"/>
        </w:rPr>
        <w:t>(ALT)</w:t>
      </w:r>
      <w:r w:rsidRPr="001472C3">
        <w:rPr>
          <w:rFonts w:cs="Arial"/>
          <w:snapToGrid/>
          <w:szCs w:val="16"/>
          <w:lang w:eastAsia="en-AU"/>
        </w:rPr>
        <w:t>, aspartate aminotransferase</w:t>
      </w:r>
      <w:r w:rsidR="00DD09CB">
        <w:rPr>
          <w:rFonts w:cs="Arial"/>
          <w:snapToGrid/>
          <w:szCs w:val="16"/>
          <w:lang w:eastAsia="en-AU"/>
        </w:rPr>
        <w:t xml:space="preserve"> </w:t>
      </w:r>
      <w:r w:rsidR="004F0ABC" w:rsidRPr="001472C3">
        <w:rPr>
          <w:rFonts w:cs="Arial"/>
          <w:snapToGrid/>
          <w:szCs w:val="16"/>
          <w:lang w:eastAsia="en-AU"/>
        </w:rPr>
        <w:t>(AST)</w:t>
      </w:r>
      <w:r w:rsidRPr="001472C3">
        <w:rPr>
          <w:rFonts w:cs="Arial"/>
          <w:snapToGrid/>
          <w:szCs w:val="16"/>
          <w:lang w:eastAsia="en-AU"/>
        </w:rPr>
        <w:t>, total protein, albumin, or total</w:t>
      </w:r>
      <w:r w:rsidR="004F0ABC" w:rsidRPr="001472C3">
        <w:rPr>
          <w:rFonts w:cs="Arial"/>
          <w:snapToGrid/>
          <w:szCs w:val="16"/>
          <w:lang w:eastAsia="en-AU"/>
        </w:rPr>
        <w:t xml:space="preserve"> </w:t>
      </w:r>
      <w:r w:rsidRPr="001472C3">
        <w:rPr>
          <w:rFonts w:cs="Arial"/>
          <w:snapToGrid/>
          <w:szCs w:val="16"/>
          <w:lang w:eastAsia="en-AU"/>
        </w:rPr>
        <w:t>bilirubin, although there were rare cases of isolated elevations of AST and/or ALT. A single case of mild pancytopenia</w:t>
      </w:r>
      <w:r w:rsidR="004F0ABC" w:rsidRPr="001472C3">
        <w:rPr>
          <w:rFonts w:cs="Arial"/>
          <w:snapToGrid/>
          <w:szCs w:val="16"/>
          <w:lang w:eastAsia="en-AU"/>
        </w:rPr>
        <w:t xml:space="preserve"> </w:t>
      </w:r>
      <w:r w:rsidRPr="001472C3">
        <w:rPr>
          <w:rFonts w:cs="Arial"/>
          <w:snapToGrid/>
          <w:szCs w:val="16"/>
          <w:lang w:eastAsia="en-AU"/>
        </w:rPr>
        <w:t>was observed after 35-days of treatment and resolved with drug discontinuation. A small mean decrease from</w:t>
      </w:r>
      <w:r w:rsidR="004F0ABC" w:rsidRPr="001472C3">
        <w:rPr>
          <w:rFonts w:cs="Arial"/>
          <w:snapToGrid/>
          <w:szCs w:val="16"/>
          <w:lang w:eastAsia="en-AU"/>
        </w:rPr>
        <w:t xml:space="preserve"> </w:t>
      </w:r>
      <w:r w:rsidRPr="001472C3">
        <w:rPr>
          <w:rFonts w:cs="Arial"/>
          <w:snapToGrid/>
          <w:szCs w:val="16"/>
          <w:lang w:eastAsia="en-AU"/>
        </w:rPr>
        <w:t>baseline in serum uric acid compared to placebo was seen in clinical trials. The clinical significance of this finding</w:t>
      </w:r>
      <w:r w:rsidR="004F0ABC" w:rsidRPr="001472C3">
        <w:rPr>
          <w:rFonts w:cs="Arial"/>
          <w:snapToGrid/>
          <w:szCs w:val="16"/>
          <w:lang w:eastAsia="en-AU"/>
        </w:rPr>
        <w:t xml:space="preserve"> </w:t>
      </w:r>
      <w:r w:rsidRPr="001472C3">
        <w:rPr>
          <w:rFonts w:cs="Arial"/>
          <w:snapToGrid/>
          <w:szCs w:val="16"/>
          <w:lang w:eastAsia="en-AU"/>
        </w:rPr>
        <w:t>is unknown</w:t>
      </w:r>
      <w:r w:rsidR="004F0ABC" w:rsidRPr="001472C3">
        <w:rPr>
          <w:rFonts w:cs="Arial"/>
          <w:snapToGrid/>
          <w:szCs w:val="16"/>
          <w:lang w:eastAsia="en-AU"/>
        </w:rPr>
        <w:t>.</w:t>
      </w:r>
    </w:p>
    <w:p w:rsidR="00FE0C7C" w:rsidRDefault="00FE0C7C" w:rsidP="003D3714">
      <w:pPr>
        <w:autoSpaceDE w:val="0"/>
        <w:autoSpaceDN w:val="0"/>
        <w:adjustRightInd w:val="0"/>
        <w:jc w:val="both"/>
        <w:rPr>
          <w:rFonts w:cs="Arial"/>
          <w:b/>
          <w:snapToGrid/>
          <w:szCs w:val="16"/>
          <w:lang w:eastAsia="en-AU"/>
        </w:rPr>
      </w:pPr>
      <w:r>
        <w:rPr>
          <w:rFonts w:cs="Arial"/>
          <w:b/>
          <w:snapToGrid/>
          <w:szCs w:val="16"/>
          <w:lang w:eastAsia="en-AU"/>
        </w:rPr>
        <w:t>Paediatric Use</w:t>
      </w:r>
    </w:p>
    <w:p w:rsidR="00FE0C7C" w:rsidRPr="00FE0C7C" w:rsidRDefault="00FA5880" w:rsidP="00FE0C7C">
      <w:pPr>
        <w:jc w:val="both"/>
      </w:pPr>
      <w:r>
        <w:rPr>
          <w:rFonts w:cs="Arial"/>
          <w:snapToGrid/>
          <w:szCs w:val="16"/>
          <w:lang w:eastAsia="en-AU"/>
        </w:rPr>
        <w:t>There is a lack of either safety or efficacy data for use in paediatric populations</w:t>
      </w:r>
      <w:r w:rsidR="00912BA3">
        <w:rPr>
          <w:rFonts w:cs="Arial"/>
          <w:snapToGrid/>
          <w:szCs w:val="16"/>
          <w:lang w:eastAsia="en-AU"/>
        </w:rPr>
        <w:t xml:space="preserve"> </w:t>
      </w:r>
      <w:r w:rsidR="00912BA3" w:rsidDel="0025378F">
        <w:rPr>
          <w:rFonts w:cs="Arial"/>
          <w:snapToGrid/>
          <w:szCs w:val="16"/>
          <w:lang w:eastAsia="en-AU"/>
        </w:rPr>
        <w:t xml:space="preserve">(See </w:t>
      </w:r>
      <w:r w:rsidR="00912BA3" w:rsidRPr="00FE0C7C" w:rsidDel="0025378F">
        <w:t xml:space="preserve">Serious Rash, including </w:t>
      </w:r>
      <w:proofErr w:type="gramStart"/>
      <w:r w:rsidR="00912BA3" w:rsidRPr="00FE0C7C" w:rsidDel="0025378F">
        <w:t>Stevens-Johnson Syndrome</w:t>
      </w:r>
      <w:proofErr w:type="gramEnd"/>
      <w:r w:rsidR="00912BA3" w:rsidDel="0025378F">
        <w:t>)</w:t>
      </w:r>
      <w:r w:rsidR="00912BA3">
        <w:rPr>
          <w:rFonts w:cs="Arial"/>
          <w:snapToGrid/>
          <w:szCs w:val="16"/>
          <w:lang w:eastAsia="en-AU"/>
        </w:rPr>
        <w:t>.</w:t>
      </w:r>
      <w:r w:rsidR="00FE0C7C">
        <w:rPr>
          <w:rFonts w:cs="Arial"/>
          <w:snapToGrid/>
          <w:szCs w:val="16"/>
          <w:lang w:eastAsia="en-AU"/>
        </w:rPr>
        <w:t xml:space="preserve"> Serious rash has been seen in paediatric patients receiving </w:t>
      </w:r>
      <w:proofErr w:type="spellStart"/>
      <w:r w:rsidR="00FE0C7C">
        <w:rPr>
          <w:rFonts w:cs="Arial"/>
          <w:snapToGrid/>
          <w:szCs w:val="16"/>
          <w:lang w:eastAsia="en-AU"/>
        </w:rPr>
        <w:t>modafinil</w:t>
      </w:r>
      <w:proofErr w:type="spellEnd"/>
      <w:r w:rsidR="00FE0C7C">
        <w:t>.</w:t>
      </w:r>
    </w:p>
    <w:p w:rsidR="000D3291" w:rsidRPr="001472C3" w:rsidRDefault="000D3291" w:rsidP="003D3714">
      <w:pPr>
        <w:autoSpaceDE w:val="0"/>
        <w:autoSpaceDN w:val="0"/>
        <w:adjustRightInd w:val="0"/>
        <w:rPr>
          <w:rFonts w:cs="Arial"/>
          <w:b/>
        </w:rPr>
      </w:pPr>
      <w:r w:rsidRPr="001472C3">
        <w:rPr>
          <w:rFonts w:cs="Arial"/>
          <w:b/>
        </w:rPr>
        <w:t>Hepatic Impairment</w:t>
      </w:r>
    </w:p>
    <w:p w:rsidR="000D3291" w:rsidRPr="001472C3" w:rsidRDefault="00E110A4" w:rsidP="003D3714">
      <w:pPr>
        <w:autoSpaceDE w:val="0"/>
        <w:autoSpaceDN w:val="0"/>
        <w:adjustRightInd w:val="0"/>
        <w:rPr>
          <w:rFonts w:cs="Arial"/>
          <w:snapToGrid/>
          <w:lang w:eastAsia="en-AU"/>
        </w:rPr>
      </w:pPr>
      <w:r w:rsidRPr="001472C3">
        <w:rPr>
          <w:rFonts w:cs="Arial"/>
          <w:snapToGrid/>
          <w:lang w:eastAsia="en-AU"/>
        </w:rPr>
        <w:t>The dose of NUVIGIL</w:t>
      </w:r>
      <w:r w:rsidR="001A1A35" w:rsidRPr="001472C3">
        <w:rPr>
          <w:rFonts w:cs="Arial"/>
          <w:snapToGrid/>
          <w:szCs w:val="16"/>
          <w:vertAlign w:val="superscript"/>
          <w:lang w:eastAsia="en-AU"/>
        </w:rPr>
        <w:t>®</w:t>
      </w:r>
      <w:r w:rsidRPr="001472C3">
        <w:rPr>
          <w:rFonts w:cs="Arial"/>
          <w:snapToGrid/>
          <w:lang w:eastAsia="en-AU"/>
        </w:rPr>
        <w:t xml:space="preserve"> should be reduced in patients with severe hepatic impairment, with or without cirrhosis </w:t>
      </w:r>
      <w:r w:rsidR="000D3291" w:rsidRPr="001472C3">
        <w:rPr>
          <w:rFonts w:cs="Arial"/>
          <w:snapToGrid/>
          <w:lang w:eastAsia="en-AU"/>
        </w:rPr>
        <w:t>(</w:t>
      </w:r>
      <w:r w:rsidR="00B72D1F" w:rsidRPr="001472C3">
        <w:rPr>
          <w:rFonts w:cs="Arial"/>
          <w:snapToGrid/>
          <w:lang w:eastAsia="en-AU"/>
        </w:rPr>
        <w:t>S</w:t>
      </w:r>
      <w:r w:rsidR="000D3291" w:rsidRPr="001472C3">
        <w:rPr>
          <w:rFonts w:cs="Arial"/>
          <w:snapToGrid/>
          <w:lang w:eastAsia="en-AU"/>
        </w:rPr>
        <w:t xml:space="preserve">ee </w:t>
      </w:r>
      <w:r w:rsidR="00EF20BB" w:rsidRPr="001472C3">
        <w:rPr>
          <w:rFonts w:cs="Arial"/>
          <w:snapToGrid/>
          <w:lang w:eastAsia="en-AU"/>
        </w:rPr>
        <w:t>PHARMACOLOGY</w:t>
      </w:r>
      <w:r w:rsidR="00EF20BB" w:rsidRPr="001472C3">
        <w:t xml:space="preserve"> and </w:t>
      </w:r>
      <w:r w:rsidR="00CC0A2B" w:rsidRPr="001472C3">
        <w:t>DOSAGE AND ADMINISTRATION</w:t>
      </w:r>
      <w:r w:rsidR="000D3291" w:rsidRPr="001472C3">
        <w:rPr>
          <w:rFonts w:cs="Arial"/>
          <w:snapToGrid/>
          <w:lang w:eastAsia="en-AU"/>
        </w:rPr>
        <w:t xml:space="preserve">). </w:t>
      </w:r>
      <w:r w:rsidR="006D513D">
        <w:rPr>
          <w:rFonts w:cs="Arial"/>
          <w:snapToGrid/>
          <w:lang w:eastAsia="en-AU"/>
        </w:rPr>
        <w:t>There is a lack of data on dosing instruction for NUVIGIL (</w:t>
      </w:r>
      <w:proofErr w:type="spellStart"/>
      <w:r w:rsidR="006D513D">
        <w:rPr>
          <w:rFonts w:cs="Arial"/>
          <w:snapToGrid/>
          <w:lang w:eastAsia="en-AU"/>
        </w:rPr>
        <w:t>armodafinil</w:t>
      </w:r>
      <w:proofErr w:type="spellEnd"/>
      <w:r w:rsidR="006D513D">
        <w:rPr>
          <w:rFonts w:cs="Arial"/>
          <w:snapToGrid/>
          <w:lang w:eastAsia="en-AU"/>
        </w:rPr>
        <w:t xml:space="preserve">) specific to the degree of liver impairment. </w:t>
      </w:r>
    </w:p>
    <w:p w:rsidR="000D3291" w:rsidRPr="001472C3" w:rsidRDefault="000D3291" w:rsidP="003D3714">
      <w:pPr>
        <w:autoSpaceDE w:val="0"/>
        <w:autoSpaceDN w:val="0"/>
        <w:adjustRightInd w:val="0"/>
        <w:rPr>
          <w:rFonts w:cs="Arial"/>
          <w:b/>
          <w:snapToGrid/>
          <w:lang w:eastAsia="en-AU"/>
        </w:rPr>
      </w:pPr>
      <w:r w:rsidRPr="001472C3">
        <w:rPr>
          <w:rFonts w:cs="Arial"/>
          <w:b/>
          <w:snapToGrid/>
          <w:lang w:eastAsia="en-AU"/>
        </w:rPr>
        <w:t>Renal Impairment</w:t>
      </w:r>
    </w:p>
    <w:p w:rsidR="00F919A6" w:rsidRPr="001472C3" w:rsidRDefault="000D3291" w:rsidP="003D3714">
      <w:pPr>
        <w:autoSpaceDE w:val="0"/>
        <w:autoSpaceDN w:val="0"/>
        <w:adjustRightInd w:val="0"/>
        <w:rPr>
          <w:rFonts w:cs="Arial"/>
          <w:snapToGrid/>
          <w:lang w:eastAsia="en-AU"/>
        </w:rPr>
      </w:pPr>
      <w:r w:rsidRPr="001472C3">
        <w:rPr>
          <w:rFonts w:cs="Arial"/>
          <w:snapToGrid/>
          <w:lang w:eastAsia="en-AU"/>
        </w:rPr>
        <w:t xml:space="preserve">There is inadequate information to determine safety and efficacy </w:t>
      </w:r>
      <w:r w:rsidR="008E152D" w:rsidRPr="001472C3">
        <w:rPr>
          <w:rFonts w:cs="Arial"/>
          <w:snapToGrid/>
          <w:lang w:eastAsia="en-AU"/>
        </w:rPr>
        <w:t>of</w:t>
      </w:r>
      <w:r w:rsidR="00371176">
        <w:rPr>
          <w:rFonts w:cs="Arial"/>
          <w:snapToGrid/>
          <w:lang w:eastAsia="en-AU"/>
        </w:rPr>
        <w:t xml:space="preserve"> NUVIGIL (</w:t>
      </w:r>
      <w:proofErr w:type="spellStart"/>
      <w:r w:rsidR="00371176">
        <w:rPr>
          <w:rFonts w:cs="Arial"/>
          <w:snapToGrid/>
          <w:lang w:eastAsia="en-AU"/>
        </w:rPr>
        <w:t>armodafinil</w:t>
      </w:r>
      <w:proofErr w:type="spellEnd"/>
      <w:r w:rsidR="00371176">
        <w:rPr>
          <w:rFonts w:cs="Arial"/>
          <w:snapToGrid/>
          <w:lang w:eastAsia="en-AU"/>
        </w:rPr>
        <w:t xml:space="preserve">) </w:t>
      </w:r>
      <w:r w:rsidR="008E152D" w:rsidRPr="001472C3">
        <w:rPr>
          <w:rFonts w:cs="Arial"/>
          <w:snapToGrid/>
          <w:lang w:eastAsia="en-AU"/>
        </w:rPr>
        <w:t>dosing in patients with renal impairment</w:t>
      </w:r>
      <w:r w:rsidR="00BE2491">
        <w:rPr>
          <w:rFonts w:cs="Arial"/>
          <w:snapToGrid/>
          <w:lang w:eastAsia="en-AU"/>
        </w:rPr>
        <w:t>, mild, moderate or severe.</w:t>
      </w:r>
      <w:r w:rsidR="008E152D" w:rsidRPr="001472C3">
        <w:rPr>
          <w:rFonts w:cs="Arial"/>
          <w:snapToGrid/>
          <w:lang w:eastAsia="en-AU"/>
        </w:rPr>
        <w:t xml:space="preserve"> </w:t>
      </w:r>
      <w:proofErr w:type="gramStart"/>
      <w:r w:rsidR="008E152D" w:rsidRPr="001472C3">
        <w:rPr>
          <w:rFonts w:cs="Arial"/>
          <w:snapToGrid/>
          <w:lang w:eastAsia="en-AU"/>
        </w:rPr>
        <w:t>(</w:t>
      </w:r>
      <w:r w:rsidR="00B72D1F" w:rsidRPr="001472C3">
        <w:rPr>
          <w:rFonts w:cs="Arial"/>
          <w:snapToGrid/>
          <w:lang w:eastAsia="en-AU"/>
        </w:rPr>
        <w:t>S</w:t>
      </w:r>
      <w:r w:rsidR="008E152D" w:rsidRPr="001472C3">
        <w:rPr>
          <w:rFonts w:cs="Arial"/>
          <w:snapToGrid/>
          <w:lang w:eastAsia="en-AU"/>
        </w:rPr>
        <w:t xml:space="preserve">ee </w:t>
      </w:r>
      <w:r w:rsidR="00EF20BB" w:rsidRPr="001472C3">
        <w:rPr>
          <w:rFonts w:cs="Arial"/>
          <w:snapToGrid/>
          <w:lang w:eastAsia="en-AU"/>
        </w:rPr>
        <w:t>PHARMACOLOGY</w:t>
      </w:r>
      <w:r w:rsidR="00EF20BB" w:rsidRPr="001472C3">
        <w:t xml:space="preserve"> and DOSAGE AND ADMINISTRATION</w:t>
      </w:r>
      <w:r w:rsidR="008E152D" w:rsidRPr="001472C3">
        <w:rPr>
          <w:rFonts w:cs="Arial"/>
          <w:snapToGrid/>
          <w:lang w:eastAsia="en-AU"/>
        </w:rPr>
        <w:t>).</w:t>
      </w:r>
      <w:proofErr w:type="gramEnd"/>
    </w:p>
    <w:p w:rsidR="008E152D" w:rsidRPr="001472C3" w:rsidRDefault="008E152D" w:rsidP="003D3714">
      <w:pPr>
        <w:autoSpaceDE w:val="0"/>
        <w:autoSpaceDN w:val="0"/>
        <w:adjustRightInd w:val="0"/>
        <w:rPr>
          <w:rFonts w:cs="Arial"/>
          <w:b/>
          <w:snapToGrid/>
          <w:lang w:eastAsia="en-AU"/>
        </w:rPr>
      </w:pPr>
      <w:r w:rsidRPr="001472C3">
        <w:rPr>
          <w:rFonts w:cs="Arial"/>
          <w:b/>
          <w:snapToGrid/>
          <w:lang w:eastAsia="en-AU"/>
        </w:rPr>
        <w:t>Use in the Elderly</w:t>
      </w:r>
    </w:p>
    <w:p w:rsidR="00F919A6" w:rsidRPr="001472C3" w:rsidRDefault="008E152D" w:rsidP="00F919A6">
      <w:pPr>
        <w:autoSpaceDE w:val="0"/>
        <w:autoSpaceDN w:val="0"/>
        <w:adjustRightInd w:val="0"/>
        <w:spacing w:after="0"/>
        <w:rPr>
          <w:rFonts w:cs="Arial"/>
          <w:snapToGrid/>
          <w:lang w:eastAsia="en-AU"/>
        </w:rPr>
      </w:pPr>
      <w:r w:rsidRPr="001472C3">
        <w:rPr>
          <w:rFonts w:cs="Arial"/>
          <w:snapToGrid/>
          <w:lang w:eastAsia="en-AU"/>
        </w:rPr>
        <w:t xml:space="preserve">In elderly patients, elimination of </w:t>
      </w:r>
      <w:proofErr w:type="spellStart"/>
      <w:r w:rsidRPr="001472C3">
        <w:rPr>
          <w:rFonts w:cs="Arial"/>
          <w:snapToGrid/>
          <w:lang w:eastAsia="en-AU"/>
        </w:rPr>
        <w:t>armodafinil</w:t>
      </w:r>
      <w:proofErr w:type="spellEnd"/>
      <w:r w:rsidRPr="001472C3">
        <w:rPr>
          <w:rFonts w:cs="Arial"/>
          <w:snapToGrid/>
          <w:lang w:eastAsia="en-AU"/>
        </w:rPr>
        <w:t xml:space="preserve"> and </w:t>
      </w:r>
      <w:r w:rsidR="00F919A6" w:rsidRPr="001472C3">
        <w:rPr>
          <w:rFonts w:cs="Arial"/>
          <w:snapToGrid/>
          <w:lang w:eastAsia="en-AU"/>
        </w:rPr>
        <w:t xml:space="preserve">its metabolites may be reduced as a consequence of aging. </w:t>
      </w:r>
      <w:r w:rsidR="009E1107">
        <w:rPr>
          <w:rFonts w:cs="Arial"/>
          <w:snapToGrid/>
          <w:lang w:eastAsia="en-AU"/>
        </w:rPr>
        <w:t>Therefore, c</w:t>
      </w:r>
      <w:r w:rsidR="00F919A6" w:rsidRPr="001472C3">
        <w:rPr>
          <w:rFonts w:cs="Arial"/>
          <w:snapToGrid/>
          <w:lang w:eastAsia="en-AU"/>
        </w:rPr>
        <w:t>onsideration should be given to the use of lower doses</w:t>
      </w:r>
      <w:r w:rsidR="008A44DC" w:rsidRPr="001472C3">
        <w:rPr>
          <w:rFonts w:cs="Arial"/>
          <w:snapToGrid/>
          <w:lang w:eastAsia="en-AU"/>
        </w:rPr>
        <w:t xml:space="preserve"> and close monitoring</w:t>
      </w:r>
      <w:r w:rsidR="00F919A6" w:rsidRPr="001472C3">
        <w:rPr>
          <w:rFonts w:cs="Arial"/>
          <w:snapToGrid/>
          <w:lang w:eastAsia="en-AU"/>
        </w:rPr>
        <w:t xml:space="preserve"> in this population (</w:t>
      </w:r>
      <w:r w:rsidR="00B72D1F" w:rsidRPr="001472C3">
        <w:rPr>
          <w:rFonts w:cs="Arial"/>
          <w:snapToGrid/>
          <w:lang w:eastAsia="en-AU"/>
        </w:rPr>
        <w:t>S</w:t>
      </w:r>
      <w:r w:rsidR="00F919A6" w:rsidRPr="001472C3">
        <w:rPr>
          <w:rFonts w:cs="Arial"/>
          <w:snapToGrid/>
          <w:lang w:eastAsia="en-AU"/>
        </w:rPr>
        <w:t xml:space="preserve">ee </w:t>
      </w:r>
      <w:r w:rsidR="00CC0A2B" w:rsidRPr="001472C3">
        <w:t>DOSAGE AND ADMINISTRATION</w:t>
      </w:r>
      <w:r w:rsidR="00F919A6" w:rsidRPr="001472C3">
        <w:rPr>
          <w:rFonts w:cs="Arial"/>
          <w:snapToGrid/>
          <w:lang w:eastAsia="en-AU"/>
        </w:rPr>
        <w:t xml:space="preserve">). </w:t>
      </w:r>
    </w:p>
    <w:p w:rsidR="008E152D" w:rsidRPr="001472C3" w:rsidRDefault="008E152D" w:rsidP="001C1B74">
      <w:pPr>
        <w:autoSpaceDE w:val="0"/>
        <w:autoSpaceDN w:val="0"/>
        <w:adjustRightInd w:val="0"/>
        <w:spacing w:after="0"/>
        <w:rPr>
          <w:rFonts w:cs="Arial"/>
        </w:rPr>
      </w:pPr>
    </w:p>
    <w:p w:rsidR="00F24BB4" w:rsidRPr="001472C3" w:rsidRDefault="0028358D" w:rsidP="009E24D0">
      <w:pPr>
        <w:jc w:val="both"/>
        <w:rPr>
          <w:b/>
        </w:rPr>
      </w:pPr>
      <w:r w:rsidRPr="001472C3">
        <w:rPr>
          <w:b/>
        </w:rPr>
        <w:t>INTERACTIONS WITH OTHER MEDICINES</w:t>
      </w:r>
    </w:p>
    <w:p w:rsidR="00DB6306" w:rsidRPr="00DB6306" w:rsidRDefault="00DB6306" w:rsidP="002117F8">
      <w:pPr>
        <w:autoSpaceDE w:val="0"/>
        <w:autoSpaceDN w:val="0"/>
        <w:adjustRightInd w:val="0"/>
        <w:jc w:val="both"/>
        <w:rPr>
          <w:rFonts w:cs="Arial"/>
          <w:iCs/>
          <w:snapToGrid/>
          <w:lang w:eastAsia="en-AU"/>
        </w:rPr>
      </w:pPr>
      <w:r w:rsidRPr="006B1A0F">
        <w:rPr>
          <w:rFonts w:cs="Arial"/>
          <w:i/>
          <w:snapToGrid/>
          <w:lang w:eastAsia="en-AU"/>
        </w:rPr>
        <w:t>In vitro</w:t>
      </w:r>
      <w:r>
        <w:rPr>
          <w:rFonts w:cs="Arial"/>
          <w:iCs/>
          <w:snapToGrid/>
          <w:lang w:eastAsia="en-AU"/>
        </w:rPr>
        <w:t xml:space="preserve"> data demonstrated that </w:t>
      </w:r>
      <w:proofErr w:type="spellStart"/>
      <w:r>
        <w:rPr>
          <w:rFonts w:cs="Arial"/>
          <w:iCs/>
          <w:snapToGrid/>
          <w:lang w:eastAsia="en-AU"/>
        </w:rPr>
        <w:t>armodafinil</w:t>
      </w:r>
      <w:proofErr w:type="spellEnd"/>
      <w:r>
        <w:rPr>
          <w:rFonts w:cs="Arial"/>
          <w:iCs/>
          <w:snapToGrid/>
          <w:lang w:eastAsia="en-AU"/>
        </w:rPr>
        <w:t xml:space="preserve"> weakly induces CYP1A2 and possibly CYP3A activities in a concentration-related manner and that CYP2C19 activity is reversibly inhibited by </w:t>
      </w:r>
      <w:proofErr w:type="spellStart"/>
      <w:r>
        <w:rPr>
          <w:rFonts w:cs="Arial"/>
          <w:iCs/>
          <w:snapToGrid/>
          <w:lang w:eastAsia="en-AU"/>
        </w:rPr>
        <w:t>armodafinil</w:t>
      </w:r>
      <w:proofErr w:type="spellEnd"/>
      <w:r>
        <w:rPr>
          <w:rFonts w:cs="Arial"/>
          <w:iCs/>
          <w:snapToGrid/>
          <w:lang w:eastAsia="en-AU"/>
        </w:rPr>
        <w:t xml:space="preserve">. </w:t>
      </w:r>
      <w:r w:rsidR="000A1B18" w:rsidRPr="006B1A0F">
        <w:rPr>
          <w:rFonts w:cs="Arial"/>
          <w:i/>
          <w:snapToGrid/>
          <w:lang w:eastAsia="en-AU"/>
        </w:rPr>
        <w:t>In vivo</w:t>
      </w:r>
      <w:r w:rsidR="000A1B18">
        <w:rPr>
          <w:rFonts w:cs="Arial"/>
          <w:iCs/>
          <w:snapToGrid/>
          <w:lang w:eastAsia="en-AU"/>
        </w:rPr>
        <w:t xml:space="preserve">, CYP2B6 was induced by </w:t>
      </w:r>
      <w:proofErr w:type="spellStart"/>
      <w:r w:rsidR="000A1B18">
        <w:rPr>
          <w:rFonts w:cs="Arial"/>
          <w:iCs/>
          <w:snapToGrid/>
          <w:lang w:eastAsia="en-AU"/>
        </w:rPr>
        <w:t>armodafinil</w:t>
      </w:r>
      <w:proofErr w:type="spellEnd"/>
      <w:r w:rsidR="000A1B18">
        <w:rPr>
          <w:rFonts w:cs="Arial"/>
          <w:iCs/>
          <w:snapToGrid/>
          <w:lang w:eastAsia="en-AU"/>
        </w:rPr>
        <w:t xml:space="preserve">. </w:t>
      </w:r>
      <w:r>
        <w:rPr>
          <w:rFonts w:cs="Arial"/>
          <w:iCs/>
          <w:snapToGrid/>
          <w:lang w:eastAsia="en-AU"/>
        </w:rPr>
        <w:t xml:space="preserve">Other CYP activities did not appear to be affected by </w:t>
      </w:r>
      <w:proofErr w:type="spellStart"/>
      <w:r>
        <w:rPr>
          <w:rFonts w:cs="Arial"/>
          <w:iCs/>
          <w:snapToGrid/>
          <w:lang w:eastAsia="en-AU"/>
        </w:rPr>
        <w:t>armodafinil</w:t>
      </w:r>
      <w:proofErr w:type="spellEnd"/>
      <w:r>
        <w:rPr>
          <w:rFonts w:cs="Arial"/>
          <w:iCs/>
          <w:snapToGrid/>
          <w:lang w:eastAsia="en-AU"/>
        </w:rPr>
        <w:t xml:space="preserve">. An </w:t>
      </w:r>
      <w:r w:rsidRPr="006B1A0F">
        <w:rPr>
          <w:rFonts w:cs="Arial"/>
          <w:i/>
          <w:snapToGrid/>
          <w:lang w:eastAsia="en-AU"/>
        </w:rPr>
        <w:t>in vitro</w:t>
      </w:r>
      <w:r>
        <w:rPr>
          <w:rFonts w:cs="Arial"/>
          <w:iCs/>
          <w:snapToGrid/>
          <w:lang w:eastAsia="en-AU"/>
        </w:rPr>
        <w:t xml:space="preserve"> study demonstrated that </w:t>
      </w:r>
      <w:proofErr w:type="spellStart"/>
      <w:r>
        <w:rPr>
          <w:rFonts w:cs="Arial"/>
          <w:iCs/>
          <w:snapToGrid/>
          <w:lang w:eastAsia="en-AU"/>
        </w:rPr>
        <w:t>armodafinil</w:t>
      </w:r>
      <w:proofErr w:type="spellEnd"/>
      <w:r>
        <w:rPr>
          <w:rFonts w:cs="Arial"/>
          <w:iCs/>
          <w:snapToGrid/>
          <w:lang w:eastAsia="en-AU"/>
        </w:rPr>
        <w:t xml:space="preserve"> is a substrate of P-glycoprotein.</w:t>
      </w:r>
    </w:p>
    <w:p w:rsidR="004A0492" w:rsidRPr="001472C3" w:rsidRDefault="004A0492" w:rsidP="002117F8">
      <w:pPr>
        <w:autoSpaceDE w:val="0"/>
        <w:autoSpaceDN w:val="0"/>
        <w:adjustRightInd w:val="0"/>
        <w:jc w:val="both"/>
        <w:rPr>
          <w:rFonts w:cs="Arial"/>
          <w:i/>
          <w:iCs/>
          <w:snapToGrid/>
          <w:szCs w:val="16"/>
          <w:lang w:eastAsia="en-AU"/>
        </w:rPr>
      </w:pPr>
      <w:r w:rsidRPr="001472C3">
        <w:rPr>
          <w:rFonts w:cs="Arial"/>
          <w:i/>
          <w:iCs/>
          <w:snapToGrid/>
          <w:szCs w:val="16"/>
          <w:lang w:eastAsia="en-AU"/>
        </w:rPr>
        <w:t xml:space="preserve">Potential Interactions with Drugs That Inhibit, Induce, or Are Metabolized by Cytochrome P450 Isoenzymes and Other Hepatic Enzymes </w:t>
      </w:r>
    </w:p>
    <w:p w:rsidR="004A0492" w:rsidRPr="001472C3" w:rsidRDefault="003448BC" w:rsidP="002117F8">
      <w:pPr>
        <w:autoSpaceDE w:val="0"/>
        <w:autoSpaceDN w:val="0"/>
        <w:adjustRightInd w:val="0"/>
        <w:jc w:val="both"/>
        <w:rPr>
          <w:rFonts w:cs="Arial"/>
          <w:snapToGrid/>
          <w:szCs w:val="16"/>
          <w:lang w:eastAsia="en-AU"/>
        </w:rPr>
      </w:pPr>
      <w:r w:rsidRPr="001472C3">
        <w:t xml:space="preserve">The existence of multiple pathways for </w:t>
      </w:r>
      <w:proofErr w:type="spellStart"/>
      <w:r w:rsidRPr="001472C3">
        <w:t>armodafinil</w:t>
      </w:r>
      <w:proofErr w:type="spellEnd"/>
      <w:r w:rsidRPr="001472C3">
        <w:t xml:space="preserve"> metabolism, as well as the fact that a non-CYP-related pathway is the most rapid in metabolizing </w:t>
      </w:r>
      <w:proofErr w:type="spellStart"/>
      <w:r w:rsidRPr="001472C3">
        <w:t>armodafinil</w:t>
      </w:r>
      <w:proofErr w:type="spellEnd"/>
      <w:r w:rsidRPr="001472C3">
        <w:t>, suggest that there is a low probability of substantive effects on the overall pharmacokinetic profile of NUVIGIL</w:t>
      </w:r>
      <w:r w:rsidR="001A1A35" w:rsidRPr="001472C3">
        <w:rPr>
          <w:rFonts w:cs="Arial"/>
          <w:snapToGrid/>
          <w:szCs w:val="16"/>
          <w:vertAlign w:val="superscript"/>
          <w:lang w:eastAsia="en-AU"/>
        </w:rPr>
        <w:t>®</w:t>
      </w:r>
      <w:r w:rsidRPr="001472C3">
        <w:t xml:space="preserve"> due to CYP inhibition by concomitant medications. However, d</w:t>
      </w:r>
      <w:r w:rsidR="004A0492" w:rsidRPr="001472C3">
        <w:rPr>
          <w:rFonts w:cs="Arial"/>
          <w:snapToGrid/>
          <w:szCs w:val="16"/>
          <w:lang w:eastAsia="en-AU"/>
        </w:rPr>
        <w:t xml:space="preserve">ue to the partial involvement of CYP3A enzymes in the metabolic elimination of </w:t>
      </w:r>
      <w:proofErr w:type="spellStart"/>
      <w:r w:rsidR="004A0492" w:rsidRPr="001472C3">
        <w:rPr>
          <w:rFonts w:cs="Arial"/>
          <w:snapToGrid/>
          <w:szCs w:val="16"/>
          <w:lang w:eastAsia="en-AU"/>
        </w:rPr>
        <w:t>armodafinil</w:t>
      </w:r>
      <w:proofErr w:type="spellEnd"/>
      <w:r w:rsidR="004A0492" w:rsidRPr="001472C3">
        <w:rPr>
          <w:rFonts w:cs="Arial"/>
          <w:snapToGrid/>
          <w:szCs w:val="16"/>
          <w:lang w:eastAsia="en-AU"/>
        </w:rPr>
        <w:t>, co</w:t>
      </w:r>
      <w:r w:rsidR="00793AAB" w:rsidRPr="001472C3">
        <w:rPr>
          <w:rFonts w:cs="Arial"/>
          <w:snapToGrid/>
          <w:szCs w:val="16"/>
          <w:lang w:eastAsia="en-AU"/>
        </w:rPr>
        <w:t>-</w:t>
      </w:r>
      <w:r w:rsidR="004A0492" w:rsidRPr="001472C3">
        <w:rPr>
          <w:rFonts w:cs="Arial"/>
          <w:snapToGrid/>
          <w:szCs w:val="16"/>
          <w:lang w:eastAsia="en-AU"/>
        </w:rPr>
        <w:t xml:space="preserve">administration of potent inducers of CYP3A4/5 (e.g., carbamazepine, </w:t>
      </w:r>
      <w:r w:rsidR="006D513D">
        <w:rPr>
          <w:rFonts w:cs="Arial"/>
          <w:snapToGrid/>
          <w:szCs w:val="16"/>
          <w:lang w:eastAsia="en-AU"/>
        </w:rPr>
        <w:t xml:space="preserve">oxcarbazepine, </w:t>
      </w:r>
      <w:r w:rsidR="004A0492" w:rsidRPr="001472C3">
        <w:rPr>
          <w:rFonts w:cs="Arial"/>
          <w:snapToGrid/>
          <w:szCs w:val="16"/>
          <w:lang w:eastAsia="en-AU"/>
        </w:rPr>
        <w:t xml:space="preserve">phenobarbital, </w:t>
      </w:r>
      <w:r w:rsidR="00C73512">
        <w:rPr>
          <w:rFonts w:cs="Arial"/>
          <w:snapToGrid/>
          <w:szCs w:val="16"/>
          <w:lang w:eastAsia="en-AU"/>
        </w:rPr>
        <w:t>phenytoin</w:t>
      </w:r>
      <w:r w:rsidR="006B352D">
        <w:rPr>
          <w:rFonts w:cs="Arial"/>
          <w:snapToGrid/>
          <w:szCs w:val="16"/>
          <w:lang w:eastAsia="en-AU"/>
        </w:rPr>
        <w:t xml:space="preserve">, </w:t>
      </w:r>
      <w:proofErr w:type="spellStart"/>
      <w:r w:rsidR="006B352D">
        <w:rPr>
          <w:rFonts w:cs="Arial"/>
          <w:snapToGrid/>
          <w:szCs w:val="16"/>
          <w:lang w:eastAsia="en-AU"/>
        </w:rPr>
        <w:t>rifabutin</w:t>
      </w:r>
      <w:proofErr w:type="spellEnd"/>
      <w:r w:rsidR="006B352D">
        <w:rPr>
          <w:rFonts w:cs="Arial"/>
          <w:snapToGrid/>
          <w:szCs w:val="16"/>
          <w:lang w:eastAsia="en-AU"/>
        </w:rPr>
        <w:t xml:space="preserve">, </w:t>
      </w:r>
      <w:proofErr w:type="spellStart"/>
      <w:r w:rsidR="004A0492" w:rsidRPr="001472C3">
        <w:rPr>
          <w:rFonts w:cs="Arial"/>
          <w:snapToGrid/>
          <w:szCs w:val="16"/>
          <w:lang w:eastAsia="en-AU"/>
        </w:rPr>
        <w:t>rifampin</w:t>
      </w:r>
      <w:proofErr w:type="spellEnd"/>
      <w:r w:rsidR="00C73512">
        <w:rPr>
          <w:rFonts w:cs="Arial"/>
          <w:snapToGrid/>
          <w:szCs w:val="16"/>
          <w:lang w:eastAsia="en-AU"/>
        </w:rPr>
        <w:t xml:space="preserve"> and St. </w:t>
      </w:r>
      <w:r w:rsidR="00CF10C1">
        <w:rPr>
          <w:rFonts w:cs="Arial"/>
          <w:snapToGrid/>
          <w:szCs w:val="16"/>
          <w:lang w:eastAsia="en-AU"/>
        </w:rPr>
        <w:t>J</w:t>
      </w:r>
      <w:r w:rsidR="00C73512">
        <w:rPr>
          <w:rFonts w:cs="Arial"/>
          <w:snapToGrid/>
          <w:szCs w:val="16"/>
          <w:lang w:eastAsia="en-AU"/>
        </w:rPr>
        <w:t>ohn’s Wort</w:t>
      </w:r>
      <w:r w:rsidR="004A0492" w:rsidRPr="001472C3">
        <w:rPr>
          <w:rFonts w:cs="Arial"/>
          <w:snapToGrid/>
          <w:szCs w:val="16"/>
          <w:lang w:eastAsia="en-AU"/>
        </w:rPr>
        <w:t xml:space="preserve">) or inhibitors of CYP3A4/5 (e.g., </w:t>
      </w:r>
      <w:r w:rsidR="00C73512">
        <w:rPr>
          <w:rFonts w:cs="Arial"/>
          <w:snapToGrid/>
          <w:szCs w:val="16"/>
          <w:lang w:eastAsia="en-AU"/>
        </w:rPr>
        <w:t xml:space="preserve">protease inhibitors; ritonavir, </w:t>
      </w:r>
      <w:proofErr w:type="spellStart"/>
      <w:r w:rsidR="00C73512">
        <w:rPr>
          <w:rFonts w:cs="Arial"/>
          <w:snapToGrid/>
          <w:szCs w:val="16"/>
          <w:lang w:eastAsia="en-AU"/>
        </w:rPr>
        <w:t>indinavir</w:t>
      </w:r>
      <w:proofErr w:type="spellEnd"/>
      <w:r w:rsidR="00C73512">
        <w:rPr>
          <w:rFonts w:cs="Arial"/>
          <w:snapToGrid/>
          <w:szCs w:val="16"/>
          <w:lang w:eastAsia="en-AU"/>
        </w:rPr>
        <w:t xml:space="preserve">, nelfinavir, </w:t>
      </w:r>
      <w:proofErr w:type="spellStart"/>
      <w:r w:rsidR="00C73512">
        <w:rPr>
          <w:rFonts w:cs="Arial"/>
          <w:snapToGrid/>
          <w:szCs w:val="16"/>
          <w:lang w:eastAsia="en-AU"/>
        </w:rPr>
        <w:t>saquinavir</w:t>
      </w:r>
      <w:proofErr w:type="spellEnd"/>
      <w:r w:rsidR="00C73512">
        <w:rPr>
          <w:rFonts w:cs="Arial"/>
          <w:snapToGrid/>
          <w:szCs w:val="16"/>
          <w:lang w:eastAsia="en-AU"/>
        </w:rPr>
        <w:t xml:space="preserve">; clarithromycin, </w:t>
      </w:r>
      <w:r w:rsidR="00C73512" w:rsidRPr="001472C3">
        <w:t>erythromycin</w:t>
      </w:r>
      <w:r w:rsidR="00C73512">
        <w:rPr>
          <w:rFonts w:cs="Arial"/>
          <w:snapToGrid/>
          <w:szCs w:val="16"/>
          <w:lang w:eastAsia="en-AU"/>
        </w:rPr>
        <w:t xml:space="preserve"> chloramphenicol, </w:t>
      </w:r>
      <w:proofErr w:type="spellStart"/>
      <w:r w:rsidR="004A0492" w:rsidRPr="001472C3">
        <w:rPr>
          <w:rFonts w:cs="Arial"/>
          <w:snapToGrid/>
          <w:szCs w:val="16"/>
          <w:lang w:eastAsia="en-AU"/>
        </w:rPr>
        <w:t>ketoconazole,</w:t>
      </w:r>
      <w:r w:rsidR="00C73512">
        <w:t>itraconazole</w:t>
      </w:r>
      <w:proofErr w:type="spellEnd"/>
      <w:r w:rsidR="00C73512">
        <w:t xml:space="preserve">, </w:t>
      </w:r>
      <w:proofErr w:type="spellStart"/>
      <w:r w:rsidR="00C73512">
        <w:t>nefazodone</w:t>
      </w:r>
      <w:proofErr w:type="spellEnd"/>
      <w:r w:rsidR="006B352D">
        <w:t xml:space="preserve">, diltiazem and </w:t>
      </w:r>
      <w:proofErr w:type="spellStart"/>
      <w:r w:rsidR="006B352D">
        <w:t>verapimil</w:t>
      </w:r>
      <w:proofErr w:type="spellEnd"/>
      <w:r w:rsidR="004A0492" w:rsidRPr="001472C3">
        <w:rPr>
          <w:rFonts w:cs="Arial"/>
          <w:snapToGrid/>
          <w:szCs w:val="16"/>
          <w:lang w:eastAsia="en-AU"/>
        </w:rPr>
        <w:t xml:space="preserve">) could alter the plasma </w:t>
      </w:r>
      <w:r w:rsidR="00A07A71">
        <w:rPr>
          <w:rFonts w:cs="Arial"/>
          <w:snapToGrid/>
          <w:szCs w:val="16"/>
          <w:lang w:eastAsia="en-AU"/>
        </w:rPr>
        <w:t>concentrations</w:t>
      </w:r>
      <w:r w:rsidR="00A07A71" w:rsidRPr="001472C3">
        <w:rPr>
          <w:rFonts w:cs="Arial"/>
          <w:snapToGrid/>
          <w:szCs w:val="16"/>
          <w:lang w:eastAsia="en-AU"/>
        </w:rPr>
        <w:t xml:space="preserve"> </w:t>
      </w:r>
      <w:r w:rsidR="004A0492" w:rsidRPr="001472C3">
        <w:rPr>
          <w:rFonts w:cs="Arial"/>
          <w:snapToGrid/>
          <w:szCs w:val="16"/>
          <w:lang w:eastAsia="en-AU"/>
        </w:rPr>
        <w:t xml:space="preserve">of </w:t>
      </w:r>
      <w:proofErr w:type="spellStart"/>
      <w:r w:rsidR="004A0492" w:rsidRPr="001472C3">
        <w:rPr>
          <w:rFonts w:cs="Arial"/>
          <w:snapToGrid/>
          <w:szCs w:val="16"/>
          <w:lang w:eastAsia="en-AU"/>
        </w:rPr>
        <w:t>armodafinil</w:t>
      </w:r>
      <w:proofErr w:type="spellEnd"/>
      <w:r w:rsidR="004A0492" w:rsidRPr="001472C3">
        <w:rPr>
          <w:rFonts w:cs="Arial"/>
          <w:snapToGrid/>
          <w:szCs w:val="16"/>
          <w:lang w:eastAsia="en-AU"/>
        </w:rPr>
        <w:t>.</w:t>
      </w:r>
    </w:p>
    <w:p w:rsidR="004A0492" w:rsidRPr="002117F8" w:rsidRDefault="004A0492" w:rsidP="002117F8">
      <w:pPr>
        <w:autoSpaceDE w:val="0"/>
        <w:autoSpaceDN w:val="0"/>
        <w:adjustRightInd w:val="0"/>
        <w:jc w:val="both"/>
        <w:rPr>
          <w:rFonts w:cs="Arial"/>
          <w:i/>
          <w:iCs/>
          <w:snapToGrid/>
          <w:szCs w:val="16"/>
          <w:lang w:eastAsia="en-AU"/>
        </w:rPr>
      </w:pPr>
      <w:r w:rsidRPr="001472C3">
        <w:rPr>
          <w:rFonts w:cs="Arial"/>
          <w:i/>
          <w:iCs/>
          <w:snapToGrid/>
          <w:szCs w:val="16"/>
          <w:lang w:eastAsia="en-AU"/>
        </w:rPr>
        <w:t>The Potential of NUVIGIL</w:t>
      </w:r>
      <w:r w:rsidRPr="001472C3">
        <w:rPr>
          <w:rFonts w:cs="Arial"/>
          <w:i/>
          <w:iCs/>
          <w:snapToGrid/>
          <w:szCs w:val="16"/>
          <w:vertAlign w:val="superscript"/>
          <w:lang w:eastAsia="en-AU"/>
        </w:rPr>
        <w:t>®</w:t>
      </w:r>
      <w:r w:rsidRPr="001472C3">
        <w:rPr>
          <w:rFonts w:cs="Arial"/>
          <w:i/>
          <w:iCs/>
          <w:snapToGrid/>
          <w:szCs w:val="16"/>
          <w:lang w:eastAsia="en-AU"/>
        </w:rPr>
        <w:t xml:space="preserve"> to Alter the Metabolism of Other Drugs by Enzyme Induction or Inhibition </w:t>
      </w:r>
    </w:p>
    <w:p w:rsidR="004A0492" w:rsidRPr="00CC6502" w:rsidRDefault="004A0492" w:rsidP="004A0492">
      <w:pPr>
        <w:autoSpaceDE w:val="0"/>
        <w:autoSpaceDN w:val="0"/>
        <w:adjustRightInd w:val="0"/>
        <w:spacing w:after="0"/>
        <w:jc w:val="both"/>
        <w:rPr>
          <w:rFonts w:cs="Arial"/>
          <w:i/>
          <w:iCs/>
          <w:snapToGrid/>
          <w:szCs w:val="16"/>
          <w:lang w:eastAsia="en-AU"/>
        </w:rPr>
      </w:pPr>
      <w:r w:rsidRPr="002117F8">
        <w:rPr>
          <w:rFonts w:cs="Arial"/>
          <w:i/>
          <w:iCs/>
          <w:snapToGrid/>
          <w:szCs w:val="16"/>
          <w:lang w:eastAsia="en-AU"/>
        </w:rPr>
        <w:t xml:space="preserve">Drugs Metabolized by </w:t>
      </w:r>
      <w:r w:rsidRPr="00CC6502">
        <w:rPr>
          <w:rFonts w:cs="Arial"/>
          <w:i/>
          <w:iCs/>
          <w:snapToGrid/>
          <w:szCs w:val="16"/>
          <w:lang w:eastAsia="en-AU"/>
        </w:rPr>
        <w:t xml:space="preserve">CYP3A4/5 </w:t>
      </w:r>
    </w:p>
    <w:p w:rsidR="007D120B" w:rsidRDefault="003448BC" w:rsidP="00A81C4C">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auto"/>
        </w:rPr>
      </w:pPr>
      <w:r w:rsidRPr="00CC6502">
        <w:rPr>
          <w:i/>
          <w:color w:val="auto"/>
        </w:rPr>
        <w:t>In vitro</w:t>
      </w:r>
      <w:r w:rsidR="00CC6502" w:rsidRPr="00CC6502">
        <w:rPr>
          <w:color w:val="auto"/>
        </w:rPr>
        <w:t xml:space="preserve"> data demonstrated that </w:t>
      </w:r>
      <w:r w:rsidR="00A81C4C">
        <w:rPr>
          <w:color w:val="auto"/>
        </w:rPr>
        <w:t xml:space="preserve">the </w:t>
      </w:r>
      <w:proofErr w:type="spellStart"/>
      <w:r w:rsidRPr="00F14208">
        <w:rPr>
          <w:color w:val="auto"/>
        </w:rPr>
        <w:t>armodafinil</w:t>
      </w:r>
      <w:proofErr w:type="spellEnd"/>
      <w:r w:rsidRPr="00F14208">
        <w:rPr>
          <w:color w:val="auto"/>
        </w:rPr>
        <w:t xml:space="preserve"> </w:t>
      </w:r>
      <w:r w:rsidR="00A37F51" w:rsidRPr="00F14208">
        <w:rPr>
          <w:color w:val="auto"/>
        </w:rPr>
        <w:t xml:space="preserve">metabolite </w:t>
      </w:r>
      <w:proofErr w:type="spellStart"/>
      <w:r w:rsidR="00A37F51" w:rsidRPr="00F14208">
        <w:rPr>
          <w:color w:val="auto"/>
        </w:rPr>
        <w:t>modafinil</w:t>
      </w:r>
      <w:proofErr w:type="spellEnd"/>
      <w:r w:rsidR="00A37F51" w:rsidRPr="00F14208">
        <w:rPr>
          <w:color w:val="auto"/>
        </w:rPr>
        <w:t xml:space="preserve"> </w:t>
      </w:r>
      <w:proofErr w:type="gramStart"/>
      <w:r w:rsidR="00A37F51" w:rsidRPr="00F14208">
        <w:rPr>
          <w:color w:val="auto"/>
        </w:rPr>
        <w:t>sulfone</w:t>
      </w:r>
      <w:r w:rsidR="00A81C4C">
        <w:rPr>
          <w:color w:val="auto"/>
        </w:rPr>
        <w:t>,</w:t>
      </w:r>
      <w:proofErr w:type="gramEnd"/>
      <w:r w:rsidR="00A37F51" w:rsidRPr="00F14208">
        <w:rPr>
          <w:color w:val="auto"/>
        </w:rPr>
        <w:t xml:space="preserve"> </w:t>
      </w:r>
      <w:r w:rsidR="00A81C4C">
        <w:rPr>
          <w:color w:val="auto"/>
        </w:rPr>
        <w:t>is a</w:t>
      </w:r>
      <w:r w:rsidR="00A81C4C" w:rsidRPr="00F14208">
        <w:rPr>
          <w:color w:val="auto"/>
        </w:rPr>
        <w:t xml:space="preserve"> </w:t>
      </w:r>
      <w:r w:rsidRPr="00F14208">
        <w:rPr>
          <w:color w:val="auto"/>
        </w:rPr>
        <w:t>weak inducer of CYP3A activity. In a clinical study, concomitant administration of NUVIGIL</w:t>
      </w:r>
      <w:r w:rsidR="001A1A35" w:rsidRPr="00F14208">
        <w:rPr>
          <w:rFonts w:cs="Arial"/>
          <w:snapToGrid/>
          <w:color w:val="auto"/>
          <w:szCs w:val="16"/>
          <w:vertAlign w:val="superscript"/>
          <w:lang w:eastAsia="en-AU"/>
        </w:rPr>
        <w:t>®</w:t>
      </w:r>
      <w:r w:rsidRPr="00F14208">
        <w:rPr>
          <w:color w:val="auto"/>
        </w:rPr>
        <w:t xml:space="preserve"> 250 mg resulted in a reduction in systemic</w:t>
      </w:r>
      <w:r w:rsidRPr="001472C3">
        <w:rPr>
          <w:color w:val="auto"/>
        </w:rPr>
        <w:t xml:space="preserve"> exposure to midazolam by 32% after a single oral dose (5 mg) and 17% after a single intravenous dose (2 mg). Therefore, the blood levels and effectiveness of drugs that are substrates for CYP3A enzymes (e.g., steroidal contraceptives, cyclosporine, midazolam, and </w:t>
      </w:r>
      <w:proofErr w:type="spellStart"/>
      <w:r w:rsidRPr="001472C3">
        <w:rPr>
          <w:color w:val="auto"/>
        </w:rPr>
        <w:t>triazolam</w:t>
      </w:r>
      <w:proofErr w:type="spellEnd"/>
      <w:r w:rsidRPr="001472C3">
        <w:rPr>
          <w:color w:val="auto"/>
        </w:rPr>
        <w:t>) may be reduced after initiation of concomitant treatment with NUVIGIL</w:t>
      </w:r>
      <w:r w:rsidR="001A1A35" w:rsidRPr="001472C3">
        <w:rPr>
          <w:rFonts w:cs="Arial"/>
          <w:snapToGrid/>
          <w:color w:val="auto"/>
          <w:szCs w:val="16"/>
          <w:vertAlign w:val="superscript"/>
          <w:lang w:eastAsia="en-AU"/>
        </w:rPr>
        <w:t>®</w:t>
      </w:r>
      <w:r w:rsidRPr="001472C3">
        <w:rPr>
          <w:color w:val="auto"/>
        </w:rPr>
        <w:t>, and dose adjustment may be required.</w:t>
      </w:r>
      <w:r w:rsidR="007D120B" w:rsidRPr="007D120B">
        <w:rPr>
          <w:color w:val="auto"/>
        </w:rPr>
        <w:t xml:space="preserve"> </w:t>
      </w:r>
    </w:p>
    <w:p w:rsidR="00F65CA1" w:rsidRPr="00F65CA1" w:rsidRDefault="00F65CA1" w:rsidP="00F65CA1">
      <w:pPr>
        <w:jc w:val="both"/>
        <w:rPr>
          <w:highlight w:val="yellow"/>
        </w:rPr>
      </w:pPr>
      <w:r>
        <w:t xml:space="preserve">In a clinical study the concomitant administration of </w:t>
      </w:r>
      <w:r w:rsidRPr="00F14208">
        <w:t>NUVIGIL</w:t>
      </w:r>
      <w:r w:rsidRPr="00F14208">
        <w:rPr>
          <w:rFonts w:cs="Arial"/>
          <w:snapToGrid/>
          <w:szCs w:val="16"/>
          <w:vertAlign w:val="superscript"/>
          <w:lang w:eastAsia="en-AU"/>
        </w:rPr>
        <w:t>®</w:t>
      </w:r>
      <w:r>
        <w:rPr>
          <w:rFonts w:cs="Arial"/>
          <w:snapToGrid/>
          <w:szCs w:val="16"/>
          <w:vertAlign w:val="superscript"/>
          <w:lang w:eastAsia="en-AU"/>
        </w:rPr>
        <w:t xml:space="preserve"> </w:t>
      </w:r>
      <w:r>
        <w:rPr>
          <w:rFonts w:cs="Arial"/>
          <w:snapToGrid/>
          <w:szCs w:val="16"/>
          <w:lang w:eastAsia="en-AU"/>
        </w:rPr>
        <w:t xml:space="preserve">250 mg with carbamazepine (400 mg/day) resulted in a reduction in the mean systemic exposure of carbamazepine by approximately 25%. Carbamazepine dose adjustment may be required when </w:t>
      </w:r>
      <w:proofErr w:type="spellStart"/>
      <w:r>
        <w:rPr>
          <w:rFonts w:cs="Arial"/>
          <w:snapToGrid/>
          <w:szCs w:val="16"/>
          <w:lang w:eastAsia="en-AU"/>
        </w:rPr>
        <w:t>coadministered</w:t>
      </w:r>
      <w:proofErr w:type="spellEnd"/>
      <w:r>
        <w:rPr>
          <w:rFonts w:cs="Arial"/>
          <w:snapToGrid/>
          <w:szCs w:val="16"/>
          <w:lang w:eastAsia="en-AU"/>
        </w:rPr>
        <w:t xml:space="preserve"> with </w:t>
      </w:r>
      <w:r w:rsidRPr="00F14208">
        <w:t>NUVIGIL</w:t>
      </w:r>
      <w:r w:rsidRPr="00F14208">
        <w:rPr>
          <w:rFonts w:cs="Arial"/>
          <w:snapToGrid/>
          <w:szCs w:val="16"/>
          <w:vertAlign w:val="superscript"/>
          <w:lang w:eastAsia="en-AU"/>
        </w:rPr>
        <w:t>®</w:t>
      </w:r>
      <w:r>
        <w:rPr>
          <w:rFonts w:cs="Arial"/>
          <w:snapToGrid/>
          <w:szCs w:val="16"/>
          <w:lang w:eastAsia="en-AU"/>
        </w:rPr>
        <w:t xml:space="preserve">, particularly when starting or stopping </w:t>
      </w:r>
      <w:proofErr w:type="spellStart"/>
      <w:r>
        <w:rPr>
          <w:rFonts w:cs="Arial"/>
          <w:snapToGrid/>
          <w:szCs w:val="16"/>
          <w:lang w:eastAsia="en-AU"/>
        </w:rPr>
        <w:t>coadministration</w:t>
      </w:r>
      <w:proofErr w:type="spellEnd"/>
      <w:r>
        <w:rPr>
          <w:rFonts w:cs="Arial"/>
          <w:snapToGrid/>
          <w:szCs w:val="16"/>
          <w:lang w:eastAsia="en-AU"/>
        </w:rPr>
        <w:t xml:space="preserve"> of the two drugs.</w:t>
      </w:r>
    </w:p>
    <w:p w:rsidR="00F65CA1" w:rsidRDefault="007D120B" w:rsidP="006D2809">
      <w:pPr>
        <w:jc w:val="both"/>
      </w:pPr>
      <w:r w:rsidRPr="001472C3">
        <w:t>In a separate clinical study, concomitant administration of NUVIGIL</w:t>
      </w:r>
      <w:r w:rsidRPr="001472C3">
        <w:rPr>
          <w:rFonts w:cs="Arial"/>
          <w:snapToGrid/>
          <w:szCs w:val="16"/>
          <w:vertAlign w:val="superscript"/>
          <w:lang w:eastAsia="en-AU"/>
        </w:rPr>
        <w:t>®</w:t>
      </w:r>
      <w:r w:rsidRPr="001472C3">
        <w:t xml:space="preserve"> 250 mg with quetiapine (300 mg to 600 mg daily doses) resulted in a reduction in the mean systemic exposure of quetiapine by approximately 29%. No dose adjustment is </w:t>
      </w:r>
      <w:r w:rsidR="00F65CA1" w:rsidRPr="001472C3">
        <w:t>required.</w:t>
      </w:r>
      <w:r w:rsidR="00F65CA1" w:rsidRPr="00DB66DD">
        <w:t xml:space="preserve"> </w:t>
      </w:r>
    </w:p>
    <w:p w:rsidR="006D2809" w:rsidRPr="001472C3" w:rsidRDefault="00F65CA1" w:rsidP="006D2809">
      <w:pPr>
        <w:jc w:val="both"/>
      </w:pPr>
      <w:r w:rsidRPr="00DB66DD">
        <w:t>The</w:t>
      </w:r>
      <w:r w:rsidR="006D2809" w:rsidRPr="00DB66DD">
        <w:t xml:space="preserve"> blood levels of cyclosporine may be reduced when used with NUVIGIL</w:t>
      </w:r>
      <w:r w:rsidR="006D2809" w:rsidRPr="00DB66DD">
        <w:rPr>
          <w:rFonts w:cs="Arial"/>
          <w:bCs/>
          <w:vertAlign w:val="superscript"/>
        </w:rPr>
        <w:t>®</w:t>
      </w:r>
      <w:r w:rsidR="006D2809" w:rsidRPr="00DB66DD">
        <w:rPr>
          <w:rFonts w:cs="Arial"/>
          <w:bCs/>
        </w:rPr>
        <w:t>. Monitoring of circulating cyclosporine concentrations and appropriate dosage adjustment for cyclosporine should be considered when these drugs are used concomitantly.</w:t>
      </w:r>
    </w:p>
    <w:p w:rsidR="003F4D0D" w:rsidRPr="001472C3" w:rsidRDefault="003F4D0D" w:rsidP="003F4D0D">
      <w:pPr>
        <w:autoSpaceDE w:val="0"/>
        <w:autoSpaceDN w:val="0"/>
        <w:adjustRightInd w:val="0"/>
        <w:spacing w:after="0"/>
        <w:jc w:val="both"/>
        <w:rPr>
          <w:rFonts w:cs="Arial"/>
          <w:i/>
          <w:iCs/>
          <w:snapToGrid/>
          <w:szCs w:val="16"/>
          <w:lang w:eastAsia="en-AU"/>
        </w:rPr>
      </w:pPr>
      <w:r w:rsidRPr="001472C3">
        <w:rPr>
          <w:rFonts w:cs="Arial"/>
          <w:i/>
          <w:iCs/>
          <w:snapToGrid/>
          <w:szCs w:val="16"/>
          <w:lang w:eastAsia="en-AU"/>
        </w:rPr>
        <w:t xml:space="preserve">Drugs Metabolized by CYP1A2 </w:t>
      </w:r>
    </w:p>
    <w:p w:rsidR="004A0492" w:rsidRPr="00A75BBA" w:rsidRDefault="003F4D0D" w:rsidP="002117F8">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auto"/>
        </w:rPr>
      </w:pPr>
      <w:r w:rsidRPr="00CC6502">
        <w:rPr>
          <w:i/>
          <w:color w:val="auto"/>
        </w:rPr>
        <w:t>In vitro</w:t>
      </w:r>
      <w:r w:rsidRPr="001472C3">
        <w:rPr>
          <w:color w:val="auto"/>
        </w:rPr>
        <w:t xml:space="preserve"> data demonstrated that </w:t>
      </w:r>
      <w:proofErr w:type="spellStart"/>
      <w:r w:rsidRPr="00A75BBA">
        <w:rPr>
          <w:color w:val="auto"/>
        </w:rPr>
        <w:t>armodafinil</w:t>
      </w:r>
      <w:proofErr w:type="spellEnd"/>
      <w:r w:rsidRPr="00A75BBA">
        <w:rPr>
          <w:color w:val="auto"/>
        </w:rPr>
        <w:t xml:space="preserve"> </w:t>
      </w:r>
      <w:r w:rsidR="00A37F51" w:rsidRPr="00A75BBA">
        <w:rPr>
          <w:color w:val="auto"/>
        </w:rPr>
        <w:t xml:space="preserve">and its metabolite </w:t>
      </w:r>
      <w:proofErr w:type="spellStart"/>
      <w:r w:rsidR="00A37F51" w:rsidRPr="00A75BBA">
        <w:rPr>
          <w:color w:val="auto"/>
        </w:rPr>
        <w:t>modafinil</w:t>
      </w:r>
      <w:proofErr w:type="spellEnd"/>
      <w:r w:rsidR="00A37F51" w:rsidRPr="00A75BBA">
        <w:rPr>
          <w:color w:val="auto"/>
        </w:rPr>
        <w:t xml:space="preserve"> sulfone are</w:t>
      </w:r>
      <w:r w:rsidRPr="00A75BBA">
        <w:rPr>
          <w:color w:val="auto"/>
        </w:rPr>
        <w:t xml:space="preserve"> weak inducer</w:t>
      </w:r>
      <w:r w:rsidR="00A37F51" w:rsidRPr="00A75BBA">
        <w:rPr>
          <w:color w:val="auto"/>
        </w:rPr>
        <w:t>s</w:t>
      </w:r>
      <w:r w:rsidRPr="00A75BBA">
        <w:rPr>
          <w:color w:val="auto"/>
        </w:rPr>
        <w:t xml:space="preserve"> of CYP1A2 in a concentration-related manner. However, in a clinical study using caffeine as a probe substrate, no significant effect on CYP1A2 activity was observed.</w:t>
      </w:r>
    </w:p>
    <w:p w:rsidR="004A0492" w:rsidRPr="00A75BBA" w:rsidRDefault="004A0492" w:rsidP="004A0492">
      <w:pPr>
        <w:autoSpaceDE w:val="0"/>
        <w:autoSpaceDN w:val="0"/>
        <w:adjustRightInd w:val="0"/>
        <w:spacing w:after="0"/>
        <w:jc w:val="both"/>
        <w:rPr>
          <w:rFonts w:cs="Arial"/>
          <w:i/>
          <w:iCs/>
          <w:snapToGrid/>
          <w:szCs w:val="16"/>
          <w:lang w:eastAsia="en-AU"/>
        </w:rPr>
      </w:pPr>
      <w:r w:rsidRPr="00A75BBA">
        <w:rPr>
          <w:rFonts w:cs="Arial"/>
          <w:i/>
          <w:iCs/>
          <w:snapToGrid/>
          <w:szCs w:val="16"/>
          <w:lang w:eastAsia="en-AU"/>
        </w:rPr>
        <w:t xml:space="preserve">Drugs Metabolized by CYP2C19 </w:t>
      </w:r>
    </w:p>
    <w:p w:rsidR="00726AA5" w:rsidRDefault="00726AA5" w:rsidP="00B1511B">
      <w:pPr>
        <w:autoSpaceDE w:val="0"/>
        <w:autoSpaceDN w:val="0"/>
        <w:adjustRightInd w:val="0"/>
      </w:pPr>
      <w:r w:rsidRPr="00A75BBA">
        <w:rPr>
          <w:i/>
        </w:rPr>
        <w:t>In vitro</w:t>
      </w:r>
      <w:r w:rsidRPr="00A75BBA">
        <w:t xml:space="preserve"> data demonstrated that </w:t>
      </w:r>
      <w:proofErr w:type="spellStart"/>
      <w:r w:rsidRPr="00A75BBA">
        <w:t>armodafinil</w:t>
      </w:r>
      <w:proofErr w:type="spellEnd"/>
      <w:r w:rsidR="00A37F51" w:rsidRPr="00A75BBA">
        <w:t xml:space="preserve">, and more so its metabolite </w:t>
      </w:r>
      <w:proofErr w:type="spellStart"/>
      <w:r w:rsidR="00A37F51" w:rsidRPr="00A75BBA">
        <w:t>modafinil</w:t>
      </w:r>
      <w:proofErr w:type="spellEnd"/>
      <w:r w:rsidR="00A37F51" w:rsidRPr="00A75BBA">
        <w:t xml:space="preserve"> sulfone, are </w:t>
      </w:r>
      <w:r w:rsidRPr="00A75BBA">
        <w:t>reversible inhibitor</w:t>
      </w:r>
      <w:r w:rsidR="00A37F51" w:rsidRPr="00A75BBA">
        <w:t>s</w:t>
      </w:r>
      <w:r w:rsidRPr="00A75BBA">
        <w:t xml:space="preserve"> of CYP2C19 activity. In a clinical study, concomitant administration of NUVIGIL</w:t>
      </w:r>
      <w:r w:rsidR="001A1A35" w:rsidRPr="00A75BBA">
        <w:rPr>
          <w:rFonts w:cs="Arial"/>
          <w:snapToGrid/>
          <w:szCs w:val="16"/>
          <w:vertAlign w:val="superscript"/>
          <w:lang w:eastAsia="en-AU"/>
        </w:rPr>
        <w:t>®</w:t>
      </w:r>
      <w:r w:rsidRPr="00A75BBA">
        <w:t xml:space="preserve"> 400 mg resulted in a 40% increase in exposure to omeprazole after a single oral dose (40 mg), as a result of moderate inhibition of CYP2C19 activity. </w:t>
      </w:r>
      <w:r w:rsidR="00DD0979" w:rsidRPr="00A75BBA">
        <w:t xml:space="preserve">Therefore, dose reduction may be required </w:t>
      </w:r>
      <w:r w:rsidR="00D32BE0" w:rsidRPr="00A75BBA">
        <w:t>for some drugs that are substrates for CYP2C19 (e.g., phenytoin, diazepam, propranolo</w:t>
      </w:r>
      <w:r w:rsidR="00D11BB3" w:rsidRPr="00A75BBA">
        <w:t>l</w:t>
      </w:r>
      <w:r w:rsidR="00D32BE0" w:rsidRPr="00A75BBA">
        <w:t xml:space="preserve">, omeprazole, </w:t>
      </w:r>
      <w:r w:rsidR="00DF7012" w:rsidRPr="00A75BBA">
        <w:t xml:space="preserve">esomeprazole, </w:t>
      </w:r>
      <w:r w:rsidR="00D32BE0" w:rsidRPr="00A75BBA">
        <w:t xml:space="preserve">and clomipramine) </w:t>
      </w:r>
      <w:r w:rsidR="00DD0979" w:rsidRPr="00A75BBA">
        <w:t>when</w:t>
      </w:r>
      <w:r w:rsidR="00DD0979" w:rsidRPr="001472C3">
        <w:t xml:space="preserve"> used concomitantly with NUVIGIL</w:t>
      </w:r>
      <w:r w:rsidR="001A1A35" w:rsidRPr="001472C3">
        <w:rPr>
          <w:rFonts w:cs="Arial"/>
          <w:snapToGrid/>
          <w:szCs w:val="16"/>
          <w:vertAlign w:val="superscript"/>
          <w:lang w:eastAsia="en-AU"/>
        </w:rPr>
        <w:t>®</w:t>
      </w:r>
      <w:r w:rsidR="00DD0979" w:rsidRPr="001472C3">
        <w:t xml:space="preserve">. </w:t>
      </w:r>
    </w:p>
    <w:p w:rsidR="00E208D8" w:rsidRPr="005838D2" w:rsidRDefault="009C4D99" w:rsidP="00585E47">
      <w:pPr>
        <w:keepNext/>
        <w:autoSpaceDE w:val="0"/>
        <w:autoSpaceDN w:val="0"/>
        <w:adjustRightInd w:val="0"/>
        <w:rPr>
          <w:i/>
        </w:rPr>
      </w:pPr>
      <w:r>
        <w:rPr>
          <w:i/>
        </w:rPr>
        <w:lastRenderedPageBreak/>
        <w:t>Drugs Metabolized by CYP2B6</w:t>
      </w:r>
    </w:p>
    <w:p w:rsidR="00726AA5" w:rsidRPr="005838D2" w:rsidRDefault="00E208D8" w:rsidP="005838D2">
      <w:pPr>
        <w:autoSpaceDE w:val="0"/>
        <w:autoSpaceDN w:val="0"/>
        <w:adjustRightInd w:val="0"/>
      </w:pPr>
      <w:r w:rsidRPr="00DC0996">
        <w:t xml:space="preserve">In vitro data demonstrated that racemic </w:t>
      </w:r>
      <w:proofErr w:type="spellStart"/>
      <w:r w:rsidRPr="00DC0996">
        <w:t>modafinil</w:t>
      </w:r>
      <w:proofErr w:type="spellEnd"/>
      <w:r w:rsidRPr="00DC0996">
        <w:t xml:space="preserve"> is a weak inducer of CYP2B6 activity in a concentration-related manner.</w:t>
      </w:r>
    </w:p>
    <w:p w:rsidR="00726AA5" w:rsidRPr="001472C3" w:rsidRDefault="00726AA5" w:rsidP="00726AA5">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color w:val="auto"/>
        </w:rPr>
      </w:pPr>
      <w:r w:rsidRPr="001472C3">
        <w:rPr>
          <w:i/>
          <w:color w:val="auto"/>
        </w:rPr>
        <w:t>Interactions with CNS Active Drugs</w:t>
      </w:r>
    </w:p>
    <w:p w:rsidR="00726AA5" w:rsidRPr="001472C3" w:rsidRDefault="00726AA5" w:rsidP="00726AA5">
      <w:pPr>
        <w:autoSpaceDE w:val="0"/>
        <w:autoSpaceDN w:val="0"/>
        <w:adjustRightInd w:val="0"/>
      </w:pPr>
      <w:r w:rsidRPr="001472C3">
        <w:t>Concomitant administration of NUVIGIL</w:t>
      </w:r>
      <w:r w:rsidR="001A1A35" w:rsidRPr="001472C3">
        <w:rPr>
          <w:rFonts w:cs="Arial"/>
          <w:snapToGrid/>
          <w:szCs w:val="16"/>
          <w:vertAlign w:val="superscript"/>
          <w:lang w:eastAsia="en-AU"/>
        </w:rPr>
        <w:t>®</w:t>
      </w:r>
      <w:r w:rsidRPr="001472C3">
        <w:t xml:space="preserve"> with quetiapine reduced the systemic exposure of quetiapine.</w:t>
      </w:r>
    </w:p>
    <w:p w:rsidR="00726AA5" w:rsidRPr="001472C3" w:rsidRDefault="00726AA5" w:rsidP="00726AA5">
      <w:pPr>
        <w:autoSpaceDE w:val="0"/>
        <w:autoSpaceDN w:val="0"/>
        <w:adjustRightInd w:val="0"/>
        <w:rPr>
          <w:i/>
          <w:iCs/>
        </w:rPr>
      </w:pPr>
      <w:r w:rsidRPr="001472C3">
        <w:t>Data specific to NUVIGIL</w:t>
      </w:r>
      <w:r w:rsidR="001A1A35" w:rsidRPr="001472C3">
        <w:rPr>
          <w:rFonts w:cs="Arial"/>
          <w:snapToGrid/>
          <w:szCs w:val="16"/>
          <w:vertAlign w:val="superscript"/>
          <w:lang w:eastAsia="en-AU"/>
        </w:rPr>
        <w:t>®</w:t>
      </w:r>
      <w:r w:rsidRPr="001472C3">
        <w:t xml:space="preserve"> drug-drug interaction potential with other CNS active drugs are not available. However, the following available drug-drug interaction information on </w:t>
      </w:r>
      <w:proofErr w:type="spellStart"/>
      <w:r w:rsidRPr="001472C3">
        <w:t>modafinil</w:t>
      </w:r>
      <w:proofErr w:type="spellEnd"/>
      <w:r w:rsidRPr="001472C3">
        <w:t xml:space="preserve"> should be applicable to NUVIGIL</w:t>
      </w:r>
      <w:r w:rsidR="001A1A35" w:rsidRPr="001472C3">
        <w:rPr>
          <w:rFonts w:cs="Arial"/>
          <w:snapToGrid/>
          <w:szCs w:val="16"/>
          <w:vertAlign w:val="superscript"/>
          <w:lang w:eastAsia="en-AU"/>
        </w:rPr>
        <w:t>®</w:t>
      </w:r>
      <w:r w:rsidRPr="001472C3">
        <w:rPr>
          <w:i/>
          <w:iCs/>
        </w:rPr>
        <w:t>.</w:t>
      </w:r>
    </w:p>
    <w:p w:rsidR="00726AA5" w:rsidRPr="001472C3" w:rsidRDefault="00726AA5" w:rsidP="00726AA5">
      <w:pPr>
        <w:autoSpaceDE w:val="0"/>
        <w:autoSpaceDN w:val="0"/>
        <w:adjustRightInd w:val="0"/>
      </w:pPr>
      <w:r w:rsidRPr="001472C3">
        <w:t xml:space="preserve">Concomitant administration of </w:t>
      </w:r>
      <w:proofErr w:type="spellStart"/>
      <w:r w:rsidRPr="001472C3">
        <w:t>modafinil</w:t>
      </w:r>
      <w:proofErr w:type="spellEnd"/>
      <w:r w:rsidRPr="001472C3">
        <w:t xml:space="preserve"> with methylphenidate or </w:t>
      </w:r>
      <w:proofErr w:type="spellStart"/>
      <w:r w:rsidRPr="001472C3">
        <w:t>dextroamphetamine</w:t>
      </w:r>
      <w:proofErr w:type="spellEnd"/>
      <w:r w:rsidRPr="001472C3">
        <w:t xml:space="preserve"> produced no significant alterations on the pharmacokinetic profile of </w:t>
      </w:r>
      <w:proofErr w:type="spellStart"/>
      <w:r w:rsidRPr="001472C3">
        <w:t>modafinil</w:t>
      </w:r>
      <w:proofErr w:type="spellEnd"/>
      <w:r w:rsidRPr="001472C3">
        <w:t xml:space="preserve"> or either stimulant, even though the absorption of </w:t>
      </w:r>
      <w:proofErr w:type="spellStart"/>
      <w:r w:rsidRPr="001472C3">
        <w:t>modafinil</w:t>
      </w:r>
      <w:proofErr w:type="spellEnd"/>
      <w:r w:rsidRPr="001472C3">
        <w:t xml:space="preserve"> was delayed for approximately one hour.</w:t>
      </w:r>
      <w:r w:rsidR="00CE535E" w:rsidRPr="00CE535E">
        <w:rPr>
          <w:rFonts w:cs="Arial"/>
          <w:iCs/>
          <w:noProof/>
          <w:snapToGrid/>
          <w:lang w:eastAsia="en-AU"/>
        </w:rPr>
        <w:t xml:space="preserve"> </w:t>
      </w:r>
    </w:p>
    <w:p w:rsidR="00726AA5" w:rsidRPr="001472C3" w:rsidRDefault="00726AA5" w:rsidP="00726AA5">
      <w:pPr>
        <w:autoSpaceDE w:val="0"/>
        <w:autoSpaceDN w:val="0"/>
        <w:adjustRightInd w:val="0"/>
      </w:pPr>
      <w:r w:rsidRPr="001472C3">
        <w:t xml:space="preserve">Concomitant </w:t>
      </w:r>
      <w:proofErr w:type="spellStart"/>
      <w:r w:rsidRPr="001472C3">
        <w:t>modafinil</w:t>
      </w:r>
      <w:proofErr w:type="spellEnd"/>
      <w:r w:rsidRPr="001472C3">
        <w:t xml:space="preserve"> or clomipramine did not alter the pharmacokinetic profile of either drug; however, one incident of increased levels of clomipramine and its active metabolite </w:t>
      </w:r>
      <w:proofErr w:type="spellStart"/>
      <w:r w:rsidRPr="001472C3">
        <w:t>desmethylclomipramine</w:t>
      </w:r>
      <w:proofErr w:type="spellEnd"/>
      <w:r w:rsidRPr="001472C3">
        <w:t xml:space="preserve"> was reported in a patient with narcolepsy during treatment with </w:t>
      </w:r>
      <w:proofErr w:type="spellStart"/>
      <w:r w:rsidRPr="001472C3">
        <w:t>modafinil</w:t>
      </w:r>
      <w:proofErr w:type="spellEnd"/>
      <w:r w:rsidRPr="001472C3">
        <w:t>.</w:t>
      </w:r>
    </w:p>
    <w:p w:rsidR="00726AA5" w:rsidRPr="001472C3" w:rsidRDefault="00726AA5" w:rsidP="00BE236C">
      <w:pPr>
        <w:autoSpaceDE w:val="0"/>
        <w:autoSpaceDN w:val="0"/>
        <w:adjustRightInd w:val="0"/>
        <w:spacing w:after="0"/>
      </w:pPr>
      <w:r w:rsidRPr="001472C3">
        <w:t>Data specific to NUVIGIL</w:t>
      </w:r>
      <w:r w:rsidR="001A1A35" w:rsidRPr="001472C3">
        <w:rPr>
          <w:rFonts w:cs="Arial"/>
          <w:snapToGrid/>
          <w:szCs w:val="16"/>
          <w:vertAlign w:val="superscript"/>
          <w:lang w:eastAsia="en-AU"/>
        </w:rPr>
        <w:t>®</w:t>
      </w:r>
      <w:r w:rsidRPr="001472C3">
        <w:t xml:space="preserve"> or </w:t>
      </w:r>
      <w:proofErr w:type="spellStart"/>
      <w:r w:rsidRPr="001472C3">
        <w:t>modafinil</w:t>
      </w:r>
      <w:proofErr w:type="spellEnd"/>
      <w:r w:rsidRPr="001472C3">
        <w:t xml:space="preserve"> drug-drug interaction potential with monoamine oxidase (MAO) inhibitors are not available. Therefore, caution should be used when concomitantly administering MAO inhibitors and NUVIGIL</w:t>
      </w:r>
      <w:r w:rsidR="001A1A35" w:rsidRPr="001472C3">
        <w:rPr>
          <w:rFonts w:cs="Arial"/>
          <w:snapToGrid/>
          <w:szCs w:val="16"/>
          <w:vertAlign w:val="superscript"/>
          <w:lang w:eastAsia="en-AU"/>
        </w:rPr>
        <w:t>®</w:t>
      </w:r>
      <w:r w:rsidRPr="001472C3">
        <w:t>.</w:t>
      </w:r>
    </w:p>
    <w:p w:rsidR="00726AA5" w:rsidRPr="001472C3" w:rsidRDefault="00726AA5" w:rsidP="00BE236C">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rPr>
          <w:bCs/>
          <w:i/>
          <w:iCs/>
          <w:color w:val="auto"/>
          <w:szCs w:val="16"/>
        </w:rPr>
      </w:pPr>
    </w:p>
    <w:p w:rsidR="00726AA5" w:rsidRPr="001472C3" w:rsidRDefault="00726AA5" w:rsidP="00726AA5">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Cs/>
          <w:i/>
          <w:iCs/>
          <w:color w:val="auto"/>
          <w:szCs w:val="16"/>
        </w:rPr>
      </w:pPr>
      <w:r w:rsidRPr="001472C3">
        <w:rPr>
          <w:bCs/>
          <w:i/>
          <w:iCs/>
          <w:color w:val="auto"/>
          <w:szCs w:val="16"/>
        </w:rPr>
        <w:t>Interaction with P-Glycoprotein</w:t>
      </w:r>
    </w:p>
    <w:p w:rsidR="00726AA5" w:rsidRPr="001472C3" w:rsidRDefault="00726AA5" w:rsidP="00BE236C">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rPr>
          <w:color w:val="auto"/>
          <w:szCs w:val="16"/>
        </w:rPr>
      </w:pPr>
      <w:r w:rsidRPr="005306E9">
        <w:rPr>
          <w:color w:val="auto"/>
          <w:szCs w:val="16"/>
        </w:rPr>
        <w:t xml:space="preserve">An </w:t>
      </w:r>
      <w:r w:rsidRPr="006B1A0F">
        <w:rPr>
          <w:i/>
          <w:iCs/>
          <w:color w:val="auto"/>
          <w:szCs w:val="16"/>
        </w:rPr>
        <w:t>in vitro</w:t>
      </w:r>
      <w:r w:rsidRPr="005306E9">
        <w:rPr>
          <w:color w:val="auto"/>
          <w:szCs w:val="16"/>
        </w:rPr>
        <w:t xml:space="preserve"> study demonstrated that </w:t>
      </w:r>
      <w:proofErr w:type="spellStart"/>
      <w:r w:rsidRPr="005306E9">
        <w:rPr>
          <w:color w:val="auto"/>
          <w:szCs w:val="16"/>
        </w:rPr>
        <w:t>armodafinil</w:t>
      </w:r>
      <w:proofErr w:type="spellEnd"/>
      <w:r w:rsidRPr="005306E9">
        <w:rPr>
          <w:color w:val="auto"/>
          <w:szCs w:val="16"/>
        </w:rPr>
        <w:t xml:space="preserve"> is a </w:t>
      </w:r>
      <w:r w:rsidRPr="00A75BBA">
        <w:rPr>
          <w:color w:val="auto"/>
          <w:szCs w:val="16"/>
        </w:rPr>
        <w:t>substrate</w:t>
      </w:r>
      <w:r w:rsidR="00A37F51" w:rsidRPr="00A75BBA">
        <w:rPr>
          <w:color w:val="auto"/>
          <w:szCs w:val="16"/>
        </w:rPr>
        <w:t>, but not inhibitor,</w:t>
      </w:r>
      <w:r w:rsidRPr="00A75BBA">
        <w:rPr>
          <w:color w:val="auto"/>
          <w:szCs w:val="16"/>
        </w:rPr>
        <w:t xml:space="preserve"> of P-glycoprotein. </w:t>
      </w:r>
      <w:r w:rsidR="00362FA9">
        <w:rPr>
          <w:color w:val="auto"/>
          <w:szCs w:val="16"/>
        </w:rPr>
        <w:t xml:space="preserve">The clinical impact of inhibition of P-glycoprotein on the bioavailability of </w:t>
      </w:r>
      <w:proofErr w:type="spellStart"/>
      <w:r w:rsidR="00362FA9">
        <w:rPr>
          <w:color w:val="auto"/>
          <w:szCs w:val="16"/>
        </w:rPr>
        <w:t>armodafinil</w:t>
      </w:r>
      <w:proofErr w:type="spellEnd"/>
      <w:r w:rsidR="00362FA9">
        <w:rPr>
          <w:color w:val="auto"/>
          <w:szCs w:val="16"/>
        </w:rPr>
        <w:t xml:space="preserve"> is not known. </w:t>
      </w:r>
    </w:p>
    <w:p w:rsidR="00726AA5" w:rsidRPr="001472C3" w:rsidRDefault="00726AA5" w:rsidP="00BE236C">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rPr>
          <w:bCs/>
          <w:i/>
          <w:iCs/>
          <w:color w:val="auto"/>
          <w:szCs w:val="16"/>
        </w:rPr>
      </w:pPr>
    </w:p>
    <w:p w:rsidR="00726AA5" w:rsidRPr="001472C3" w:rsidRDefault="00726AA5" w:rsidP="00726AA5">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Cs/>
          <w:i/>
          <w:iCs/>
          <w:color w:val="auto"/>
          <w:szCs w:val="16"/>
        </w:rPr>
      </w:pPr>
      <w:r w:rsidRPr="001472C3">
        <w:rPr>
          <w:bCs/>
          <w:i/>
          <w:iCs/>
          <w:color w:val="auto"/>
          <w:szCs w:val="16"/>
        </w:rPr>
        <w:t>Interactions with Other Drugs</w:t>
      </w:r>
    </w:p>
    <w:p w:rsidR="00C61A10" w:rsidRPr="001472C3" w:rsidRDefault="00C61A10" w:rsidP="00C61A10">
      <w:pPr>
        <w:autoSpaceDE w:val="0"/>
        <w:autoSpaceDN w:val="0"/>
        <w:adjustRightInd w:val="0"/>
        <w:spacing w:after="0"/>
        <w:jc w:val="both"/>
        <w:rPr>
          <w:rFonts w:cs="Arial"/>
          <w:iCs/>
          <w:snapToGrid/>
          <w:lang w:eastAsia="en-AU"/>
        </w:rPr>
      </w:pPr>
      <w:r w:rsidRPr="001472C3">
        <w:rPr>
          <w:rFonts w:cs="Arial"/>
          <w:iCs/>
          <w:snapToGrid/>
          <w:lang w:eastAsia="en-AU"/>
        </w:rPr>
        <w:t xml:space="preserve">Data specific to </w:t>
      </w:r>
      <w:r w:rsidR="00B83FAE">
        <w:rPr>
          <w:rFonts w:cs="Arial"/>
          <w:iCs/>
          <w:snapToGrid/>
          <w:lang w:eastAsia="en-AU"/>
        </w:rPr>
        <w:t>NUVIGIL</w:t>
      </w:r>
      <w:r w:rsidR="00B83FAE" w:rsidRPr="001472C3">
        <w:rPr>
          <w:rFonts w:cs="Arial"/>
          <w:vertAlign w:val="superscript"/>
        </w:rPr>
        <w:t>®</w:t>
      </w:r>
      <w:r w:rsidR="00763AA4">
        <w:rPr>
          <w:rFonts w:cs="Arial"/>
          <w:vertAlign w:val="superscript"/>
        </w:rPr>
        <w:t xml:space="preserve"> </w:t>
      </w:r>
      <w:r w:rsidRPr="001472C3">
        <w:rPr>
          <w:rFonts w:cs="Arial"/>
          <w:iCs/>
          <w:snapToGrid/>
          <w:lang w:eastAsia="en-AU"/>
        </w:rPr>
        <w:t xml:space="preserve">drug-drug interaction potential for additional other drugs are not available. However, the following available drug-drug interaction information on </w:t>
      </w:r>
      <w:proofErr w:type="spellStart"/>
      <w:r w:rsidRPr="001472C3">
        <w:rPr>
          <w:rFonts w:cs="Arial"/>
          <w:iCs/>
          <w:snapToGrid/>
          <w:lang w:eastAsia="en-AU"/>
        </w:rPr>
        <w:t>modafinil</w:t>
      </w:r>
      <w:proofErr w:type="spellEnd"/>
      <w:r w:rsidRPr="001472C3">
        <w:rPr>
          <w:rFonts w:cs="Arial"/>
          <w:iCs/>
          <w:snapToGrid/>
          <w:lang w:eastAsia="en-AU"/>
        </w:rPr>
        <w:t xml:space="preserve"> should be applicable to </w:t>
      </w:r>
      <w:r w:rsidR="00DD09CB">
        <w:rPr>
          <w:rFonts w:cs="Arial"/>
          <w:iCs/>
          <w:snapToGrid/>
          <w:lang w:eastAsia="en-AU"/>
        </w:rPr>
        <w:t>NUVIGIL</w:t>
      </w:r>
      <w:r w:rsidR="00DD09CB" w:rsidRPr="001472C3">
        <w:rPr>
          <w:rFonts w:cs="Arial"/>
          <w:vertAlign w:val="superscript"/>
        </w:rPr>
        <w:t>®</w:t>
      </w:r>
      <w:r w:rsidRPr="001472C3">
        <w:rPr>
          <w:rFonts w:cs="Arial"/>
          <w:iCs/>
          <w:snapToGrid/>
          <w:lang w:eastAsia="en-AU"/>
        </w:rPr>
        <w:t xml:space="preserve">. </w:t>
      </w:r>
    </w:p>
    <w:p w:rsidR="004A0492" w:rsidRPr="001472C3" w:rsidRDefault="004A0492" w:rsidP="004A0492">
      <w:pPr>
        <w:autoSpaceDE w:val="0"/>
        <w:autoSpaceDN w:val="0"/>
        <w:adjustRightInd w:val="0"/>
        <w:spacing w:after="0"/>
        <w:jc w:val="both"/>
        <w:rPr>
          <w:rFonts w:cs="Arial"/>
          <w:i/>
          <w:snapToGrid/>
          <w:lang w:eastAsia="en-AU"/>
        </w:rPr>
      </w:pPr>
    </w:p>
    <w:p w:rsidR="004A0492" w:rsidRPr="001472C3" w:rsidRDefault="004A0492" w:rsidP="004A0492">
      <w:pPr>
        <w:autoSpaceDE w:val="0"/>
        <w:autoSpaceDN w:val="0"/>
        <w:adjustRightInd w:val="0"/>
        <w:spacing w:after="0"/>
        <w:jc w:val="both"/>
        <w:rPr>
          <w:rFonts w:cs="Arial"/>
          <w:snapToGrid/>
          <w:lang w:eastAsia="en-AU"/>
        </w:rPr>
      </w:pPr>
      <w:r w:rsidRPr="001472C3">
        <w:rPr>
          <w:rFonts w:cs="Arial"/>
          <w:snapToGrid/>
          <w:lang w:eastAsia="en-AU"/>
        </w:rPr>
        <w:t xml:space="preserve">Concomitant administration of </w:t>
      </w:r>
      <w:proofErr w:type="spellStart"/>
      <w:r w:rsidRPr="001472C3">
        <w:rPr>
          <w:rFonts w:cs="Arial"/>
          <w:snapToGrid/>
          <w:lang w:eastAsia="en-AU"/>
        </w:rPr>
        <w:t>modafinil</w:t>
      </w:r>
      <w:proofErr w:type="spellEnd"/>
      <w:r w:rsidRPr="001472C3">
        <w:rPr>
          <w:rFonts w:cs="Arial"/>
          <w:snapToGrid/>
          <w:lang w:eastAsia="en-AU"/>
        </w:rPr>
        <w:t xml:space="preserve"> with warfarin did not produce significant changes in the pharmacokinetic profiles of </w:t>
      </w:r>
      <w:r w:rsidR="00CA7A56">
        <w:rPr>
          <w:rFonts w:cs="Arial"/>
          <w:snapToGrid/>
          <w:lang w:eastAsia="en-AU"/>
        </w:rPr>
        <w:t>(</w:t>
      </w:r>
      <w:r w:rsidRPr="00CA7A56">
        <w:rPr>
          <w:rFonts w:cs="Arial"/>
          <w:i/>
          <w:snapToGrid/>
          <w:lang w:eastAsia="en-AU"/>
        </w:rPr>
        <w:t>R</w:t>
      </w:r>
      <w:proofErr w:type="gramStart"/>
      <w:r w:rsidR="00CA7A56">
        <w:rPr>
          <w:rFonts w:cs="Arial"/>
          <w:snapToGrid/>
          <w:lang w:eastAsia="en-AU"/>
        </w:rPr>
        <w:t>)</w:t>
      </w:r>
      <w:r w:rsidRPr="001472C3">
        <w:rPr>
          <w:rFonts w:cs="Arial"/>
          <w:snapToGrid/>
          <w:lang w:eastAsia="en-AU"/>
        </w:rPr>
        <w:t>-</w:t>
      </w:r>
      <w:proofErr w:type="gramEnd"/>
      <w:r w:rsidRPr="001472C3">
        <w:rPr>
          <w:rFonts w:cs="Arial"/>
          <w:snapToGrid/>
          <w:lang w:eastAsia="en-AU"/>
        </w:rPr>
        <w:t xml:space="preserve"> and </w:t>
      </w:r>
      <w:r w:rsidR="00CA7A56">
        <w:rPr>
          <w:rFonts w:cs="Arial"/>
          <w:snapToGrid/>
          <w:lang w:eastAsia="en-AU"/>
        </w:rPr>
        <w:t>(</w:t>
      </w:r>
      <w:r w:rsidRPr="00CA7A56">
        <w:rPr>
          <w:rFonts w:cs="Arial"/>
          <w:i/>
          <w:snapToGrid/>
          <w:lang w:eastAsia="en-AU"/>
        </w:rPr>
        <w:t>S</w:t>
      </w:r>
      <w:r w:rsidR="00CA7A56">
        <w:rPr>
          <w:rFonts w:cs="Arial"/>
          <w:snapToGrid/>
          <w:lang w:eastAsia="en-AU"/>
        </w:rPr>
        <w:t>)</w:t>
      </w:r>
      <w:r w:rsidRPr="001472C3">
        <w:rPr>
          <w:rFonts w:cs="Arial"/>
          <w:snapToGrid/>
          <w:lang w:eastAsia="en-AU"/>
        </w:rPr>
        <w:t>-</w:t>
      </w:r>
      <w:r w:rsidR="00CE535E">
        <w:rPr>
          <w:rFonts w:cs="Arial"/>
          <w:snapToGrid/>
          <w:lang w:eastAsia="en-AU"/>
        </w:rPr>
        <w:t>warfarin</w:t>
      </w:r>
      <w:r w:rsidRPr="001472C3">
        <w:rPr>
          <w:rFonts w:cs="Arial"/>
          <w:snapToGrid/>
          <w:lang w:eastAsia="en-AU"/>
        </w:rPr>
        <w:t xml:space="preserve">. However, since only a single dose of warfarin was tested in this study, </w:t>
      </w:r>
      <w:r w:rsidR="00DD09CB">
        <w:rPr>
          <w:rFonts w:cs="Arial"/>
          <w:snapToGrid/>
          <w:lang w:eastAsia="en-AU"/>
        </w:rPr>
        <w:t xml:space="preserve">an </w:t>
      </w:r>
      <w:r w:rsidRPr="001472C3">
        <w:rPr>
          <w:rFonts w:cs="Arial"/>
          <w:snapToGrid/>
          <w:lang w:eastAsia="en-AU"/>
        </w:rPr>
        <w:t>interaction cannot be ruled out. Therefore, more frequent monitoring of prothrombin times/INR should be considered whenever NUVIGIL</w:t>
      </w:r>
      <w:r w:rsidRPr="001472C3">
        <w:rPr>
          <w:rFonts w:cs="Arial"/>
          <w:snapToGrid/>
          <w:vertAlign w:val="superscript"/>
          <w:lang w:eastAsia="en-AU"/>
        </w:rPr>
        <w:t>®</w:t>
      </w:r>
      <w:r w:rsidRPr="001472C3">
        <w:rPr>
          <w:rFonts w:cs="Arial"/>
          <w:snapToGrid/>
          <w:lang w:eastAsia="en-AU"/>
        </w:rPr>
        <w:t xml:space="preserve"> is </w:t>
      </w:r>
      <w:proofErr w:type="spellStart"/>
      <w:r w:rsidRPr="001472C3">
        <w:rPr>
          <w:rFonts w:cs="Arial"/>
          <w:snapToGrid/>
          <w:lang w:eastAsia="en-AU"/>
        </w:rPr>
        <w:t>coadministered</w:t>
      </w:r>
      <w:proofErr w:type="spellEnd"/>
      <w:r w:rsidRPr="001472C3">
        <w:rPr>
          <w:rFonts w:cs="Arial"/>
          <w:snapToGrid/>
          <w:lang w:eastAsia="en-AU"/>
        </w:rPr>
        <w:t xml:space="preserve"> with warfarin.</w:t>
      </w:r>
    </w:p>
    <w:p w:rsidR="004458F1" w:rsidRPr="001472C3" w:rsidRDefault="004458F1" w:rsidP="00732798">
      <w:pPr>
        <w:autoSpaceDE w:val="0"/>
        <w:autoSpaceDN w:val="0"/>
        <w:adjustRightInd w:val="0"/>
        <w:spacing w:after="0"/>
        <w:jc w:val="both"/>
        <w:rPr>
          <w:rFonts w:cs="Arial"/>
          <w:i/>
          <w:iCs/>
          <w:snapToGrid/>
          <w:szCs w:val="16"/>
          <w:lang w:eastAsia="en-AU"/>
        </w:rPr>
      </w:pPr>
    </w:p>
    <w:p w:rsidR="00732798" w:rsidRDefault="0028358D">
      <w:pPr>
        <w:pStyle w:val="Heading1"/>
      </w:pPr>
      <w:r w:rsidRPr="001472C3">
        <w:t>ADVERSE EFFECTS</w:t>
      </w:r>
    </w:p>
    <w:p w:rsidR="00FB2864" w:rsidRPr="002C68D3" w:rsidRDefault="00FB2864" w:rsidP="00FB2864">
      <w:pPr>
        <w:rPr>
          <w:i/>
        </w:rPr>
      </w:pPr>
      <w:r w:rsidRPr="002C68D3">
        <w:rPr>
          <w:i/>
        </w:rPr>
        <w:t>OSA</w:t>
      </w:r>
      <w:r w:rsidR="00EC4722" w:rsidRPr="002C68D3">
        <w:rPr>
          <w:i/>
        </w:rPr>
        <w:t>HS</w:t>
      </w:r>
      <w:r w:rsidRPr="002C68D3">
        <w:rPr>
          <w:i/>
        </w:rPr>
        <w:t>, SW</w:t>
      </w:r>
      <w:r w:rsidR="002C30EE">
        <w:rPr>
          <w:i/>
        </w:rPr>
        <w:t>S</w:t>
      </w:r>
      <w:r w:rsidRPr="002C68D3">
        <w:rPr>
          <w:i/>
        </w:rPr>
        <w:t xml:space="preserve">D, and </w:t>
      </w:r>
      <w:r w:rsidR="002C68D3" w:rsidRPr="002C68D3">
        <w:rPr>
          <w:i/>
        </w:rPr>
        <w:t>Narcolepsy</w:t>
      </w:r>
    </w:p>
    <w:p w:rsidR="00732798" w:rsidRPr="001472C3" w:rsidRDefault="00FB2864" w:rsidP="00AD448E">
      <w:pPr>
        <w:pStyle w:val="Heading1"/>
        <w:rPr>
          <w:b w:val="0"/>
        </w:rPr>
      </w:pPr>
      <w:r w:rsidRPr="002C68D3">
        <w:rPr>
          <w:rFonts w:cs="Arial"/>
          <w:b w:val="0"/>
          <w:snapToGrid/>
          <w:lang w:eastAsia="en-AU"/>
        </w:rPr>
        <w:t>NUVIGIL</w:t>
      </w:r>
      <w:r w:rsidRPr="002C68D3">
        <w:rPr>
          <w:rFonts w:cs="Arial"/>
          <w:b w:val="0"/>
          <w:snapToGrid/>
          <w:vertAlign w:val="superscript"/>
          <w:lang w:eastAsia="en-AU"/>
        </w:rPr>
        <w:t>®</w:t>
      </w:r>
      <w:r w:rsidRPr="002C68D3">
        <w:rPr>
          <w:rFonts w:cs="Arial"/>
          <w:snapToGrid/>
          <w:lang w:eastAsia="en-AU"/>
        </w:rPr>
        <w:t xml:space="preserve"> </w:t>
      </w:r>
      <w:r w:rsidR="00AD448E" w:rsidRPr="002C68D3">
        <w:rPr>
          <w:b w:val="0"/>
        </w:rPr>
        <w:t xml:space="preserve">has been evaluated for safety in over 1100 patients with excessive sleepiness associated with </w:t>
      </w:r>
      <w:r w:rsidR="00E70FF6" w:rsidRPr="002C68D3">
        <w:rPr>
          <w:b w:val="0"/>
        </w:rPr>
        <w:t>OSA</w:t>
      </w:r>
      <w:r w:rsidR="00EC4722" w:rsidRPr="002C68D3">
        <w:rPr>
          <w:b w:val="0"/>
        </w:rPr>
        <w:t>HS</w:t>
      </w:r>
      <w:r w:rsidR="00E70FF6" w:rsidRPr="001472C3">
        <w:rPr>
          <w:b w:val="0"/>
        </w:rPr>
        <w:t>, SW</w:t>
      </w:r>
      <w:r w:rsidR="002C30EE">
        <w:rPr>
          <w:b w:val="0"/>
        </w:rPr>
        <w:t>S</w:t>
      </w:r>
      <w:r w:rsidR="00E70FF6" w:rsidRPr="001472C3">
        <w:rPr>
          <w:b w:val="0"/>
        </w:rPr>
        <w:t>D and narcolepsy</w:t>
      </w:r>
      <w:r w:rsidR="00AD448E" w:rsidRPr="001472C3">
        <w:rPr>
          <w:b w:val="0"/>
        </w:rPr>
        <w:t xml:space="preserve">. </w:t>
      </w:r>
    </w:p>
    <w:p w:rsidR="002D1150" w:rsidRDefault="00AD448E" w:rsidP="00AD448E">
      <w:pPr>
        <w:jc w:val="both"/>
      </w:pPr>
      <w:r w:rsidRPr="001472C3">
        <w:t xml:space="preserve">In the </w:t>
      </w:r>
      <w:r w:rsidR="00B25D78" w:rsidRPr="001472C3">
        <w:t>pre-approval</w:t>
      </w:r>
      <w:r w:rsidRPr="001472C3">
        <w:t xml:space="preserve"> </w:t>
      </w:r>
      <w:r w:rsidR="004278EC">
        <w:t xml:space="preserve">controlled </w:t>
      </w:r>
      <w:r w:rsidRPr="001472C3">
        <w:t xml:space="preserve">clinical </w:t>
      </w:r>
      <w:r w:rsidR="00B25D78" w:rsidRPr="001472C3">
        <w:t>trials</w:t>
      </w:r>
      <w:r w:rsidRPr="001472C3">
        <w:t>, the most commonly observed adverse events (</w:t>
      </w:r>
      <w:r w:rsidRPr="001472C3">
        <w:rPr>
          <w:rFonts w:cs="Arial"/>
        </w:rPr>
        <w:t>≥</w:t>
      </w:r>
      <w:r w:rsidRPr="001472C3">
        <w:t>5%) associated with the use of NUVIGIL</w:t>
      </w:r>
      <w:r w:rsidR="00A01E64" w:rsidRPr="001472C3">
        <w:rPr>
          <w:rFonts w:cs="Arial"/>
          <w:b/>
          <w:vertAlign w:val="superscript"/>
        </w:rPr>
        <w:t>®</w:t>
      </w:r>
      <w:r w:rsidR="00A01E64" w:rsidRPr="001472C3">
        <w:rPr>
          <w:b/>
        </w:rPr>
        <w:t xml:space="preserve"> </w:t>
      </w:r>
      <w:r w:rsidRPr="001472C3">
        <w:t xml:space="preserve">occurring more frequently than in the placebo-treated patients were headache, nausea, dizziness, and insomnia. The adverse event profile was similar across the studies. </w:t>
      </w:r>
    </w:p>
    <w:p w:rsidR="00AD448E" w:rsidRPr="001472C3" w:rsidRDefault="00AD448E" w:rsidP="00AD448E">
      <w:pPr>
        <w:jc w:val="both"/>
      </w:pPr>
      <w:r w:rsidRPr="001472C3">
        <w:t xml:space="preserve">In the </w:t>
      </w:r>
      <w:r w:rsidR="00FB2864" w:rsidRPr="001472C3">
        <w:t>pre-approval controlled</w:t>
      </w:r>
      <w:r w:rsidRPr="001472C3">
        <w:t xml:space="preserve"> clinical trials, 44 of the 645 patients (7%) who received NUVIGIL</w:t>
      </w:r>
      <w:r w:rsidR="00A01E64" w:rsidRPr="001472C3">
        <w:rPr>
          <w:rFonts w:cs="Arial"/>
          <w:b/>
          <w:vertAlign w:val="superscript"/>
        </w:rPr>
        <w:t>®</w:t>
      </w:r>
      <w:r w:rsidR="00A01E64" w:rsidRPr="001472C3">
        <w:rPr>
          <w:b/>
        </w:rPr>
        <w:t xml:space="preserve"> </w:t>
      </w:r>
      <w:r w:rsidRPr="001472C3">
        <w:t xml:space="preserve">discontinued due to an adverse experience compared to 16 of the 445 (4%) of patients that received placebo. The most frequent reason for discontinuation was headache (1%). </w:t>
      </w:r>
    </w:p>
    <w:p w:rsidR="00AD448E" w:rsidRPr="001472C3" w:rsidRDefault="00AD448E" w:rsidP="00585E47">
      <w:pPr>
        <w:keepNext/>
        <w:rPr>
          <w:i/>
        </w:rPr>
      </w:pPr>
      <w:r w:rsidRPr="001472C3">
        <w:rPr>
          <w:i/>
        </w:rPr>
        <w:lastRenderedPageBreak/>
        <w:t>Incidence in Controlled Trials</w:t>
      </w:r>
    </w:p>
    <w:p w:rsidR="00526F81" w:rsidRPr="001472C3" w:rsidRDefault="00AD448E" w:rsidP="00AD448E">
      <w:pPr>
        <w:jc w:val="both"/>
      </w:pPr>
      <w:r w:rsidRPr="001472C3">
        <w:t>The following table (Table 3) presents the adverse experiences that occurred at a rate of 1% or more and were more frequent in patients treated with NUVIGIL</w:t>
      </w:r>
      <w:r w:rsidR="00526F81" w:rsidRPr="001472C3">
        <w:rPr>
          <w:rFonts w:cs="Arial"/>
          <w:b/>
          <w:vertAlign w:val="superscript"/>
        </w:rPr>
        <w:t>®</w:t>
      </w:r>
      <w:r w:rsidR="00526F81" w:rsidRPr="001472C3">
        <w:rPr>
          <w:b/>
        </w:rPr>
        <w:t xml:space="preserve"> </w:t>
      </w:r>
      <w:r w:rsidRPr="001472C3">
        <w:t xml:space="preserve">than in placebo group patients in the </w:t>
      </w:r>
      <w:r w:rsidR="00B25D78" w:rsidRPr="001472C3">
        <w:t>pre</w:t>
      </w:r>
      <w:r w:rsidRPr="001472C3">
        <w:t>-</w:t>
      </w:r>
      <w:r w:rsidR="00B25D78" w:rsidRPr="001472C3">
        <w:t>approval</w:t>
      </w:r>
      <w:r w:rsidRPr="001472C3">
        <w:t xml:space="preserve"> controlled clinical trials. </w:t>
      </w:r>
    </w:p>
    <w:p w:rsidR="00A75BBA" w:rsidRDefault="004278EC" w:rsidP="004B476D">
      <w:pPr>
        <w:jc w:val="both"/>
        <w:rPr>
          <w:b/>
        </w:rPr>
      </w:pPr>
      <w:r>
        <w:t xml:space="preserve">The prescriber should be aware that the figures provided below cannot be used to predict the frequency of adverse experiences in the course of usual medical practice, where patient characteristics and other factors may differ from those occurring during clinical studies. Similarly, the cited frequencies cannot be directly compared with figures obtained from other clinical investigations involving different treatments, uses, or investigators. Review of these frequencies, however, provides prescribers with a basis to estimate the relative contribution of drug and non-drug factors to the incidence of adverse events in the population studied. </w:t>
      </w:r>
    </w:p>
    <w:p w:rsidR="004B476D" w:rsidRDefault="004B476D">
      <w:pPr>
        <w:spacing w:after="0"/>
        <w:rPr>
          <w:rFonts w:cs="Arial"/>
          <w:b/>
          <w:sz w:val="18"/>
          <w:szCs w:val="18"/>
        </w:rPr>
      </w:pPr>
    </w:p>
    <w:p w:rsidR="00D03927" w:rsidRPr="001472C3" w:rsidRDefault="00D03927" w:rsidP="00526F81">
      <w:pPr>
        <w:autoSpaceDE w:val="0"/>
        <w:autoSpaceDN w:val="0"/>
        <w:adjustRightInd w:val="0"/>
        <w:spacing w:after="0"/>
        <w:rPr>
          <w:b/>
          <w:sz w:val="22"/>
        </w:rPr>
      </w:pPr>
      <w:r w:rsidRPr="001472C3">
        <w:rPr>
          <w:rFonts w:cs="Arial"/>
          <w:b/>
          <w:sz w:val="18"/>
          <w:szCs w:val="18"/>
        </w:rPr>
        <w:t xml:space="preserve">Table </w:t>
      </w:r>
      <w:r w:rsidR="00500C7C" w:rsidRPr="001472C3">
        <w:rPr>
          <w:rFonts w:cs="Arial"/>
          <w:b/>
          <w:sz w:val="18"/>
          <w:szCs w:val="18"/>
        </w:rPr>
        <w:t>3</w:t>
      </w:r>
      <w:r w:rsidRPr="001472C3">
        <w:rPr>
          <w:rFonts w:cs="Arial"/>
          <w:b/>
          <w:sz w:val="18"/>
          <w:szCs w:val="18"/>
        </w:rPr>
        <w:tab/>
      </w:r>
      <w:r w:rsidR="00782FD5">
        <w:rPr>
          <w:rFonts w:cs="Arial"/>
          <w:b/>
          <w:snapToGrid/>
          <w:sz w:val="18"/>
          <w:szCs w:val="18"/>
          <w:lang w:eastAsia="en-AU"/>
        </w:rPr>
        <w:t>Incidence</w:t>
      </w:r>
      <w:r w:rsidRPr="001472C3">
        <w:rPr>
          <w:rFonts w:cs="Arial"/>
          <w:b/>
          <w:snapToGrid/>
          <w:sz w:val="18"/>
          <w:szCs w:val="18"/>
          <w:lang w:eastAsia="en-AU"/>
        </w:rPr>
        <w:t xml:space="preserve"> 1% </w:t>
      </w:r>
      <w:r w:rsidR="004278EC">
        <w:rPr>
          <w:rFonts w:cs="Arial"/>
          <w:b/>
          <w:snapToGrid/>
          <w:sz w:val="18"/>
          <w:szCs w:val="18"/>
          <w:lang w:eastAsia="en-AU"/>
        </w:rPr>
        <w:t>or Greater</w:t>
      </w:r>
      <w:r w:rsidRPr="001472C3">
        <w:rPr>
          <w:rFonts w:cs="Arial"/>
          <w:b/>
          <w:snapToGrid/>
          <w:sz w:val="18"/>
          <w:szCs w:val="18"/>
          <w:lang w:eastAsia="en-AU"/>
        </w:rPr>
        <w:t xml:space="preserve"> Of Treatment-Emergent Adverse Experiences In Parallel-Group,</w:t>
      </w:r>
      <w:r w:rsidR="00526F81" w:rsidRPr="001472C3">
        <w:rPr>
          <w:rFonts w:cs="Arial"/>
          <w:b/>
          <w:snapToGrid/>
          <w:sz w:val="18"/>
          <w:szCs w:val="18"/>
          <w:lang w:eastAsia="en-AU"/>
        </w:rPr>
        <w:t xml:space="preserve"> </w:t>
      </w:r>
      <w:r w:rsidRPr="001472C3">
        <w:rPr>
          <w:rFonts w:ascii="FranklinGothic-DemiCmpr" w:hAnsi="FranklinGothic-DemiCmpr" w:cs="FranklinGothic-DemiCmpr"/>
          <w:b/>
          <w:snapToGrid/>
          <w:sz w:val="18"/>
          <w:szCs w:val="16"/>
          <w:lang w:eastAsia="en-AU"/>
        </w:rPr>
        <w:t xml:space="preserve">Placebo-Controlled Clinical Trials* In </w:t>
      </w:r>
      <w:r w:rsidRPr="00912BA3">
        <w:rPr>
          <w:rFonts w:ascii="FranklinGothic-DemiCmpr" w:hAnsi="FranklinGothic-DemiCmpr" w:cs="FranklinGothic-DemiCmpr"/>
          <w:b/>
          <w:snapToGrid/>
          <w:sz w:val="18"/>
          <w:szCs w:val="16"/>
          <w:lang w:eastAsia="en-AU"/>
        </w:rPr>
        <w:t>OSA</w:t>
      </w:r>
      <w:r w:rsidR="00900235" w:rsidRPr="00912BA3">
        <w:rPr>
          <w:rFonts w:ascii="FranklinGothic-DemiCmpr" w:hAnsi="FranklinGothic-DemiCmpr" w:cs="FranklinGothic-DemiCmpr"/>
          <w:b/>
          <w:snapToGrid/>
          <w:sz w:val="18"/>
          <w:szCs w:val="16"/>
          <w:lang w:eastAsia="en-AU"/>
        </w:rPr>
        <w:t>HS</w:t>
      </w:r>
      <w:r w:rsidRPr="00912BA3">
        <w:rPr>
          <w:rFonts w:ascii="FranklinGothic-DemiCmpr" w:hAnsi="FranklinGothic-DemiCmpr" w:cs="FranklinGothic-DemiCmpr"/>
          <w:b/>
          <w:snapToGrid/>
          <w:sz w:val="18"/>
          <w:szCs w:val="16"/>
          <w:lang w:eastAsia="en-AU"/>
        </w:rPr>
        <w:t>, Narcolepsy and SW</w:t>
      </w:r>
      <w:r w:rsidR="00900235" w:rsidRPr="00912BA3">
        <w:rPr>
          <w:rFonts w:ascii="FranklinGothic-DemiCmpr" w:hAnsi="FranklinGothic-DemiCmpr" w:cs="FranklinGothic-DemiCmpr"/>
          <w:b/>
          <w:snapToGrid/>
          <w:sz w:val="18"/>
          <w:szCs w:val="16"/>
          <w:lang w:eastAsia="en-AU"/>
        </w:rPr>
        <w:t>S</w:t>
      </w:r>
      <w:r w:rsidRPr="00912BA3">
        <w:rPr>
          <w:rFonts w:ascii="FranklinGothic-DemiCmpr" w:hAnsi="FranklinGothic-DemiCmpr" w:cs="FranklinGothic-DemiCmpr"/>
          <w:b/>
          <w:snapToGrid/>
          <w:sz w:val="18"/>
          <w:szCs w:val="16"/>
          <w:lang w:eastAsia="en-AU"/>
        </w:rPr>
        <w:t>D</w:t>
      </w:r>
      <w:r w:rsidRPr="001472C3">
        <w:rPr>
          <w:rFonts w:ascii="FranklinGothic-DemiCmpr" w:hAnsi="FranklinGothic-DemiCmpr" w:cs="FranklinGothic-DemiCmpr"/>
          <w:b/>
          <w:snapToGrid/>
          <w:sz w:val="18"/>
          <w:szCs w:val="16"/>
          <w:lang w:eastAsia="en-AU"/>
        </w:rPr>
        <w:t xml:space="preserve"> With NUVIGIL</w:t>
      </w:r>
      <w:r w:rsidR="003D3714" w:rsidRPr="001472C3">
        <w:rPr>
          <w:rFonts w:cs="Arial"/>
          <w:b/>
          <w:sz w:val="18"/>
          <w:szCs w:val="18"/>
          <w:vertAlign w:val="superscript"/>
        </w:rPr>
        <w:t>®</w:t>
      </w:r>
      <w:r w:rsidRPr="001472C3">
        <w:rPr>
          <w:rFonts w:ascii="FranklinGothic-DemiCmpr" w:hAnsi="FranklinGothic-DemiCmpr" w:cs="FranklinGothic-DemiCmpr"/>
          <w:b/>
          <w:snapToGrid/>
          <w:sz w:val="18"/>
          <w:szCs w:val="16"/>
          <w:lang w:eastAsia="en-AU"/>
        </w:rPr>
        <w:t xml:space="preserve"> (150 mg and 250 mg</w:t>
      </w:r>
      <w:proofErr w:type="gramStart"/>
      <w:r w:rsidRPr="001472C3">
        <w:rPr>
          <w:rFonts w:ascii="FranklinGothic-DemiCmpr" w:hAnsi="FranklinGothic-DemiCmpr" w:cs="FranklinGothic-DemiCmpr"/>
          <w:b/>
          <w:snapToGrid/>
          <w:sz w:val="18"/>
          <w:szCs w:val="16"/>
          <w:lang w:eastAsia="en-AU"/>
        </w:rPr>
        <w:t>)</w:t>
      </w:r>
      <w:r w:rsidR="00782FD5" w:rsidRPr="00782FD5">
        <w:rPr>
          <w:rFonts w:ascii="FranklinGothic-DemiCmpr" w:hAnsi="FranklinGothic-DemiCmpr" w:cs="FranklinGothic-DemiCmpr"/>
          <w:b/>
          <w:snapToGrid/>
          <w:sz w:val="18"/>
          <w:szCs w:val="16"/>
          <w:vertAlign w:val="superscript"/>
          <w:lang w:eastAsia="en-AU"/>
        </w:rPr>
        <w:t>1</w:t>
      </w:r>
      <w:proofErr w:type="gramEnd"/>
    </w:p>
    <w:tbl>
      <w:tblPr>
        <w:tblStyle w:val="TableGrid"/>
        <w:tblW w:w="0" w:type="auto"/>
        <w:tblLook w:val="04A0" w:firstRow="1" w:lastRow="0" w:firstColumn="1" w:lastColumn="0" w:noHBand="0" w:noVBand="1"/>
      </w:tblPr>
      <w:tblGrid>
        <w:gridCol w:w="4432"/>
        <w:gridCol w:w="2421"/>
        <w:gridCol w:w="2390"/>
      </w:tblGrid>
      <w:tr w:rsidR="00164024" w:rsidRPr="001472C3" w:rsidTr="00001C1A">
        <w:tc>
          <w:tcPr>
            <w:tcW w:w="4644" w:type="dxa"/>
            <w:vAlign w:val="center"/>
          </w:tcPr>
          <w:p w:rsidR="00164024" w:rsidRPr="001472C3" w:rsidRDefault="00164024" w:rsidP="00001C1A">
            <w:pPr>
              <w:pStyle w:val="Heading1"/>
              <w:spacing w:after="60"/>
              <w:jc w:val="center"/>
              <w:rPr>
                <w:sz w:val="16"/>
                <w:szCs w:val="16"/>
              </w:rPr>
            </w:pPr>
            <w:r w:rsidRPr="001472C3">
              <w:rPr>
                <w:sz w:val="16"/>
                <w:szCs w:val="16"/>
              </w:rPr>
              <w:lastRenderedPageBreak/>
              <w:t>System Organ Class</w:t>
            </w:r>
          </w:p>
          <w:p w:rsidR="00164024" w:rsidRPr="001472C3" w:rsidRDefault="00164024" w:rsidP="00001C1A">
            <w:pPr>
              <w:spacing w:after="60"/>
              <w:jc w:val="center"/>
              <w:rPr>
                <w:b/>
                <w:sz w:val="16"/>
                <w:szCs w:val="16"/>
              </w:rPr>
            </w:pPr>
            <w:proofErr w:type="spellStart"/>
            <w:r w:rsidRPr="001472C3">
              <w:rPr>
                <w:b/>
                <w:sz w:val="16"/>
                <w:szCs w:val="16"/>
              </w:rPr>
              <w:t>MeDRA</w:t>
            </w:r>
            <w:proofErr w:type="spellEnd"/>
            <w:r w:rsidRPr="001472C3">
              <w:rPr>
                <w:b/>
                <w:sz w:val="16"/>
                <w:szCs w:val="16"/>
              </w:rPr>
              <w:t xml:space="preserve"> preferred term</w:t>
            </w:r>
          </w:p>
        </w:tc>
        <w:tc>
          <w:tcPr>
            <w:tcW w:w="2552" w:type="dxa"/>
            <w:vAlign w:val="center"/>
          </w:tcPr>
          <w:p w:rsidR="00164024" w:rsidRPr="001472C3" w:rsidRDefault="00164024" w:rsidP="00526F81">
            <w:pPr>
              <w:pStyle w:val="Heading1"/>
              <w:spacing w:after="60"/>
              <w:jc w:val="center"/>
              <w:rPr>
                <w:sz w:val="16"/>
                <w:szCs w:val="16"/>
              </w:rPr>
            </w:pPr>
            <w:proofErr w:type="spellStart"/>
            <w:r w:rsidRPr="001472C3">
              <w:rPr>
                <w:sz w:val="16"/>
                <w:szCs w:val="16"/>
              </w:rPr>
              <w:t>Nuvigil</w:t>
            </w:r>
            <w:proofErr w:type="spellEnd"/>
            <w:r w:rsidR="00526F81" w:rsidRPr="001472C3">
              <w:rPr>
                <w:rFonts w:cs="Arial"/>
                <w:b w:val="0"/>
                <w:vertAlign w:val="superscript"/>
              </w:rPr>
              <w:t>®</w:t>
            </w:r>
            <w:r w:rsidRPr="001472C3">
              <w:rPr>
                <w:sz w:val="16"/>
                <w:szCs w:val="16"/>
              </w:rPr>
              <w:t xml:space="preserve"> (percent, N=645)</w:t>
            </w:r>
          </w:p>
        </w:tc>
        <w:tc>
          <w:tcPr>
            <w:tcW w:w="2518" w:type="dxa"/>
            <w:vAlign w:val="center"/>
          </w:tcPr>
          <w:p w:rsidR="00164024" w:rsidRPr="001472C3" w:rsidRDefault="00164024" w:rsidP="001B1AED">
            <w:pPr>
              <w:pStyle w:val="Heading1"/>
              <w:spacing w:after="60"/>
              <w:jc w:val="center"/>
              <w:rPr>
                <w:sz w:val="16"/>
                <w:szCs w:val="16"/>
              </w:rPr>
            </w:pPr>
            <w:r w:rsidRPr="001472C3">
              <w:rPr>
                <w:sz w:val="16"/>
                <w:szCs w:val="16"/>
              </w:rPr>
              <w:t>Placebo (</w:t>
            </w:r>
            <w:r w:rsidR="001B1AED">
              <w:rPr>
                <w:sz w:val="16"/>
                <w:szCs w:val="16"/>
              </w:rPr>
              <w:t>p</w:t>
            </w:r>
            <w:r w:rsidR="001B1AED" w:rsidRPr="001472C3">
              <w:rPr>
                <w:sz w:val="16"/>
                <w:szCs w:val="16"/>
              </w:rPr>
              <w:t>ercent</w:t>
            </w:r>
            <w:r w:rsidRPr="001472C3">
              <w:rPr>
                <w:sz w:val="16"/>
                <w:szCs w:val="16"/>
              </w:rPr>
              <w:t>, N=445)</w:t>
            </w:r>
          </w:p>
        </w:tc>
      </w:tr>
      <w:tr w:rsidR="00164024" w:rsidRPr="001472C3" w:rsidTr="00001C1A">
        <w:tc>
          <w:tcPr>
            <w:tcW w:w="4644" w:type="dxa"/>
          </w:tcPr>
          <w:p w:rsidR="00164024" w:rsidRPr="001472C3" w:rsidRDefault="00164024" w:rsidP="00001C1A">
            <w:pPr>
              <w:pStyle w:val="Heading1"/>
              <w:spacing w:after="60"/>
              <w:rPr>
                <w:b w:val="0"/>
                <w:sz w:val="16"/>
                <w:szCs w:val="16"/>
              </w:rPr>
            </w:pPr>
            <w:r w:rsidRPr="001472C3">
              <w:rPr>
                <w:b w:val="0"/>
                <w:sz w:val="16"/>
                <w:szCs w:val="16"/>
              </w:rPr>
              <w:t>Cardiac Disorders</w:t>
            </w:r>
          </w:p>
          <w:p w:rsidR="00164024" w:rsidRPr="001472C3" w:rsidRDefault="00164024" w:rsidP="00001C1A">
            <w:pPr>
              <w:spacing w:after="60"/>
              <w:rPr>
                <w:sz w:val="16"/>
                <w:szCs w:val="16"/>
              </w:rPr>
            </w:pPr>
            <w:r w:rsidRPr="001472C3">
              <w:rPr>
                <w:sz w:val="16"/>
                <w:szCs w:val="16"/>
              </w:rPr>
              <w:tab/>
              <w:t>Palpitations</w:t>
            </w:r>
          </w:p>
        </w:tc>
        <w:tc>
          <w:tcPr>
            <w:tcW w:w="2552" w:type="dxa"/>
          </w:tcPr>
          <w:p w:rsidR="00164024" w:rsidRPr="001472C3" w:rsidRDefault="00164024" w:rsidP="00E81D7E">
            <w:pPr>
              <w:spacing w:after="60"/>
              <w:jc w:val="center"/>
              <w:rPr>
                <w:sz w:val="16"/>
                <w:szCs w:val="16"/>
              </w:rPr>
            </w:pPr>
          </w:p>
          <w:p w:rsidR="00001C1A" w:rsidRPr="001472C3" w:rsidRDefault="00001C1A" w:rsidP="00E81D7E">
            <w:pPr>
              <w:spacing w:after="60"/>
              <w:jc w:val="center"/>
              <w:rPr>
                <w:sz w:val="16"/>
                <w:szCs w:val="16"/>
              </w:rPr>
            </w:pPr>
            <w:r w:rsidRPr="001472C3">
              <w:rPr>
                <w:sz w:val="16"/>
                <w:szCs w:val="16"/>
              </w:rPr>
              <w:t>2</w:t>
            </w:r>
          </w:p>
        </w:tc>
        <w:tc>
          <w:tcPr>
            <w:tcW w:w="2518" w:type="dxa"/>
          </w:tcPr>
          <w:p w:rsidR="00164024" w:rsidRPr="001472C3" w:rsidRDefault="00164024" w:rsidP="00E81D7E">
            <w:pPr>
              <w:spacing w:after="60"/>
              <w:jc w:val="center"/>
              <w:rPr>
                <w:sz w:val="16"/>
                <w:szCs w:val="16"/>
              </w:rPr>
            </w:pPr>
          </w:p>
          <w:p w:rsidR="00001C1A" w:rsidRPr="001472C3" w:rsidRDefault="00001C1A" w:rsidP="00E81D7E">
            <w:pPr>
              <w:spacing w:after="60"/>
              <w:jc w:val="center"/>
              <w:rPr>
                <w:sz w:val="16"/>
                <w:szCs w:val="16"/>
              </w:rPr>
            </w:pPr>
            <w:r w:rsidRPr="001472C3">
              <w:rPr>
                <w:sz w:val="16"/>
                <w:szCs w:val="16"/>
              </w:rPr>
              <w:t>1</w:t>
            </w:r>
          </w:p>
        </w:tc>
      </w:tr>
      <w:tr w:rsidR="00164024" w:rsidRPr="001472C3" w:rsidTr="00001C1A">
        <w:tc>
          <w:tcPr>
            <w:tcW w:w="4644" w:type="dxa"/>
          </w:tcPr>
          <w:p w:rsidR="00164024" w:rsidRPr="001472C3" w:rsidRDefault="00164024" w:rsidP="00001C1A">
            <w:pPr>
              <w:pStyle w:val="Heading1"/>
              <w:spacing w:after="60"/>
              <w:rPr>
                <w:b w:val="0"/>
                <w:sz w:val="16"/>
                <w:szCs w:val="16"/>
              </w:rPr>
            </w:pPr>
            <w:r w:rsidRPr="001472C3">
              <w:rPr>
                <w:b w:val="0"/>
                <w:sz w:val="16"/>
                <w:szCs w:val="16"/>
              </w:rPr>
              <w:t>Gastrointestinal Disorders</w:t>
            </w:r>
          </w:p>
          <w:p w:rsidR="00164024" w:rsidRPr="001472C3" w:rsidRDefault="00164024" w:rsidP="00001C1A">
            <w:pPr>
              <w:spacing w:after="60"/>
              <w:rPr>
                <w:sz w:val="16"/>
                <w:szCs w:val="16"/>
              </w:rPr>
            </w:pPr>
            <w:r w:rsidRPr="001472C3">
              <w:rPr>
                <w:sz w:val="16"/>
                <w:szCs w:val="16"/>
              </w:rPr>
              <w:tab/>
              <w:t>Nausea</w:t>
            </w:r>
          </w:p>
          <w:p w:rsidR="00164024" w:rsidRPr="001472C3" w:rsidRDefault="00164024" w:rsidP="00001C1A">
            <w:pPr>
              <w:spacing w:after="60"/>
              <w:rPr>
                <w:sz w:val="16"/>
                <w:szCs w:val="16"/>
              </w:rPr>
            </w:pPr>
            <w:r w:rsidRPr="001472C3">
              <w:rPr>
                <w:sz w:val="16"/>
                <w:szCs w:val="16"/>
              </w:rPr>
              <w:tab/>
              <w:t>Diarrhoea</w:t>
            </w:r>
          </w:p>
          <w:p w:rsidR="00164024" w:rsidRPr="001472C3" w:rsidRDefault="00164024" w:rsidP="00001C1A">
            <w:pPr>
              <w:spacing w:after="60"/>
              <w:rPr>
                <w:sz w:val="16"/>
                <w:szCs w:val="16"/>
              </w:rPr>
            </w:pPr>
            <w:r w:rsidRPr="001472C3">
              <w:rPr>
                <w:sz w:val="16"/>
                <w:szCs w:val="16"/>
              </w:rPr>
              <w:tab/>
              <w:t>Dry Mouth</w:t>
            </w:r>
          </w:p>
          <w:p w:rsidR="00001C1A" w:rsidRPr="001472C3" w:rsidRDefault="00001C1A" w:rsidP="00001C1A">
            <w:pPr>
              <w:spacing w:after="60"/>
              <w:rPr>
                <w:sz w:val="16"/>
                <w:szCs w:val="16"/>
              </w:rPr>
            </w:pPr>
            <w:r w:rsidRPr="001472C3">
              <w:rPr>
                <w:sz w:val="16"/>
                <w:szCs w:val="16"/>
              </w:rPr>
              <w:tab/>
              <w:t>Dyspepsia</w:t>
            </w:r>
          </w:p>
          <w:p w:rsidR="00164024" w:rsidRPr="001472C3" w:rsidRDefault="00164024" w:rsidP="00001C1A">
            <w:pPr>
              <w:spacing w:after="60"/>
              <w:rPr>
                <w:sz w:val="16"/>
                <w:szCs w:val="16"/>
              </w:rPr>
            </w:pPr>
            <w:r w:rsidRPr="001472C3">
              <w:rPr>
                <w:sz w:val="16"/>
                <w:szCs w:val="16"/>
              </w:rPr>
              <w:tab/>
              <w:t>Abdominal Pain Upper</w:t>
            </w:r>
          </w:p>
          <w:p w:rsidR="00164024" w:rsidRPr="001472C3" w:rsidRDefault="00164024" w:rsidP="00001C1A">
            <w:pPr>
              <w:spacing w:after="60"/>
              <w:rPr>
                <w:sz w:val="16"/>
                <w:szCs w:val="16"/>
              </w:rPr>
            </w:pPr>
            <w:r w:rsidRPr="001472C3">
              <w:rPr>
                <w:sz w:val="16"/>
                <w:szCs w:val="16"/>
              </w:rPr>
              <w:tab/>
              <w:t>Constipation</w:t>
            </w:r>
          </w:p>
          <w:p w:rsidR="00164024" w:rsidRPr="001472C3" w:rsidRDefault="00164024" w:rsidP="00001C1A">
            <w:pPr>
              <w:spacing w:after="60"/>
              <w:rPr>
                <w:sz w:val="16"/>
                <w:szCs w:val="16"/>
              </w:rPr>
            </w:pPr>
            <w:r w:rsidRPr="001472C3">
              <w:rPr>
                <w:sz w:val="16"/>
                <w:szCs w:val="16"/>
              </w:rPr>
              <w:tab/>
              <w:t>Vomiting</w:t>
            </w:r>
          </w:p>
          <w:p w:rsidR="00164024" w:rsidRPr="001472C3" w:rsidRDefault="00164024" w:rsidP="00001C1A">
            <w:pPr>
              <w:spacing w:after="60"/>
              <w:rPr>
                <w:sz w:val="16"/>
                <w:szCs w:val="16"/>
              </w:rPr>
            </w:pPr>
            <w:r w:rsidRPr="001472C3">
              <w:rPr>
                <w:sz w:val="16"/>
                <w:szCs w:val="16"/>
              </w:rPr>
              <w:tab/>
              <w:t>Loose Stools</w:t>
            </w:r>
          </w:p>
        </w:tc>
        <w:tc>
          <w:tcPr>
            <w:tcW w:w="2552" w:type="dxa"/>
          </w:tcPr>
          <w:p w:rsidR="00164024" w:rsidRPr="001472C3" w:rsidRDefault="00164024" w:rsidP="00001C1A">
            <w:pPr>
              <w:spacing w:after="60"/>
              <w:jc w:val="center"/>
              <w:rPr>
                <w:sz w:val="16"/>
                <w:szCs w:val="16"/>
              </w:rPr>
            </w:pPr>
          </w:p>
          <w:p w:rsidR="00001C1A" w:rsidRPr="001472C3" w:rsidRDefault="00001C1A" w:rsidP="00001C1A">
            <w:pPr>
              <w:spacing w:after="60"/>
              <w:jc w:val="center"/>
              <w:rPr>
                <w:sz w:val="16"/>
                <w:szCs w:val="16"/>
              </w:rPr>
            </w:pPr>
            <w:r w:rsidRPr="001472C3">
              <w:rPr>
                <w:sz w:val="16"/>
                <w:szCs w:val="16"/>
              </w:rPr>
              <w:t>7</w:t>
            </w:r>
          </w:p>
          <w:p w:rsidR="00001C1A" w:rsidRPr="001472C3" w:rsidRDefault="00001C1A" w:rsidP="00001C1A">
            <w:pPr>
              <w:spacing w:after="60"/>
              <w:jc w:val="center"/>
              <w:rPr>
                <w:sz w:val="16"/>
                <w:szCs w:val="16"/>
              </w:rPr>
            </w:pPr>
            <w:r w:rsidRPr="001472C3">
              <w:rPr>
                <w:sz w:val="16"/>
                <w:szCs w:val="16"/>
              </w:rPr>
              <w:t>4</w:t>
            </w:r>
          </w:p>
          <w:p w:rsidR="00001C1A" w:rsidRPr="001472C3" w:rsidRDefault="00001C1A" w:rsidP="00001C1A">
            <w:pPr>
              <w:spacing w:after="60"/>
              <w:jc w:val="center"/>
              <w:rPr>
                <w:sz w:val="16"/>
                <w:szCs w:val="16"/>
              </w:rPr>
            </w:pPr>
            <w:r w:rsidRPr="001472C3">
              <w:rPr>
                <w:sz w:val="16"/>
                <w:szCs w:val="16"/>
              </w:rPr>
              <w:t>4</w:t>
            </w:r>
          </w:p>
          <w:p w:rsidR="00001C1A" w:rsidRPr="001472C3" w:rsidRDefault="00001C1A" w:rsidP="00001C1A">
            <w:pPr>
              <w:spacing w:after="60"/>
              <w:jc w:val="center"/>
              <w:rPr>
                <w:sz w:val="16"/>
                <w:szCs w:val="16"/>
              </w:rPr>
            </w:pPr>
            <w:r w:rsidRPr="001472C3">
              <w:rPr>
                <w:sz w:val="16"/>
                <w:szCs w:val="16"/>
              </w:rPr>
              <w:t>2</w:t>
            </w:r>
          </w:p>
          <w:p w:rsidR="00001C1A" w:rsidRPr="001472C3" w:rsidRDefault="00001C1A" w:rsidP="00001C1A">
            <w:pPr>
              <w:spacing w:after="60"/>
              <w:jc w:val="center"/>
              <w:rPr>
                <w:sz w:val="16"/>
                <w:szCs w:val="16"/>
              </w:rPr>
            </w:pPr>
            <w:r w:rsidRPr="001472C3">
              <w:rPr>
                <w:sz w:val="16"/>
                <w:szCs w:val="16"/>
              </w:rPr>
              <w:t>2</w:t>
            </w:r>
          </w:p>
          <w:p w:rsidR="00001C1A" w:rsidRPr="001472C3" w:rsidRDefault="00001C1A" w:rsidP="00001C1A">
            <w:pPr>
              <w:spacing w:after="60"/>
              <w:jc w:val="center"/>
              <w:rPr>
                <w:sz w:val="16"/>
                <w:szCs w:val="16"/>
              </w:rPr>
            </w:pPr>
            <w:r w:rsidRPr="001472C3">
              <w:rPr>
                <w:sz w:val="16"/>
                <w:szCs w:val="16"/>
              </w:rPr>
              <w:t>1</w:t>
            </w:r>
          </w:p>
          <w:p w:rsidR="00001C1A" w:rsidRPr="001472C3" w:rsidRDefault="00001C1A" w:rsidP="00001C1A">
            <w:pPr>
              <w:spacing w:after="60"/>
              <w:jc w:val="center"/>
              <w:rPr>
                <w:sz w:val="16"/>
                <w:szCs w:val="16"/>
              </w:rPr>
            </w:pPr>
            <w:r w:rsidRPr="001472C3">
              <w:rPr>
                <w:sz w:val="16"/>
                <w:szCs w:val="16"/>
              </w:rPr>
              <w:t>1</w:t>
            </w:r>
          </w:p>
          <w:p w:rsidR="00001C1A" w:rsidRPr="001472C3" w:rsidRDefault="00001C1A" w:rsidP="00001C1A">
            <w:pPr>
              <w:spacing w:after="60"/>
              <w:jc w:val="center"/>
              <w:rPr>
                <w:sz w:val="16"/>
                <w:szCs w:val="16"/>
              </w:rPr>
            </w:pPr>
            <w:r w:rsidRPr="001472C3">
              <w:rPr>
                <w:sz w:val="16"/>
                <w:szCs w:val="16"/>
              </w:rPr>
              <w:t>1</w:t>
            </w:r>
          </w:p>
        </w:tc>
        <w:tc>
          <w:tcPr>
            <w:tcW w:w="2518" w:type="dxa"/>
          </w:tcPr>
          <w:p w:rsidR="00164024" w:rsidRPr="001472C3" w:rsidRDefault="00164024" w:rsidP="00E81D7E">
            <w:pPr>
              <w:spacing w:after="60"/>
              <w:jc w:val="center"/>
              <w:rPr>
                <w:sz w:val="16"/>
                <w:szCs w:val="16"/>
              </w:rPr>
            </w:pPr>
          </w:p>
          <w:p w:rsidR="00E81D7E" w:rsidRPr="001472C3" w:rsidRDefault="00E81D7E" w:rsidP="00E81D7E">
            <w:pPr>
              <w:spacing w:after="60"/>
              <w:jc w:val="center"/>
              <w:rPr>
                <w:sz w:val="16"/>
                <w:szCs w:val="16"/>
              </w:rPr>
            </w:pPr>
            <w:r w:rsidRPr="001472C3">
              <w:rPr>
                <w:sz w:val="16"/>
                <w:szCs w:val="16"/>
              </w:rPr>
              <w:t>3</w:t>
            </w:r>
          </w:p>
          <w:p w:rsidR="00E81D7E" w:rsidRPr="001472C3" w:rsidRDefault="00E81D7E" w:rsidP="00E81D7E">
            <w:pPr>
              <w:spacing w:after="60"/>
              <w:jc w:val="center"/>
              <w:rPr>
                <w:sz w:val="16"/>
                <w:szCs w:val="16"/>
              </w:rPr>
            </w:pPr>
            <w:r w:rsidRPr="001472C3">
              <w:rPr>
                <w:sz w:val="16"/>
                <w:szCs w:val="16"/>
              </w:rPr>
              <w:t>2</w:t>
            </w:r>
          </w:p>
          <w:p w:rsidR="00E81D7E" w:rsidRPr="001472C3" w:rsidRDefault="00E81D7E" w:rsidP="00E81D7E">
            <w:pPr>
              <w:spacing w:after="60"/>
              <w:jc w:val="center"/>
              <w:rPr>
                <w:sz w:val="16"/>
                <w:szCs w:val="16"/>
              </w:rPr>
            </w:pPr>
            <w:r w:rsidRPr="001472C3">
              <w:rPr>
                <w:sz w:val="16"/>
                <w:szCs w:val="16"/>
              </w:rPr>
              <w:t>1</w:t>
            </w:r>
          </w:p>
          <w:p w:rsidR="00E81D7E" w:rsidRPr="001472C3" w:rsidRDefault="00E81D7E" w:rsidP="00E81D7E">
            <w:pPr>
              <w:spacing w:after="60"/>
              <w:jc w:val="center"/>
              <w:rPr>
                <w:sz w:val="16"/>
                <w:szCs w:val="16"/>
              </w:rPr>
            </w:pPr>
            <w:r w:rsidRPr="001472C3">
              <w:rPr>
                <w:sz w:val="16"/>
                <w:szCs w:val="16"/>
              </w:rPr>
              <w:t>0</w:t>
            </w:r>
          </w:p>
          <w:p w:rsidR="00E81D7E" w:rsidRPr="001472C3" w:rsidRDefault="00E81D7E" w:rsidP="00E81D7E">
            <w:pPr>
              <w:spacing w:after="60"/>
              <w:jc w:val="center"/>
              <w:rPr>
                <w:sz w:val="16"/>
                <w:szCs w:val="16"/>
              </w:rPr>
            </w:pPr>
            <w:r w:rsidRPr="001472C3">
              <w:rPr>
                <w:sz w:val="16"/>
                <w:szCs w:val="16"/>
              </w:rPr>
              <w:t>1</w:t>
            </w:r>
          </w:p>
          <w:p w:rsidR="00E81D7E" w:rsidRPr="001472C3" w:rsidRDefault="00E81D7E" w:rsidP="00E81D7E">
            <w:pPr>
              <w:spacing w:after="60"/>
              <w:jc w:val="center"/>
              <w:rPr>
                <w:sz w:val="16"/>
                <w:szCs w:val="16"/>
              </w:rPr>
            </w:pPr>
            <w:r w:rsidRPr="001472C3">
              <w:rPr>
                <w:sz w:val="16"/>
                <w:szCs w:val="16"/>
              </w:rPr>
              <w:t>0</w:t>
            </w:r>
          </w:p>
          <w:p w:rsidR="00E81D7E" w:rsidRPr="001472C3" w:rsidRDefault="00E81D7E" w:rsidP="00E81D7E">
            <w:pPr>
              <w:spacing w:after="60"/>
              <w:jc w:val="center"/>
              <w:rPr>
                <w:sz w:val="16"/>
                <w:szCs w:val="16"/>
              </w:rPr>
            </w:pPr>
            <w:r w:rsidRPr="001472C3">
              <w:rPr>
                <w:sz w:val="16"/>
                <w:szCs w:val="16"/>
              </w:rPr>
              <w:t>0</w:t>
            </w:r>
          </w:p>
          <w:p w:rsidR="00E81D7E" w:rsidRPr="001472C3" w:rsidRDefault="00E81D7E" w:rsidP="00E81D7E">
            <w:pPr>
              <w:spacing w:after="60"/>
              <w:jc w:val="center"/>
              <w:rPr>
                <w:sz w:val="16"/>
                <w:szCs w:val="16"/>
              </w:rPr>
            </w:pPr>
            <w:r w:rsidRPr="001472C3">
              <w:rPr>
                <w:sz w:val="16"/>
                <w:szCs w:val="16"/>
              </w:rPr>
              <w:t>0</w:t>
            </w:r>
          </w:p>
        </w:tc>
      </w:tr>
      <w:tr w:rsidR="00164024" w:rsidRPr="001472C3" w:rsidTr="00001C1A">
        <w:tc>
          <w:tcPr>
            <w:tcW w:w="4644" w:type="dxa"/>
          </w:tcPr>
          <w:p w:rsidR="00164024" w:rsidRPr="001472C3" w:rsidRDefault="00164024" w:rsidP="00001C1A">
            <w:pPr>
              <w:pStyle w:val="Heading1"/>
              <w:spacing w:after="60"/>
              <w:rPr>
                <w:b w:val="0"/>
                <w:sz w:val="16"/>
                <w:szCs w:val="16"/>
              </w:rPr>
            </w:pPr>
            <w:r w:rsidRPr="001472C3">
              <w:rPr>
                <w:b w:val="0"/>
                <w:sz w:val="16"/>
                <w:szCs w:val="16"/>
              </w:rPr>
              <w:t xml:space="preserve">General </w:t>
            </w:r>
            <w:r w:rsidR="00DB5982" w:rsidRPr="001472C3">
              <w:rPr>
                <w:b w:val="0"/>
                <w:sz w:val="16"/>
                <w:szCs w:val="16"/>
              </w:rPr>
              <w:t>Disorders</w:t>
            </w:r>
            <w:r w:rsidRPr="001472C3">
              <w:rPr>
                <w:b w:val="0"/>
                <w:sz w:val="16"/>
                <w:szCs w:val="16"/>
              </w:rPr>
              <w:t xml:space="preserve"> and </w:t>
            </w:r>
            <w:r w:rsidR="00DB5982" w:rsidRPr="001472C3">
              <w:rPr>
                <w:b w:val="0"/>
                <w:sz w:val="16"/>
                <w:szCs w:val="16"/>
              </w:rPr>
              <w:t>Administration</w:t>
            </w:r>
            <w:r w:rsidRPr="001472C3">
              <w:rPr>
                <w:b w:val="0"/>
                <w:sz w:val="16"/>
                <w:szCs w:val="16"/>
              </w:rPr>
              <w:t xml:space="preserve"> Site Conditions</w:t>
            </w:r>
          </w:p>
          <w:p w:rsidR="00164024" w:rsidRPr="001472C3" w:rsidRDefault="00164024" w:rsidP="00001C1A">
            <w:pPr>
              <w:spacing w:after="60"/>
              <w:rPr>
                <w:sz w:val="16"/>
                <w:szCs w:val="16"/>
              </w:rPr>
            </w:pPr>
            <w:r w:rsidRPr="001472C3">
              <w:rPr>
                <w:sz w:val="16"/>
                <w:szCs w:val="16"/>
              </w:rPr>
              <w:tab/>
              <w:t>Fatigue</w:t>
            </w:r>
          </w:p>
          <w:p w:rsidR="00164024" w:rsidRPr="001472C3" w:rsidRDefault="00164024" w:rsidP="00001C1A">
            <w:pPr>
              <w:spacing w:after="60"/>
              <w:rPr>
                <w:sz w:val="16"/>
                <w:szCs w:val="16"/>
              </w:rPr>
            </w:pPr>
            <w:r w:rsidRPr="001472C3">
              <w:rPr>
                <w:sz w:val="16"/>
                <w:szCs w:val="16"/>
              </w:rPr>
              <w:tab/>
              <w:t>Thirst</w:t>
            </w:r>
          </w:p>
          <w:p w:rsidR="00164024" w:rsidRPr="001472C3" w:rsidRDefault="00164024" w:rsidP="00001C1A">
            <w:pPr>
              <w:spacing w:after="60"/>
              <w:rPr>
                <w:sz w:val="16"/>
                <w:szCs w:val="16"/>
              </w:rPr>
            </w:pPr>
            <w:r w:rsidRPr="001472C3">
              <w:rPr>
                <w:sz w:val="16"/>
                <w:szCs w:val="16"/>
              </w:rPr>
              <w:tab/>
              <w:t>Influenza-like Illness</w:t>
            </w:r>
          </w:p>
          <w:p w:rsidR="00164024" w:rsidRPr="001472C3" w:rsidRDefault="00164024" w:rsidP="00001C1A">
            <w:pPr>
              <w:spacing w:after="60"/>
              <w:rPr>
                <w:sz w:val="16"/>
                <w:szCs w:val="16"/>
              </w:rPr>
            </w:pPr>
            <w:r w:rsidRPr="001472C3">
              <w:rPr>
                <w:sz w:val="16"/>
                <w:szCs w:val="16"/>
              </w:rPr>
              <w:tab/>
              <w:t>Pain</w:t>
            </w:r>
          </w:p>
          <w:p w:rsidR="00164024" w:rsidRPr="001472C3" w:rsidRDefault="00164024" w:rsidP="00001C1A">
            <w:pPr>
              <w:spacing w:after="60"/>
              <w:rPr>
                <w:sz w:val="16"/>
                <w:szCs w:val="16"/>
              </w:rPr>
            </w:pPr>
            <w:r w:rsidRPr="001472C3">
              <w:rPr>
                <w:sz w:val="16"/>
                <w:szCs w:val="16"/>
              </w:rPr>
              <w:tab/>
              <w:t>Pyrexia</w:t>
            </w:r>
          </w:p>
        </w:tc>
        <w:tc>
          <w:tcPr>
            <w:tcW w:w="2552" w:type="dxa"/>
          </w:tcPr>
          <w:p w:rsidR="00164024" w:rsidRPr="001472C3" w:rsidRDefault="00164024" w:rsidP="00E81D7E">
            <w:pPr>
              <w:spacing w:after="60"/>
              <w:jc w:val="center"/>
              <w:rPr>
                <w:sz w:val="16"/>
                <w:szCs w:val="16"/>
              </w:rPr>
            </w:pPr>
          </w:p>
          <w:p w:rsidR="00E81D7E" w:rsidRPr="001472C3" w:rsidRDefault="00E81D7E" w:rsidP="00E81D7E">
            <w:pPr>
              <w:spacing w:after="60"/>
              <w:jc w:val="center"/>
              <w:rPr>
                <w:sz w:val="16"/>
                <w:szCs w:val="16"/>
              </w:rPr>
            </w:pPr>
            <w:r w:rsidRPr="001472C3">
              <w:rPr>
                <w:sz w:val="16"/>
                <w:szCs w:val="16"/>
              </w:rPr>
              <w:t>2</w:t>
            </w:r>
          </w:p>
          <w:p w:rsidR="00E81D7E" w:rsidRPr="001472C3" w:rsidRDefault="00E81D7E" w:rsidP="00E81D7E">
            <w:pPr>
              <w:spacing w:after="60"/>
              <w:jc w:val="center"/>
              <w:rPr>
                <w:sz w:val="16"/>
                <w:szCs w:val="16"/>
              </w:rPr>
            </w:pPr>
            <w:r w:rsidRPr="001472C3">
              <w:rPr>
                <w:sz w:val="16"/>
                <w:szCs w:val="16"/>
              </w:rPr>
              <w:t>1</w:t>
            </w:r>
          </w:p>
          <w:p w:rsidR="00E81D7E" w:rsidRPr="001472C3" w:rsidRDefault="00E81D7E" w:rsidP="00E81D7E">
            <w:pPr>
              <w:spacing w:after="60"/>
              <w:jc w:val="center"/>
              <w:rPr>
                <w:sz w:val="16"/>
                <w:szCs w:val="16"/>
              </w:rPr>
            </w:pPr>
            <w:r w:rsidRPr="001472C3">
              <w:rPr>
                <w:sz w:val="16"/>
                <w:szCs w:val="16"/>
              </w:rPr>
              <w:t>1</w:t>
            </w:r>
          </w:p>
          <w:p w:rsidR="00E81D7E" w:rsidRPr="001472C3" w:rsidRDefault="00E81D7E" w:rsidP="00E81D7E">
            <w:pPr>
              <w:spacing w:after="60"/>
              <w:jc w:val="center"/>
              <w:rPr>
                <w:sz w:val="16"/>
                <w:szCs w:val="16"/>
              </w:rPr>
            </w:pPr>
            <w:r w:rsidRPr="001472C3">
              <w:rPr>
                <w:sz w:val="16"/>
                <w:szCs w:val="16"/>
              </w:rPr>
              <w:t>1</w:t>
            </w:r>
          </w:p>
          <w:p w:rsidR="00E81D7E" w:rsidRPr="001472C3" w:rsidRDefault="00E81D7E" w:rsidP="00E81D7E">
            <w:pPr>
              <w:spacing w:after="60"/>
              <w:jc w:val="center"/>
              <w:rPr>
                <w:sz w:val="16"/>
                <w:szCs w:val="16"/>
              </w:rPr>
            </w:pPr>
            <w:r w:rsidRPr="001472C3">
              <w:rPr>
                <w:sz w:val="16"/>
                <w:szCs w:val="16"/>
              </w:rPr>
              <w:t>1</w:t>
            </w:r>
          </w:p>
          <w:p w:rsidR="00E81D7E" w:rsidRPr="001472C3" w:rsidRDefault="00E81D7E" w:rsidP="00E81D7E">
            <w:pPr>
              <w:spacing w:after="60"/>
              <w:jc w:val="center"/>
              <w:rPr>
                <w:sz w:val="16"/>
                <w:szCs w:val="16"/>
              </w:rPr>
            </w:pPr>
          </w:p>
        </w:tc>
        <w:tc>
          <w:tcPr>
            <w:tcW w:w="2518" w:type="dxa"/>
          </w:tcPr>
          <w:p w:rsidR="00E81D7E" w:rsidRPr="001472C3" w:rsidRDefault="00E81D7E" w:rsidP="00E81D7E">
            <w:pPr>
              <w:spacing w:after="60"/>
              <w:jc w:val="center"/>
              <w:rPr>
                <w:sz w:val="16"/>
                <w:szCs w:val="16"/>
              </w:rPr>
            </w:pPr>
          </w:p>
          <w:p w:rsidR="00164024" w:rsidRPr="001472C3" w:rsidRDefault="00E81D7E" w:rsidP="00E81D7E">
            <w:pPr>
              <w:spacing w:after="60"/>
              <w:jc w:val="center"/>
              <w:rPr>
                <w:sz w:val="16"/>
                <w:szCs w:val="16"/>
              </w:rPr>
            </w:pPr>
            <w:r w:rsidRPr="001472C3">
              <w:rPr>
                <w:sz w:val="16"/>
                <w:szCs w:val="16"/>
              </w:rPr>
              <w:t>1</w:t>
            </w:r>
          </w:p>
          <w:p w:rsidR="00E81D7E" w:rsidRPr="001472C3" w:rsidRDefault="00E81D7E" w:rsidP="00E81D7E">
            <w:pPr>
              <w:spacing w:after="60"/>
              <w:jc w:val="center"/>
              <w:rPr>
                <w:sz w:val="16"/>
                <w:szCs w:val="16"/>
              </w:rPr>
            </w:pPr>
            <w:r w:rsidRPr="001472C3">
              <w:rPr>
                <w:sz w:val="16"/>
                <w:szCs w:val="16"/>
              </w:rPr>
              <w:t>0</w:t>
            </w:r>
          </w:p>
          <w:p w:rsidR="00E81D7E" w:rsidRPr="001472C3" w:rsidRDefault="00E81D7E" w:rsidP="00E81D7E">
            <w:pPr>
              <w:spacing w:after="60"/>
              <w:jc w:val="center"/>
              <w:rPr>
                <w:sz w:val="16"/>
                <w:szCs w:val="16"/>
              </w:rPr>
            </w:pPr>
            <w:r w:rsidRPr="001472C3">
              <w:rPr>
                <w:sz w:val="16"/>
                <w:szCs w:val="16"/>
              </w:rPr>
              <w:t>0</w:t>
            </w:r>
          </w:p>
          <w:p w:rsidR="00E81D7E" w:rsidRPr="001472C3" w:rsidRDefault="00E81D7E" w:rsidP="00E81D7E">
            <w:pPr>
              <w:spacing w:after="60"/>
              <w:jc w:val="center"/>
              <w:rPr>
                <w:sz w:val="16"/>
                <w:szCs w:val="16"/>
              </w:rPr>
            </w:pPr>
            <w:r w:rsidRPr="001472C3">
              <w:rPr>
                <w:sz w:val="16"/>
                <w:szCs w:val="16"/>
              </w:rPr>
              <w:t>0</w:t>
            </w:r>
          </w:p>
          <w:p w:rsidR="00E81D7E" w:rsidRPr="001472C3" w:rsidRDefault="00E81D7E" w:rsidP="00E81D7E">
            <w:pPr>
              <w:spacing w:after="60"/>
              <w:jc w:val="center"/>
              <w:rPr>
                <w:sz w:val="16"/>
                <w:szCs w:val="16"/>
              </w:rPr>
            </w:pPr>
            <w:r w:rsidRPr="001472C3">
              <w:rPr>
                <w:sz w:val="16"/>
                <w:szCs w:val="16"/>
              </w:rPr>
              <w:t>0</w:t>
            </w:r>
          </w:p>
        </w:tc>
      </w:tr>
      <w:tr w:rsidR="00164024" w:rsidRPr="001472C3" w:rsidTr="00001C1A">
        <w:tc>
          <w:tcPr>
            <w:tcW w:w="4644" w:type="dxa"/>
          </w:tcPr>
          <w:p w:rsidR="00164024" w:rsidRPr="001472C3" w:rsidRDefault="00046FF8" w:rsidP="00001C1A">
            <w:pPr>
              <w:pStyle w:val="Heading1"/>
              <w:spacing w:after="60"/>
              <w:rPr>
                <w:b w:val="0"/>
                <w:sz w:val="16"/>
                <w:szCs w:val="16"/>
              </w:rPr>
            </w:pPr>
            <w:r w:rsidRPr="001472C3">
              <w:rPr>
                <w:b w:val="0"/>
                <w:sz w:val="16"/>
                <w:szCs w:val="16"/>
              </w:rPr>
              <w:t>Immune System Disorders</w:t>
            </w:r>
          </w:p>
          <w:p w:rsidR="00046FF8" w:rsidRPr="001472C3" w:rsidRDefault="00046FF8" w:rsidP="00001C1A">
            <w:pPr>
              <w:spacing w:after="60"/>
              <w:rPr>
                <w:sz w:val="16"/>
                <w:szCs w:val="16"/>
              </w:rPr>
            </w:pPr>
            <w:r w:rsidRPr="001472C3">
              <w:rPr>
                <w:sz w:val="16"/>
                <w:szCs w:val="16"/>
              </w:rPr>
              <w:tab/>
              <w:t>Seasonal Allergy</w:t>
            </w:r>
          </w:p>
        </w:tc>
        <w:tc>
          <w:tcPr>
            <w:tcW w:w="2552" w:type="dxa"/>
          </w:tcPr>
          <w:p w:rsidR="00164024" w:rsidRPr="001472C3" w:rsidRDefault="00164024" w:rsidP="00E81D7E">
            <w:pPr>
              <w:spacing w:after="60"/>
              <w:jc w:val="center"/>
              <w:rPr>
                <w:sz w:val="16"/>
                <w:szCs w:val="16"/>
              </w:rPr>
            </w:pPr>
          </w:p>
          <w:p w:rsidR="00E81D7E" w:rsidRPr="001472C3" w:rsidRDefault="00E81D7E" w:rsidP="00E81D7E">
            <w:pPr>
              <w:spacing w:after="60"/>
              <w:jc w:val="center"/>
              <w:rPr>
                <w:sz w:val="16"/>
                <w:szCs w:val="16"/>
              </w:rPr>
            </w:pPr>
            <w:r w:rsidRPr="001472C3">
              <w:rPr>
                <w:sz w:val="16"/>
                <w:szCs w:val="16"/>
              </w:rPr>
              <w:t>1</w:t>
            </w:r>
          </w:p>
        </w:tc>
        <w:tc>
          <w:tcPr>
            <w:tcW w:w="2518" w:type="dxa"/>
          </w:tcPr>
          <w:p w:rsidR="00E81D7E" w:rsidRPr="001472C3" w:rsidRDefault="00E81D7E" w:rsidP="00E81D7E">
            <w:pPr>
              <w:spacing w:after="60"/>
              <w:jc w:val="center"/>
              <w:rPr>
                <w:sz w:val="16"/>
                <w:szCs w:val="16"/>
              </w:rPr>
            </w:pPr>
          </w:p>
          <w:p w:rsidR="00164024" w:rsidRPr="001472C3" w:rsidRDefault="00E81D7E" w:rsidP="00E81D7E">
            <w:pPr>
              <w:spacing w:after="60"/>
              <w:jc w:val="center"/>
              <w:rPr>
                <w:sz w:val="16"/>
                <w:szCs w:val="16"/>
              </w:rPr>
            </w:pPr>
            <w:r w:rsidRPr="001472C3">
              <w:rPr>
                <w:sz w:val="16"/>
                <w:szCs w:val="16"/>
              </w:rPr>
              <w:t>0</w:t>
            </w:r>
          </w:p>
        </w:tc>
      </w:tr>
      <w:tr w:rsidR="00164024" w:rsidRPr="001472C3" w:rsidTr="00001C1A">
        <w:tc>
          <w:tcPr>
            <w:tcW w:w="4644" w:type="dxa"/>
          </w:tcPr>
          <w:p w:rsidR="00046FF8" w:rsidRPr="001472C3" w:rsidRDefault="00046FF8" w:rsidP="00001C1A">
            <w:pPr>
              <w:pStyle w:val="Heading1"/>
              <w:spacing w:after="60"/>
              <w:rPr>
                <w:b w:val="0"/>
                <w:sz w:val="16"/>
                <w:szCs w:val="16"/>
              </w:rPr>
            </w:pPr>
            <w:r w:rsidRPr="001472C3">
              <w:rPr>
                <w:b w:val="0"/>
                <w:sz w:val="16"/>
                <w:szCs w:val="16"/>
              </w:rPr>
              <w:t>Investigations</w:t>
            </w:r>
          </w:p>
          <w:p w:rsidR="00046FF8" w:rsidRPr="001472C3" w:rsidRDefault="00046FF8" w:rsidP="00001C1A">
            <w:pPr>
              <w:spacing w:after="60"/>
              <w:rPr>
                <w:sz w:val="16"/>
                <w:szCs w:val="16"/>
              </w:rPr>
            </w:pPr>
            <w:r w:rsidRPr="001472C3">
              <w:rPr>
                <w:sz w:val="16"/>
                <w:szCs w:val="16"/>
              </w:rPr>
              <w:tab/>
              <w:t>Gamma-</w:t>
            </w:r>
            <w:proofErr w:type="spellStart"/>
            <w:r w:rsidRPr="001472C3">
              <w:rPr>
                <w:sz w:val="16"/>
                <w:szCs w:val="16"/>
              </w:rPr>
              <w:t>Glutamyltransferase</w:t>
            </w:r>
            <w:proofErr w:type="spellEnd"/>
            <w:r w:rsidRPr="001472C3">
              <w:rPr>
                <w:sz w:val="16"/>
                <w:szCs w:val="16"/>
              </w:rPr>
              <w:t xml:space="preserve"> Increased</w:t>
            </w:r>
          </w:p>
          <w:p w:rsidR="00046FF8" w:rsidRPr="001472C3" w:rsidRDefault="00046FF8" w:rsidP="00001C1A">
            <w:pPr>
              <w:spacing w:after="60"/>
              <w:rPr>
                <w:sz w:val="16"/>
                <w:szCs w:val="16"/>
              </w:rPr>
            </w:pPr>
            <w:r w:rsidRPr="001472C3">
              <w:rPr>
                <w:sz w:val="16"/>
                <w:szCs w:val="16"/>
              </w:rPr>
              <w:tab/>
              <w:t>Heart Rate Increased</w:t>
            </w:r>
          </w:p>
        </w:tc>
        <w:tc>
          <w:tcPr>
            <w:tcW w:w="2552" w:type="dxa"/>
          </w:tcPr>
          <w:p w:rsidR="00164024" w:rsidRPr="001472C3" w:rsidRDefault="00164024" w:rsidP="00E81D7E">
            <w:pPr>
              <w:spacing w:after="60"/>
              <w:jc w:val="center"/>
              <w:rPr>
                <w:sz w:val="16"/>
                <w:szCs w:val="16"/>
              </w:rPr>
            </w:pPr>
          </w:p>
          <w:p w:rsidR="00E81D7E" w:rsidRPr="001472C3" w:rsidRDefault="00E81D7E" w:rsidP="00E81D7E">
            <w:pPr>
              <w:spacing w:after="60"/>
              <w:jc w:val="center"/>
              <w:rPr>
                <w:sz w:val="16"/>
                <w:szCs w:val="16"/>
              </w:rPr>
            </w:pPr>
            <w:r w:rsidRPr="001472C3">
              <w:rPr>
                <w:sz w:val="16"/>
                <w:szCs w:val="16"/>
              </w:rPr>
              <w:t>1</w:t>
            </w:r>
          </w:p>
          <w:p w:rsidR="00E81D7E" w:rsidRPr="001472C3" w:rsidRDefault="00E81D7E" w:rsidP="00E81D7E">
            <w:pPr>
              <w:spacing w:after="60"/>
              <w:jc w:val="center"/>
              <w:rPr>
                <w:sz w:val="16"/>
                <w:szCs w:val="16"/>
              </w:rPr>
            </w:pPr>
            <w:r w:rsidRPr="001472C3">
              <w:rPr>
                <w:sz w:val="16"/>
                <w:szCs w:val="16"/>
              </w:rPr>
              <w:t>1</w:t>
            </w:r>
          </w:p>
        </w:tc>
        <w:tc>
          <w:tcPr>
            <w:tcW w:w="2518" w:type="dxa"/>
          </w:tcPr>
          <w:p w:rsidR="00164024" w:rsidRPr="001472C3" w:rsidRDefault="00164024" w:rsidP="00E81D7E">
            <w:pPr>
              <w:spacing w:after="60"/>
              <w:jc w:val="center"/>
              <w:rPr>
                <w:sz w:val="16"/>
                <w:szCs w:val="16"/>
              </w:rPr>
            </w:pPr>
          </w:p>
          <w:p w:rsidR="00E81D7E" w:rsidRPr="001472C3" w:rsidRDefault="00E81D7E" w:rsidP="00E81D7E">
            <w:pPr>
              <w:spacing w:after="60"/>
              <w:jc w:val="center"/>
              <w:rPr>
                <w:sz w:val="16"/>
                <w:szCs w:val="16"/>
              </w:rPr>
            </w:pPr>
            <w:r w:rsidRPr="001472C3">
              <w:rPr>
                <w:sz w:val="16"/>
                <w:szCs w:val="16"/>
              </w:rPr>
              <w:t>0</w:t>
            </w:r>
          </w:p>
          <w:p w:rsidR="00E81D7E" w:rsidRPr="001472C3" w:rsidRDefault="00E81D7E" w:rsidP="00E81D7E">
            <w:pPr>
              <w:spacing w:after="60"/>
              <w:jc w:val="center"/>
              <w:rPr>
                <w:sz w:val="16"/>
                <w:szCs w:val="16"/>
              </w:rPr>
            </w:pPr>
            <w:r w:rsidRPr="001472C3">
              <w:rPr>
                <w:sz w:val="16"/>
                <w:szCs w:val="16"/>
              </w:rPr>
              <w:t>0</w:t>
            </w:r>
          </w:p>
        </w:tc>
      </w:tr>
      <w:tr w:rsidR="00164024" w:rsidRPr="001472C3" w:rsidTr="00001C1A">
        <w:tc>
          <w:tcPr>
            <w:tcW w:w="4644" w:type="dxa"/>
          </w:tcPr>
          <w:p w:rsidR="00164024" w:rsidRPr="001472C3" w:rsidRDefault="00046FF8" w:rsidP="00001C1A">
            <w:pPr>
              <w:pStyle w:val="Heading1"/>
              <w:spacing w:after="60"/>
              <w:rPr>
                <w:b w:val="0"/>
                <w:sz w:val="16"/>
                <w:szCs w:val="16"/>
              </w:rPr>
            </w:pPr>
            <w:r w:rsidRPr="001472C3">
              <w:rPr>
                <w:b w:val="0"/>
                <w:sz w:val="16"/>
                <w:szCs w:val="16"/>
              </w:rPr>
              <w:t>Metabolism and Nutritional Disorders</w:t>
            </w:r>
          </w:p>
          <w:p w:rsidR="00046FF8" w:rsidRPr="001472C3" w:rsidRDefault="00046FF8" w:rsidP="00001C1A">
            <w:pPr>
              <w:spacing w:after="60"/>
              <w:rPr>
                <w:sz w:val="16"/>
                <w:szCs w:val="16"/>
              </w:rPr>
            </w:pPr>
            <w:r w:rsidRPr="001472C3">
              <w:rPr>
                <w:sz w:val="16"/>
                <w:szCs w:val="16"/>
              </w:rPr>
              <w:tab/>
              <w:t>Anorexia</w:t>
            </w:r>
          </w:p>
          <w:p w:rsidR="00046FF8" w:rsidRPr="001472C3" w:rsidRDefault="00046FF8" w:rsidP="00001C1A">
            <w:pPr>
              <w:spacing w:after="60"/>
              <w:rPr>
                <w:sz w:val="16"/>
                <w:szCs w:val="16"/>
              </w:rPr>
            </w:pPr>
            <w:r w:rsidRPr="001472C3">
              <w:rPr>
                <w:sz w:val="16"/>
                <w:szCs w:val="16"/>
              </w:rPr>
              <w:tab/>
              <w:t>Decreased Appetite</w:t>
            </w:r>
          </w:p>
        </w:tc>
        <w:tc>
          <w:tcPr>
            <w:tcW w:w="2552" w:type="dxa"/>
          </w:tcPr>
          <w:p w:rsidR="00164024" w:rsidRPr="001472C3" w:rsidRDefault="00164024" w:rsidP="00E81D7E">
            <w:pPr>
              <w:spacing w:after="60"/>
              <w:jc w:val="center"/>
              <w:rPr>
                <w:sz w:val="16"/>
                <w:szCs w:val="16"/>
              </w:rPr>
            </w:pPr>
          </w:p>
          <w:p w:rsidR="00E81D7E" w:rsidRPr="001472C3" w:rsidRDefault="00E81D7E" w:rsidP="00E81D7E">
            <w:pPr>
              <w:spacing w:after="60"/>
              <w:jc w:val="center"/>
              <w:rPr>
                <w:sz w:val="16"/>
                <w:szCs w:val="16"/>
              </w:rPr>
            </w:pPr>
            <w:r w:rsidRPr="001472C3">
              <w:rPr>
                <w:sz w:val="16"/>
                <w:szCs w:val="16"/>
              </w:rPr>
              <w:t>1</w:t>
            </w:r>
          </w:p>
          <w:p w:rsidR="00E81D7E" w:rsidRPr="001472C3" w:rsidRDefault="00E81D7E" w:rsidP="00E81D7E">
            <w:pPr>
              <w:spacing w:after="60"/>
              <w:jc w:val="center"/>
              <w:rPr>
                <w:sz w:val="16"/>
                <w:szCs w:val="16"/>
              </w:rPr>
            </w:pPr>
            <w:r w:rsidRPr="001472C3">
              <w:rPr>
                <w:sz w:val="16"/>
                <w:szCs w:val="16"/>
              </w:rPr>
              <w:t>1</w:t>
            </w:r>
          </w:p>
        </w:tc>
        <w:tc>
          <w:tcPr>
            <w:tcW w:w="2518" w:type="dxa"/>
          </w:tcPr>
          <w:p w:rsidR="00164024" w:rsidRPr="001472C3" w:rsidRDefault="00164024" w:rsidP="00E81D7E">
            <w:pPr>
              <w:spacing w:after="60"/>
              <w:jc w:val="center"/>
              <w:rPr>
                <w:sz w:val="16"/>
                <w:szCs w:val="16"/>
              </w:rPr>
            </w:pPr>
          </w:p>
          <w:p w:rsidR="00E81D7E" w:rsidRPr="001472C3" w:rsidRDefault="00E81D7E" w:rsidP="00E81D7E">
            <w:pPr>
              <w:spacing w:after="60"/>
              <w:jc w:val="center"/>
              <w:rPr>
                <w:sz w:val="16"/>
                <w:szCs w:val="16"/>
              </w:rPr>
            </w:pPr>
            <w:r w:rsidRPr="001472C3">
              <w:rPr>
                <w:sz w:val="16"/>
                <w:szCs w:val="16"/>
              </w:rPr>
              <w:t>0</w:t>
            </w:r>
          </w:p>
          <w:p w:rsidR="00E81D7E" w:rsidRPr="001472C3" w:rsidRDefault="00E81D7E" w:rsidP="00E81D7E">
            <w:pPr>
              <w:spacing w:after="60"/>
              <w:jc w:val="center"/>
              <w:rPr>
                <w:sz w:val="16"/>
                <w:szCs w:val="16"/>
              </w:rPr>
            </w:pPr>
            <w:r w:rsidRPr="001472C3">
              <w:rPr>
                <w:sz w:val="16"/>
                <w:szCs w:val="16"/>
              </w:rPr>
              <w:t>0</w:t>
            </w:r>
          </w:p>
        </w:tc>
      </w:tr>
      <w:tr w:rsidR="00164024" w:rsidRPr="001472C3" w:rsidTr="00001C1A">
        <w:tc>
          <w:tcPr>
            <w:tcW w:w="4644" w:type="dxa"/>
          </w:tcPr>
          <w:p w:rsidR="00164024" w:rsidRPr="001472C3" w:rsidRDefault="00B8571D" w:rsidP="00001C1A">
            <w:pPr>
              <w:pStyle w:val="Heading1"/>
              <w:spacing w:after="60"/>
              <w:rPr>
                <w:b w:val="0"/>
                <w:sz w:val="16"/>
                <w:szCs w:val="16"/>
              </w:rPr>
            </w:pPr>
            <w:r w:rsidRPr="001472C3">
              <w:rPr>
                <w:b w:val="0"/>
                <w:sz w:val="16"/>
                <w:szCs w:val="16"/>
              </w:rPr>
              <w:t>Nervous System Disorders</w:t>
            </w:r>
          </w:p>
          <w:p w:rsidR="00B8571D" w:rsidRPr="001472C3" w:rsidRDefault="00B8571D" w:rsidP="00001C1A">
            <w:pPr>
              <w:spacing w:after="60"/>
              <w:rPr>
                <w:sz w:val="16"/>
                <w:szCs w:val="16"/>
              </w:rPr>
            </w:pPr>
            <w:r w:rsidRPr="001472C3">
              <w:rPr>
                <w:sz w:val="16"/>
                <w:szCs w:val="16"/>
              </w:rPr>
              <w:tab/>
              <w:t>Headache</w:t>
            </w:r>
          </w:p>
          <w:p w:rsidR="00B8571D" w:rsidRPr="001472C3" w:rsidRDefault="00B8571D" w:rsidP="00001C1A">
            <w:pPr>
              <w:spacing w:after="60"/>
              <w:rPr>
                <w:sz w:val="16"/>
                <w:szCs w:val="16"/>
              </w:rPr>
            </w:pPr>
            <w:r w:rsidRPr="001472C3">
              <w:rPr>
                <w:sz w:val="16"/>
                <w:szCs w:val="16"/>
              </w:rPr>
              <w:tab/>
              <w:t>Dizziness</w:t>
            </w:r>
          </w:p>
          <w:p w:rsidR="00B8571D" w:rsidRPr="001472C3" w:rsidRDefault="00B8571D" w:rsidP="00001C1A">
            <w:pPr>
              <w:spacing w:after="60"/>
              <w:rPr>
                <w:sz w:val="16"/>
                <w:szCs w:val="16"/>
              </w:rPr>
            </w:pPr>
            <w:r w:rsidRPr="001472C3">
              <w:rPr>
                <w:sz w:val="16"/>
                <w:szCs w:val="16"/>
              </w:rPr>
              <w:tab/>
              <w:t>Disturbance in Attention</w:t>
            </w:r>
          </w:p>
          <w:p w:rsidR="00B8571D" w:rsidRPr="001472C3" w:rsidRDefault="00B8571D" w:rsidP="00001C1A">
            <w:pPr>
              <w:spacing w:after="60"/>
              <w:rPr>
                <w:sz w:val="16"/>
                <w:szCs w:val="16"/>
              </w:rPr>
            </w:pPr>
            <w:r w:rsidRPr="001472C3">
              <w:rPr>
                <w:sz w:val="16"/>
                <w:szCs w:val="16"/>
              </w:rPr>
              <w:tab/>
              <w:t>Tremor</w:t>
            </w:r>
          </w:p>
          <w:p w:rsidR="00B8571D" w:rsidRPr="001472C3" w:rsidRDefault="00B8571D" w:rsidP="00001C1A">
            <w:pPr>
              <w:spacing w:after="60"/>
              <w:rPr>
                <w:sz w:val="16"/>
                <w:szCs w:val="16"/>
              </w:rPr>
            </w:pPr>
            <w:r w:rsidRPr="001472C3">
              <w:rPr>
                <w:sz w:val="16"/>
                <w:szCs w:val="16"/>
              </w:rPr>
              <w:tab/>
              <w:t>Migraine</w:t>
            </w:r>
          </w:p>
          <w:p w:rsidR="00B8571D" w:rsidRPr="001472C3" w:rsidRDefault="00B8571D" w:rsidP="00001C1A">
            <w:pPr>
              <w:spacing w:after="60"/>
              <w:rPr>
                <w:sz w:val="16"/>
                <w:szCs w:val="16"/>
              </w:rPr>
            </w:pPr>
            <w:r w:rsidRPr="001472C3">
              <w:rPr>
                <w:sz w:val="16"/>
                <w:szCs w:val="16"/>
              </w:rPr>
              <w:tab/>
            </w:r>
            <w:proofErr w:type="spellStart"/>
            <w:r w:rsidR="00DB5982" w:rsidRPr="001472C3">
              <w:rPr>
                <w:sz w:val="16"/>
                <w:szCs w:val="16"/>
              </w:rPr>
              <w:t>Paresthesia</w:t>
            </w:r>
            <w:proofErr w:type="spellEnd"/>
          </w:p>
        </w:tc>
        <w:tc>
          <w:tcPr>
            <w:tcW w:w="2552" w:type="dxa"/>
          </w:tcPr>
          <w:p w:rsidR="00164024" w:rsidRPr="001472C3" w:rsidRDefault="00164024" w:rsidP="00E81D7E">
            <w:pPr>
              <w:spacing w:after="60"/>
              <w:jc w:val="center"/>
              <w:rPr>
                <w:sz w:val="16"/>
                <w:szCs w:val="16"/>
              </w:rPr>
            </w:pPr>
          </w:p>
          <w:p w:rsidR="00E81D7E" w:rsidRPr="001472C3" w:rsidRDefault="00E81D7E" w:rsidP="00E81D7E">
            <w:pPr>
              <w:spacing w:after="60"/>
              <w:jc w:val="center"/>
              <w:rPr>
                <w:sz w:val="16"/>
                <w:szCs w:val="16"/>
              </w:rPr>
            </w:pPr>
            <w:r w:rsidRPr="001472C3">
              <w:rPr>
                <w:sz w:val="16"/>
                <w:szCs w:val="16"/>
              </w:rPr>
              <w:t>17</w:t>
            </w:r>
          </w:p>
          <w:p w:rsidR="00E81D7E" w:rsidRPr="001472C3" w:rsidRDefault="00E81D7E" w:rsidP="00E81D7E">
            <w:pPr>
              <w:spacing w:after="60"/>
              <w:jc w:val="center"/>
              <w:rPr>
                <w:sz w:val="16"/>
                <w:szCs w:val="16"/>
              </w:rPr>
            </w:pPr>
            <w:r w:rsidRPr="001472C3">
              <w:rPr>
                <w:sz w:val="16"/>
                <w:szCs w:val="16"/>
              </w:rPr>
              <w:t>5</w:t>
            </w:r>
          </w:p>
          <w:p w:rsidR="00E81D7E" w:rsidRPr="001472C3" w:rsidRDefault="00E81D7E" w:rsidP="00E81D7E">
            <w:pPr>
              <w:spacing w:after="60"/>
              <w:jc w:val="center"/>
              <w:rPr>
                <w:sz w:val="16"/>
                <w:szCs w:val="16"/>
              </w:rPr>
            </w:pPr>
            <w:r w:rsidRPr="001472C3">
              <w:rPr>
                <w:sz w:val="16"/>
                <w:szCs w:val="16"/>
              </w:rPr>
              <w:t>1</w:t>
            </w:r>
          </w:p>
          <w:p w:rsidR="00E81D7E" w:rsidRPr="001472C3" w:rsidRDefault="00E81D7E" w:rsidP="00E81D7E">
            <w:pPr>
              <w:spacing w:after="60"/>
              <w:jc w:val="center"/>
              <w:rPr>
                <w:sz w:val="16"/>
                <w:szCs w:val="16"/>
              </w:rPr>
            </w:pPr>
            <w:r w:rsidRPr="001472C3">
              <w:rPr>
                <w:sz w:val="16"/>
                <w:szCs w:val="16"/>
              </w:rPr>
              <w:t>1</w:t>
            </w:r>
          </w:p>
          <w:p w:rsidR="00E81D7E" w:rsidRPr="001472C3" w:rsidRDefault="00E81D7E" w:rsidP="00E81D7E">
            <w:pPr>
              <w:spacing w:after="60"/>
              <w:jc w:val="center"/>
              <w:rPr>
                <w:sz w:val="16"/>
                <w:szCs w:val="16"/>
              </w:rPr>
            </w:pPr>
            <w:r w:rsidRPr="001472C3">
              <w:rPr>
                <w:sz w:val="16"/>
                <w:szCs w:val="16"/>
              </w:rPr>
              <w:t>1</w:t>
            </w:r>
          </w:p>
          <w:p w:rsidR="00E81D7E" w:rsidRPr="001472C3" w:rsidRDefault="00E81D7E" w:rsidP="00E81D7E">
            <w:pPr>
              <w:spacing w:after="60"/>
              <w:jc w:val="center"/>
              <w:rPr>
                <w:sz w:val="16"/>
                <w:szCs w:val="16"/>
              </w:rPr>
            </w:pPr>
            <w:r w:rsidRPr="001472C3">
              <w:rPr>
                <w:sz w:val="16"/>
                <w:szCs w:val="16"/>
              </w:rPr>
              <w:t>1</w:t>
            </w:r>
          </w:p>
        </w:tc>
        <w:tc>
          <w:tcPr>
            <w:tcW w:w="2518" w:type="dxa"/>
          </w:tcPr>
          <w:p w:rsidR="00164024" w:rsidRPr="001472C3" w:rsidRDefault="00164024" w:rsidP="00E81D7E">
            <w:pPr>
              <w:spacing w:after="60"/>
              <w:jc w:val="center"/>
              <w:rPr>
                <w:sz w:val="16"/>
                <w:szCs w:val="16"/>
              </w:rPr>
            </w:pPr>
          </w:p>
          <w:p w:rsidR="00E81D7E" w:rsidRPr="001472C3" w:rsidRDefault="00E81D7E" w:rsidP="00E81D7E">
            <w:pPr>
              <w:spacing w:after="60"/>
              <w:jc w:val="center"/>
              <w:rPr>
                <w:sz w:val="16"/>
                <w:szCs w:val="16"/>
              </w:rPr>
            </w:pPr>
            <w:r w:rsidRPr="001472C3">
              <w:rPr>
                <w:sz w:val="16"/>
                <w:szCs w:val="16"/>
              </w:rPr>
              <w:t>9</w:t>
            </w:r>
          </w:p>
          <w:p w:rsidR="00E81D7E" w:rsidRPr="001472C3" w:rsidRDefault="00E81D7E" w:rsidP="00E81D7E">
            <w:pPr>
              <w:spacing w:after="60"/>
              <w:jc w:val="center"/>
              <w:rPr>
                <w:sz w:val="16"/>
                <w:szCs w:val="16"/>
              </w:rPr>
            </w:pPr>
            <w:r w:rsidRPr="001472C3">
              <w:rPr>
                <w:sz w:val="16"/>
                <w:szCs w:val="16"/>
              </w:rPr>
              <w:t>2</w:t>
            </w:r>
          </w:p>
          <w:p w:rsidR="00E81D7E" w:rsidRPr="001472C3" w:rsidRDefault="00E81D7E" w:rsidP="00E81D7E">
            <w:pPr>
              <w:spacing w:after="60"/>
              <w:jc w:val="center"/>
              <w:rPr>
                <w:sz w:val="16"/>
                <w:szCs w:val="16"/>
              </w:rPr>
            </w:pPr>
            <w:r w:rsidRPr="001472C3">
              <w:rPr>
                <w:sz w:val="16"/>
                <w:szCs w:val="16"/>
              </w:rPr>
              <w:t>0</w:t>
            </w:r>
          </w:p>
          <w:p w:rsidR="00E81D7E" w:rsidRPr="001472C3" w:rsidRDefault="00E81D7E" w:rsidP="00E81D7E">
            <w:pPr>
              <w:spacing w:after="60"/>
              <w:jc w:val="center"/>
              <w:rPr>
                <w:sz w:val="16"/>
                <w:szCs w:val="16"/>
              </w:rPr>
            </w:pPr>
            <w:r w:rsidRPr="001472C3">
              <w:rPr>
                <w:sz w:val="16"/>
                <w:szCs w:val="16"/>
              </w:rPr>
              <w:t>0</w:t>
            </w:r>
          </w:p>
          <w:p w:rsidR="00E81D7E" w:rsidRPr="001472C3" w:rsidRDefault="00E81D7E" w:rsidP="00E81D7E">
            <w:pPr>
              <w:spacing w:after="60"/>
              <w:jc w:val="center"/>
              <w:rPr>
                <w:sz w:val="16"/>
                <w:szCs w:val="16"/>
              </w:rPr>
            </w:pPr>
            <w:r w:rsidRPr="001472C3">
              <w:rPr>
                <w:sz w:val="16"/>
                <w:szCs w:val="16"/>
              </w:rPr>
              <w:t>0</w:t>
            </w:r>
          </w:p>
          <w:p w:rsidR="00E81D7E" w:rsidRPr="001472C3" w:rsidRDefault="00E81D7E" w:rsidP="00E81D7E">
            <w:pPr>
              <w:spacing w:after="60"/>
              <w:jc w:val="center"/>
              <w:rPr>
                <w:sz w:val="16"/>
                <w:szCs w:val="16"/>
              </w:rPr>
            </w:pPr>
            <w:r w:rsidRPr="001472C3">
              <w:rPr>
                <w:sz w:val="16"/>
                <w:szCs w:val="16"/>
              </w:rPr>
              <w:t>0</w:t>
            </w:r>
          </w:p>
        </w:tc>
      </w:tr>
      <w:tr w:rsidR="00DB5982" w:rsidRPr="001472C3" w:rsidTr="00001C1A">
        <w:tc>
          <w:tcPr>
            <w:tcW w:w="4644" w:type="dxa"/>
          </w:tcPr>
          <w:p w:rsidR="00DB5982" w:rsidRPr="001472C3" w:rsidRDefault="00DB5982" w:rsidP="00001C1A">
            <w:pPr>
              <w:pStyle w:val="Heading1"/>
              <w:spacing w:after="60"/>
              <w:rPr>
                <w:b w:val="0"/>
                <w:sz w:val="16"/>
                <w:szCs w:val="16"/>
              </w:rPr>
            </w:pPr>
            <w:r w:rsidRPr="001472C3">
              <w:rPr>
                <w:b w:val="0"/>
                <w:sz w:val="16"/>
                <w:szCs w:val="16"/>
              </w:rPr>
              <w:t>Psychiatric Disorders</w:t>
            </w:r>
          </w:p>
          <w:p w:rsidR="00DB5982" w:rsidRPr="001472C3" w:rsidRDefault="00DB5982" w:rsidP="00001C1A">
            <w:pPr>
              <w:spacing w:after="60"/>
              <w:rPr>
                <w:sz w:val="16"/>
                <w:szCs w:val="16"/>
              </w:rPr>
            </w:pPr>
            <w:r w:rsidRPr="001472C3">
              <w:rPr>
                <w:sz w:val="16"/>
                <w:szCs w:val="16"/>
              </w:rPr>
              <w:tab/>
              <w:t>Insomnia</w:t>
            </w:r>
          </w:p>
          <w:p w:rsidR="00DB5982" w:rsidRPr="001472C3" w:rsidRDefault="00DB5982" w:rsidP="00001C1A">
            <w:pPr>
              <w:spacing w:after="60"/>
              <w:rPr>
                <w:sz w:val="16"/>
                <w:szCs w:val="16"/>
              </w:rPr>
            </w:pPr>
            <w:r w:rsidRPr="001472C3">
              <w:rPr>
                <w:sz w:val="16"/>
                <w:szCs w:val="16"/>
              </w:rPr>
              <w:tab/>
              <w:t>Anxiety</w:t>
            </w:r>
          </w:p>
          <w:p w:rsidR="00DB5982" w:rsidRPr="001472C3" w:rsidRDefault="00DB5982" w:rsidP="00001C1A">
            <w:pPr>
              <w:spacing w:after="60"/>
              <w:rPr>
                <w:sz w:val="16"/>
                <w:szCs w:val="16"/>
              </w:rPr>
            </w:pPr>
            <w:r w:rsidRPr="001472C3">
              <w:rPr>
                <w:sz w:val="16"/>
                <w:szCs w:val="16"/>
              </w:rPr>
              <w:tab/>
              <w:t>Depression</w:t>
            </w:r>
          </w:p>
          <w:p w:rsidR="00DB5982" w:rsidRPr="001472C3" w:rsidRDefault="00DB5982" w:rsidP="00001C1A">
            <w:pPr>
              <w:spacing w:after="60"/>
              <w:rPr>
                <w:sz w:val="16"/>
                <w:szCs w:val="16"/>
              </w:rPr>
            </w:pPr>
            <w:r w:rsidRPr="001472C3">
              <w:rPr>
                <w:sz w:val="16"/>
                <w:szCs w:val="16"/>
              </w:rPr>
              <w:tab/>
              <w:t>Agitation</w:t>
            </w:r>
          </w:p>
          <w:p w:rsidR="00DB5982" w:rsidRPr="001472C3" w:rsidRDefault="00DB5982" w:rsidP="00001C1A">
            <w:pPr>
              <w:spacing w:after="60"/>
              <w:rPr>
                <w:sz w:val="16"/>
                <w:szCs w:val="16"/>
              </w:rPr>
            </w:pPr>
            <w:r w:rsidRPr="001472C3">
              <w:rPr>
                <w:sz w:val="16"/>
                <w:szCs w:val="16"/>
              </w:rPr>
              <w:tab/>
              <w:t>Nervousness</w:t>
            </w:r>
          </w:p>
          <w:p w:rsidR="00DB5982" w:rsidRPr="001472C3" w:rsidRDefault="00DB5982" w:rsidP="00001C1A">
            <w:pPr>
              <w:spacing w:after="60"/>
              <w:rPr>
                <w:sz w:val="16"/>
                <w:szCs w:val="16"/>
              </w:rPr>
            </w:pPr>
            <w:r w:rsidRPr="001472C3">
              <w:rPr>
                <w:sz w:val="16"/>
                <w:szCs w:val="16"/>
              </w:rPr>
              <w:tab/>
              <w:t>Depressed Mood</w:t>
            </w:r>
          </w:p>
        </w:tc>
        <w:tc>
          <w:tcPr>
            <w:tcW w:w="2552" w:type="dxa"/>
          </w:tcPr>
          <w:p w:rsidR="00DB5982" w:rsidRPr="001472C3" w:rsidRDefault="00DB5982" w:rsidP="00E81D7E">
            <w:pPr>
              <w:spacing w:after="60"/>
              <w:jc w:val="center"/>
              <w:rPr>
                <w:sz w:val="16"/>
                <w:szCs w:val="16"/>
              </w:rPr>
            </w:pPr>
          </w:p>
          <w:p w:rsidR="00E81D7E" w:rsidRPr="001472C3" w:rsidRDefault="00E81D7E" w:rsidP="00E81D7E">
            <w:pPr>
              <w:spacing w:after="60"/>
              <w:jc w:val="center"/>
              <w:rPr>
                <w:sz w:val="16"/>
                <w:szCs w:val="16"/>
              </w:rPr>
            </w:pPr>
            <w:r w:rsidRPr="001472C3">
              <w:rPr>
                <w:sz w:val="16"/>
                <w:szCs w:val="16"/>
              </w:rPr>
              <w:t>5</w:t>
            </w:r>
          </w:p>
          <w:p w:rsidR="00E81D7E" w:rsidRPr="001472C3" w:rsidRDefault="00E81D7E" w:rsidP="00E81D7E">
            <w:pPr>
              <w:spacing w:after="60"/>
              <w:jc w:val="center"/>
              <w:rPr>
                <w:sz w:val="16"/>
                <w:szCs w:val="16"/>
              </w:rPr>
            </w:pPr>
            <w:r w:rsidRPr="001472C3">
              <w:rPr>
                <w:sz w:val="16"/>
                <w:szCs w:val="16"/>
              </w:rPr>
              <w:t>4</w:t>
            </w:r>
          </w:p>
          <w:p w:rsidR="00E81D7E" w:rsidRPr="001472C3" w:rsidRDefault="00E81D7E" w:rsidP="00E81D7E">
            <w:pPr>
              <w:spacing w:after="60"/>
              <w:jc w:val="center"/>
              <w:rPr>
                <w:sz w:val="16"/>
                <w:szCs w:val="16"/>
              </w:rPr>
            </w:pPr>
            <w:r w:rsidRPr="001472C3">
              <w:rPr>
                <w:sz w:val="16"/>
                <w:szCs w:val="16"/>
              </w:rPr>
              <w:t>2</w:t>
            </w:r>
          </w:p>
          <w:p w:rsidR="00E81D7E" w:rsidRPr="001472C3" w:rsidRDefault="00E81D7E" w:rsidP="00E81D7E">
            <w:pPr>
              <w:spacing w:after="60"/>
              <w:jc w:val="center"/>
              <w:rPr>
                <w:sz w:val="16"/>
                <w:szCs w:val="16"/>
              </w:rPr>
            </w:pPr>
            <w:r w:rsidRPr="001472C3">
              <w:rPr>
                <w:sz w:val="16"/>
                <w:szCs w:val="16"/>
              </w:rPr>
              <w:t>1</w:t>
            </w:r>
          </w:p>
          <w:p w:rsidR="00E81D7E" w:rsidRPr="001472C3" w:rsidRDefault="00E81D7E" w:rsidP="00E81D7E">
            <w:pPr>
              <w:spacing w:after="60"/>
              <w:jc w:val="center"/>
              <w:rPr>
                <w:sz w:val="16"/>
                <w:szCs w:val="16"/>
              </w:rPr>
            </w:pPr>
            <w:r w:rsidRPr="001472C3">
              <w:rPr>
                <w:sz w:val="16"/>
                <w:szCs w:val="16"/>
              </w:rPr>
              <w:t>1</w:t>
            </w:r>
          </w:p>
          <w:p w:rsidR="00E81D7E" w:rsidRPr="001472C3" w:rsidRDefault="00E81D7E" w:rsidP="00E81D7E">
            <w:pPr>
              <w:spacing w:after="60"/>
              <w:jc w:val="center"/>
              <w:rPr>
                <w:sz w:val="16"/>
                <w:szCs w:val="16"/>
              </w:rPr>
            </w:pPr>
            <w:r w:rsidRPr="001472C3">
              <w:rPr>
                <w:sz w:val="16"/>
                <w:szCs w:val="16"/>
              </w:rPr>
              <w:t>1</w:t>
            </w:r>
          </w:p>
        </w:tc>
        <w:tc>
          <w:tcPr>
            <w:tcW w:w="2518" w:type="dxa"/>
          </w:tcPr>
          <w:p w:rsidR="00DB5982" w:rsidRPr="001472C3" w:rsidRDefault="00DB5982" w:rsidP="00E81D7E">
            <w:pPr>
              <w:spacing w:after="60"/>
              <w:jc w:val="center"/>
              <w:rPr>
                <w:sz w:val="16"/>
                <w:szCs w:val="16"/>
              </w:rPr>
            </w:pPr>
          </w:p>
          <w:p w:rsidR="00E81D7E" w:rsidRPr="001472C3" w:rsidRDefault="00E81D7E" w:rsidP="00E81D7E">
            <w:pPr>
              <w:spacing w:after="60"/>
              <w:jc w:val="center"/>
              <w:rPr>
                <w:sz w:val="16"/>
                <w:szCs w:val="16"/>
              </w:rPr>
            </w:pPr>
            <w:r w:rsidRPr="001472C3">
              <w:rPr>
                <w:sz w:val="16"/>
                <w:szCs w:val="16"/>
              </w:rPr>
              <w:t>1</w:t>
            </w:r>
          </w:p>
          <w:p w:rsidR="00E81D7E" w:rsidRPr="001472C3" w:rsidRDefault="00E81D7E" w:rsidP="00E81D7E">
            <w:pPr>
              <w:spacing w:after="60"/>
              <w:jc w:val="center"/>
              <w:rPr>
                <w:sz w:val="16"/>
                <w:szCs w:val="16"/>
              </w:rPr>
            </w:pPr>
            <w:r w:rsidRPr="001472C3">
              <w:rPr>
                <w:sz w:val="16"/>
                <w:szCs w:val="16"/>
              </w:rPr>
              <w:t>1</w:t>
            </w:r>
          </w:p>
          <w:p w:rsidR="00E81D7E" w:rsidRPr="001472C3" w:rsidRDefault="00E81D7E" w:rsidP="00E81D7E">
            <w:pPr>
              <w:spacing w:after="60"/>
              <w:jc w:val="center"/>
              <w:rPr>
                <w:sz w:val="16"/>
                <w:szCs w:val="16"/>
              </w:rPr>
            </w:pPr>
            <w:r w:rsidRPr="001472C3">
              <w:rPr>
                <w:sz w:val="16"/>
                <w:szCs w:val="16"/>
              </w:rPr>
              <w:t>0</w:t>
            </w:r>
          </w:p>
          <w:p w:rsidR="00E81D7E" w:rsidRPr="001472C3" w:rsidRDefault="00E81D7E" w:rsidP="00E81D7E">
            <w:pPr>
              <w:spacing w:after="60"/>
              <w:jc w:val="center"/>
              <w:rPr>
                <w:sz w:val="16"/>
                <w:szCs w:val="16"/>
              </w:rPr>
            </w:pPr>
            <w:r w:rsidRPr="001472C3">
              <w:rPr>
                <w:sz w:val="16"/>
                <w:szCs w:val="16"/>
              </w:rPr>
              <w:t>0</w:t>
            </w:r>
          </w:p>
          <w:p w:rsidR="00E81D7E" w:rsidRPr="001472C3" w:rsidRDefault="00E81D7E" w:rsidP="00E81D7E">
            <w:pPr>
              <w:spacing w:after="60"/>
              <w:jc w:val="center"/>
              <w:rPr>
                <w:sz w:val="16"/>
                <w:szCs w:val="16"/>
              </w:rPr>
            </w:pPr>
            <w:r w:rsidRPr="001472C3">
              <w:rPr>
                <w:sz w:val="16"/>
                <w:szCs w:val="16"/>
              </w:rPr>
              <w:t>0</w:t>
            </w:r>
          </w:p>
          <w:p w:rsidR="00E81D7E" w:rsidRPr="001472C3" w:rsidRDefault="00E81D7E" w:rsidP="00E81D7E">
            <w:pPr>
              <w:spacing w:after="60"/>
              <w:jc w:val="center"/>
              <w:rPr>
                <w:sz w:val="16"/>
                <w:szCs w:val="16"/>
              </w:rPr>
            </w:pPr>
            <w:r w:rsidRPr="001472C3">
              <w:rPr>
                <w:sz w:val="16"/>
                <w:szCs w:val="16"/>
              </w:rPr>
              <w:t>0</w:t>
            </w:r>
          </w:p>
        </w:tc>
      </w:tr>
      <w:tr w:rsidR="00DB5982" w:rsidRPr="001472C3" w:rsidTr="00001C1A">
        <w:tc>
          <w:tcPr>
            <w:tcW w:w="4644" w:type="dxa"/>
          </w:tcPr>
          <w:p w:rsidR="00DB5982" w:rsidRPr="001472C3" w:rsidRDefault="00DB5982" w:rsidP="00001C1A">
            <w:pPr>
              <w:pStyle w:val="Heading1"/>
              <w:spacing w:after="60"/>
              <w:rPr>
                <w:b w:val="0"/>
                <w:sz w:val="16"/>
                <w:szCs w:val="16"/>
              </w:rPr>
            </w:pPr>
            <w:r w:rsidRPr="001472C3">
              <w:rPr>
                <w:b w:val="0"/>
                <w:sz w:val="16"/>
                <w:szCs w:val="16"/>
              </w:rPr>
              <w:t>Renal and Urinary Disorders</w:t>
            </w:r>
          </w:p>
          <w:p w:rsidR="00DB5982" w:rsidRPr="001472C3" w:rsidRDefault="00DB5982" w:rsidP="00001C1A">
            <w:pPr>
              <w:spacing w:after="60"/>
              <w:rPr>
                <w:sz w:val="16"/>
                <w:szCs w:val="16"/>
              </w:rPr>
            </w:pPr>
            <w:r w:rsidRPr="001472C3">
              <w:rPr>
                <w:sz w:val="16"/>
                <w:szCs w:val="16"/>
              </w:rPr>
              <w:tab/>
              <w:t>Polyuria</w:t>
            </w:r>
          </w:p>
        </w:tc>
        <w:tc>
          <w:tcPr>
            <w:tcW w:w="2552" w:type="dxa"/>
          </w:tcPr>
          <w:p w:rsidR="00DB5982" w:rsidRPr="001472C3" w:rsidRDefault="00DB5982" w:rsidP="00E81D7E">
            <w:pPr>
              <w:spacing w:after="60"/>
              <w:jc w:val="center"/>
              <w:rPr>
                <w:sz w:val="16"/>
                <w:szCs w:val="16"/>
              </w:rPr>
            </w:pPr>
          </w:p>
          <w:p w:rsidR="00E81D7E" w:rsidRPr="001472C3" w:rsidRDefault="00E81D7E" w:rsidP="00E81D7E">
            <w:pPr>
              <w:spacing w:after="60"/>
              <w:jc w:val="center"/>
              <w:rPr>
                <w:sz w:val="16"/>
                <w:szCs w:val="16"/>
              </w:rPr>
            </w:pPr>
            <w:r w:rsidRPr="001472C3">
              <w:rPr>
                <w:sz w:val="16"/>
                <w:szCs w:val="16"/>
              </w:rPr>
              <w:t>1</w:t>
            </w:r>
          </w:p>
        </w:tc>
        <w:tc>
          <w:tcPr>
            <w:tcW w:w="2518" w:type="dxa"/>
          </w:tcPr>
          <w:p w:rsidR="00DB5982" w:rsidRPr="001472C3" w:rsidRDefault="00DB5982" w:rsidP="00E81D7E">
            <w:pPr>
              <w:spacing w:after="60"/>
              <w:jc w:val="center"/>
              <w:rPr>
                <w:sz w:val="16"/>
                <w:szCs w:val="16"/>
              </w:rPr>
            </w:pPr>
          </w:p>
          <w:p w:rsidR="00E81D7E" w:rsidRPr="001472C3" w:rsidRDefault="00E81D7E" w:rsidP="00E81D7E">
            <w:pPr>
              <w:spacing w:after="60"/>
              <w:jc w:val="center"/>
              <w:rPr>
                <w:sz w:val="16"/>
                <w:szCs w:val="16"/>
              </w:rPr>
            </w:pPr>
            <w:r w:rsidRPr="001472C3">
              <w:rPr>
                <w:sz w:val="16"/>
                <w:szCs w:val="16"/>
              </w:rPr>
              <w:t>0</w:t>
            </w:r>
          </w:p>
        </w:tc>
      </w:tr>
      <w:tr w:rsidR="00DB5982" w:rsidRPr="001472C3" w:rsidTr="0023741F">
        <w:tc>
          <w:tcPr>
            <w:tcW w:w="4644" w:type="dxa"/>
            <w:tcBorders>
              <w:bottom w:val="single" w:sz="4" w:space="0" w:color="auto"/>
            </w:tcBorders>
          </w:tcPr>
          <w:p w:rsidR="00DB5982" w:rsidRPr="001472C3" w:rsidRDefault="00DB5982" w:rsidP="00001C1A">
            <w:pPr>
              <w:pStyle w:val="Heading1"/>
              <w:spacing w:after="60"/>
              <w:rPr>
                <w:b w:val="0"/>
                <w:sz w:val="16"/>
                <w:szCs w:val="16"/>
              </w:rPr>
            </w:pPr>
            <w:r w:rsidRPr="001472C3">
              <w:rPr>
                <w:b w:val="0"/>
                <w:sz w:val="16"/>
                <w:szCs w:val="16"/>
              </w:rPr>
              <w:t xml:space="preserve">Respiratory, </w:t>
            </w:r>
            <w:proofErr w:type="spellStart"/>
            <w:r w:rsidRPr="001472C3">
              <w:rPr>
                <w:b w:val="0"/>
                <w:sz w:val="16"/>
                <w:szCs w:val="16"/>
              </w:rPr>
              <w:t>Thoratic</w:t>
            </w:r>
            <w:proofErr w:type="spellEnd"/>
            <w:r w:rsidRPr="001472C3">
              <w:rPr>
                <w:b w:val="0"/>
                <w:sz w:val="16"/>
                <w:szCs w:val="16"/>
              </w:rPr>
              <w:t xml:space="preserve"> and Mediastinal Disorders</w:t>
            </w:r>
          </w:p>
          <w:p w:rsidR="00DB5982" w:rsidRPr="001472C3" w:rsidRDefault="00DB5982" w:rsidP="00001C1A">
            <w:pPr>
              <w:spacing w:after="60"/>
              <w:rPr>
                <w:sz w:val="16"/>
                <w:szCs w:val="16"/>
              </w:rPr>
            </w:pPr>
            <w:r w:rsidRPr="001472C3">
              <w:rPr>
                <w:sz w:val="16"/>
                <w:szCs w:val="16"/>
              </w:rPr>
              <w:tab/>
            </w:r>
            <w:proofErr w:type="spellStart"/>
            <w:r w:rsidRPr="001472C3">
              <w:rPr>
                <w:sz w:val="16"/>
                <w:szCs w:val="16"/>
              </w:rPr>
              <w:t>Dyspnea</w:t>
            </w:r>
            <w:proofErr w:type="spellEnd"/>
          </w:p>
        </w:tc>
        <w:tc>
          <w:tcPr>
            <w:tcW w:w="2552" w:type="dxa"/>
            <w:tcBorders>
              <w:bottom w:val="single" w:sz="4" w:space="0" w:color="auto"/>
            </w:tcBorders>
          </w:tcPr>
          <w:p w:rsidR="00DB5982" w:rsidRPr="001472C3" w:rsidRDefault="00DB5982" w:rsidP="00E81D7E">
            <w:pPr>
              <w:spacing w:after="60"/>
              <w:jc w:val="center"/>
              <w:rPr>
                <w:sz w:val="16"/>
                <w:szCs w:val="16"/>
              </w:rPr>
            </w:pPr>
          </w:p>
          <w:p w:rsidR="00E81D7E" w:rsidRPr="001472C3" w:rsidRDefault="00E81D7E" w:rsidP="00E81D7E">
            <w:pPr>
              <w:spacing w:after="60"/>
              <w:jc w:val="center"/>
              <w:rPr>
                <w:sz w:val="16"/>
                <w:szCs w:val="16"/>
              </w:rPr>
            </w:pPr>
            <w:r w:rsidRPr="001472C3">
              <w:rPr>
                <w:sz w:val="16"/>
                <w:szCs w:val="16"/>
              </w:rPr>
              <w:t>1</w:t>
            </w:r>
          </w:p>
        </w:tc>
        <w:tc>
          <w:tcPr>
            <w:tcW w:w="2518" w:type="dxa"/>
            <w:tcBorders>
              <w:bottom w:val="single" w:sz="4" w:space="0" w:color="auto"/>
            </w:tcBorders>
          </w:tcPr>
          <w:p w:rsidR="00DB5982" w:rsidRPr="001472C3" w:rsidRDefault="00DB5982" w:rsidP="00E81D7E">
            <w:pPr>
              <w:spacing w:after="60"/>
              <w:jc w:val="center"/>
              <w:rPr>
                <w:sz w:val="16"/>
                <w:szCs w:val="16"/>
              </w:rPr>
            </w:pPr>
          </w:p>
          <w:p w:rsidR="00E81D7E" w:rsidRPr="001472C3" w:rsidRDefault="00E81D7E" w:rsidP="00E81D7E">
            <w:pPr>
              <w:spacing w:after="60"/>
              <w:jc w:val="center"/>
              <w:rPr>
                <w:sz w:val="16"/>
                <w:szCs w:val="16"/>
              </w:rPr>
            </w:pPr>
            <w:r w:rsidRPr="001472C3">
              <w:rPr>
                <w:sz w:val="16"/>
                <w:szCs w:val="16"/>
              </w:rPr>
              <w:t>0</w:t>
            </w:r>
          </w:p>
        </w:tc>
      </w:tr>
      <w:tr w:rsidR="00DB5982" w:rsidRPr="001472C3" w:rsidTr="0023741F">
        <w:tc>
          <w:tcPr>
            <w:tcW w:w="4644" w:type="dxa"/>
            <w:tcBorders>
              <w:bottom w:val="single" w:sz="4" w:space="0" w:color="auto"/>
            </w:tcBorders>
          </w:tcPr>
          <w:p w:rsidR="00DB5982" w:rsidRPr="001472C3" w:rsidRDefault="00DB5982" w:rsidP="00001C1A">
            <w:pPr>
              <w:pStyle w:val="Heading1"/>
              <w:spacing w:after="60"/>
              <w:rPr>
                <w:b w:val="0"/>
                <w:sz w:val="16"/>
                <w:szCs w:val="16"/>
              </w:rPr>
            </w:pPr>
            <w:r w:rsidRPr="001472C3">
              <w:rPr>
                <w:b w:val="0"/>
                <w:sz w:val="16"/>
                <w:szCs w:val="16"/>
              </w:rPr>
              <w:t>Skin and Subcutaneous Tissue Disorders</w:t>
            </w:r>
          </w:p>
          <w:p w:rsidR="00DB5982" w:rsidRPr="001472C3" w:rsidRDefault="00DB5982" w:rsidP="00001C1A">
            <w:pPr>
              <w:spacing w:after="60"/>
              <w:rPr>
                <w:sz w:val="16"/>
                <w:szCs w:val="16"/>
              </w:rPr>
            </w:pPr>
            <w:r w:rsidRPr="001472C3">
              <w:rPr>
                <w:sz w:val="16"/>
                <w:szCs w:val="16"/>
              </w:rPr>
              <w:tab/>
              <w:t>Rash</w:t>
            </w:r>
          </w:p>
          <w:p w:rsidR="00DB5982" w:rsidRPr="001472C3" w:rsidRDefault="00001C1A" w:rsidP="00001C1A">
            <w:pPr>
              <w:spacing w:after="60"/>
              <w:rPr>
                <w:sz w:val="16"/>
                <w:szCs w:val="16"/>
              </w:rPr>
            </w:pPr>
            <w:r w:rsidRPr="001472C3">
              <w:rPr>
                <w:sz w:val="16"/>
                <w:szCs w:val="16"/>
              </w:rPr>
              <w:tab/>
              <w:t>Contact Dermatitis</w:t>
            </w:r>
          </w:p>
          <w:p w:rsidR="00001C1A" w:rsidRPr="001472C3" w:rsidRDefault="00001C1A" w:rsidP="00001C1A">
            <w:pPr>
              <w:spacing w:after="60"/>
              <w:rPr>
                <w:sz w:val="16"/>
                <w:szCs w:val="16"/>
              </w:rPr>
            </w:pPr>
            <w:r w:rsidRPr="001472C3">
              <w:rPr>
                <w:sz w:val="16"/>
                <w:szCs w:val="16"/>
              </w:rPr>
              <w:tab/>
            </w:r>
            <w:proofErr w:type="spellStart"/>
            <w:r w:rsidRPr="001472C3">
              <w:rPr>
                <w:sz w:val="16"/>
                <w:szCs w:val="16"/>
              </w:rPr>
              <w:t>Hyperhydrosis</w:t>
            </w:r>
            <w:proofErr w:type="spellEnd"/>
          </w:p>
        </w:tc>
        <w:tc>
          <w:tcPr>
            <w:tcW w:w="2552" w:type="dxa"/>
            <w:tcBorders>
              <w:bottom w:val="single" w:sz="4" w:space="0" w:color="auto"/>
            </w:tcBorders>
          </w:tcPr>
          <w:p w:rsidR="00DB5982" w:rsidRPr="001472C3" w:rsidRDefault="00DB5982" w:rsidP="00E81D7E">
            <w:pPr>
              <w:spacing w:after="60"/>
              <w:jc w:val="center"/>
              <w:rPr>
                <w:sz w:val="16"/>
                <w:szCs w:val="16"/>
              </w:rPr>
            </w:pPr>
          </w:p>
          <w:p w:rsidR="00E81D7E" w:rsidRPr="001472C3" w:rsidRDefault="00E81D7E" w:rsidP="00E81D7E">
            <w:pPr>
              <w:spacing w:after="60"/>
              <w:jc w:val="center"/>
              <w:rPr>
                <w:sz w:val="16"/>
                <w:szCs w:val="16"/>
              </w:rPr>
            </w:pPr>
            <w:r w:rsidRPr="001472C3">
              <w:rPr>
                <w:sz w:val="16"/>
                <w:szCs w:val="16"/>
              </w:rPr>
              <w:t>2</w:t>
            </w:r>
          </w:p>
          <w:p w:rsidR="00E81D7E" w:rsidRPr="001472C3" w:rsidRDefault="00E81D7E" w:rsidP="00E81D7E">
            <w:pPr>
              <w:spacing w:after="60"/>
              <w:jc w:val="center"/>
              <w:rPr>
                <w:sz w:val="16"/>
                <w:szCs w:val="16"/>
              </w:rPr>
            </w:pPr>
            <w:r w:rsidRPr="001472C3">
              <w:rPr>
                <w:sz w:val="16"/>
                <w:szCs w:val="16"/>
              </w:rPr>
              <w:t>1</w:t>
            </w:r>
          </w:p>
          <w:p w:rsidR="00E81D7E" w:rsidRPr="001472C3" w:rsidRDefault="00E81D7E" w:rsidP="00E81D7E">
            <w:pPr>
              <w:spacing w:after="60"/>
              <w:jc w:val="center"/>
              <w:rPr>
                <w:sz w:val="16"/>
                <w:szCs w:val="16"/>
              </w:rPr>
            </w:pPr>
            <w:r w:rsidRPr="001472C3">
              <w:rPr>
                <w:sz w:val="16"/>
                <w:szCs w:val="16"/>
              </w:rPr>
              <w:t>1</w:t>
            </w:r>
          </w:p>
        </w:tc>
        <w:tc>
          <w:tcPr>
            <w:tcW w:w="2518" w:type="dxa"/>
            <w:tcBorders>
              <w:bottom w:val="single" w:sz="4" w:space="0" w:color="auto"/>
            </w:tcBorders>
          </w:tcPr>
          <w:p w:rsidR="00DB5982" w:rsidRPr="001472C3" w:rsidRDefault="00DB5982" w:rsidP="00E81D7E">
            <w:pPr>
              <w:spacing w:after="60"/>
              <w:jc w:val="center"/>
              <w:rPr>
                <w:sz w:val="16"/>
                <w:szCs w:val="16"/>
              </w:rPr>
            </w:pPr>
          </w:p>
          <w:p w:rsidR="00E81D7E" w:rsidRPr="001472C3" w:rsidRDefault="00E81D7E" w:rsidP="00E81D7E">
            <w:pPr>
              <w:spacing w:after="60"/>
              <w:jc w:val="center"/>
              <w:rPr>
                <w:sz w:val="16"/>
                <w:szCs w:val="16"/>
              </w:rPr>
            </w:pPr>
            <w:r w:rsidRPr="001472C3">
              <w:rPr>
                <w:sz w:val="16"/>
                <w:szCs w:val="16"/>
              </w:rPr>
              <w:t>0</w:t>
            </w:r>
          </w:p>
          <w:p w:rsidR="00E81D7E" w:rsidRPr="001472C3" w:rsidRDefault="00E81D7E" w:rsidP="00E81D7E">
            <w:pPr>
              <w:spacing w:after="60"/>
              <w:jc w:val="center"/>
              <w:rPr>
                <w:sz w:val="16"/>
                <w:szCs w:val="16"/>
              </w:rPr>
            </w:pPr>
            <w:r w:rsidRPr="001472C3">
              <w:rPr>
                <w:sz w:val="16"/>
                <w:szCs w:val="16"/>
              </w:rPr>
              <w:t>0</w:t>
            </w:r>
          </w:p>
          <w:p w:rsidR="00E81D7E" w:rsidRPr="001472C3" w:rsidRDefault="00E81D7E" w:rsidP="00E81D7E">
            <w:pPr>
              <w:spacing w:after="60"/>
              <w:jc w:val="center"/>
              <w:rPr>
                <w:sz w:val="16"/>
                <w:szCs w:val="16"/>
              </w:rPr>
            </w:pPr>
            <w:r w:rsidRPr="001472C3">
              <w:rPr>
                <w:sz w:val="16"/>
                <w:szCs w:val="16"/>
              </w:rPr>
              <w:t>0</w:t>
            </w:r>
          </w:p>
        </w:tc>
      </w:tr>
      <w:tr w:rsidR="00D03927" w:rsidRPr="00407621" w:rsidTr="0023741F">
        <w:tc>
          <w:tcPr>
            <w:tcW w:w="9714" w:type="dxa"/>
            <w:gridSpan w:val="3"/>
            <w:tcBorders>
              <w:top w:val="single" w:sz="4" w:space="0" w:color="auto"/>
              <w:left w:val="nil"/>
              <w:bottom w:val="nil"/>
              <w:right w:val="nil"/>
            </w:tcBorders>
          </w:tcPr>
          <w:p w:rsidR="0023741F" w:rsidRDefault="0023741F" w:rsidP="0023741F">
            <w:pPr>
              <w:spacing w:after="0"/>
              <w:rPr>
                <w:sz w:val="16"/>
                <w:szCs w:val="16"/>
              </w:rPr>
            </w:pPr>
          </w:p>
          <w:p w:rsidR="0023741F" w:rsidRDefault="0023741F" w:rsidP="0023741F">
            <w:pPr>
              <w:spacing w:after="0"/>
              <w:rPr>
                <w:sz w:val="16"/>
                <w:szCs w:val="16"/>
              </w:rPr>
            </w:pPr>
          </w:p>
          <w:p w:rsidR="0023741F" w:rsidRPr="00407621" w:rsidRDefault="0023741F" w:rsidP="0023741F">
            <w:pPr>
              <w:spacing w:after="0"/>
              <w:rPr>
                <w:sz w:val="16"/>
                <w:szCs w:val="16"/>
              </w:rPr>
            </w:pPr>
            <w:r w:rsidRPr="00407621">
              <w:rPr>
                <w:sz w:val="16"/>
                <w:szCs w:val="16"/>
              </w:rPr>
              <w:t>* Four double-blind, placebo-controlled clinical studies in SWSD, OSAHS and narcolepsy; incidence is rounded to the nearest whole percent. Included are only those events for which NUVIGIL</w:t>
            </w:r>
            <w:r w:rsidRPr="00407621">
              <w:rPr>
                <w:rFonts w:cs="Arial"/>
                <w:snapToGrid/>
                <w:sz w:val="16"/>
                <w:szCs w:val="16"/>
                <w:vertAlign w:val="superscript"/>
                <w:lang w:eastAsia="en-AU"/>
              </w:rPr>
              <w:t>®</w:t>
            </w:r>
            <w:r w:rsidRPr="00407621">
              <w:rPr>
                <w:sz w:val="16"/>
                <w:szCs w:val="16"/>
              </w:rPr>
              <w:t xml:space="preserve"> incidence is greater than that of placebo. </w:t>
            </w:r>
          </w:p>
          <w:p w:rsidR="0023741F" w:rsidRDefault="0023741F" w:rsidP="0023741F">
            <w:pPr>
              <w:spacing w:after="0"/>
              <w:rPr>
                <w:sz w:val="16"/>
                <w:szCs w:val="16"/>
              </w:rPr>
            </w:pPr>
            <w:r w:rsidRPr="00407621">
              <w:rPr>
                <w:sz w:val="16"/>
                <w:szCs w:val="16"/>
              </w:rPr>
              <w:t>1. Events for which the NUVIGIL</w:t>
            </w:r>
            <w:r w:rsidRPr="00407621">
              <w:rPr>
                <w:rFonts w:cs="Arial"/>
                <w:snapToGrid/>
                <w:sz w:val="16"/>
                <w:szCs w:val="16"/>
                <w:vertAlign w:val="superscript"/>
                <w:lang w:eastAsia="en-AU"/>
              </w:rPr>
              <w:t>®</w:t>
            </w:r>
            <w:r w:rsidRPr="00407621">
              <w:rPr>
                <w:sz w:val="16"/>
                <w:szCs w:val="16"/>
              </w:rPr>
              <w:t xml:space="preserve"> incidence was at least 1% but equal to or less than placebo are not listed in the table. The events included the following: flatulence, chest pain, bronchitis, </w:t>
            </w:r>
            <w:proofErr w:type="spellStart"/>
            <w:r w:rsidRPr="00407621">
              <w:rPr>
                <w:sz w:val="16"/>
                <w:szCs w:val="16"/>
              </w:rPr>
              <w:t>nasopharyngitis</w:t>
            </w:r>
            <w:proofErr w:type="spellEnd"/>
            <w:r w:rsidRPr="00407621">
              <w:rPr>
                <w:sz w:val="16"/>
                <w:szCs w:val="16"/>
              </w:rPr>
              <w:t xml:space="preserve">, sinusitis, upper respiratory tract infection, alanine aminotransferase increased, aspartate aminotransferase increased, arthralgia, back pain, oropharyngeal pain, cough and hypertension. </w:t>
            </w:r>
          </w:p>
          <w:p w:rsidR="0023741F" w:rsidRDefault="0023741F" w:rsidP="0023741F">
            <w:pPr>
              <w:spacing w:after="0"/>
              <w:rPr>
                <w:sz w:val="16"/>
                <w:szCs w:val="16"/>
              </w:rPr>
            </w:pPr>
          </w:p>
          <w:p w:rsidR="0023741F" w:rsidRPr="00407621" w:rsidRDefault="0023741F" w:rsidP="0023741F">
            <w:pPr>
              <w:spacing w:after="0"/>
              <w:rPr>
                <w:sz w:val="16"/>
                <w:szCs w:val="16"/>
              </w:rPr>
            </w:pPr>
          </w:p>
        </w:tc>
      </w:tr>
    </w:tbl>
    <w:p w:rsidR="00FF51E7" w:rsidRDefault="00FF51E7" w:rsidP="00FF51E7">
      <w:pPr>
        <w:rPr>
          <w:i/>
        </w:rPr>
      </w:pPr>
      <w:r>
        <w:rPr>
          <w:i/>
        </w:rPr>
        <w:t xml:space="preserve">Dose Dependency of Adverse Events </w:t>
      </w:r>
    </w:p>
    <w:p w:rsidR="00FF51E7" w:rsidRDefault="00FF51E7" w:rsidP="00FF51E7">
      <w:r>
        <w:t xml:space="preserve">In the pre-approval controlled clinical trials which compared doses of 150 mg/day and 250 mg/day of NUVIGIL and placebo, the only adverse events that appeared to be dose-related were headache, rash, depression, dry mouth, insomnia, and nausea. See Table 4 for additional information. </w:t>
      </w:r>
    </w:p>
    <w:p w:rsidR="00B1511B" w:rsidRPr="001472C3" w:rsidRDefault="00B1511B" w:rsidP="00FF51E7">
      <w:pPr>
        <w:rPr>
          <w:rFonts w:cs="Arial"/>
          <w:b/>
          <w:snapToGrid/>
          <w:sz w:val="18"/>
          <w:szCs w:val="18"/>
          <w:lang w:eastAsia="en-AU"/>
        </w:rPr>
      </w:pPr>
      <w:proofErr w:type="gramStart"/>
      <w:r w:rsidRPr="001472C3">
        <w:rPr>
          <w:rFonts w:cs="Arial"/>
          <w:b/>
          <w:snapToGrid/>
          <w:sz w:val="18"/>
          <w:szCs w:val="18"/>
          <w:lang w:eastAsia="en-AU"/>
        </w:rPr>
        <w:t xml:space="preserve">Table </w:t>
      </w:r>
      <w:r w:rsidR="00FF51E7">
        <w:rPr>
          <w:rFonts w:cs="Arial"/>
          <w:b/>
          <w:snapToGrid/>
          <w:sz w:val="18"/>
          <w:szCs w:val="18"/>
          <w:lang w:eastAsia="en-AU"/>
        </w:rPr>
        <w:t>4</w:t>
      </w:r>
      <w:r w:rsidRPr="001472C3">
        <w:rPr>
          <w:rFonts w:cs="Arial"/>
          <w:b/>
          <w:snapToGrid/>
          <w:sz w:val="18"/>
          <w:szCs w:val="18"/>
          <w:lang w:eastAsia="en-AU"/>
        </w:rPr>
        <w:t>.</w:t>
      </w:r>
      <w:proofErr w:type="gramEnd"/>
      <w:r w:rsidRPr="001472C3">
        <w:rPr>
          <w:rFonts w:cs="Arial"/>
          <w:b/>
          <w:snapToGrid/>
          <w:sz w:val="18"/>
          <w:szCs w:val="18"/>
          <w:lang w:eastAsia="en-AU"/>
        </w:rPr>
        <w:t xml:space="preserve">  Incidence </w:t>
      </w:r>
      <w:proofErr w:type="gramStart"/>
      <w:r w:rsidRPr="001472C3">
        <w:rPr>
          <w:rFonts w:cs="Arial"/>
          <w:b/>
          <w:snapToGrid/>
          <w:sz w:val="18"/>
          <w:szCs w:val="18"/>
          <w:lang w:eastAsia="en-AU"/>
        </w:rPr>
        <w:t>Of</w:t>
      </w:r>
      <w:proofErr w:type="gramEnd"/>
      <w:r w:rsidRPr="001472C3">
        <w:rPr>
          <w:rFonts w:cs="Arial"/>
          <w:b/>
          <w:snapToGrid/>
          <w:sz w:val="18"/>
          <w:szCs w:val="18"/>
          <w:lang w:eastAsia="en-AU"/>
        </w:rPr>
        <w:t xml:space="preserve"> Dose-Dependent, Treatment-Emergent Adverse Experiences By Dose and By Treatment In Parallel-Group, Placebo-Controlled Clinical Trials* In OSA</w:t>
      </w:r>
      <w:r w:rsidR="00C42C9A">
        <w:rPr>
          <w:rFonts w:cs="Arial"/>
          <w:b/>
          <w:snapToGrid/>
          <w:sz w:val="18"/>
          <w:szCs w:val="18"/>
          <w:lang w:eastAsia="en-AU"/>
        </w:rPr>
        <w:t>HS</w:t>
      </w:r>
      <w:r w:rsidRPr="001472C3">
        <w:rPr>
          <w:rFonts w:cs="Arial"/>
          <w:b/>
          <w:snapToGrid/>
          <w:sz w:val="18"/>
          <w:szCs w:val="18"/>
          <w:lang w:eastAsia="en-AU"/>
        </w:rPr>
        <w:t>, Narcolepsy and SW</w:t>
      </w:r>
      <w:r w:rsidR="00C42C9A">
        <w:rPr>
          <w:rFonts w:cs="Arial"/>
          <w:b/>
          <w:snapToGrid/>
          <w:sz w:val="18"/>
          <w:szCs w:val="18"/>
          <w:lang w:eastAsia="en-AU"/>
        </w:rPr>
        <w:t>S</w:t>
      </w:r>
      <w:r w:rsidRPr="001472C3">
        <w:rPr>
          <w:rFonts w:cs="Arial"/>
          <w:b/>
          <w:snapToGrid/>
          <w:sz w:val="18"/>
          <w:szCs w:val="18"/>
          <w:lang w:eastAsia="en-AU"/>
        </w:rPr>
        <w:t>D With NUVIGIL</w:t>
      </w:r>
      <w:r w:rsidR="001A1A35" w:rsidRPr="001472C3">
        <w:rPr>
          <w:rFonts w:cs="Arial"/>
          <w:snapToGrid/>
          <w:szCs w:val="16"/>
          <w:vertAlign w:val="superscript"/>
          <w:lang w:eastAsia="en-AU"/>
        </w:rPr>
        <w:t>®</w:t>
      </w:r>
      <w:r w:rsidRPr="001472C3">
        <w:rPr>
          <w:rFonts w:cs="Arial"/>
          <w:b/>
          <w:snapToGrid/>
          <w:sz w:val="18"/>
          <w:szCs w:val="18"/>
          <w:lang w:eastAsia="en-AU"/>
        </w:rPr>
        <w:t xml:space="preserve"> (150 mg and 250 mg)</w:t>
      </w:r>
    </w:p>
    <w:tbl>
      <w:tblPr>
        <w:tblW w:w="8364"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7" w:type="dxa"/>
          <w:right w:w="67" w:type="dxa"/>
        </w:tblCellMar>
        <w:tblLook w:val="0000" w:firstRow="0" w:lastRow="0" w:firstColumn="0" w:lastColumn="0" w:noHBand="0" w:noVBand="0"/>
      </w:tblPr>
      <w:tblGrid>
        <w:gridCol w:w="2552"/>
        <w:gridCol w:w="1559"/>
        <w:gridCol w:w="1418"/>
        <w:gridCol w:w="1417"/>
        <w:gridCol w:w="1418"/>
      </w:tblGrid>
      <w:tr w:rsidR="00B1511B" w:rsidRPr="001472C3" w:rsidTr="00202C0E">
        <w:trPr>
          <w:cantSplit/>
          <w:trHeight w:val="149"/>
        </w:trPr>
        <w:tc>
          <w:tcPr>
            <w:tcW w:w="2552" w:type="dxa"/>
            <w:shd w:val="clear" w:color="auto" w:fill="FFFFFF"/>
          </w:tcPr>
          <w:p w:rsidR="00B1511B" w:rsidRPr="001472C3" w:rsidRDefault="00B1511B" w:rsidP="001B4CEB">
            <w:pPr>
              <w:tabs>
                <w:tab w:val="left" w:pos="240"/>
              </w:tabs>
              <w:spacing w:before="20" w:after="20"/>
              <w:rPr>
                <w:b/>
                <w:sz w:val="16"/>
                <w:szCs w:val="16"/>
              </w:rPr>
            </w:pPr>
          </w:p>
          <w:p w:rsidR="00B1511B" w:rsidRPr="001472C3" w:rsidRDefault="00B1511B" w:rsidP="001B4CEB">
            <w:pPr>
              <w:tabs>
                <w:tab w:val="left" w:pos="240"/>
              </w:tabs>
              <w:spacing w:before="20" w:after="20"/>
              <w:rPr>
                <w:b/>
                <w:sz w:val="16"/>
                <w:szCs w:val="16"/>
              </w:rPr>
            </w:pPr>
          </w:p>
          <w:p w:rsidR="00B1511B" w:rsidRPr="001472C3" w:rsidRDefault="00B1511B" w:rsidP="001B4CEB">
            <w:pPr>
              <w:tabs>
                <w:tab w:val="left" w:pos="240"/>
              </w:tabs>
              <w:rPr>
                <w:b/>
                <w:sz w:val="16"/>
                <w:szCs w:val="16"/>
              </w:rPr>
            </w:pPr>
          </w:p>
          <w:p w:rsidR="00B1511B" w:rsidRPr="001472C3" w:rsidRDefault="00B1511B" w:rsidP="001B4CEB">
            <w:pPr>
              <w:tabs>
                <w:tab w:val="left" w:pos="240"/>
              </w:tabs>
              <w:rPr>
                <w:b/>
                <w:sz w:val="16"/>
                <w:szCs w:val="16"/>
              </w:rPr>
            </w:pPr>
            <w:r w:rsidRPr="001472C3">
              <w:rPr>
                <w:b/>
                <w:sz w:val="16"/>
                <w:szCs w:val="16"/>
              </w:rPr>
              <w:t>System Organ Class</w:t>
            </w:r>
            <w:r w:rsidRPr="001472C3">
              <w:rPr>
                <w:b/>
                <w:sz w:val="16"/>
                <w:szCs w:val="16"/>
              </w:rPr>
              <w:br/>
            </w:r>
            <w:r w:rsidRPr="001472C3">
              <w:rPr>
                <w:b/>
                <w:sz w:val="16"/>
                <w:szCs w:val="16"/>
              </w:rPr>
              <w:tab/>
            </w:r>
            <w:proofErr w:type="spellStart"/>
            <w:r w:rsidRPr="001472C3">
              <w:rPr>
                <w:b/>
                <w:sz w:val="16"/>
                <w:szCs w:val="16"/>
              </w:rPr>
              <w:t>MedDRA</w:t>
            </w:r>
            <w:proofErr w:type="spellEnd"/>
            <w:r w:rsidRPr="001472C3">
              <w:rPr>
                <w:b/>
                <w:sz w:val="16"/>
                <w:szCs w:val="16"/>
              </w:rPr>
              <w:t> preferred term</w:t>
            </w:r>
            <w:r w:rsidRPr="001472C3">
              <w:rPr>
                <w:sz w:val="16"/>
                <w:szCs w:val="16"/>
              </w:rPr>
              <w:t xml:space="preserve"> </w:t>
            </w:r>
          </w:p>
        </w:tc>
        <w:tc>
          <w:tcPr>
            <w:tcW w:w="1559" w:type="dxa"/>
            <w:shd w:val="clear" w:color="auto" w:fill="FFFFFF"/>
            <w:vAlign w:val="center"/>
          </w:tcPr>
          <w:p w:rsidR="00B1511B" w:rsidRPr="001472C3" w:rsidRDefault="00B1511B" w:rsidP="001B4CEB">
            <w:pPr>
              <w:keepNext/>
              <w:adjustRightInd w:val="0"/>
              <w:spacing w:before="40" w:after="20"/>
              <w:jc w:val="center"/>
              <w:rPr>
                <w:b/>
                <w:sz w:val="16"/>
                <w:szCs w:val="16"/>
              </w:rPr>
            </w:pPr>
            <w:r w:rsidRPr="001472C3">
              <w:rPr>
                <w:b/>
                <w:sz w:val="16"/>
                <w:szCs w:val="16"/>
              </w:rPr>
              <w:t>NUVIGIL</w:t>
            </w:r>
            <w:r w:rsidR="001A1A35" w:rsidRPr="001472C3">
              <w:rPr>
                <w:rFonts w:cs="Arial"/>
                <w:snapToGrid/>
                <w:szCs w:val="16"/>
                <w:vertAlign w:val="superscript"/>
                <w:lang w:eastAsia="en-AU"/>
              </w:rPr>
              <w:t>®</w:t>
            </w:r>
            <w:r w:rsidRPr="001472C3">
              <w:rPr>
                <w:b/>
                <w:sz w:val="16"/>
                <w:szCs w:val="16"/>
              </w:rPr>
              <w:t xml:space="preserve"> </w:t>
            </w:r>
            <w:r w:rsidRPr="001472C3">
              <w:rPr>
                <w:b/>
                <w:sz w:val="16"/>
                <w:szCs w:val="16"/>
              </w:rPr>
              <w:br/>
              <w:t xml:space="preserve">250 </w:t>
            </w:r>
            <w:proofErr w:type="gramStart"/>
            <w:r w:rsidRPr="001472C3">
              <w:rPr>
                <w:b/>
                <w:sz w:val="16"/>
                <w:szCs w:val="16"/>
              </w:rPr>
              <w:t>mg</w:t>
            </w:r>
            <w:proofErr w:type="gramEnd"/>
            <w:r w:rsidRPr="001472C3">
              <w:rPr>
                <w:b/>
                <w:sz w:val="16"/>
                <w:szCs w:val="16"/>
              </w:rPr>
              <w:br/>
              <w:t>(%)</w:t>
            </w:r>
            <w:r w:rsidRPr="001472C3">
              <w:rPr>
                <w:b/>
                <w:sz w:val="16"/>
                <w:szCs w:val="16"/>
              </w:rPr>
              <w:br/>
              <w:t>N=198</w:t>
            </w:r>
          </w:p>
        </w:tc>
        <w:tc>
          <w:tcPr>
            <w:tcW w:w="1418" w:type="dxa"/>
            <w:shd w:val="clear" w:color="auto" w:fill="FFFFFF"/>
            <w:vAlign w:val="center"/>
          </w:tcPr>
          <w:p w:rsidR="00B1511B" w:rsidRPr="001472C3" w:rsidRDefault="00B1511B" w:rsidP="001B4CEB">
            <w:pPr>
              <w:keepNext/>
              <w:adjustRightInd w:val="0"/>
              <w:spacing w:before="40"/>
              <w:jc w:val="center"/>
              <w:rPr>
                <w:b/>
                <w:sz w:val="16"/>
                <w:szCs w:val="16"/>
              </w:rPr>
            </w:pPr>
            <w:r w:rsidRPr="001472C3">
              <w:rPr>
                <w:b/>
                <w:sz w:val="16"/>
                <w:szCs w:val="16"/>
              </w:rPr>
              <w:t>NUVIGIL</w:t>
            </w:r>
            <w:r w:rsidR="001A1A35" w:rsidRPr="001472C3">
              <w:rPr>
                <w:rFonts w:cs="Arial"/>
                <w:snapToGrid/>
                <w:szCs w:val="16"/>
                <w:vertAlign w:val="superscript"/>
                <w:lang w:eastAsia="en-AU"/>
              </w:rPr>
              <w:t>®</w:t>
            </w:r>
            <w:r w:rsidRPr="001472C3">
              <w:rPr>
                <w:b/>
                <w:sz w:val="16"/>
                <w:szCs w:val="16"/>
              </w:rPr>
              <w:t xml:space="preserve"> </w:t>
            </w:r>
            <w:r w:rsidRPr="001472C3">
              <w:rPr>
                <w:b/>
                <w:sz w:val="16"/>
                <w:szCs w:val="16"/>
              </w:rPr>
              <w:br/>
              <w:t xml:space="preserve">150 </w:t>
            </w:r>
            <w:proofErr w:type="gramStart"/>
            <w:r w:rsidRPr="001472C3">
              <w:rPr>
                <w:b/>
                <w:sz w:val="16"/>
                <w:szCs w:val="16"/>
              </w:rPr>
              <w:t>mg</w:t>
            </w:r>
            <w:proofErr w:type="gramEnd"/>
            <w:r w:rsidRPr="001472C3">
              <w:rPr>
                <w:b/>
                <w:sz w:val="16"/>
                <w:szCs w:val="16"/>
              </w:rPr>
              <w:br/>
              <w:t>(%) N=447</w:t>
            </w:r>
          </w:p>
        </w:tc>
        <w:tc>
          <w:tcPr>
            <w:tcW w:w="1417" w:type="dxa"/>
            <w:shd w:val="clear" w:color="auto" w:fill="FFFFFF"/>
            <w:vAlign w:val="center"/>
          </w:tcPr>
          <w:p w:rsidR="00B1511B" w:rsidRPr="001472C3" w:rsidRDefault="00B1511B" w:rsidP="001B4CEB">
            <w:pPr>
              <w:keepNext/>
              <w:adjustRightInd w:val="0"/>
              <w:spacing w:before="40"/>
              <w:jc w:val="center"/>
              <w:rPr>
                <w:b/>
                <w:sz w:val="16"/>
                <w:szCs w:val="16"/>
              </w:rPr>
            </w:pPr>
            <w:r w:rsidRPr="001472C3">
              <w:rPr>
                <w:b/>
                <w:sz w:val="16"/>
                <w:szCs w:val="16"/>
              </w:rPr>
              <w:t>NUVIGIL</w:t>
            </w:r>
            <w:r w:rsidR="001A1A35" w:rsidRPr="001472C3">
              <w:rPr>
                <w:rFonts w:cs="Arial"/>
                <w:snapToGrid/>
                <w:szCs w:val="16"/>
                <w:vertAlign w:val="superscript"/>
                <w:lang w:eastAsia="en-AU"/>
              </w:rPr>
              <w:t>®</w:t>
            </w:r>
            <w:r w:rsidRPr="001472C3">
              <w:rPr>
                <w:b/>
                <w:sz w:val="16"/>
                <w:szCs w:val="16"/>
              </w:rPr>
              <w:t xml:space="preserve"> </w:t>
            </w:r>
            <w:proofErr w:type="gramStart"/>
            <w:r w:rsidRPr="001472C3">
              <w:rPr>
                <w:b/>
                <w:sz w:val="16"/>
                <w:szCs w:val="16"/>
              </w:rPr>
              <w:t>Combined</w:t>
            </w:r>
            <w:proofErr w:type="gramEnd"/>
            <w:r w:rsidRPr="001472C3">
              <w:rPr>
                <w:b/>
                <w:sz w:val="16"/>
                <w:szCs w:val="16"/>
              </w:rPr>
              <w:br/>
              <w:t>(%)</w:t>
            </w:r>
            <w:r w:rsidRPr="001472C3">
              <w:rPr>
                <w:b/>
                <w:sz w:val="16"/>
                <w:szCs w:val="16"/>
              </w:rPr>
              <w:br/>
              <w:t>N=645</w:t>
            </w:r>
          </w:p>
        </w:tc>
        <w:tc>
          <w:tcPr>
            <w:tcW w:w="1418" w:type="dxa"/>
            <w:shd w:val="clear" w:color="auto" w:fill="FFFFFF"/>
          </w:tcPr>
          <w:p w:rsidR="00B1511B" w:rsidRPr="001472C3" w:rsidRDefault="00B1511B" w:rsidP="001B4CEB">
            <w:pPr>
              <w:keepNext/>
              <w:adjustRightInd w:val="0"/>
              <w:spacing w:before="40" w:after="20"/>
              <w:jc w:val="center"/>
              <w:rPr>
                <w:b/>
                <w:sz w:val="16"/>
                <w:szCs w:val="16"/>
              </w:rPr>
            </w:pPr>
          </w:p>
          <w:p w:rsidR="00B1511B" w:rsidRPr="001472C3" w:rsidRDefault="00B1511B" w:rsidP="001B4CEB">
            <w:pPr>
              <w:keepNext/>
              <w:adjustRightInd w:val="0"/>
              <w:spacing w:before="40" w:after="20"/>
              <w:jc w:val="center"/>
              <w:rPr>
                <w:b/>
                <w:sz w:val="16"/>
                <w:szCs w:val="16"/>
              </w:rPr>
            </w:pPr>
            <w:proofErr w:type="gramStart"/>
            <w:r w:rsidRPr="001472C3">
              <w:rPr>
                <w:b/>
                <w:sz w:val="16"/>
                <w:szCs w:val="16"/>
              </w:rPr>
              <w:t>Placebo</w:t>
            </w:r>
            <w:proofErr w:type="gramEnd"/>
            <w:r w:rsidRPr="001472C3">
              <w:rPr>
                <w:b/>
                <w:sz w:val="16"/>
                <w:szCs w:val="16"/>
              </w:rPr>
              <w:br/>
              <w:t>(%)</w:t>
            </w:r>
            <w:r w:rsidRPr="001472C3">
              <w:rPr>
                <w:b/>
                <w:sz w:val="16"/>
                <w:szCs w:val="16"/>
              </w:rPr>
              <w:br/>
              <w:t>N=445</w:t>
            </w:r>
          </w:p>
        </w:tc>
      </w:tr>
      <w:tr w:rsidR="00B1511B" w:rsidRPr="001472C3" w:rsidTr="00202C0E">
        <w:trPr>
          <w:cantSplit/>
          <w:trHeight w:val="149"/>
        </w:trPr>
        <w:tc>
          <w:tcPr>
            <w:tcW w:w="8364" w:type="dxa"/>
            <w:gridSpan w:val="5"/>
            <w:shd w:val="clear" w:color="auto" w:fill="FFFFFF"/>
          </w:tcPr>
          <w:p w:rsidR="00B1511B" w:rsidRPr="001472C3" w:rsidRDefault="00B1511B" w:rsidP="001B4CEB">
            <w:pPr>
              <w:adjustRightInd w:val="0"/>
              <w:spacing w:before="20" w:after="20"/>
              <w:rPr>
                <w:b/>
                <w:sz w:val="16"/>
                <w:szCs w:val="16"/>
              </w:rPr>
            </w:pPr>
            <w:r w:rsidRPr="001472C3">
              <w:rPr>
                <w:b/>
                <w:sz w:val="16"/>
                <w:szCs w:val="16"/>
              </w:rPr>
              <w:t>Gastrointestinal Disorders</w:t>
            </w:r>
          </w:p>
        </w:tc>
      </w:tr>
      <w:tr w:rsidR="00B1511B" w:rsidRPr="001472C3" w:rsidTr="00202C0E">
        <w:trPr>
          <w:cantSplit/>
          <w:trHeight w:val="149"/>
        </w:trPr>
        <w:tc>
          <w:tcPr>
            <w:tcW w:w="2552" w:type="dxa"/>
            <w:shd w:val="clear" w:color="auto" w:fill="FFFFFF"/>
          </w:tcPr>
          <w:p w:rsidR="00B1511B" w:rsidRPr="001472C3" w:rsidRDefault="00B1511B" w:rsidP="001B4CEB">
            <w:pPr>
              <w:adjustRightInd w:val="0"/>
              <w:spacing w:before="20" w:after="20"/>
              <w:ind w:left="240"/>
              <w:rPr>
                <w:sz w:val="16"/>
                <w:szCs w:val="16"/>
              </w:rPr>
            </w:pPr>
            <w:r w:rsidRPr="001472C3">
              <w:rPr>
                <w:sz w:val="16"/>
                <w:szCs w:val="16"/>
              </w:rPr>
              <w:t>Nausea</w:t>
            </w:r>
          </w:p>
        </w:tc>
        <w:tc>
          <w:tcPr>
            <w:tcW w:w="1559"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9</w:t>
            </w:r>
          </w:p>
        </w:tc>
        <w:tc>
          <w:tcPr>
            <w:tcW w:w="1418"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6</w:t>
            </w:r>
          </w:p>
        </w:tc>
        <w:tc>
          <w:tcPr>
            <w:tcW w:w="1417"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7</w:t>
            </w:r>
          </w:p>
        </w:tc>
        <w:tc>
          <w:tcPr>
            <w:tcW w:w="1418"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3</w:t>
            </w:r>
          </w:p>
        </w:tc>
      </w:tr>
      <w:tr w:rsidR="00B1511B" w:rsidRPr="001472C3" w:rsidTr="00202C0E">
        <w:trPr>
          <w:cantSplit/>
          <w:trHeight w:val="149"/>
        </w:trPr>
        <w:tc>
          <w:tcPr>
            <w:tcW w:w="2552" w:type="dxa"/>
            <w:shd w:val="clear" w:color="auto" w:fill="FFFFFF"/>
          </w:tcPr>
          <w:p w:rsidR="00B1511B" w:rsidRPr="001472C3" w:rsidRDefault="00B1511B" w:rsidP="001B4CEB">
            <w:pPr>
              <w:adjustRightInd w:val="0"/>
              <w:spacing w:before="20" w:after="20"/>
              <w:ind w:left="240"/>
              <w:rPr>
                <w:sz w:val="16"/>
                <w:szCs w:val="16"/>
              </w:rPr>
            </w:pPr>
            <w:r w:rsidRPr="001472C3">
              <w:rPr>
                <w:sz w:val="16"/>
                <w:szCs w:val="16"/>
              </w:rPr>
              <w:t>Dry Mouth</w:t>
            </w:r>
          </w:p>
        </w:tc>
        <w:tc>
          <w:tcPr>
            <w:tcW w:w="1559"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7</w:t>
            </w:r>
          </w:p>
        </w:tc>
        <w:tc>
          <w:tcPr>
            <w:tcW w:w="1418"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2</w:t>
            </w:r>
          </w:p>
        </w:tc>
        <w:tc>
          <w:tcPr>
            <w:tcW w:w="1417"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4</w:t>
            </w:r>
          </w:p>
        </w:tc>
        <w:tc>
          <w:tcPr>
            <w:tcW w:w="1418"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&lt;1</w:t>
            </w:r>
          </w:p>
        </w:tc>
      </w:tr>
      <w:tr w:rsidR="00B1511B" w:rsidRPr="001472C3" w:rsidTr="00202C0E">
        <w:trPr>
          <w:cantSplit/>
          <w:trHeight w:val="149"/>
        </w:trPr>
        <w:tc>
          <w:tcPr>
            <w:tcW w:w="8364" w:type="dxa"/>
            <w:gridSpan w:val="5"/>
            <w:shd w:val="clear" w:color="auto" w:fill="FFFFFF"/>
          </w:tcPr>
          <w:p w:rsidR="00B1511B" w:rsidRPr="001472C3" w:rsidRDefault="00B1511B" w:rsidP="001B4CEB">
            <w:pPr>
              <w:adjustRightInd w:val="0"/>
              <w:spacing w:before="20" w:after="20"/>
              <w:rPr>
                <w:b/>
                <w:sz w:val="16"/>
                <w:szCs w:val="16"/>
              </w:rPr>
            </w:pPr>
            <w:r w:rsidRPr="001472C3">
              <w:rPr>
                <w:b/>
                <w:sz w:val="16"/>
                <w:szCs w:val="16"/>
              </w:rPr>
              <w:t>Nervous System Disorders</w:t>
            </w:r>
          </w:p>
        </w:tc>
      </w:tr>
      <w:tr w:rsidR="00B1511B" w:rsidRPr="001472C3" w:rsidTr="00202C0E">
        <w:trPr>
          <w:cantSplit/>
          <w:trHeight w:val="149"/>
        </w:trPr>
        <w:tc>
          <w:tcPr>
            <w:tcW w:w="2552" w:type="dxa"/>
            <w:shd w:val="clear" w:color="auto" w:fill="FFFFFF"/>
          </w:tcPr>
          <w:p w:rsidR="00B1511B" w:rsidRPr="001472C3" w:rsidRDefault="00B1511B" w:rsidP="001B4CEB">
            <w:pPr>
              <w:adjustRightInd w:val="0"/>
              <w:spacing w:before="20" w:after="20"/>
              <w:ind w:left="240"/>
              <w:rPr>
                <w:sz w:val="16"/>
                <w:szCs w:val="16"/>
              </w:rPr>
            </w:pPr>
            <w:r w:rsidRPr="001472C3">
              <w:rPr>
                <w:sz w:val="16"/>
                <w:szCs w:val="16"/>
              </w:rPr>
              <w:t>Headache</w:t>
            </w:r>
          </w:p>
        </w:tc>
        <w:tc>
          <w:tcPr>
            <w:tcW w:w="1559"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23</w:t>
            </w:r>
          </w:p>
        </w:tc>
        <w:tc>
          <w:tcPr>
            <w:tcW w:w="1418"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14</w:t>
            </w:r>
          </w:p>
        </w:tc>
        <w:tc>
          <w:tcPr>
            <w:tcW w:w="1417"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17</w:t>
            </w:r>
          </w:p>
        </w:tc>
        <w:tc>
          <w:tcPr>
            <w:tcW w:w="1418"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9</w:t>
            </w:r>
          </w:p>
        </w:tc>
      </w:tr>
      <w:tr w:rsidR="00B1511B" w:rsidRPr="001472C3" w:rsidTr="00202C0E">
        <w:trPr>
          <w:cantSplit/>
          <w:trHeight w:val="149"/>
        </w:trPr>
        <w:tc>
          <w:tcPr>
            <w:tcW w:w="8364" w:type="dxa"/>
            <w:gridSpan w:val="5"/>
            <w:shd w:val="clear" w:color="auto" w:fill="FFFFFF"/>
          </w:tcPr>
          <w:p w:rsidR="00B1511B" w:rsidRPr="001472C3" w:rsidRDefault="00B1511B" w:rsidP="001B4CEB">
            <w:pPr>
              <w:adjustRightInd w:val="0"/>
              <w:spacing w:before="20" w:after="20"/>
              <w:rPr>
                <w:b/>
                <w:sz w:val="16"/>
                <w:szCs w:val="16"/>
              </w:rPr>
            </w:pPr>
            <w:r w:rsidRPr="001472C3">
              <w:rPr>
                <w:b/>
                <w:sz w:val="16"/>
                <w:szCs w:val="16"/>
              </w:rPr>
              <w:t>Psychiatric Disorders</w:t>
            </w:r>
          </w:p>
        </w:tc>
      </w:tr>
      <w:tr w:rsidR="00B1511B" w:rsidRPr="001472C3" w:rsidTr="00202C0E">
        <w:trPr>
          <w:cantSplit/>
          <w:trHeight w:val="140"/>
        </w:trPr>
        <w:tc>
          <w:tcPr>
            <w:tcW w:w="2552" w:type="dxa"/>
            <w:shd w:val="clear" w:color="auto" w:fill="FFFFFF"/>
          </w:tcPr>
          <w:p w:rsidR="00B1511B" w:rsidRPr="001472C3" w:rsidRDefault="00B1511B" w:rsidP="001B4CEB">
            <w:pPr>
              <w:adjustRightInd w:val="0"/>
              <w:spacing w:before="20" w:after="20"/>
              <w:ind w:left="240"/>
              <w:rPr>
                <w:sz w:val="16"/>
                <w:szCs w:val="16"/>
              </w:rPr>
            </w:pPr>
            <w:r w:rsidRPr="001472C3">
              <w:rPr>
                <w:sz w:val="16"/>
                <w:szCs w:val="16"/>
              </w:rPr>
              <w:t>Insomnia</w:t>
            </w:r>
          </w:p>
        </w:tc>
        <w:tc>
          <w:tcPr>
            <w:tcW w:w="1559"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6</w:t>
            </w:r>
          </w:p>
        </w:tc>
        <w:tc>
          <w:tcPr>
            <w:tcW w:w="1418"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4</w:t>
            </w:r>
          </w:p>
        </w:tc>
        <w:tc>
          <w:tcPr>
            <w:tcW w:w="1417"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5</w:t>
            </w:r>
          </w:p>
        </w:tc>
        <w:tc>
          <w:tcPr>
            <w:tcW w:w="1418"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1</w:t>
            </w:r>
          </w:p>
        </w:tc>
      </w:tr>
      <w:tr w:rsidR="00B1511B" w:rsidRPr="001472C3" w:rsidTr="00202C0E">
        <w:trPr>
          <w:cantSplit/>
          <w:trHeight w:val="149"/>
        </w:trPr>
        <w:tc>
          <w:tcPr>
            <w:tcW w:w="2552" w:type="dxa"/>
            <w:shd w:val="clear" w:color="auto" w:fill="FFFFFF"/>
          </w:tcPr>
          <w:p w:rsidR="00B1511B" w:rsidRPr="001472C3" w:rsidRDefault="00B1511B" w:rsidP="001B4CEB">
            <w:pPr>
              <w:adjustRightInd w:val="0"/>
              <w:spacing w:before="20" w:after="20"/>
              <w:ind w:left="240"/>
              <w:rPr>
                <w:sz w:val="16"/>
                <w:szCs w:val="16"/>
              </w:rPr>
            </w:pPr>
            <w:r w:rsidRPr="001472C3">
              <w:rPr>
                <w:sz w:val="16"/>
                <w:szCs w:val="16"/>
              </w:rPr>
              <w:t>Depression</w:t>
            </w:r>
          </w:p>
        </w:tc>
        <w:tc>
          <w:tcPr>
            <w:tcW w:w="1559"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3</w:t>
            </w:r>
          </w:p>
        </w:tc>
        <w:tc>
          <w:tcPr>
            <w:tcW w:w="1418"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1</w:t>
            </w:r>
          </w:p>
        </w:tc>
        <w:tc>
          <w:tcPr>
            <w:tcW w:w="1417"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2</w:t>
            </w:r>
          </w:p>
        </w:tc>
        <w:tc>
          <w:tcPr>
            <w:tcW w:w="1418"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&lt;1</w:t>
            </w:r>
          </w:p>
        </w:tc>
      </w:tr>
      <w:tr w:rsidR="00B1511B" w:rsidRPr="001472C3" w:rsidTr="00202C0E">
        <w:trPr>
          <w:cantSplit/>
          <w:trHeight w:val="149"/>
        </w:trPr>
        <w:tc>
          <w:tcPr>
            <w:tcW w:w="8364" w:type="dxa"/>
            <w:gridSpan w:val="5"/>
            <w:shd w:val="clear" w:color="auto" w:fill="FFFFFF"/>
          </w:tcPr>
          <w:p w:rsidR="00B1511B" w:rsidRPr="001472C3" w:rsidRDefault="00B1511B" w:rsidP="001B4CEB">
            <w:pPr>
              <w:adjustRightInd w:val="0"/>
              <w:spacing w:before="20" w:after="20"/>
              <w:rPr>
                <w:b/>
                <w:sz w:val="16"/>
                <w:szCs w:val="16"/>
              </w:rPr>
            </w:pPr>
            <w:r w:rsidRPr="001472C3">
              <w:rPr>
                <w:b/>
                <w:sz w:val="16"/>
                <w:szCs w:val="16"/>
              </w:rPr>
              <w:t>Skin And Subcutaneous Tissue Disorders</w:t>
            </w:r>
          </w:p>
        </w:tc>
      </w:tr>
      <w:tr w:rsidR="00B1511B" w:rsidRPr="001472C3" w:rsidTr="00202C0E">
        <w:trPr>
          <w:cantSplit/>
          <w:trHeight w:val="149"/>
        </w:trPr>
        <w:tc>
          <w:tcPr>
            <w:tcW w:w="2552" w:type="dxa"/>
            <w:shd w:val="clear" w:color="auto" w:fill="FFFFFF"/>
          </w:tcPr>
          <w:p w:rsidR="00B1511B" w:rsidRPr="001472C3" w:rsidRDefault="00B1511B" w:rsidP="001B4CEB">
            <w:pPr>
              <w:adjustRightInd w:val="0"/>
              <w:spacing w:before="20" w:after="20"/>
              <w:ind w:left="240"/>
              <w:rPr>
                <w:sz w:val="16"/>
                <w:szCs w:val="16"/>
              </w:rPr>
            </w:pPr>
            <w:r w:rsidRPr="001472C3">
              <w:rPr>
                <w:sz w:val="16"/>
                <w:szCs w:val="16"/>
              </w:rPr>
              <w:t>Rash</w:t>
            </w:r>
          </w:p>
        </w:tc>
        <w:tc>
          <w:tcPr>
            <w:tcW w:w="1559"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4</w:t>
            </w:r>
          </w:p>
        </w:tc>
        <w:tc>
          <w:tcPr>
            <w:tcW w:w="1418"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1</w:t>
            </w:r>
          </w:p>
        </w:tc>
        <w:tc>
          <w:tcPr>
            <w:tcW w:w="1417"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2</w:t>
            </w:r>
          </w:p>
        </w:tc>
        <w:tc>
          <w:tcPr>
            <w:tcW w:w="1418" w:type="dxa"/>
            <w:shd w:val="clear" w:color="auto" w:fill="FFFFFF"/>
          </w:tcPr>
          <w:p w:rsidR="00B1511B" w:rsidRPr="001472C3" w:rsidRDefault="00B1511B" w:rsidP="001B4CEB">
            <w:pPr>
              <w:adjustRightInd w:val="0"/>
              <w:spacing w:before="20" w:after="20"/>
              <w:jc w:val="center"/>
              <w:rPr>
                <w:sz w:val="16"/>
                <w:szCs w:val="16"/>
              </w:rPr>
            </w:pPr>
            <w:r w:rsidRPr="001472C3">
              <w:rPr>
                <w:sz w:val="16"/>
                <w:szCs w:val="16"/>
              </w:rPr>
              <w:t>&lt;1</w:t>
            </w:r>
          </w:p>
        </w:tc>
      </w:tr>
    </w:tbl>
    <w:p w:rsidR="00B1511B" w:rsidRPr="001472C3" w:rsidRDefault="00B1511B" w:rsidP="00B1511B">
      <w:pPr>
        <w:rPr>
          <w:sz w:val="16"/>
        </w:rPr>
      </w:pPr>
      <w:r w:rsidRPr="001472C3">
        <w:t>*</w:t>
      </w:r>
      <w:r w:rsidRPr="001472C3">
        <w:rPr>
          <w:sz w:val="16"/>
          <w:vertAlign w:val="superscript"/>
        </w:rPr>
        <w:t xml:space="preserve"> </w:t>
      </w:r>
      <w:r w:rsidRPr="001472C3">
        <w:rPr>
          <w:sz w:val="16"/>
        </w:rPr>
        <w:t>Four double-blind, placebo-controlled clinical studies in SW</w:t>
      </w:r>
      <w:r w:rsidR="00C42C9A">
        <w:rPr>
          <w:sz w:val="16"/>
        </w:rPr>
        <w:t>S</w:t>
      </w:r>
      <w:r w:rsidRPr="001472C3">
        <w:rPr>
          <w:sz w:val="16"/>
        </w:rPr>
        <w:t>D, OSA</w:t>
      </w:r>
      <w:r w:rsidR="00C42C9A">
        <w:rPr>
          <w:sz w:val="16"/>
        </w:rPr>
        <w:t>HS</w:t>
      </w:r>
      <w:r w:rsidRPr="001472C3">
        <w:rPr>
          <w:sz w:val="16"/>
        </w:rPr>
        <w:t>, and narcolepsy.</w:t>
      </w:r>
    </w:p>
    <w:p w:rsidR="003E7378" w:rsidRPr="001472C3" w:rsidRDefault="003E7378" w:rsidP="00202C0E">
      <w:pPr>
        <w:jc w:val="both"/>
        <w:rPr>
          <w:u w:val="single"/>
        </w:rPr>
      </w:pPr>
      <w:r w:rsidRPr="001472C3">
        <w:rPr>
          <w:u w:val="single"/>
        </w:rPr>
        <w:t xml:space="preserve">Vital Sign Changes </w:t>
      </w:r>
    </w:p>
    <w:p w:rsidR="003E7378" w:rsidRPr="001472C3" w:rsidRDefault="003E7378" w:rsidP="00202C0E">
      <w:pPr>
        <w:jc w:val="both"/>
      </w:pPr>
      <w:r w:rsidRPr="001472C3">
        <w:t xml:space="preserve">Blood pressure monitoring in pre-approval controlled trials of </w:t>
      </w:r>
      <w:r w:rsidRPr="002C68D3">
        <w:t>OSA</w:t>
      </w:r>
      <w:r w:rsidR="00EC4722" w:rsidRPr="002C68D3">
        <w:t>HS</w:t>
      </w:r>
      <w:r w:rsidRPr="001472C3">
        <w:t>, SW</w:t>
      </w:r>
      <w:r w:rsidR="00C42C9A">
        <w:t>S</w:t>
      </w:r>
      <w:r w:rsidRPr="001472C3">
        <w:t>D, and narcolepsy showed small average increases in mean systolic and diastolic blood pressure in patients receiving NUVIGIL</w:t>
      </w:r>
      <w:r w:rsidR="001A1A35" w:rsidRPr="001472C3">
        <w:rPr>
          <w:rFonts w:cs="Arial"/>
          <w:snapToGrid/>
          <w:szCs w:val="16"/>
          <w:vertAlign w:val="superscript"/>
          <w:lang w:eastAsia="en-AU"/>
        </w:rPr>
        <w:t>®</w:t>
      </w:r>
      <w:r w:rsidRPr="001472C3">
        <w:t xml:space="preserve"> as compared to placebo (1.2 to 4.3 mmHg in the various experimental groups).  There </w:t>
      </w:r>
      <w:proofErr w:type="gramStart"/>
      <w:r w:rsidRPr="001472C3">
        <w:t>was</w:t>
      </w:r>
      <w:proofErr w:type="gramEnd"/>
      <w:r w:rsidRPr="001472C3">
        <w:t xml:space="preserve"> also a slightly greater proportion of patients on NUVIGIL</w:t>
      </w:r>
      <w:r w:rsidR="001A1A35" w:rsidRPr="001472C3">
        <w:rPr>
          <w:rFonts w:cs="Arial"/>
          <w:snapToGrid/>
          <w:szCs w:val="16"/>
          <w:vertAlign w:val="superscript"/>
          <w:lang w:eastAsia="en-AU"/>
        </w:rPr>
        <w:t>®</w:t>
      </w:r>
      <w:r w:rsidRPr="001472C3">
        <w:t xml:space="preserve"> requiring new or increased use of antihypertensive medications (2.9%) compared to patients on placebo (1.8%).  There was a small, but consistent, average increase in pulse rate over placebo in pre-approval controlled trials.  This increase varied from 0.9 to 3.5 BPM.</w:t>
      </w:r>
    </w:p>
    <w:p w:rsidR="00732798" w:rsidRDefault="00224AFE">
      <w:pPr>
        <w:pStyle w:val="Heading1"/>
      </w:pPr>
      <w:r>
        <w:t>Post Marketing Experience</w:t>
      </w:r>
    </w:p>
    <w:p w:rsidR="00AE3FBB" w:rsidRDefault="00AE3FBB" w:rsidP="00AE3FBB">
      <w:pPr>
        <w:pStyle w:val="Default"/>
        <w:rPr>
          <w:sz w:val="20"/>
          <w:szCs w:val="20"/>
        </w:rPr>
      </w:pPr>
      <w:r>
        <w:rPr>
          <w:sz w:val="20"/>
          <w:szCs w:val="20"/>
        </w:rPr>
        <w:t>Post Marketing Experience for NUVIGIL</w:t>
      </w:r>
      <w:r>
        <w:rPr>
          <w:sz w:val="13"/>
          <w:szCs w:val="13"/>
        </w:rPr>
        <w:t>®</w:t>
      </w:r>
      <w:r>
        <w:rPr>
          <w:sz w:val="20"/>
          <w:szCs w:val="20"/>
        </w:rPr>
        <w:t xml:space="preserve">, principally from spontaneous reporting based on reporting rates and not incidence rates, has documented the following adverse events. </w:t>
      </w:r>
    </w:p>
    <w:p w:rsidR="00AE3FBB" w:rsidRDefault="00AE3FBB" w:rsidP="00AE3FBB">
      <w:pPr>
        <w:pStyle w:val="Default"/>
        <w:rPr>
          <w:sz w:val="20"/>
          <w:szCs w:val="20"/>
        </w:rPr>
      </w:pPr>
    </w:p>
    <w:p w:rsidR="00AE3FBB" w:rsidRDefault="00AE3FBB" w:rsidP="00AE3FBB">
      <w:pPr>
        <w:pStyle w:val="Default"/>
        <w:rPr>
          <w:sz w:val="20"/>
          <w:szCs w:val="20"/>
        </w:rPr>
      </w:pPr>
      <w:r>
        <w:rPr>
          <w:sz w:val="20"/>
          <w:szCs w:val="20"/>
        </w:rPr>
        <w:t xml:space="preserve">Common </w:t>
      </w:r>
      <w:r>
        <w:rPr>
          <w:sz w:val="20"/>
          <w:szCs w:val="20"/>
        </w:rPr>
        <w:tab/>
        <w:t xml:space="preserve">1/100 to &lt;1/10 </w:t>
      </w:r>
    </w:p>
    <w:p w:rsidR="00AE3FBB" w:rsidRDefault="00AE3FBB" w:rsidP="00AE3FBB">
      <w:pPr>
        <w:pStyle w:val="Default"/>
        <w:rPr>
          <w:sz w:val="20"/>
          <w:szCs w:val="20"/>
        </w:rPr>
      </w:pPr>
      <w:r>
        <w:rPr>
          <w:sz w:val="20"/>
          <w:szCs w:val="20"/>
        </w:rPr>
        <w:t xml:space="preserve">Uncommon </w:t>
      </w:r>
      <w:r>
        <w:rPr>
          <w:sz w:val="20"/>
          <w:szCs w:val="20"/>
        </w:rPr>
        <w:tab/>
        <w:t xml:space="preserve">1/1,000 to &lt;1/100 </w:t>
      </w:r>
    </w:p>
    <w:p w:rsidR="00AE3FBB" w:rsidRDefault="00AE3FBB" w:rsidP="00AE3FBB">
      <w:pPr>
        <w:pStyle w:val="Default"/>
        <w:rPr>
          <w:sz w:val="20"/>
          <w:szCs w:val="20"/>
        </w:rPr>
      </w:pPr>
      <w:r>
        <w:rPr>
          <w:sz w:val="20"/>
          <w:szCs w:val="20"/>
        </w:rPr>
        <w:t xml:space="preserve">Rare </w:t>
      </w:r>
      <w:r>
        <w:rPr>
          <w:sz w:val="20"/>
          <w:szCs w:val="20"/>
        </w:rPr>
        <w:tab/>
      </w:r>
      <w:r>
        <w:rPr>
          <w:sz w:val="20"/>
          <w:szCs w:val="20"/>
        </w:rPr>
        <w:tab/>
        <w:t xml:space="preserve">1/10,000 to &lt;1/1,000 </w:t>
      </w:r>
    </w:p>
    <w:p w:rsidR="00AE3FBB" w:rsidRDefault="00AE3FBB" w:rsidP="00AE3FBB">
      <w:pPr>
        <w:pStyle w:val="Default"/>
        <w:rPr>
          <w:sz w:val="20"/>
          <w:szCs w:val="20"/>
        </w:rPr>
      </w:pPr>
      <w:r>
        <w:rPr>
          <w:sz w:val="20"/>
          <w:szCs w:val="20"/>
        </w:rPr>
        <w:t xml:space="preserve">Very rare </w:t>
      </w:r>
      <w:r>
        <w:rPr>
          <w:sz w:val="20"/>
          <w:szCs w:val="20"/>
        </w:rPr>
        <w:tab/>
        <w:t xml:space="preserve">&lt;1/10,000 </w:t>
      </w:r>
    </w:p>
    <w:p w:rsidR="00AE3FBB" w:rsidRDefault="00AE3FBB" w:rsidP="00AE3FBB">
      <w:pPr>
        <w:pStyle w:val="Default"/>
        <w:rPr>
          <w:i/>
          <w:iCs/>
          <w:sz w:val="20"/>
          <w:szCs w:val="20"/>
          <w:u w:val="single"/>
        </w:rPr>
      </w:pPr>
    </w:p>
    <w:p w:rsidR="00AE3FBB" w:rsidRDefault="00AE3FBB" w:rsidP="00AE3FBB">
      <w:pPr>
        <w:pStyle w:val="Default"/>
        <w:tabs>
          <w:tab w:val="left" w:pos="1276"/>
        </w:tabs>
        <w:rPr>
          <w:sz w:val="20"/>
          <w:szCs w:val="20"/>
        </w:rPr>
      </w:pPr>
      <w:r>
        <w:rPr>
          <w:i/>
          <w:iCs/>
          <w:sz w:val="20"/>
          <w:szCs w:val="20"/>
          <w:u w:val="single"/>
        </w:rPr>
        <w:t xml:space="preserve">Cardiac disorders </w:t>
      </w:r>
    </w:p>
    <w:p w:rsidR="00AE3FBB" w:rsidRDefault="00AE3FBB" w:rsidP="00AE3FBB">
      <w:r>
        <w:t xml:space="preserve">Very rare </w:t>
      </w:r>
      <w:r>
        <w:tab/>
      </w:r>
      <w:r w:rsidR="00440867" w:rsidRPr="00440867">
        <w:t>Supraventricular arrhythmias,</w:t>
      </w:r>
      <w:r w:rsidR="00440867">
        <w:t xml:space="preserve"> m</w:t>
      </w:r>
      <w:r w:rsidRPr="00AE3FBB">
        <w:t>yocardial infarction</w:t>
      </w:r>
    </w:p>
    <w:p w:rsidR="00AE3FBB" w:rsidRDefault="00AE3FBB" w:rsidP="00AE3FBB">
      <w:pPr>
        <w:pStyle w:val="Default"/>
      </w:pPr>
      <w:r>
        <w:rPr>
          <w:i/>
          <w:iCs/>
          <w:sz w:val="20"/>
          <w:szCs w:val="20"/>
          <w:u w:val="single"/>
        </w:rPr>
        <w:lastRenderedPageBreak/>
        <w:t xml:space="preserve">General disorders </w:t>
      </w:r>
    </w:p>
    <w:p w:rsidR="00AE3FBB" w:rsidRDefault="00AE3FBB" w:rsidP="00AE3FBB">
      <w:pPr>
        <w:pStyle w:val="Default"/>
        <w:rPr>
          <w:sz w:val="20"/>
          <w:szCs w:val="20"/>
        </w:rPr>
      </w:pPr>
      <w:r>
        <w:rPr>
          <w:sz w:val="20"/>
          <w:szCs w:val="20"/>
        </w:rPr>
        <w:t xml:space="preserve">Rare </w:t>
      </w:r>
      <w:r>
        <w:rPr>
          <w:sz w:val="20"/>
          <w:szCs w:val="20"/>
        </w:rPr>
        <w:tab/>
      </w:r>
      <w:r>
        <w:rPr>
          <w:sz w:val="20"/>
          <w:szCs w:val="20"/>
        </w:rPr>
        <w:tab/>
        <w:t xml:space="preserve">Feeling abnormal, irritability </w:t>
      </w:r>
    </w:p>
    <w:p w:rsidR="00AE3FBB" w:rsidRDefault="00AE3FBB" w:rsidP="00AE3FBB">
      <w:pPr>
        <w:pStyle w:val="Default"/>
        <w:rPr>
          <w:sz w:val="20"/>
          <w:szCs w:val="20"/>
        </w:rPr>
      </w:pPr>
    </w:p>
    <w:p w:rsidR="00AE3FBB" w:rsidRDefault="00AE3FBB" w:rsidP="00AE3FBB">
      <w:pPr>
        <w:pStyle w:val="Default"/>
        <w:rPr>
          <w:sz w:val="20"/>
          <w:szCs w:val="20"/>
        </w:rPr>
      </w:pPr>
      <w:r>
        <w:rPr>
          <w:i/>
          <w:iCs/>
          <w:sz w:val="20"/>
          <w:szCs w:val="20"/>
          <w:u w:val="single"/>
        </w:rPr>
        <w:t xml:space="preserve">Immune system disorders </w:t>
      </w:r>
    </w:p>
    <w:p w:rsidR="00AE3FBB" w:rsidRDefault="00AE3FBB" w:rsidP="00AE3FBB">
      <w:pPr>
        <w:pStyle w:val="Default"/>
        <w:rPr>
          <w:sz w:val="20"/>
          <w:szCs w:val="20"/>
        </w:rPr>
      </w:pPr>
      <w:r>
        <w:rPr>
          <w:sz w:val="20"/>
          <w:szCs w:val="20"/>
        </w:rPr>
        <w:t xml:space="preserve">Very rare </w:t>
      </w:r>
      <w:r>
        <w:rPr>
          <w:sz w:val="20"/>
          <w:szCs w:val="20"/>
        </w:rPr>
        <w:tab/>
        <w:t xml:space="preserve">Drug hypersensitivity, anaphylaxis </w:t>
      </w:r>
    </w:p>
    <w:p w:rsidR="00AE3FBB" w:rsidRDefault="00AE3FBB" w:rsidP="00AE3FBB">
      <w:pPr>
        <w:pStyle w:val="Default"/>
        <w:rPr>
          <w:sz w:val="20"/>
          <w:szCs w:val="20"/>
        </w:rPr>
      </w:pPr>
      <w:r>
        <w:rPr>
          <w:i/>
          <w:iCs/>
          <w:sz w:val="20"/>
          <w:szCs w:val="20"/>
          <w:u w:val="single"/>
        </w:rPr>
        <w:t>Nervous system disorders</w:t>
      </w:r>
    </w:p>
    <w:p w:rsidR="00AE3FBB" w:rsidRDefault="00AE3FBB" w:rsidP="00AE3FBB">
      <w:pPr>
        <w:pStyle w:val="Default"/>
        <w:rPr>
          <w:sz w:val="20"/>
          <w:szCs w:val="20"/>
        </w:rPr>
      </w:pPr>
      <w:r>
        <w:rPr>
          <w:sz w:val="20"/>
          <w:szCs w:val="20"/>
        </w:rPr>
        <w:t xml:space="preserve">Very rare </w:t>
      </w:r>
      <w:r>
        <w:rPr>
          <w:sz w:val="20"/>
          <w:szCs w:val="20"/>
        </w:rPr>
        <w:tab/>
        <w:t xml:space="preserve">Convulsions </w:t>
      </w:r>
    </w:p>
    <w:p w:rsidR="00224AFE" w:rsidRDefault="00224AFE" w:rsidP="00AE3FBB"/>
    <w:p w:rsidR="00AE3FBB" w:rsidRDefault="00AE3FBB" w:rsidP="00AE3FBB">
      <w:pPr>
        <w:pStyle w:val="Default"/>
        <w:rPr>
          <w:sz w:val="20"/>
          <w:szCs w:val="20"/>
        </w:rPr>
      </w:pPr>
      <w:r>
        <w:rPr>
          <w:i/>
          <w:iCs/>
          <w:sz w:val="20"/>
          <w:szCs w:val="20"/>
          <w:u w:val="single"/>
        </w:rPr>
        <w:t>Psychiatric disorders</w:t>
      </w:r>
    </w:p>
    <w:p w:rsidR="00AE3FBB" w:rsidRDefault="00AE3FBB" w:rsidP="00AE3FBB">
      <w:pPr>
        <w:pStyle w:val="Default"/>
        <w:ind w:left="1440" w:hanging="1440"/>
        <w:rPr>
          <w:sz w:val="20"/>
          <w:szCs w:val="20"/>
        </w:rPr>
      </w:pPr>
      <w:r>
        <w:rPr>
          <w:sz w:val="20"/>
          <w:szCs w:val="20"/>
        </w:rPr>
        <w:t xml:space="preserve">Very rare </w:t>
      </w:r>
      <w:r>
        <w:rPr>
          <w:sz w:val="20"/>
          <w:szCs w:val="20"/>
        </w:rPr>
        <w:tab/>
        <w:t xml:space="preserve">Hallucination, anger, aggression, drug abuse, psychotic disorder, suicidal ideation, suicide attempt </w:t>
      </w:r>
    </w:p>
    <w:p w:rsidR="00AE3FBB" w:rsidRDefault="00AE3FBB" w:rsidP="00DB0365">
      <w:pPr>
        <w:spacing w:after="0"/>
      </w:pPr>
    </w:p>
    <w:p w:rsidR="00AE3FBB" w:rsidRDefault="00AE3FBB" w:rsidP="00AE3FBB">
      <w:pPr>
        <w:pStyle w:val="Default"/>
        <w:rPr>
          <w:sz w:val="20"/>
          <w:szCs w:val="20"/>
        </w:rPr>
      </w:pPr>
      <w:r w:rsidRPr="00AE3FBB">
        <w:rPr>
          <w:i/>
          <w:iCs/>
          <w:sz w:val="20"/>
          <w:szCs w:val="20"/>
          <w:u w:val="single"/>
        </w:rPr>
        <w:t>Respiratory, thoracic and mediastinal</w:t>
      </w:r>
      <w:r>
        <w:rPr>
          <w:i/>
          <w:iCs/>
          <w:sz w:val="20"/>
          <w:szCs w:val="20"/>
          <w:u w:val="single"/>
        </w:rPr>
        <w:t xml:space="preserve"> disorders</w:t>
      </w:r>
    </w:p>
    <w:p w:rsidR="00AE3FBB" w:rsidRDefault="00AE3FBB" w:rsidP="00DB0365">
      <w:pPr>
        <w:spacing w:after="0"/>
      </w:pPr>
      <w:r>
        <w:t>Very rare</w:t>
      </w:r>
      <w:r>
        <w:tab/>
      </w:r>
      <w:r w:rsidRPr="00AE3FBB">
        <w:t>Throat tightness</w:t>
      </w:r>
      <w:r>
        <w:t>, p</w:t>
      </w:r>
      <w:r w:rsidRPr="00AE3FBB">
        <w:t>haryngeal oedema</w:t>
      </w:r>
    </w:p>
    <w:p w:rsidR="00AE3FBB" w:rsidRDefault="00AE3FBB" w:rsidP="00DB0365">
      <w:pPr>
        <w:spacing w:after="0"/>
      </w:pPr>
    </w:p>
    <w:p w:rsidR="00AE3FBB" w:rsidRDefault="00AE3FBB" w:rsidP="00AE3FBB">
      <w:pPr>
        <w:pStyle w:val="Default"/>
        <w:rPr>
          <w:sz w:val="20"/>
          <w:szCs w:val="20"/>
        </w:rPr>
      </w:pPr>
      <w:r>
        <w:rPr>
          <w:i/>
          <w:iCs/>
          <w:sz w:val="20"/>
          <w:szCs w:val="20"/>
          <w:u w:val="single"/>
        </w:rPr>
        <w:t>Skin and subcutaneous tissue disorders</w:t>
      </w:r>
    </w:p>
    <w:p w:rsidR="00AE3FBB" w:rsidRDefault="00AE3FBB" w:rsidP="00AE3FBB">
      <w:r>
        <w:t>Very rare</w:t>
      </w:r>
      <w:r>
        <w:tab/>
      </w:r>
      <w:r w:rsidRPr="00AE3FBB">
        <w:t>Stevens-Johnson syndrome</w:t>
      </w:r>
      <w:r>
        <w:t>, alopecia</w:t>
      </w:r>
    </w:p>
    <w:p w:rsidR="00AE3FBB" w:rsidRPr="00224AFE" w:rsidRDefault="00AE3FBB" w:rsidP="00AE3FBB"/>
    <w:p w:rsidR="00900235" w:rsidRPr="001472C3" w:rsidRDefault="0028358D">
      <w:pPr>
        <w:pStyle w:val="Heading1"/>
      </w:pPr>
      <w:r w:rsidRPr="001472C3">
        <w:t>DOSAGE AND ADMINISTRATION</w:t>
      </w:r>
    </w:p>
    <w:p w:rsidR="00912DD2" w:rsidRDefault="00D2406D" w:rsidP="00202C0E">
      <w:pPr>
        <w:jc w:val="both"/>
      </w:pPr>
      <w:r w:rsidRPr="001472C3">
        <w:t>NUVIGIL</w:t>
      </w:r>
      <w:r w:rsidRPr="001472C3">
        <w:rPr>
          <w:b/>
          <w:vertAlign w:val="superscript"/>
        </w:rPr>
        <w:t>®</w:t>
      </w:r>
      <w:r w:rsidRPr="001472C3">
        <w:t xml:space="preserve"> should be used only in patients who have had a complete evaluation of their excessive sleepiness, and in whom a diagnosis of </w:t>
      </w:r>
      <w:r w:rsidR="00A75BBA">
        <w:t>the underlying disorder of</w:t>
      </w:r>
      <w:r w:rsidRPr="001472C3">
        <w:t xml:space="preserve"> narcolepsy, OSAHS, or SWSD has been made in accordance with ICSD or DSM diagnostic criteria.  Such an evaluation usually consists of a complete history and physical examination, and </w:t>
      </w:r>
      <w:r w:rsidR="0068268C">
        <w:t xml:space="preserve">it may be supplemented with </w:t>
      </w:r>
      <w:r w:rsidRPr="001472C3">
        <w:t xml:space="preserve">testing in a laboratory setting.  </w:t>
      </w:r>
      <w:r w:rsidR="00912DD2" w:rsidRPr="001472C3">
        <w:t>Some patients may have more than one sleep disorder contributing to their excessive sleepiness (e.g., OSAHS and SWSD coincident in the same patient).</w:t>
      </w:r>
      <w:r w:rsidR="008638D0">
        <w:t xml:space="preserve"> </w:t>
      </w:r>
    </w:p>
    <w:p w:rsidR="008638D0" w:rsidRDefault="008638D0" w:rsidP="00202C0E">
      <w:pPr>
        <w:jc w:val="both"/>
      </w:pPr>
      <w:r w:rsidRPr="001472C3">
        <w:t>NUVIGIL</w:t>
      </w:r>
      <w:r w:rsidRPr="001472C3">
        <w:rPr>
          <w:b/>
          <w:vertAlign w:val="superscript"/>
        </w:rPr>
        <w:t>®</w:t>
      </w:r>
      <w:r>
        <w:rPr>
          <w:b/>
          <w:vertAlign w:val="superscript"/>
        </w:rPr>
        <w:t xml:space="preserve"> </w:t>
      </w:r>
      <w:r>
        <w:t xml:space="preserve">may be taken with or without </w:t>
      </w:r>
      <w:proofErr w:type="gramStart"/>
      <w:r>
        <w:t>food,</w:t>
      </w:r>
      <w:proofErr w:type="gramEnd"/>
      <w:r>
        <w:t xml:space="preserve"> however administration with food may delay the onset of action and prolong the effect of the drug</w:t>
      </w:r>
      <w:r w:rsidR="00FA5880">
        <w:t xml:space="preserve"> (See </w:t>
      </w:r>
      <w:r w:rsidR="00FA5880" w:rsidRPr="00FA5880">
        <w:t xml:space="preserve">Pharmacokinetics/Absorption/Effects of </w:t>
      </w:r>
      <w:r w:rsidR="00FA5880">
        <w:t>F</w:t>
      </w:r>
      <w:r w:rsidR="00FA5880" w:rsidRPr="00FA5880">
        <w:t>ood</w:t>
      </w:r>
      <w:r w:rsidR="00FA5880">
        <w:t>)</w:t>
      </w:r>
      <w:r>
        <w:t>.</w:t>
      </w:r>
    </w:p>
    <w:p w:rsidR="00662C54" w:rsidRPr="008638D0" w:rsidRDefault="00662C54" w:rsidP="00202C0E">
      <w:pPr>
        <w:jc w:val="both"/>
      </w:pPr>
      <w:r>
        <w:t>To avoid a delayed onset of action N</w:t>
      </w:r>
      <w:r w:rsidR="00D150FD">
        <w:t>UVIGIL</w:t>
      </w:r>
      <w:r>
        <w:t xml:space="preserve"> should be taken on an empty stomach</w:t>
      </w:r>
      <w:r w:rsidR="006014D0">
        <w:t>.</w:t>
      </w:r>
    </w:p>
    <w:p w:rsidR="00D2406D" w:rsidRDefault="00D2406D" w:rsidP="00202C0E">
      <w:pPr>
        <w:pStyle w:val="Heading1"/>
        <w:spacing w:after="0"/>
        <w:jc w:val="both"/>
        <w:rPr>
          <w:b w:val="0"/>
        </w:rPr>
      </w:pPr>
      <w:r w:rsidRPr="001472C3">
        <w:rPr>
          <w:b w:val="0"/>
        </w:rPr>
        <w:t>Treatment with NUVIGIL</w:t>
      </w:r>
      <w:r w:rsidRPr="001472C3">
        <w:rPr>
          <w:b w:val="0"/>
          <w:sz w:val="24"/>
          <w:vertAlign w:val="superscript"/>
        </w:rPr>
        <w:t>®</w:t>
      </w:r>
      <w:r w:rsidRPr="001472C3">
        <w:rPr>
          <w:b w:val="0"/>
        </w:rPr>
        <w:t xml:space="preserve"> should be initiated and supervised by physicians with appropriate experience in the treatment of sleep disorders who have access to sleep laboratory diagnostic facilities.</w:t>
      </w:r>
    </w:p>
    <w:p w:rsidR="00407621" w:rsidRPr="00407621" w:rsidRDefault="00407621" w:rsidP="00202C0E">
      <w:pPr>
        <w:spacing w:after="0"/>
        <w:jc w:val="both"/>
      </w:pPr>
    </w:p>
    <w:p w:rsidR="00A66E1B" w:rsidRPr="001472C3" w:rsidRDefault="00A66E1B" w:rsidP="00202C0E">
      <w:pPr>
        <w:jc w:val="both"/>
        <w:rPr>
          <w:i/>
        </w:rPr>
      </w:pPr>
      <w:r w:rsidRPr="001472C3">
        <w:rPr>
          <w:i/>
        </w:rPr>
        <w:t>Narcolepsy</w:t>
      </w:r>
    </w:p>
    <w:p w:rsidR="00A66E1B" w:rsidRPr="001472C3" w:rsidRDefault="00A66E1B" w:rsidP="00202C0E">
      <w:pPr>
        <w:spacing w:after="0"/>
        <w:jc w:val="both"/>
      </w:pPr>
      <w:r w:rsidRPr="001472C3">
        <w:t>The recommended dose of NUVIGIL</w:t>
      </w:r>
      <w:r w:rsidRPr="001472C3">
        <w:rPr>
          <w:b/>
          <w:bCs/>
          <w:vertAlign w:val="superscript"/>
        </w:rPr>
        <w:t>®</w:t>
      </w:r>
      <w:r w:rsidRPr="001472C3">
        <w:t xml:space="preserve"> for patients with narcolepsy is 150 mg or 250 mg given </w:t>
      </w:r>
      <w:r w:rsidR="00D9777B">
        <w:t>once daily in the morning</w:t>
      </w:r>
      <w:r w:rsidRPr="001472C3">
        <w:t xml:space="preserve">. </w:t>
      </w:r>
    </w:p>
    <w:p w:rsidR="00A66E1B" w:rsidRPr="001472C3" w:rsidRDefault="00A66E1B" w:rsidP="008C2D35">
      <w:pPr>
        <w:spacing w:after="0"/>
        <w:jc w:val="both"/>
      </w:pPr>
    </w:p>
    <w:p w:rsidR="00D2406D" w:rsidRPr="001472C3" w:rsidRDefault="00D2406D" w:rsidP="00D2406D">
      <w:pPr>
        <w:suppressLineNumbers/>
        <w:suppressAutoHyphens/>
        <w:rPr>
          <w:i/>
        </w:rPr>
      </w:pPr>
      <w:r w:rsidRPr="001472C3">
        <w:rPr>
          <w:i/>
        </w:rPr>
        <w:t xml:space="preserve">Obstructive Sleep Apnoea/Hypopnoea Syndrome (OSAHS) </w:t>
      </w:r>
    </w:p>
    <w:p w:rsidR="00CF64F6" w:rsidRPr="001472C3" w:rsidRDefault="003D3188" w:rsidP="002117F8">
      <w:pPr>
        <w:autoSpaceDE w:val="0"/>
        <w:autoSpaceDN w:val="0"/>
        <w:adjustRightInd w:val="0"/>
        <w:jc w:val="both"/>
        <w:rPr>
          <w:rFonts w:cs="Arial"/>
          <w:snapToGrid/>
          <w:szCs w:val="16"/>
          <w:lang w:eastAsia="en-AU"/>
        </w:rPr>
      </w:pPr>
      <w:r w:rsidRPr="001472C3">
        <w:rPr>
          <w:rFonts w:cs="Arial"/>
          <w:snapToGrid/>
          <w:szCs w:val="16"/>
          <w:lang w:eastAsia="en-AU"/>
        </w:rPr>
        <w:t>In OSA</w:t>
      </w:r>
      <w:r w:rsidR="00D274DA">
        <w:rPr>
          <w:rFonts w:cs="Arial"/>
          <w:snapToGrid/>
          <w:szCs w:val="16"/>
          <w:lang w:eastAsia="en-AU"/>
        </w:rPr>
        <w:t>HS</w:t>
      </w:r>
      <w:r w:rsidRPr="001472C3">
        <w:rPr>
          <w:rFonts w:cs="Arial"/>
          <w:snapToGrid/>
          <w:szCs w:val="16"/>
          <w:lang w:eastAsia="en-AU"/>
        </w:rPr>
        <w:t>, NUVIGIL</w:t>
      </w:r>
      <w:r w:rsidR="001A1A35" w:rsidRPr="001472C3">
        <w:rPr>
          <w:rFonts w:cs="Arial"/>
          <w:snapToGrid/>
          <w:szCs w:val="16"/>
          <w:vertAlign w:val="superscript"/>
          <w:lang w:eastAsia="en-AU"/>
        </w:rPr>
        <w:t>®</w:t>
      </w:r>
      <w:r w:rsidRPr="001472C3">
        <w:rPr>
          <w:rFonts w:cs="Arial"/>
          <w:snapToGrid/>
          <w:szCs w:val="16"/>
          <w:lang w:eastAsia="en-AU"/>
        </w:rPr>
        <w:t xml:space="preserve"> is not indicated as treatment for the underlying obstruction.  If continuous positive airway pressure (CPAP) is the treatment of choice for a patient, a maximal effort to treat with CPAP for an adequate period of time should be made prior to initiating NUVIGIL</w:t>
      </w:r>
      <w:r w:rsidR="001A1A35" w:rsidRPr="001472C3">
        <w:rPr>
          <w:rFonts w:cs="Arial"/>
          <w:snapToGrid/>
          <w:szCs w:val="16"/>
          <w:vertAlign w:val="superscript"/>
          <w:lang w:eastAsia="en-AU"/>
        </w:rPr>
        <w:t>®</w:t>
      </w:r>
      <w:r w:rsidRPr="001472C3">
        <w:rPr>
          <w:rFonts w:cs="Arial"/>
          <w:snapToGrid/>
          <w:szCs w:val="16"/>
          <w:lang w:eastAsia="en-AU"/>
        </w:rPr>
        <w:t xml:space="preserve"> for excessive sleepiness.  If NUVIGIL</w:t>
      </w:r>
      <w:r w:rsidR="001A1A35" w:rsidRPr="001472C3">
        <w:rPr>
          <w:rFonts w:cs="Arial"/>
          <w:snapToGrid/>
          <w:szCs w:val="16"/>
          <w:vertAlign w:val="superscript"/>
          <w:lang w:eastAsia="en-AU"/>
        </w:rPr>
        <w:t>®</w:t>
      </w:r>
      <w:r w:rsidRPr="001472C3">
        <w:rPr>
          <w:rFonts w:cs="Arial"/>
          <w:snapToGrid/>
          <w:szCs w:val="16"/>
          <w:lang w:eastAsia="en-AU"/>
        </w:rPr>
        <w:t xml:space="preserve"> is used adjunctively with CPAP, the encouragement of and periodic assessment of CPAP compliance is necessary.  There was a slight trend for reduced CPAP use over time (mean reduction of 18 minutes for patients treated with NUVIGIL</w:t>
      </w:r>
      <w:r w:rsidR="001A1A35" w:rsidRPr="001472C3">
        <w:rPr>
          <w:rFonts w:cs="Arial"/>
          <w:snapToGrid/>
          <w:szCs w:val="16"/>
          <w:vertAlign w:val="superscript"/>
          <w:lang w:eastAsia="en-AU"/>
        </w:rPr>
        <w:t>®</w:t>
      </w:r>
      <w:r w:rsidRPr="001472C3">
        <w:rPr>
          <w:rFonts w:cs="Arial"/>
          <w:snapToGrid/>
          <w:szCs w:val="16"/>
          <w:lang w:eastAsia="en-AU"/>
        </w:rPr>
        <w:t xml:space="preserve"> and a 6-minute reduction for placebo-treated patients from a mean baseline use of 6.9 hours per night) in NUVIGIL</w:t>
      </w:r>
      <w:r w:rsidR="001A1A35" w:rsidRPr="001472C3">
        <w:rPr>
          <w:rFonts w:cs="Arial"/>
          <w:snapToGrid/>
          <w:szCs w:val="16"/>
          <w:vertAlign w:val="superscript"/>
          <w:lang w:eastAsia="en-AU"/>
        </w:rPr>
        <w:t>®</w:t>
      </w:r>
      <w:r w:rsidRPr="001472C3">
        <w:rPr>
          <w:rFonts w:cs="Arial"/>
          <w:snapToGrid/>
          <w:szCs w:val="16"/>
          <w:lang w:eastAsia="en-AU"/>
        </w:rPr>
        <w:t xml:space="preserve"> trials.</w:t>
      </w:r>
    </w:p>
    <w:p w:rsidR="00D2406D" w:rsidRPr="001472C3" w:rsidRDefault="00D2406D" w:rsidP="00D2406D">
      <w:pPr>
        <w:autoSpaceDE w:val="0"/>
        <w:autoSpaceDN w:val="0"/>
        <w:adjustRightInd w:val="0"/>
        <w:spacing w:after="0"/>
        <w:jc w:val="both"/>
        <w:rPr>
          <w:rFonts w:cs="Arial"/>
          <w:sz w:val="24"/>
        </w:rPr>
      </w:pPr>
      <w:r w:rsidRPr="001472C3">
        <w:rPr>
          <w:rFonts w:cs="Arial"/>
          <w:snapToGrid/>
          <w:szCs w:val="16"/>
          <w:lang w:eastAsia="en-AU"/>
        </w:rPr>
        <w:t>The recommended dose of NUVIGIL</w:t>
      </w:r>
      <w:r w:rsidR="00B649F6" w:rsidRPr="001472C3">
        <w:rPr>
          <w:rFonts w:cs="Arial"/>
          <w:b/>
          <w:vertAlign w:val="superscript"/>
        </w:rPr>
        <w:t>®</w:t>
      </w:r>
      <w:r w:rsidRPr="001472C3">
        <w:rPr>
          <w:rFonts w:cs="Arial"/>
          <w:snapToGrid/>
          <w:szCs w:val="16"/>
          <w:lang w:eastAsia="en-AU"/>
        </w:rPr>
        <w:t xml:space="preserve"> for patients with OSAHS is 150 mg or 250 mg given </w:t>
      </w:r>
      <w:r w:rsidR="00FA29B5">
        <w:rPr>
          <w:rFonts w:cs="Arial"/>
          <w:snapToGrid/>
          <w:szCs w:val="16"/>
          <w:lang w:eastAsia="en-AU"/>
        </w:rPr>
        <w:t>once daily in the morning</w:t>
      </w:r>
      <w:r w:rsidRPr="001472C3">
        <w:rPr>
          <w:rFonts w:cs="Arial"/>
          <w:snapToGrid/>
          <w:szCs w:val="16"/>
          <w:lang w:eastAsia="en-AU"/>
        </w:rPr>
        <w:t>. In patients with OSAHS, doses up to 250 mg/day, given as a single dose, have been well tolerated, but there is no consistent evidence that th</w:t>
      </w:r>
      <w:r w:rsidR="00FA29B5">
        <w:rPr>
          <w:rFonts w:cs="Arial"/>
          <w:snapToGrid/>
          <w:szCs w:val="16"/>
          <w:lang w:eastAsia="en-AU"/>
        </w:rPr>
        <w:t>ese</w:t>
      </w:r>
      <w:r w:rsidRPr="001472C3">
        <w:rPr>
          <w:rFonts w:cs="Arial"/>
          <w:snapToGrid/>
          <w:szCs w:val="16"/>
          <w:lang w:eastAsia="en-AU"/>
        </w:rPr>
        <w:t xml:space="preserve"> dose</w:t>
      </w:r>
      <w:r w:rsidR="00FA29B5">
        <w:rPr>
          <w:rFonts w:cs="Arial"/>
          <w:snapToGrid/>
          <w:szCs w:val="16"/>
          <w:lang w:eastAsia="en-AU"/>
        </w:rPr>
        <w:t>s</w:t>
      </w:r>
      <w:r w:rsidRPr="001472C3">
        <w:rPr>
          <w:rFonts w:cs="Arial"/>
          <w:snapToGrid/>
          <w:szCs w:val="16"/>
          <w:lang w:eastAsia="en-AU"/>
        </w:rPr>
        <w:t xml:space="preserve"> confer additional benefit beyond that of the 150 mg/day dose (See CLINICAL TRIALS).</w:t>
      </w:r>
    </w:p>
    <w:p w:rsidR="002117F8" w:rsidRDefault="002117F8" w:rsidP="002117F8">
      <w:pPr>
        <w:spacing w:after="0"/>
        <w:rPr>
          <w:b/>
        </w:rPr>
      </w:pPr>
    </w:p>
    <w:p w:rsidR="00D2406D" w:rsidRPr="001472C3" w:rsidRDefault="00D2406D" w:rsidP="00F33911">
      <w:pPr>
        <w:keepNext/>
        <w:rPr>
          <w:i/>
        </w:rPr>
      </w:pPr>
      <w:r w:rsidRPr="001472C3">
        <w:rPr>
          <w:i/>
        </w:rPr>
        <w:t>Shift Work Sleep Disorder (SWSD)</w:t>
      </w:r>
    </w:p>
    <w:p w:rsidR="00202C0E" w:rsidRDefault="00D2406D" w:rsidP="00F33911">
      <w:pPr>
        <w:autoSpaceDE w:val="0"/>
        <w:autoSpaceDN w:val="0"/>
        <w:adjustRightInd w:val="0"/>
        <w:spacing w:after="0"/>
        <w:jc w:val="both"/>
        <w:rPr>
          <w:rFonts w:cs="Arial"/>
          <w:snapToGrid/>
          <w:szCs w:val="16"/>
          <w:lang w:eastAsia="en-AU"/>
        </w:rPr>
      </w:pPr>
      <w:r w:rsidRPr="001472C3">
        <w:rPr>
          <w:rFonts w:cs="Arial"/>
          <w:snapToGrid/>
          <w:szCs w:val="16"/>
          <w:lang w:eastAsia="en-AU"/>
        </w:rPr>
        <w:t>The recommended dose of NUVIGIL</w:t>
      </w:r>
      <w:r w:rsidR="00B649F6" w:rsidRPr="001472C3">
        <w:rPr>
          <w:rFonts w:cs="Arial"/>
          <w:b/>
          <w:vertAlign w:val="superscript"/>
        </w:rPr>
        <w:t>®</w:t>
      </w:r>
      <w:r w:rsidRPr="001472C3">
        <w:rPr>
          <w:rFonts w:cs="Arial"/>
          <w:snapToGrid/>
          <w:szCs w:val="16"/>
          <w:lang w:eastAsia="en-AU"/>
        </w:rPr>
        <w:t xml:space="preserve"> for patients with SWSD is 150 mg given daily approximately 1 hour prior to the start of their work shift. </w:t>
      </w:r>
    </w:p>
    <w:p w:rsidR="00202C0E" w:rsidRDefault="00202C0E" w:rsidP="002117F8">
      <w:pPr>
        <w:autoSpaceDE w:val="0"/>
        <w:autoSpaceDN w:val="0"/>
        <w:adjustRightInd w:val="0"/>
        <w:jc w:val="both"/>
        <w:rPr>
          <w:rFonts w:cs="Arial"/>
          <w:snapToGrid/>
          <w:szCs w:val="16"/>
          <w:lang w:eastAsia="en-AU"/>
        </w:rPr>
      </w:pPr>
    </w:p>
    <w:p w:rsidR="00420759" w:rsidRDefault="004C31B5" w:rsidP="002117F8">
      <w:pPr>
        <w:autoSpaceDE w:val="0"/>
        <w:autoSpaceDN w:val="0"/>
        <w:adjustRightInd w:val="0"/>
        <w:jc w:val="both"/>
        <w:rPr>
          <w:rFonts w:cs="Arial"/>
          <w:i/>
          <w:snapToGrid/>
          <w:szCs w:val="16"/>
          <w:lang w:eastAsia="en-AU"/>
        </w:rPr>
      </w:pPr>
      <w:r w:rsidRPr="001472C3">
        <w:rPr>
          <w:rFonts w:cs="Arial"/>
          <w:i/>
          <w:snapToGrid/>
          <w:szCs w:val="16"/>
          <w:lang w:eastAsia="en-AU"/>
        </w:rPr>
        <w:t>Dosing in Special Populations</w:t>
      </w:r>
    </w:p>
    <w:p w:rsidR="00D2406D" w:rsidRPr="00420759" w:rsidRDefault="00EB3905" w:rsidP="002117F8">
      <w:pPr>
        <w:autoSpaceDE w:val="0"/>
        <w:autoSpaceDN w:val="0"/>
        <w:adjustRightInd w:val="0"/>
        <w:jc w:val="both"/>
        <w:rPr>
          <w:rFonts w:cs="Arial"/>
          <w:i/>
          <w:snapToGrid/>
          <w:szCs w:val="16"/>
          <w:lang w:eastAsia="en-AU"/>
        </w:rPr>
      </w:pPr>
      <w:r>
        <w:rPr>
          <w:rFonts w:cs="Arial"/>
          <w:snapToGrid/>
          <w:szCs w:val="16"/>
          <w:lang w:eastAsia="en-AU"/>
        </w:rPr>
        <w:t>The dose of NUVIGIL should be reduced in patients with severe hepatic impairment, with or without cirrhosis</w:t>
      </w:r>
      <w:r w:rsidR="00D2406D" w:rsidRPr="001472C3">
        <w:rPr>
          <w:rFonts w:cs="Arial"/>
          <w:snapToGrid/>
          <w:szCs w:val="16"/>
          <w:lang w:eastAsia="en-AU"/>
        </w:rPr>
        <w:t xml:space="preserve"> (</w:t>
      </w:r>
      <w:r w:rsidR="00B72D1F" w:rsidRPr="001472C3">
        <w:rPr>
          <w:rFonts w:cs="Arial"/>
          <w:snapToGrid/>
          <w:szCs w:val="16"/>
          <w:lang w:eastAsia="en-AU"/>
        </w:rPr>
        <w:t>S</w:t>
      </w:r>
      <w:r w:rsidR="004C31B5" w:rsidRPr="001472C3">
        <w:rPr>
          <w:rFonts w:cs="Arial"/>
          <w:snapToGrid/>
          <w:szCs w:val="16"/>
          <w:lang w:eastAsia="en-AU"/>
        </w:rPr>
        <w:t xml:space="preserve">ee </w:t>
      </w:r>
      <w:r w:rsidR="003D3714" w:rsidRPr="001472C3">
        <w:rPr>
          <w:rFonts w:cs="Arial"/>
          <w:snapToGrid/>
          <w:szCs w:val="16"/>
          <w:lang w:eastAsia="en-AU"/>
        </w:rPr>
        <w:t>SPECIAL POPULATIONS</w:t>
      </w:r>
      <w:r w:rsidR="00D2406D" w:rsidRPr="001472C3">
        <w:rPr>
          <w:rFonts w:cs="Arial"/>
          <w:snapToGrid/>
          <w:szCs w:val="16"/>
          <w:lang w:eastAsia="en-AU"/>
        </w:rPr>
        <w:t xml:space="preserve">). </w:t>
      </w:r>
      <w:r w:rsidR="006014D0">
        <w:rPr>
          <w:rFonts w:cs="Arial"/>
          <w:snapToGrid/>
          <w:szCs w:val="16"/>
          <w:lang w:eastAsia="en-AU"/>
        </w:rPr>
        <w:t>There is a lack of data on dosing instruction for NUVIGIL (</w:t>
      </w:r>
      <w:proofErr w:type="spellStart"/>
      <w:r w:rsidR="006014D0">
        <w:rPr>
          <w:rFonts w:cs="Arial"/>
          <w:snapToGrid/>
          <w:szCs w:val="16"/>
          <w:lang w:eastAsia="en-AU"/>
        </w:rPr>
        <w:t>armodafinl</w:t>
      </w:r>
      <w:proofErr w:type="spellEnd"/>
      <w:r w:rsidR="006014D0">
        <w:rPr>
          <w:rFonts w:cs="Arial"/>
          <w:snapToGrid/>
          <w:szCs w:val="16"/>
          <w:lang w:eastAsia="en-AU"/>
        </w:rPr>
        <w:t xml:space="preserve">) specific to the degree of liver impairment. </w:t>
      </w:r>
    </w:p>
    <w:p w:rsidR="00D2406D" w:rsidRPr="001472C3" w:rsidRDefault="00D2406D" w:rsidP="002117F8">
      <w:pPr>
        <w:autoSpaceDE w:val="0"/>
        <w:autoSpaceDN w:val="0"/>
        <w:adjustRightInd w:val="0"/>
        <w:jc w:val="both"/>
        <w:rPr>
          <w:rFonts w:cs="Arial"/>
          <w:snapToGrid/>
          <w:szCs w:val="16"/>
          <w:lang w:eastAsia="en-AU"/>
        </w:rPr>
      </w:pPr>
      <w:r w:rsidRPr="001472C3">
        <w:rPr>
          <w:rFonts w:cs="Arial"/>
          <w:snapToGrid/>
          <w:szCs w:val="16"/>
          <w:lang w:eastAsia="en-AU"/>
        </w:rPr>
        <w:t xml:space="preserve">There is inadequate information to determine safety and efficacy of dosing </w:t>
      </w:r>
      <w:r w:rsidR="00D150FD">
        <w:rPr>
          <w:rFonts w:cs="Arial"/>
          <w:snapToGrid/>
          <w:szCs w:val="16"/>
          <w:lang w:eastAsia="en-AU"/>
        </w:rPr>
        <w:t>of NUVIGIL (</w:t>
      </w:r>
      <w:proofErr w:type="spellStart"/>
      <w:r w:rsidR="00D150FD">
        <w:rPr>
          <w:rFonts w:cs="Arial"/>
          <w:snapToGrid/>
          <w:szCs w:val="16"/>
          <w:lang w:eastAsia="en-AU"/>
        </w:rPr>
        <w:t>armodafinil</w:t>
      </w:r>
      <w:proofErr w:type="spellEnd"/>
      <w:r w:rsidR="00D150FD">
        <w:rPr>
          <w:rFonts w:cs="Arial"/>
          <w:snapToGrid/>
          <w:szCs w:val="16"/>
          <w:lang w:eastAsia="en-AU"/>
        </w:rPr>
        <w:t xml:space="preserve">) </w:t>
      </w:r>
      <w:r w:rsidRPr="001472C3">
        <w:rPr>
          <w:rFonts w:cs="Arial"/>
          <w:snapToGrid/>
          <w:szCs w:val="16"/>
          <w:lang w:eastAsia="en-AU"/>
        </w:rPr>
        <w:t>in patients</w:t>
      </w:r>
      <w:r w:rsidR="004C31B5" w:rsidRPr="001472C3">
        <w:rPr>
          <w:rFonts w:cs="Arial"/>
          <w:snapToGrid/>
          <w:szCs w:val="16"/>
          <w:lang w:eastAsia="en-AU"/>
        </w:rPr>
        <w:t xml:space="preserve"> with renal </w:t>
      </w:r>
      <w:proofErr w:type="gramStart"/>
      <w:r w:rsidR="004C31B5" w:rsidRPr="001472C3">
        <w:rPr>
          <w:rFonts w:cs="Arial"/>
          <w:snapToGrid/>
          <w:szCs w:val="16"/>
          <w:lang w:eastAsia="en-AU"/>
        </w:rPr>
        <w:t>impairment</w:t>
      </w:r>
      <w:r w:rsidR="00BE2491">
        <w:rPr>
          <w:rFonts w:cs="Arial"/>
          <w:snapToGrid/>
          <w:szCs w:val="16"/>
          <w:lang w:eastAsia="en-AU"/>
        </w:rPr>
        <w:t>,</w:t>
      </w:r>
      <w:proofErr w:type="gramEnd"/>
      <w:r w:rsidR="00BE2491">
        <w:rPr>
          <w:rFonts w:cs="Arial"/>
          <w:snapToGrid/>
          <w:szCs w:val="16"/>
          <w:lang w:eastAsia="en-AU"/>
        </w:rPr>
        <w:t xml:space="preserve"> mild, moderate or severe</w:t>
      </w:r>
      <w:r w:rsidR="004C31B5" w:rsidRPr="001472C3">
        <w:rPr>
          <w:rFonts w:cs="Arial"/>
          <w:snapToGrid/>
          <w:szCs w:val="16"/>
          <w:lang w:eastAsia="en-AU"/>
        </w:rPr>
        <w:t xml:space="preserve"> (</w:t>
      </w:r>
      <w:r w:rsidR="00B72D1F" w:rsidRPr="001472C3">
        <w:rPr>
          <w:rFonts w:cs="Arial"/>
          <w:snapToGrid/>
          <w:szCs w:val="16"/>
          <w:lang w:eastAsia="en-AU"/>
        </w:rPr>
        <w:t>S</w:t>
      </w:r>
      <w:r w:rsidRPr="001472C3">
        <w:rPr>
          <w:rFonts w:cs="Arial"/>
          <w:snapToGrid/>
          <w:szCs w:val="16"/>
          <w:lang w:eastAsia="en-AU"/>
        </w:rPr>
        <w:t>ee</w:t>
      </w:r>
      <w:r w:rsidR="00526F81" w:rsidRPr="001472C3">
        <w:rPr>
          <w:rFonts w:cs="Arial"/>
          <w:b/>
          <w:snapToGrid/>
          <w:szCs w:val="16"/>
          <w:lang w:eastAsia="en-AU"/>
        </w:rPr>
        <w:t xml:space="preserve"> </w:t>
      </w:r>
      <w:r w:rsidR="003D3714" w:rsidRPr="001472C3">
        <w:rPr>
          <w:rFonts w:cs="Arial"/>
          <w:snapToGrid/>
          <w:szCs w:val="16"/>
          <w:lang w:eastAsia="en-AU"/>
        </w:rPr>
        <w:t>SPECIAL POPULATIONS</w:t>
      </w:r>
      <w:r w:rsidRPr="001472C3">
        <w:rPr>
          <w:rFonts w:cs="Arial"/>
          <w:snapToGrid/>
          <w:szCs w:val="16"/>
          <w:lang w:eastAsia="en-AU"/>
        </w:rPr>
        <w:t xml:space="preserve">). </w:t>
      </w:r>
    </w:p>
    <w:p w:rsidR="00D2406D" w:rsidRPr="002117F8" w:rsidRDefault="00D2406D" w:rsidP="002117F8">
      <w:pPr>
        <w:autoSpaceDE w:val="0"/>
        <w:autoSpaceDN w:val="0"/>
        <w:adjustRightInd w:val="0"/>
        <w:spacing w:after="0"/>
        <w:jc w:val="both"/>
        <w:rPr>
          <w:rFonts w:cs="Arial"/>
          <w:b/>
          <w:snapToGrid/>
          <w:szCs w:val="16"/>
          <w:lang w:eastAsia="en-AU"/>
        </w:rPr>
      </w:pPr>
      <w:r w:rsidRPr="001472C3">
        <w:rPr>
          <w:rFonts w:cs="Arial"/>
          <w:snapToGrid/>
          <w:szCs w:val="16"/>
          <w:lang w:eastAsia="en-AU"/>
        </w:rPr>
        <w:t xml:space="preserve">In elderly patients, elimination of </w:t>
      </w:r>
      <w:proofErr w:type="spellStart"/>
      <w:r w:rsidRPr="001472C3">
        <w:rPr>
          <w:rFonts w:cs="Arial"/>
          <w:snapToGrid/>
          <w:szCs w:val="16"/>
          <w:lang w:eastAsia="en-AU"/>
        </w:rPr>
        <w:t>armodafinil</w:t>
      </w:r>
      <w:proofErr w:type="spellEnd"/>
      <w:r w:rsidRPr="001472C3">
        <w:rPr>
          <w:rFonts w:cs="Arial"/>
          <w:snapToGrid/>
          <w:szCs w:val="16"/>
          <w:lang w:eastAsia="en-AU"/>
        </w:rPr>
        <w:t xml:space="preserve"> and its metabolites may be reduced as a consequence of aging. Therefore, consideration should be given to the use of lowe</w:t>
      </w:r>
      <w:r w:rsidR="004C31B5" w:rsidRPr="001472C3">
        <w:rPr>
          <w:rFonts w:cs="Arial"/>
          <w:snapToGrid/>
          <w:szCs w:val="16"/>
          <w:lang w:eastAsia="en-AU"/>
        </w:rPr>
        <w:t>r doses in this population (</w:t>
      </w:r>
      <w:r w:rsidR="00B72D1F" w:rsidRPr="001472C3">
        <w:rPr>
          <w:rFonts w:cs="Arial"/>
          <w:snapToGrid/>
          <w:szCs w:val="16"/>
          <w:lang w:eastAsia="en-AU"/>
        </w:rPr>
        <w:t>S</w:t>
      </w:r>
      <w:r w:rsidR="004C31B5" w:rsidRPr="001472C3">
        <w:rPr>
          <w:rFonts w:cs="Arial"/>
          <w:snapToGrid/>
          <w:szCs w:val="16"/>
          <w:lang w:eastAsia="en-AU"/>
        </w:rPr>
        <w:t xml:space="preserve">ee </w:t>
      </w:r>
      <w:r w:rsidR="003D3714" w:rsidRPr="001472C3">
        <w:rPr>
          <w:rFonts w:cs="Arial"/>
          <w:snapToGrid/>
          <w:szCs w:val="16"/>
          <w:lang w:eastAsia="en-AU"/>
        </w:rPr>
        <w:t>SPECIAL POPULATIONS</w:t>
      </w:r>
      <w:r w:rsidRPr="000827DF">
        <w:rPr>
          <w:rFonts w:cs="Arial"/>
          <w:snapToGrid/>
          <w:szCs w:val="16"/>
          <w:lang w:eastAsia="en-AU"/>
        </w:rPr>
        <w:t>)</w:t>
      </w:r>
      <w:r w:rsidR="00526F81" w:rsidRPr="000827DF">
        <w:rPr>
          <w:rFonts w:cs="Arial"/>
          <w:snapToGrid/>
          <w:szCs w:val="16"/>
          <w:lang w:eastAsia="en-AU"/>
        </w:rPr>
        <w:t>.</w:t>
      </w:r>
    </w:p>
    <w:p w:rsidR="000850E6" w:rsidRPr="001472C3" w:rsidRDefault="000850E6" w:rsidP="00D2406D">
      <w:pPr>
        <w:autoSpaceDE w:val="0"/>
        <w:autoSpaceDN w:val="0"/>
        <w:adjustRightInd w:val="0"/>
        <w:spacing w:after="0"/>
        <w:rPr>
          <w:rFonts w:cs="Arial"/>
          <w:b/>
          <w:snapToGrid/>
          <w:szCs w:val="16"/>
          <w:lang w:eastAsia="en-AU"/>
        </w:rPr>
      </w:pPr>
    </w:p>
    <w:p w:rsidR="00B649F6" w:rsidRPr="001472C3" w:rsidRDefault="0028358D" w:rsidP="004E21E7">
      <w:pPr>
        <w:autoSpaceDE w:val="0"/>
        <w:autoSpaceDN w:val="0"/>
        <w:adjustRightInd w:val="0"/>
        <w:rPr>
          <w:rFonts w:cs="Arial"/>
          <w:b/>
          <w:snapToGrid/>
          <w:szCs w:val="16"/>
          <w:lang w:eastAsia="en-AU"/>
        </w:rPr>
      </w:pPr>
      <w:r w:rsidRPr="001472C3">
        <w:rPr>
          <w:rFonts w:cs="Arial"/>
          <w:b/>
          <w:snapToGrid/>
          <w:szCs w:val="16"/>
          <w:lang w:eastAsia="en-AU"/>
        </w:rPr>
        <w:t>OVERDOSAGE</w:t>
      </w:r>
    </w:p>
    <w:p w:rsidR="00526F81" w:rsidRPr="001472C3" w:rsidRDefault="00526F81" w:rsidP="00D2406D">
      <w:pPr>
        <w:autoSpaceDE w:val="0"/>
        <w:autoSpaceDN w:val="0"/>
        <w:adjustRightInd w:val="0"/>
        <w:spacing w:after="0"/>
        <w:rPr>
          <w:rFonts w:cs="Arial"/>
          <w:i/>
          <w:snapToGrid/>
          <w:szCs w:val="16"/>
          <w:lang w:eastAsia="en-AU"/>
        </w:rPr>
      </w:pPr>
      <w:r w:rsidRPr="001472C3">
        <w:rPr>
          <w:rFonts w:cs="Arial"/>
          <w:i/>
          <w:snapToGrid/>
          <w:szCs w:val="16"/>
          <w:lang w:eastAsia="en-AU"/>
        </w:rPr>
        <w:t>For information on the management of overdose, contact the Poison Information Centre on 13 11 26.</w:t>
      </w:r>
    </w:p>
    <w:p w:rsidR="00526F81" w:rsidRPr="001472C3" w:rsidRDefault="00526F81" w:rsidP="00D2406D">
      <w:pPr>
        <w:autoSpaceDE w:val="0"/>
        <w:autoSpaceDN w:val="0"/>
        <w:adjustRightInd w:val="0"/>
        <w:spacing w:after="0"/>
        <w:rPr>
          <w:rFonts w:cs="Arial"/>
          <w:b/>
          <w:snapToGrid/>
          <w:szCs w:val="16"/>
          <w:lang w:eastAsia="en-AU"/>
        </w:rPr>
      </w:pPr>
    </w:p>
    <w:p w:rsidR="00526F81" w:rsidRPr="001472C3" w:rsidRDefault="00B649F6" w:rsidP="00B649F6">
      <w:pPr>
        <w:autoSpaceDE w:val="0"/>
        <w:autoSpaceDN w:val="0"/>
        <w:adjustRightInd w:val="0"/>
        <w:spacing w:after="0"/>
        <w:jc w:val="both"/>
        <w:rPr>
          <w:rFonts w:cs="Arial"/>
          <w:snapToGrid/>
          <w:szCs w:val="16"/>
          <w:lang w:eastAsia="en-AU"/>
        </w:rPr>
      </w:pPr>
      <w:r w:rsidRPr="001472C3">
        <w:rPr>
          <w:rFonts w:cs="Arial"/>
          <w:snapToGrid/>
          <w:szCs w:val="16"/>
          <w:lang w:eastAsia="en-AU"/>
        </w:rPr>
        <w:t>There were no overdoses reported in the NUVIGIL</w:t>
      </w:r>
      <w:r w:rsidRPr="001472C3">
        <w:rPr>
          <w:rFonts w:cs="Arial"/>
          <w:b/>
          <w:vertAlign w:val="superscript"/>
        </w:rPr>
        <w:t>®</w:t>
      </w:r>
      <w:r w:rsidRPr="001472C3">
        <w:rPr>
          <w:rFonts w:cs="Arial"/>
          <w:snapToGrid/>
          <w:szCs w:val="16"/>
          <w:lang w:eastAsia="en-AU"/>
        </w:rPr>
        <w:t xml:space="preserve"> clinical studies. Symptoms of NUVIGIL</w:t>
      </w:r>
      <w:r w:rsidRPr="001472C3">
        <w:rPr>
          <w:rFonts w:cs="Arial"/>
          <w:b/>
          <w:vertAlign w:val="superscript"/>
        </w:rPr>
        <w:t>®</w:t>
      </w:r>
      <w:r w:rsidRPr="001472C3">
        <w:rPr>
          <w:rFonts w:cs="Arial"/>
          <w:snapToGrid/>
          <w:szCs w:val="16"/>
          <w:lang w:eastAsia="en-AU"/>
        </w:rPr>
        <w:t xml:space="preserve"> overdose are likely to be similar to those of </w:t>
      </w:r>
      <w:proofErr w:type="spellStart"/>
      <w:r w:rsidRPr="001472C3">
        <w:rPr>
          <w:rFonts w:cs="Arial"/>
          <w:snapToGrid/>
          <w:szCs w:val="16"/>
          <w:lang w:eastAsia="en-AU"/>
        </w:rPr>
        <w:t>modafinil</w:t>
      </w:r>
      <w:proofErr w:type="spellEnd"/>
      <w:r w:rsidRPr="001472C3">
        <w:rPr>
          <w:rFonts w:cs="Arial"/>
          <w:snapToGrid/>
          <w:szCs w:val="16"/>
          <w:lang w:eastAsia="en-AU"/>
        </w:rPr>
        <w:t xml:space="preserve">. </w:t>
      </w:r>
      <w:r w:rsidR="00EB3905">
        <w:rPr>
          <w:rFonts w:cs="Arial"/>
          <w:snapToGrid/>
          <w:szCs w:val="16"/>
          <w:lang w:eastAsia="en-AU"/>
        </w:rPr>
        <w:t>Symptoms of o</w:t>
      </w:r>
      <w:r w:rsidRPr="001472C3">
        <w:rPr>
          <w:rFonts w:cs="Arial"/>
          <w:snapToGrid/>
          <w:szCs w:val="16"/>
          <w:lang w:eastAsia="en-AU"/>
        </w:rPr>
        <w:t xml:space="preserve">verdose in </w:t>
      </w:r>
      <w:proofErr w:type="spellStart"/>
      <w:r w:rsidRPr="001472C3">
        <w:rPr>
          <w:rFonts w:cs="Arial"/>
          <w:snapToGrid/>
          <w:szCs w:val="16"/>
          <w:lang w:eastAsia="en-AU"/>
        </w:rPr>
        <w:t>modafinil</w:t>
      </w:r>
      <w:proofErr w:type="spellEnd"/>
      <w:r w:rsidRPr="001472C3">
        <w:rPr>
          <w:rFonts w:cs="Arial"/>
          <w:snapToGrid/>
          <w:szCs w:val="16"/>
          <w:lang w:eastAsia="en-AU"/>
        </w:rPr>
        <w:t xml:space="preserve"> clinical trials included excitation or agitation, insomnia, and slight or moderate elevations in hemodynamic parameters. </w:t>
      </w:r>
    </w:p>
    <w:p w:rsidR="00526F81" w:rsidRPr="001472C3" w:rsidRDefault="00526F81" w:rsidP="00B649F6">
      <w:pPr>
        <w:autoSpaceDE w:val="0"/>
        <w:autoSpaceDN w:val="0"/>
        <w:adjustRightInd w:val="0"/>
        <w:spacing w:after="0"/>
        <w:jc w:val="both"/>
        <w:rPr>
          <w:rFonts w:cs="Arial"/>
          <w:snapToGrid/>
          <w:szCs w:val="16"/>
          <w:lang w:eastAsia="en-AU"/>
        </w:rPr>
      </w:pPr>
    </w:p>
    <w:p w:rsidR="00B649F6" w:rsidRPr="001472C3" w:rsidRDefault="00B649F6" w:rsidP="00B649F6">
      <w:pPr>
        <w:autoSpaceDE w:val="0"/>
        <w:autoSpaceDN w:val="0"/>
        <w:adjustRightInd w:val="0"/>
        <w:spacing w:after="0"/>
        <w:jc w:val="both"/>
        <w:rPr>
          <w:rFonts w:cs="Arial"/>
          <w:snapToGrid/>
          <w:szCs w:val="16"/>
          <w:lang w:eastAsia="en-AU"/>
        </w:rPr>
      </w:pPr>
      <w:r w:rsidRPr="001472C3">
        <w:rPr>
          <w:rFonts w:cs="Arial"/>
          <w:snapToGrid/>
          <w:szCs w:val="16"/>
          <w:lang w:eastAsia="en-AU"/>
        </w:rPr>
        <w:t xml:space="preserve">From post-marketing experience with </w:t>
      </w:r>
      <w:proofErr w:type="spellStart"/>
      <w:r w:rsidRPr="001472C3">
        <w:rPr>
          <w:rFonts w:cs="Arial"/>
          <w:snapToGrid/>
          <w:szCs w:val="16"/>
          <w:lang w:eastAsia="en-AU"/>
        </w:rPr>
        <w:t>modafinil</w:t>
      </w:r>
      <w:proofErr w:type="spellEnd"/>
      <w:r w:rsidRPr="001472C3">
        <w:rPr>
          <w:rFonts w:cs="Arial"/>
          <w:snapToGrid/>
          <w:szCs w:val="16"/>
          <w:lang w:eastAsia="en-AU"/>
        </w:rPr>
        <w:t xml:space="preserve">, there have been no reports of fatal overdoses involving </w:t>
      </w:r>
      <w:proofErr w:type="spellStart"/>
      <w:r w:rsidRPr="001472C3">
        <w:rPr>
          <w:rFonts w:cs="Arial"/>
          <w:snapToGrid/>
          <w:szCs w:val="16"/>
          <w:lang w:eastAsia="en-AU"/>
        </w:rPr>
        <w:t>modafinil</w:t>
      </w:r>
      <w:proofErr w:type="spellEnd"/>
      <w:r w:rsidRPr="001472C3">
        <w:rPr>
          <w:rFonts w:cs="Arial"/>
          <w:snapToGrid/>
          <w:szCs w:val="16"/>
          <w:lang w:eastAsia="en-AU"/>
        </w:rPr>
        <w:t xml:space="preserve"> alone (doses up to 12 grams). Overdoses involving multiple drugs, including </w:t>
      </w:r>
      <w:proofErr w:type="spellStart"/>
      <w:r w:rsidRPr="001472C3">
        <w:rPr>
          <w:rFonts w:cs="Arial"/>
          <w:snapToGrid/>
          <w:szCs w:val="16"/>
          <w:lang w:eastAsia="en-AU"/>
        </w:rPr>
        <w:t>modafinil</w:t>
      </w:r>
      <w:proofErr w:type="spellEnd"/>
      <w:r w:rsidRPr="001472C3">
        <w:rPr>
          <w:rFonts w:cs="Arial"/>
          <w:snapToGrid/>
          <w:szCs w:val="16"/>
          <w:lang w:eastAsia="en-AU"/>
        </w:rPr>
        <w:t xml:space="preserve">, have resulted in fatal outcomes. Symptoms most often accompanying </w:t>
      </w:r>
      <w:proofErr w:type="spellStart"/>
      <w:r w:rsidRPr="001472C3">
        <w:rPr>
          <w:rFonts w:cs="Arial"/>
          <w:snapToGrid/>
          <w:szCs w:val="16"/>
          <w:lang w:eastAsia="en-AU"/>
        </w:rPr>
        <w:t>modafinil</w:t>
      </w:r>
      <w:proofErr w:type="spellEnd"/>
      <w:r w:rsidRPr="001472C3">
        <w:rPr>
          <w:rFonts w:cs="Arial"/>
          <w:snapToGrid/>
          <w:szCs w:val="16"/>
          <w:lang w:eastAsia="en-AU"/>
        </w:rPr>
        <w:t xml:space="preserve"> overdose, alone or in combination with other drugs have included; insomnia; central nervous system symptoms such as restlessness, disorientation, confusion,</w:t>
      </w:r>
      <w:r w:rsidR="00F919A6" w:rsidRPr="001472C3">
        <w:rPr>
          <w:rFonts w:cs="Arial"/>
          <w:snapToGrid/>
          <w:szCs w:val="16"/>
          <w:lang w:eastAsia="en-AU"/>
        </w:rPr>
        <w:t xml:space="preserve"> agitation, anxiety, </w:t>
      </w:r>
      <w:r w:rsidRPr="001472C3">
        <w:rPr>
          <w:rFonts w:cs="Arial"/>
          <w:snapToGrid/>
          <w:szCs w:val="16"/>
          <w:lang w:eastAsia="en-AU"/>
        </w:rPr>
        <w:t xml:space="preserve">excitation and hallucination; digestive changes such as nausea and diarrhoea; and cardiovascular changes such as tachycardia, bradycardia, hypertension and chest pain. </w:t>
      </w:r>
    </w:p>
    <w:p w:rsidR="00B649F6" w:rsidRPr="001472C3" w:rsidRDefault="00B649F6" w:rsidP="00B649F6">
      <w:pPr>
        <w:autoSpaceDE w:val="0"/>
        <w:autoSpaceDN w:val="0"/>
        <w:adjustRightInd w:val="0"/>
        <w:spacing w:after="0"/>
        <w:jc w:val="both"/>
        <w:rPr>
          <w:rFonts w:cs="Arial"/>
          <w:snapToGrid/>
          <w:szCs w:val="16"/>
          <w:lang w:eastAsia="en-AU"/>
        </w:rPr>
      </w:pPr>
    </w:p>
    <w:p w:rsidR="002117F8" w:rsidRDefault="00B649F6" w:rsidP="00407621">
      <w:pPr>
        <w:autoSpaceDE w:val="0"/>
        <w:autoSpaceDN w:val="0"/>
        <w:adjustRightInd w:val="0"/>
        <w:spacing w:after="0"/>
        <w:rPr>
          <w:rFonts w:cs="Arial"/>
          <w:snapToGrid/>
          <w:szCs w:val="16"/>
          <w:lang w:eastAsia="en-AU"/>
        </w:rPr>
      </w:pPr>
      <w:r w:rsidRPr="001472C3">
        <w:rPr>
          <w:rFonts w:cs="Arial"/>
          <w:snapToGrid/>
          <w:szCs w:val="16"/>
          <w:lang w:eastAsia="en-AU"/>
        </w:rPr>
        <w:t>No specific antidote exists for the toxic effects of a NUVIGIL</w:t>
      </w:r>
      <w:r w:rsidRPr="001472C3">
        <w:rPr>
          <w:rFonts w:cs="Arial"/>
          <w:b/>
          <w:vertAlign w:val="superscript"/>
        </w:rPr>
        <w:t>®</w:t>
      </w:r>
      <w:r w:rsidRPr="001472C3">
        <w:rPr>
          <w:rFonts w:cs="Arial"/>
          <w:snapToGrid/>
          <w:szCs w:val="16"/>
          <w:lang w:eastAsia="en-AU"/>
        </w:rPr>
        <w:t xml:space="preserve"> overdose. Such overdoses should be managed with primarily supportive care, including cardiovascular monitoring.</w:t>
      </w:r>
      <w:r w:rsidR="007722E5">
        <w:rPr>
          <w:rFonts w:cs="Arial"/>
          <w:snapToGrid/>
          <w:szCs w:val="16"/>
          <w:lang w:eastAsia="en-AU"/>
        </w:rPr>
        <w:t xml:space="preserve"> There are no data to suggest the utility of dialysis or urinary acidification or </w:t>
      </w:r>
      <w:proofErr w:type="spellStart"/>
      <w:r w:rsidR="007722E5">
        <w:rPr>
          <w:rFonts w:cs="Arial"/>
          <w:snapToGrid/>
          <w:szCs w:val="16"/>
          <w:lang w:eastAsia="en-AU"/>
        </w:rPr>
        <w:t>alkalinization</w:t>
      </w:r>
      <w:proofErr w:type="spellEnd"/>
      <w:r w:rsidR="007722E5">
        <w:rPr>
          <w:rFonts w:cs="Arial"/>
          <w:snapToGrid/>
          <w:szCs w:val="16"/>
          <w:lang w:eastAsia="en-AU"/>
        </w:rPr>
        <w:t xml:space="preserve"> in enhancing drug elimination. </w:t>
      </w:r>
    </w:p>
    <w:p w:rsidR="00407621" w:rsidRPr="00407621" w:rsidRDefault="00407621" w:rsidP="00407621">
      <w:pPr>
        <w:autoSpaceDE w:val="0"/>
        <w:autoSpaceDN w:val="0"/>
        <w:adjustRightInd w:val="0"/>
        <w:spacing w:after="0"/>
        <w:rPr>
          <w:rFonts w:cs="Arial"/>
          <w:snapToGrid/>
          <w:szCs w:val="16"/>
          <w:lang w:eastAsia="en-AU"/>
        </w:rPr>
      </w:pPr>
    </w:p>
    <w:p w:rsidR="00DD02F5" w:rsidRPr="001472C3" w:rsidRDefault="00DD02F5">
      <w:pPr>
        <w:pStyle w:val="Heading1"/>
        <w:keepNext w:val="0"/>
        <w:suppressLineNumbers/>
        <w:suppressAutoHyphens/>
        <w:rPr>
          <w:noProof/>
        </w:rPr>
      </w:pPr>
      <w:r w:rsidRPr="001472C3">
        <w:rPr>
          <w:noProof/>
        </w:rPr>
        <w:t>PRESENTATION AND STORAGE CONDITIONS</w:t>
      </w:r>
    </w:p>
    <w:p w:rsidR="00B649F6" w:rsidRPr="001472C3" w:rsidRDefault="00B649F6" w:rsidP="00B649F6">
      <w:r w:rsidRPr="001472C3">
        <w:t>50 mg: Each round, white</w:t>
      </w:r>
      <w:r w:rsidR="00D64187">
        <w:t xml:space="preserve"> to off-white</w:t>
      </w:r>
      <w:r w:rsidRPr="001472C3">
        <w:t xml:space="preserve"> tablet is debossed with</w:t>
      </w:r>
      <w:r w:rsidR="001B1AED">
        <w:t xml:space="preserve"> </w:t>
      </w:r>
      <w:r w:rsidR="0078023F" w:rsidRPr="0078023F">
        <w:rPr>
          <w:noProof/>
          <w:lang w:eastAsia="en-AU"/>
        </w:rPr>
        <w:drawing>
          <wp:inline distT="0" distB="0" distL="0" distR="0" wp14:anchorId="233264F0" wp14:editId="5F571D4F">
            <wp:extent cx="208479" cy="163491"/>
            <wp:effectExtent l="19050" t="0" r="1071" b="0"/>
            <wp:docPr id="2" name="Picture 4" descr="Cephal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phalon Logo"/>
                    <pic:cNvPicPr>
                      <a:picLocks noChangeAspect="1" noChangeArrowheads="1"/>
                    </pic:cNvPicPr>
                  </pic:nvPicPr>
                  <pic:blipFill>
                    <a:blip r:embed="rId10" cstate="print"/>
                    <a:srcRect/>
                    <a:stretch>
                      <a:fillRect/>
                    </a:stretch>
                  </pic:blipFill>
                  <pic:spPr bwMode="auto">
                    <a:xfrm>
                      <a:off x="0" y="0"/>
                      <a:ext cx="216226" cy="169566"/>
                    </a:xfrm>
                    <a:prstGeom prst="rect">
                      <a:avLst/>
                    </a:prstGeom>
                    <a:noFill/>
                    <a:ln w="9525">
                      <a:noFill/>
                      <a:miter lim="800000"/>
                      <a:headEnd/>
                      <a:tailEnd/>
                    </a:ln>
                  </pic:spPr>
                </pic:pic>
              </a:graphicData>
            </a:graphic>
          </wp:inline>
        </w:drawing>
      </w:r>
      <w:r w:rsidRPr="001472C3">
        <w:t xml:space="preserve"> </w:t>
      </w:r>
      <w:r w:rsidR="008A6B4A" w:rsidRPr="001472C3">
        <w:t xml:space="preserve"> </w:t>
      </w:r>
      <w:r w:rsidRPr="001472C3">
        <w:t>on one side and “205” on the other. Bottles of 30</w:t>
      </w:r>
    </w:p>
    <w:p w:rsidR="00B649F6" w:rsidRPr="001472C3" w:rsidRDefault="00B649F6" w:rsidP="00B649F6">
      <w:r w:rsidRPr="001472C3">
        <w:t>150 mg: Each oval, white</w:t>
      </w:r>
      <w:r w:rsidR="00D64187">
        <w:t xml:space="preserve"> to off-white</w:t>
      </w:r>
      <w:r w:rsidRPr="001472C3">
        <w:t xml:space="preserve"> tablet is debossed with </w:t>
      </w:r>
      <w:r w:rsidR="00B0538C">
        <w:rPr>
          <w:b/>
          <w:noProof/>
          <w:snapToGrid/>
          <w:sz w:val="16"/>
          <w:szCs w:val="16"/>
          <w:lang w:eastAsia="en-AU"/>
        </w:rPr>
        <w:drawing>
          <wp:inline distT="0" distB="0" distL="0" distR="0" wp14:anchorId="2C0C3C89" wp14:editId="6C7B2FA1">
            <wp:extent cx="208479" cy="163491"/>
            <wp:effectExtent l="19050" t="0" r="1071" b="0"/>
            <wp:docPr id="4" name="Picture 4" descr="Cephal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phalon Logo"/>
                    <pic:cNvPicPr>
                      <a:picLocks noChangeAspect="1" noChangeArrowheads="1"/>
                    </pic:cNvPicPr>
                  </pic:nvPicPr>
                  <pic:blipFill>
                    <a:blip r:embed="rId10" cstate="print"/>
                    <a:srcRect/>
                    <a:stretch>
                      <a:fillRect/>
                    </a:stretch>
                  </pic:blipFill>
                  <pic:spPr bwMode="auto">
                    <a:xfrm>
                      <a:off x="0" y="0"/>
                      <a:ext cx="216226" cy="169566"/>
                    </a:xfrm>
                    <a:prstGeom prst="rect">
                      <a:avLst/>
                    </a:prstGeom>
                    <a:noFill/>
                    <a:ln w="9525">
                      <a:noFill/>
                      <a:miter lim="800000"/>
                      <a:headEnd/>
                      <a:tailEnd/>
                    </a:ln>
                  </pic:spPr>
                </pic:pic>
              </a:graphicData>
            </a:graphic>
          </wp:inline>
        </w:drawing>
      </w:r>
      <w:r w:rsidR="00D64187" w:rsidRPr="002A29FE">
        <w:rPr>
          <w:sz w:val="16"/>
          <w:szCs w:val="16"/>
        </w:rPr>
        <w:t xml:space="preserve"> </w:t>
      </w:r>
      <w:r w:rsidR="008A6B4A" w:rsidRPr="001472C3">
        <w:t xml:space="preserve"> </w:t>
      </w:r>
      <w:r w:rsidRPr="001472C3">
        <w:t>on one side and “215” on the other.</w:t>
      </w:r>
      <w:r w:rsidR="00C67A47" w:rsidRPr="001472C3">
        <w:t xml:space="preserve"> </w:t>
      </w:r>
      <w:r w:rsidRPr="001472C3">
        <w:t>Bottles of 30</w:t>
      </w:r>
    </w:p>
    <w:p w:rsidR="00B649F6" w:rsidRPr="001472C3" w:rsidRDefault="00B649F6" w:rsidP="00B649F6">
      <w:r w:rsidRPr="001472C3">
        <w:t>250 mg: Each oval, white</w:t>
      </w:r>
      <w:r w:rsidR="00D64187">
        <w:t xml:space="preserve"> to off-white</w:t>
      </w:r>
      <w:r w:rsidRPr="001472C3">
        <w:t xml:space="preserve"> tablet is debossed with </w:t>
      </w:r>
      <w:r w:rsidR="00B0538C">
        <w:rPr>
          <w:b/>
          <w:noProof/>
          <w:snapToGrid/>
          <w:sz w:val="16"/>
          <w:szCs w:val="16"/>
          <w:lang w:eastAsia="en-AU"/>
        </w:rPr>
        <w:drawing>
          <wp:inline distT="0" distB="0" distL="0" distR="0" wp14:anchorId="4CDF27DA" wp14:editId="2808B37C">
            <wp:extent cx="213228" cy="167216"/>
            <wp:effectExtent l="19050" t="0" r="0" b="0"/>
            <wp:docPr id="7" name="Picture 7" descr="Cephal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phalon Logo"/>
                    <pic:cNvPicPr>
                      <a:picLocks noChangeAspect="1" noChangeArrowheads="1"/>
                    </pic:cNvPicPr>
                  </pic:nvPicPr>
                  <pic:blipFill>
                    <a:blip r:embed="rId10" cstate="print"/>
                    <a:srcRect/>
                    <a:stretch>
                      <a:fillRect/>
                    </a:stretch>
                  </pic:blipFill>
                  <pic:spPr bwMode="auto">
                    <a:xfrm>
                      <a:off x="0" y="0"/>
                      <a:ext cx="214337" cy="168086"/>
                    </a:xfrm>
                    <a:prstGeom prst="rect">
                      <a:avLst/>
                    </a:prstGeom>
                    <a:noFill/>
                    <a:ln w="9525">
                      <a:noFill/>
                      <a:miter lim="800000"/>
                      <a:headEnd/>
                      <a:tailEnd/>
                    </a:ln>
                  </pic:spPr>
                </pic:pic>
              </a:graphicData>
            </a:graphic>
          </wp:inline>
        </w:drawing>
      </w:r>
      <w:r w:rsidR="00D64187" w:rsidRPr="002A29FE">
        <w:rPr>
          <w:sz w:val="16"/>
          <w:szCs w:val="16"/>
        </w:rPr>
        <w:t xml:space="preserve"> </w:t>
      </w:r>
      <w:r w:rsidR="008A6B4A" w:rsidRPr="001472C3">
        <w:t xml:space="preserve"> </w:t>
      </w:r>
      <w:r w:rsidRPr="001472C3">
        <w:t>on one side and “225” on the other</w:t>
      </w:r>
      <w:r w:rsidR="00152B73" w:rsidRPr="001472C3">
        <w:t>.</w:t>
      </w:r>
      <w:r w:rsidR="00C67A47" w:rsidRPr="001472C3">
        <w:t xml:space="preserve"> </w:t>
      </w:r>
      <w:r w:rsidRPr="001472C3">
        <w:t>Bottles of 30</w:t>
      </w:r>
    </w:p>
    <w:p w:rsidR="00E35315" w:rsidRPr="00DB66DD" w:rsidRDefault="00C67A47" w:rsidP="00C67A47">
      <w:r w:rsidRPr="00DB66DD">
        <w:t xml:space="preserve">All strengths of </w:t>
      </w:r>
      <w:proofErr w:type="spellStart"/>
      <w:r w:rsidRPr="00DB66DD">
        <w:t>armodafinil</w:t>
      </w:r>
      <w:proofErr w:type="spellEnd"/>
      <w:r w:rsidRPr="00DB66DD">
        <w:t xml:space="preserve"> tablets are packaged in high density polyethylene (HDPE) bottles with child-resistant polypropylene closures</w:t>
      </w:r>
      <w:r w:rsidR="0051626C" w:rsidRPr="00DB66DD">
        <w:t xml:space="preserve"> and sealed with an induction inner seal. </w:t>
      </w:r>
    </w:p>
    <w:p w:rsidR="00C67A47" w:rsidRPr="001472C3" w:rsidRDefault="0051626C" w:rsidP="00C67A47">
      <w:r w:rsidRPr="00A75BBA">
        <w:t xml:space="preserve">The </w:t>
      </w:r>
      <w:r w:rsidR="001C58C5" w:rsidRPr="00A75BBA">
        <w:t>150</w:t>
      </w:r>
      <w:r w:rsidR="001B1AED">
        <w:t xml:space="preserve"> </w:t>
      </w:r>
      <w:r w:rsidR="001C58C5" w:rsidRPr="00A75BBA">
        <w:t>mg and 250</w:t>
      </w:r>
      <w:r w:rsidR="001B1AED">
        <w:t xml:space="preserve"> </w:t>
      </w:r>
      <w:r w:rsidR="001C58C5" w:rsidRPr="00A75BBA">
        <w:t xml:space="preserve">mg </w:t>
      </w:r>
      <w:r w:rsidRPr="00A75BBA">
        <w:t>strengths</w:t>
      </w:r>
      <w:r w:rsidRPr="00DB66DD">
        <w:t xml:space="preserve"> are also available in PVC blisters sealed to an aluminium foil lidding</w:t>
      </w:r>
      <w:r w:rsidR="00036BA7" w:rsidRPr="00DB66DD">
        <w:t xml:space="preserve"> (physician’s sample pack</w:t>
      </w:r>
      <w:r w:rsidR="00E35315" w:rsidRPr="00DB66DD">
        <w:t xml:space="preserve"> only)</w:t>
      </w:r>
      <w:r w:rsidR="00C67A47" w:rsidRPr="00DB66DD">
        <w:t>.</w:t>
      </w:r>
      <w:r w:rsidR="00C67A47" w:rsidRPr="00036BA7">
        <w:t xml:space="preserve"> </w:t>
      </w:r>
    </w:p>
    <w:p w:rsidR="00DD02F5" w:rsidRDefault="00DD02F5" w:rsidP="00B649F6">
      <w:r w:rsidRPr="001472C3">
        <w:t>Store below 25°C.</w:t>
      </w:r>
    </w:p>
    <w:p w:rsidR="006B1A0F" w:rsidRDefault="006B1A0F" w:rsidP="00B649F6">
      <w:r>
        <w:lastRenderedPageBreak/>
        <w:t>Protect from light.</w:t>
      </w:r>
    </w:p>
    <w:p w:rsidR="006B1A0F" w:rsidRPr="001472C3" w:rsidRDefault="006B1A0F" w:rsidP="00B649F6">
      <w:r>
        <w:t>Protect from moisture.</w:t>
      </w:r>
    </w:p>
    <w:p w:rsidR="00DD02F5" w:rsidRPr="001472C3" w:rsidRDefault="0028358D" w:rsidP="00F33911">
      <w:pPr>
        <w:pStyle w:val="Heading1"/>
        <w:suppressLineNumbers/>
        <w:suppressAutoHyphens/>
        <w:rPr>
          <w:noProof/>
        </w:rPr>
      </w:pPr>
      <w:r w:rsidRPr="001472C3">
        <w:rPr>
          <w:noProof/>
        </w:rPr>
        <w:t>NAME AND ADDRESS OF SPONSOR</w:t>
      </w:r>
    </w:p>
    <w:p w:rsidR="007D3583" w:rsidRPr="001472C3" w:rsidRDefault="007D3583" w:rsidP="007D3583">
      <w:pPr>
        <w:pStyle w:val="Heading1"/>
        <w:keepNext w:val="0"/>
        <w:suppressLineNumbers/>
        <w:suppressAutoHyphens/>
        <w:spacing w:after="0"/>
        <w:rPr>
          <w:b w:val="0"/>
        </w:rPr>
      </w:pPr>
      <w:proofErr w:type="spellStart"/>
      <w:r w:rsidRPr="001472C3">
        <w:rPr>
          <w:b w:val="0"/>
        </w:rPr>
        <w:t>Teva</w:t>
      </w:r>
      <w:proofErr w:type="spellEnd"/>
      <w:r w:rsidRPr="001472C3">
        <w:rPr>
          <w:b w:val="0"/>
        </w:rPr>
        <w:t xml:space="preserve"> Pharmaceutical</w:t>
      </w:r>
      <w:r w:rsidR="00202C0E">
        <w:rPr>
          <w:b w:val="0"/>
        </w:rPr>
        <w:t>s</w:t>
      </w:r>
      <w:r w:rsidRPr="001472C3">
        <w:rPr>
          <w:b w:val="0"/>
        </w:rPr>
        <w:t xml:space="preserve"> </w:t>
      </w:r>
      <w:r w:rsidR="00BB36C2">
        <w:rPr>
          <w:b w:val="0"/>
        </w:rPr>
        <w:t xml:space="preserve">Australia </w:t>
      </w:r>
      <w:r>
        <w:rPr>
          <w:b w:val="0"/>
        </w:rPr>
        <w:t xml:space="preserve">Pty </w:t>
      </w:r>
      <w:r w:rsidRPr="001472C3">
        <w:rPr>
          <w:b w:val="0"/>
        </w:rPr>
        <w:t>Ltd.</w:t>
      </w:r>
    </w:p>
    <w:p w:rsidR="007D3583" w:rsidRDefault="007D3583" w:rsidP="007D3583">
      <w:pPr>
        <w:pStyle w:val="Heading1"/>
        <w:keepNext w:val="0"/>
        <w:suppressLineNumbers/>
        <w:suppressAutoHyphens/>
        <w:spacing w:after="0"/>
        <w:rPr>
          <w:b w:val="0"/>
        </w:rPr>
      </w:pPr>
      <w:r>
        <w:rPr>
          <w:b w:val="0"/>
        </w:rPr>
        <w:t>Level 2</w:t>
      </w:r>
      <w:r w:rsidR="00F71582">
        <w:rPr>
          <w:b w:val="0"/>
        </w:rPr>
        <w:t>,</w:t>
      </w:r>
      <w:r>
        <w:rPr>
          <w:b w:val="0"/>
        </w:rPr>
        <w:t xml:space="preserve"> 37 Epping Road</w:t>
      </w:r>
    </w:p>
    <w:p w:rsidR="007D3583" w:rsidRDefault="007D3583" w:rsidP="007D3583">
      <w:pPr>
        <w:pStyle w:val="Heading1"/>
        <w:keepNext w:val="0"/>
        <w:suppressLineNumbers/>
        <w:suppressAutoHyphens/>
        <w:spacing w:after="0"/>
        <w:rPr>
          <w:b w:val="0"/>
        </w:rPr>
      </w:pPr>
      <w:r>
        <w:rPr>
          <w:b w:val="0"/>
        </w:rPr>
        <w:t>Macquarie P</w:t>
      </w:r>
      <w:r w:rsidRPr="00C73C05">
        <w:rPr>
          <w:b w:val="0"/>
        </w:rPr>
        <w:t xml:space="preserve">ark </w:t>
      </w:r>
    </w:p>
    <w:p w:rsidR="007D3583" w:rsidRPr="0068302E" w:rsidRDefault="007D3583" w:rsidP="007D3583">
      <w:pPr>
        <w:pStyle w:val="Heading1"/>
        <w:keepNext w:val="0"/>
        <w:suppressLineNumbers/>
        <w:suppressAutoHyphens/>
        <w:rPr>
          <w:b w:val="0"/>
        </w:rPr>
      </w:pPr>
      <w:r w:rsidRPr="00C73C05">
        <w:rPr>
          <w:b w:val="0"/>
        </w:rPr>
        <w:t xml:space="preserve">NSW 2113 </w:t>
      </w:r>
    </w:p>
    <w:p w:rsidR="00DD02F5" w:rsidRPr="001472C3" w:rsidRDefault="0028358D">
      <w:pPr>
        <w:pStyle w:val="Heading1"/>
      </w:pPr>
      <w:r w:rsidRPr="001472C3">
        <w:t>POISON SCHEDULE OF THE MEDICINE</w:t>
      </w:r>
    </w:p>
    <w:p w:rsidR="00DD02F5" w:rsidRPr="001472C3" w:rsidRDefault="0028358D">
      <w:pPr>
        <w:pStyle w:val="Heading1"/>
        <w:rPr>
          <w:b w:val="0"/>
        </w:rPr>
      </w:pPr>
      <w:r w:rsidRPr="001472C3">
        <w:rPr>
          <w:b w:val="0"/>
        </w:rPr>
        <w:t>Prescription Only Medicine (</w:t>
      </w:r>
      <w:r w:rsidR="00DD02F5" w:rsidRPr="001472C3">
        <w:rPr>
          <w:b w:val="0"/>
        </w:rPr>
        <w:t>S4</w:t>
      </w:r>
      <w:r w:rsidRPr="001472C3">
        <w:rPr>
          <w:b w:val="0"/>
        </w:rPr>
        <w:t>)</w:t>
      </w:r>
    </w:p>
    <w:p w:rsidR="00DD02F5" w:rsidRPr="001472C3" w:rsidRDefault="003D3714">
      <w:pPr>
        <w:pStyle w:val="Heading1"/>
      </w:pPr>
      <w:r w:rsidRPr="001472C3">
        <w:t>DATE OF FIRST INCLUSION IN THE AUSTRALIAN REGISTER OF THERAPEUTIC GOODS:</w:t>
      </w:r>
    </w:p>
    <w:p w:rsidR="00B524B4" w:rsidRPr="0078023F" w:rsidRDefault="00202C0E" w:rsidP="0078023F">
      <w:pPr>
        <w:pStyle w:val="Heading1"/>
        <w:rPr>
          <w:b w:val="0"/>
        </w:rPr>
      </w:pPr>
      <w:r>
        <w:rPr>
          <w:b w:val="0"/>
        </w:rPr>
        <w:t>26 November 2015</w:t>
      </w:r>
    </w:p>
    <w:p w:rsidR="00202C0E" w:rsidRDefault="003D3714" w:rsidP="0078023F">
      <w:pPr>
        <w:rPr>
          <w:b/>
        </w:rPr>
      </w:pPr>
      <w:r w:rsidRPr="001472C3">
        <w:rPr>
          <w:b/>
        </w:rPr>
        <w:t>DATE OF MOST RECENT AMENDMENT:</w:t>
      </w:r>
    </w:p>
    <w:p w:rsidR="00202C0E" w:rsidRDefault="00202C0E" w:rsidP="0078023F">
      <w:pPr>
        <w:rPr>
          <w:b/>
        </w:rPr>
      </w:pPr>
    </w:p>
    <w:p w:rsidR="00CD4B78" w:rsidRPr="001472C3" w:rsidRDefault="008A6B4A" w:rsidP="00F9053A">
      <w:pPr>
        <w:pStyle w:val="Heading1"/>
        <w:keepNext w:val="0"/>
        <w:suppressLineNumbers/>
        <w:suppressAutoHyphens/>
        <w:spacing w:after="0"/>
      </w:pPr>
      <w:r w:rsidRPr="001472C3">
        <w:rPr>
          <w:b w:val="0"/>
        </w:rPr>
        <w:t>NUVIGIL</w:t>
      </w:r>
      <w:r w:rsidR="00DD02F5" w:rsidRPr="001472C3">
        <w:rPr>
          <w:b w:val="0"/>
          <w:vertAlign w:val="superscript"/>
        </w:rPr>
        <w:t xml:space="preserve">® </w:t>
      </w:r>
      <w:r w:rsidR="00DD02F5" w:rsidRPr="001472C3">
        <w:rPr>
          <w:b w:val="0"/>
        </w:rPr>
        <w:t xml:space="preserve">is a registered trademark </w:t>
      </w:r>
      <w:r w:rsidRPr="001472C3">
        <w:rPr>
          <w:b w:val="0"/>
        </w:rPr>
        <w:t>of</w:t>
      </w:r>
      <w:r w:rsidRPr="001472C3">
        <w:t xml:space="preserve"> </w:t>
      </w:r>
      <w:proofErr w:type="spellStart"/>
      <w:r w:rsidRPr="001472C3">
        <w:rPr>
          <w:b w:val="0"/>
        </w:rPr>
        <w:t>Teva</w:t>
      </w:r>
      <w:proofErr w:type="spellEnd"/>
      <w:r w:rsidRPr="001472C3">
        <w:rPr>
          <w:b w:val="0"/>
        </w:rPr>
        <w:t xml:space="preserve"> Pharmaceutical Industries Ltd.</w:t>
      </w:r>
    </w:p>
    <w:sectPr w:rsidR="00CD4B78" w:rsidRPr="001472C3" w:rsidSect="009176F7">
      <w:headerReference w:type="default" r:id="rId11"/>
      <w:footerReference w:type="default" r:id="rId12"/>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4E6" w:rsidRDefault="005874E6">
      <w:r>
        <w:separator/>
      </w:r>
    </w:p>
  </w:endnote>
  <w:endnote w:type="continuationSeparator" w:id="0">
    <w:p w:rsidR="005874E6" w:rsidRDefault="0058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
    <w:altName w:val="Arial Unicode MS"/>
    <w:panose1 w:val="00000000000000000000"/>
    <w:charset w:val="80"/>
    <w:family w:val="auto"/>
    <w:notTrueType/>
    <w:pitch w:val="default"/>
    <w:sig w:usb0="00000083" w:usb1="09070000" w:usb2="00000010" w:usb3="00000000" w:csb0="000A0009" w:csb1="00000000"/>
  </w:font>
  <w:font w:name="Calibri">
    <w:panose1 w:val="020F0502020204030204"/>
    <w:charset w:val="00"/>
    <w:family w:val="swiss"/>
    <w:pitch w:val="variable"/>
    <w:sig w:usb0="E10002FF" w:usb1="4000ACFF" w:usb2="00000009" w:usb3="00000000" w:csb0="0000019F" w:csb1="00000000"/>
  </w:font>
  <w:font w:name="FranklinGothic-DemiCmpr">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4E6" w:rsidRDefault="005874E6" w:rsidP="00371176">
    <w:pPr>
      <w:pStyle w:val="Footer"/>
    </w:pPr>
  </w:p>
  <w:p w:rsidR="005874E6" w:rsidRDefault="005874E6" w:rsidP="003339E9">
    <w:pPr>
      <w:pStyle w:val="Footer"/>
    </w:pPr>
    <w:proofErr w:type="spellStart"/>
    <w:r>
      <w:t>Nuvigil</w:t>
    </w:r>
    <w:proofErr w:type="spellEnd"/>
    <w:r>
      <w:t xml:space="preserve"> (</w:t>
    </w:r>
    <w:proofErr w:type="spellStart"/>
    <w:r>
      <w:t>armodafinil</w:t>
    </w:r>
    <w:proofErr w:type="spellEnd"/>
    <w:r>
      <w:t>) PI _24 Nov 2015 V1.0</w:t>
    </w:r>
    <w:r w:rsidR="003339E9">
      <w:tab/>
    </w:r>
    <w:r w:rsidR="003339E9">
      <w:tab/>
    </w:r>
    <w:r w:rsidR="003339E9">
      <w:tab/>
    </w:r>
    <w:sdt>
      <w:sdtPr>
        <w:id w:val="-20896172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85E47">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4E6" w:rsidRDefault="005874E6">
      <w:r>
        <w:separator/>
      </w:r>
    </w:p>
  </w:footnote>
  <w:footnote w:type="continuationSeparator" w:id="0">
    <w:p w:rsidR="005874E6" w:rsidRDefault="00587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9243"/>
    </w:tblGrid>
    <w:tr w:rsidR="009176F7" w:rsidTr="009176F7">
      <w:tc>
        <w:tcPr>
          <w:tcW w:w="9243" w:type="dxa"/>
          <w:shd w:val="clear" w:color="auto" w:fill="E4F2E0"/>
        </w:tcPr>
        <w:p w:rsidR="009176F7" w:rsidRPr="009176F7" w:rsidRDefault="009176F7" w:rsidP="009176F7">
          <w:pPr>
            <w:pStyle w:val="Header"/>
            <w:tabs>
              <w:tab w:val="center" w:pos="4513"/>
            </w:tabs>
            <w:spacing w:after="0"/>
            <w:rPr>
              <w:rFonts w:asciiTheme="majorHAnsi" w:hAnsiTheme="majorHAnsi"/>
              <w:b/>
            </w:rPr>
          </w:pPr>
          <w:r w:rsidRPr="009176F7">
            <w:rPr>
              <w:rFonts w:asciiTheme="majorHAnsi" w:hAnsiTheme="majorHAnsi"/>
              <w:b/>
            </w:rPr>
            <w:t xml:space="preserve">Attachment 1: Product information for </w:t>
          </w:r>
          <w:proofErr w:type="spellStart"/>
          <w:r w:rsidRPr="009176F7">
            <w:rPr>
              <w:rFonts w:asciiTheme="majorHAnsi" w:hAnsiTheme="majorHAnsi"/>
              <w:b/>
            </w:rPr>
            <w:t>AusPAR</w:t>
          </w:r>
          <w:proofErr w:type="spellEnd"/>
          <w:r w:rsidRPr="009176F7">
            <w:rPr>
              <w:rFonts w:asciiTheme="majorHAnsi" w:hAnsiTheme="majorHAnsi"/>
              <w:b/>
            </w:rPr>
            <w:t xml:space="preserve"> </w:t>
          </w:r>
          <w:proofErr w:type="spellStart"/>
          <w:r w:rsidRPr="009176F7">
            <w:rPr>
              <w:rFonts w:asciiTheme="majorHAnsi" w:hAnsiTheme="majorHAnsi"/>
              <w:b/>
            </w:rPr>
            <w:t>Nuvigil</w:t>
          </w:r>
          <w:proofErr w:type="spellEnd"/>
          <w:r w:rsidRPr="009176F7">
            <w:rPr>
              <w:rFonts w:asciiTheme="majorHAnsi" w:hAnsiTheme="majorHAnsi"/>
              <w:b/>
            </w:rPr>
            <w:t xml:space="preserve"> </w:t>
          </w:r>
          <w:proofErr w:type="spellStart"/>
          <w:r w:rsidRPr="009176F7">
            <w:rPr>
              <w:rFonts w:asciiTheme="majorHAnsi" w:hAnsiTheme="majorHAnsi"/>
              <w:b/>
            </w:rPr>
            <w:t>Teva</w:t>
          </w:r>
          <w:proofErr w:type="spellEnd"/>
          <w:r w:rsidRPr="009176F7">
            <w:rPr>
              <w:rFonts w:asciiTheme="majorHAnsi" w:hAnsiTheme="majorHAnsi"/>
              <w:b/>
            </w:rPr>
            <w:t xml:space="preserve"> Pharmaceuticals Australia Pty Ltd PM-2014-01922-1-1</w:t>
          </w:r>
          <w:r>
            <w:rPr>
              <w:rFonts w:asciiTheme="majorHAnsi" w:hAnsiTheme="majorHAnsi"/>
              <w:b/>
            </w:rPr>
            <w:t xml:space="preserve"> </w:t>
          </w:r>
          <w:r w:rsidRPr="009176F7">
            <w:rPr>
              <w:rFonts w:asciiTheme="majorHAnsi" w:hAnsiTheme="majorHAnsi"/>
              <w:b/>
            </w:rPr>
            <w:t>Final 26 May 2016</w:t>
          </w:r>
          <w:r>
            <w:rPr>
              <w:rFonts w:asciiTheme="majorHAnsi" w:hAnsiTheme="majorHAnsi"/>
              <w:b/>
            </w:rPr>
            <w:t xml:space="preserve">. </w:t>
          </w:r>
          <w:r w:rsidRPr="009176F7">
            <w:rPr>
              <w:rFonts w:asciiTheme="majorHAnsi" w:hAnsiTheme="majorHAnsi"/>
              <w:b/>
            </w:rPr>
            <w:t xml:space="preserve">This Product Information was approved at the time this </w:t>
          </w:r>
          <w:proofErr w:type="spellStart"/>
          <w:r w:rsidRPr="009176F7">
            <w:rPr>
              <w:rFonts w:asciiTheme="majorHAnsi" w:hAnsiTheme="majorHAnsi"/>
              <w:b/>
            </w:rPr>
            <w:t>AusPAR</w:t>
          </w:r>
          <w:proofErr w:type="spellEnd"/>
          <w:r w:rsidRPr="009176F7">
            <w:rPr>
              <w:rFonts w:asciiTheme="majorHAnsi" w:hAnsiTheme="majorHAnsi"/>
              <w:b/>
            </w:rPr>
            <w:t xml:space="preserve"> was published.</w:t>
          </w:r>
        </w:p>
      </w:tc>
    </w:tr>
  </w:tbl>
  <w:p w:rsidR="00EE512E" w:rsidRDefault="00EE512E" w:rsidP="005874E6">
    <w:pPr>
      <w:pStyle w:val="Header"/>
      <w:tabs>
        <w:tab w:val="clear" w:pos="4153"/>
        <w:tab w:val="clear" w:pos="8306"/>
        <w:tab w:val="center" w:pos="4513"/>
      </w:tabs>
      <w:spacing w:after="0"/>
      <w:rPr>
        <w:b/>
        <w:sz w:val="24"/>
        <w:szCs w:val="24"/>
      </w:rPr>
    </w:pPr>
    <w:r>
      <w:rPr>
        <w:b/>
        <w:noProof/>
        <w:snapToGrid/>
        <w:sz w:val="24"/>
        <w:szCs w:val="24"/>
        <w:lang w:eastAsia="en-AU"/>
      </w:rPr>
      <w:drawing>
        <wp:anchor distT="0" distB="0" distL="114300" distR="114300" simplePos="0" relativeHeight="251659264" behindDoc="0" locked="0" layoutInCell="1" allowOverlap="1" wp14:anchorId="6704F900" wp14:editId="44D1597B">
          <wp:simplePos x="0" y="0"/>
          <wp:positionH relativeFrom="column">
            <wp:posOffset>4970780</wp:posOffset>
          </wp:positionH>
          <wp:positionV relativeFrom="paragraph">
            <wp:posOffset>5080</wp:posOffset>
          </wp:positionV>
          <wp:extent cx="813435" cy="775970"/>
          <wp:effectExtent l="0" t="0" r="5715"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va.jpg"/>
                  <pic:cNvPicPr/>
                </pic:nvPicPr>
                <pic:blipFill>
                  <a:blip r:embed="rId1">
                    <a:extLst>
                      <a:ext uri="{28A0092B-C50C-407E-A947-70E740481C1C}">
                        <a14:useLocalDpi xmlns:a14="http://schemas.microsoft.com/office/drawing/2010/main" val="0"/>
                      </a:ext>
                    </a:extLst>
                  </a:blip>
                  <a:stretch>
                    <a:fillRect/>
                  </a:stretch>
                </pic:blipFill>
                <pic:spPr>
                  <a:xfrm>
                    <a:off x="0" y="0"/>
                    <a:ext cx="813435" cy="775970"/>
                  </a:xfrm>
                  <a:prstGeom prst="rect">
                    <a:avLst/>
                  </a:prstGeom>
                </pic:spPr>
              </pic:pic>
            </a:graphicData>
          </a:graphic>
          <wp14:sizeRelH relativeFrom="page">
            <wp14:pctWidth>0</wp14:pctWidth>
          </wp14:sizeRelH>
          <wp14:sizeRelV relativeFrom="page">
            <wp14:pctHeight>0</wp14:pctHeight>
          </wp14:sizeRelV>
        </wp:anchor>
      </w:drawing>
    </w:r>
  </w:p>
  <w:p w:rsidR="009176F7" w:rsidRDefault="009176F7" w:rsidP="005874E6">
    <w:pPr>
      <w:pStyle w:val="Header"/>
      <w:tabs>
        <w:tab w:val="clear" w:pos="4153"/>
        <w:tab w:val="clear" w:pos="8306"/>
        <w:tab w:val="center" w:pos="4513"/>
      </w:tabs>
      <w:spacing w:after="0"/>
      <w:rPr>
        <w:b/>
        <w:sz w:val="24"/>
        <w:szCs w:val="24"/>
      </w:rPr>
    </w:pPr>
  </w:p>
  <w:p w:rsidR="005874E6" w:rsidRPr="005874E6" w:rsidRDefault="005874E6" w:rsidP="005874E6">
    <w:pPr>
      <w:pStyle w:val="Header"/>
      <w:tabs>
        <w:tab w:val="clear" w:pos="4153"/>
        <w:tab w:val="clear" w:pos="8306"/>
        <w:tab w:val="center" w:pos="4513"/>
      </w:tabs>
      <w:spacing w:after="0"/>
      <w:rPr>
        <w:rFonts w:cs="Arial"/>
        <w:b/>
        <w:sz w:val="24"/>
        <w:szCs w:val="24"/>
        <w:vertAlign w:val="superscript"/>
      </w:rPr>
    </w:pPr>
    <w:r w:rsidRPr="005874E6">
      <w:rPr>
        <w:b/>
        <w:sz w:val="24"/>
        <w:szCs w:val="24"/>
      </w:rPr>
      <w:t>NUVIGIL</w:t>
    </w:r>
    <w:r w:rsidRPr="005874E6">
      <w:rPr>
        <w:rFonts w:cs="Arial"/>
        <w:b/>
        <w:sz w:val="24"/>
        <w:szCs w:val="24"/>
        <w:vertAlign w:val="superscript"/>
      </w:rPr>
      <w:t>®</w:t>
    </w:r>
  </w:p>
  <w:p w:rsidR="005874E6" w:rsidRPr="005874E6" w:rsidRDefault="005874E6" w:rsidP="005874E6">
    <w:pPr>
      <w:pStyle w:val="Header"/>
      <w:tabs>
        <w:tab w:val="clear" w:pos="4153"/>
        <w:tab w:val="clear" w:pos="8306"/>
        <w:tab w:val="center" w:pos="4513"/>
      </w:tabs>
      <w:spacing w:after="0"/>
      <w:rPr>
        <w:rFonts w:cs="Arial"/>
        <w:b/>
        <w:sz w:val="24"/>
        <w:szCs w:val="24"/>
      </w:rPr>
    </w:pPr>
    <w:proofErr w:type="spellStart"/>
    <w:proofErr w:type="gramStart"/>
    <w:r w:rsidRPr="005874E6">
      <w:rPr>
        <w:rFonts w:cs="Arial"/>
        <w:b/>
        <w:sz w:val="24"/>
        <w:szCs w:val="24"/>
      </w:rPr>
      <w:t>armodafinil</w:t>
    </w:r>
    <w:proofErr w:type="spellEnd"/>
    <w:proofErr w:type="gramEnd"/>
  </w:p>
  <w:p w:rsidR="005874E6" w:rsidRPr="00F33911" w:rsidRDefault="00867107" w:rsidP="005874E6">
    <w:pPr>
      <w:pStyle w:val="Header"/>
      <w:tabs>
        <w:tab w:val="clear" w:pos="4153"/>
        <w:tab w:val="clear" w:pos="8306"/>
        <w:tab w:val="center" w:pos="4513"/>
      </w:tabs>
      <w:rPr>
        <w:rFonts w:cs="Arial"/>
        <w:sz w:val="24"/>
        <w:szCs w:val="24"/>
      </w:rPr>
    </w:pPr>
    <w:r>
      <w:rPr>
        <w:rFonts w:cs="Arial"/>
        <w:sz w:val="24"/>
        <w:szCs w:val="24"/>
      </w:rPr>
      <w:pict>
        <v:rect id="_x0000_i1039" style="width:451.35pt;height:2.1pt" o:hralign="center" o:hrstd="t" o:hrnoshade="t" o:hr="t" fillcolor="black [3213]"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A228E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388CEB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CAB8"/>
    <w:lvl w:ilvl="0">
      <w:start w:val="1"/>
      <w:numFmt w:val="decimal"/>
      <w:pStyle w:val="ListNumber3"/>
      <w:lvlText w:val="%1."/>
      <w:lvlJc w:val="left"/>
      <w:pPr>
        <w:tabs>
          <w:tab w:val="num" w:pos="926"/>
        </w:tabs>
        <w:ind w:left="926" w:hanging="360"/>
      </w:pPr>
    </w:lvl>
  </w:abstractNum>
  <w:abstractNum w:abstractNumId="3">
    <w:nsid w:val="FFFFFF7F"/>
    <w:multiLevelType w:val="singleLevel"/>
    <w:tmpl w:val="791236B4"/>
    <w:lvl w:ilvl="0">
      <w:start w:val="1"/>
      <w:numFmt w:val="decimal"/>
      <w:pStyle w:val="ListNumber2"/>
      <w:lvlText w:val="%1."/>
      <w:lvlJc w:val="left"/>
      <w:pPr>
        <w:tabs>
          <w:tab w:val="num" w:pos="643"/>
        </w:tabs>
        <w:ind w:left="643" w:hanging="360"/>
      </w:pPr>
    </w:lvl>
  </w:abstractNum>
  <w:abstractNum w:abstractNumId="4">
    <w:nsid w:val="FFFFFF80"/>
    <w:multiLevelType w:val="singleLevel"/>
    <w:tmpl w:val="27566B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108F57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7DE1A5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376D56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9FCFA2A"/>
    <w:lvl w:ilvl="0">
      <w:start w:val="1"/>
      <w:numFmt w:val="decimal"/>
      <w:pStyle w:val="ListNumber"/>
      <w:lvlText w:val="%1."/>
      <w:lvlJc w:val="left"/>
      <w:pPr>
        <w:tabs>
          <w:tab w:val="num" w:pos="360"/>
        </w:tabs>
        <w:ind w:left="360" w:hanging="360"/>
      </w:pPr>
    </w:lvl>
  </w:abstractNum>
  <w:abstractNum w:abstractNumId="9">
    <w:nsid w:val="FFFFFF89"/>
    <w:multiLevelType w:val="singleLevel"/>
    <w:tmpl w:val="CF800D5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93574B"/>
    <w:multiLevelType w:val="singleLevel"/>
    <w:tmpl w:val="F454F6BE"/>
    <w:lvl w:ilvl="0">
      <w:start w:val="1"/>
      <w:numFmt w:val="decimal"/>
      <w:lvlText w:val="%1."/>
      <w:lvlJc w:val="left"/>
      <w:pPr>
        <w:tabs>
          <w:tab w:val="num" w:pos="360"/>
        </w:tabs>
        <w:ind w:left="360" w:hanging="360"/>
      </w:pPr>
      <w:rPr>
        <w:sz w:val="18"/>
      </w:rPr>
    </w:lvl>
  </w:abstractNum>
  <w:abstractNum w:abstractNumId="11">
    <w:nsid w:val="08AD77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093A194D"/>
    <w:multiLevelType w:val="hybridMultilevel"/>
    <w:tmpl w:val="AB3A5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5E5146E"/>
    <w:multiLevelType w:val="hybridMultilevel"/>
    <w:tmpl w:val="E6BEB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A7C4E0D"/>
    <w:multiLevelType w:val="hybridMultilevel"/>
    <w:tmpl w:val="3E940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DDA6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278F599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2A6405C6"/>
    <w:multiLevelType w:val="hybridMultilevel"/>
    <w:tmpl w:val="721AF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E8B538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2F800416"/>
    <w:multiLevelType w:val="singleLevel"/>
    <w:tmpl w:val="E8803714"/>
    <w:lvl w:ilvl="0">
      <w:start w:val="1"/>
      <w:numFmt w:val="decimal"/>
      <w:lvlText w:val="%1"/>
      <w:lvlJc w:val="left"/>
      <w:pPr>
        <w:tabs>
          <w:tab w:val="num" w:pos="1080"/>
        </w:tabs>
        <w:ind w:left="1080" w:hanging="360"/>
      </w:pPr>
      <w:rPr>
        <w:rFonts w:hint="default"/>
      </w:rPr>
    </w:lvl>
  </w:abstractNum>
  <w:abstractNum w:abstractNumId="20">
    <w:nsid w:val="33CD6FA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34E0249E"/>
    <w:multiLevelType w:val="hybridMultilevel"/>
    <w:tmpl w:val="FD52F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4EE5B5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39F34F3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3AB4400E"/>
    <w:multiLevelType w:val="singleLevel"/>
    <w:tmpl w:val="8BA22A9E"/>
    <w:lvl w:ilvl="0">
      <w:start w:val="1"/>
      <w:numFmt w:val="decimal"/>
      <w:lvlText w:val="%1."/>
      <w:lvlJc w:val="left"/>
      <w:pPr>
        <w:tabs>
          <w:tab w:val="num" w:pos="360"/>
        </w:tabs>
        <w:ind w:left="360" w:hanging="360"/>
      </w:pPr>
      <w:rPr>
        <w:b w:val="0"/>
        <w:i w:val="0"/>
      </w:rPr>
    </w:lvl>
  </w:abstractNum>
  <w:abstractNum w:abstractNumId="25">
    <w:nsid w:val="423C397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nsid w:val="446D5153"/>
    <w:multiLevelType w:val="hybridMultilevel"/>
    <w:tmpl w:val="98E4CB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nsid w:val="4ECF1016"/>
    <w:multiLevelType w:val="hybridMultilevel"/>
    <w:tmpl w:val="9A5060F0"/>
    <w:lvl w:ilvl="0" w:tplc="736EAF3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0E51736"/>
    <w:multiLevelType w:val="hybridMultilevel"/>
    <w:tmpl w:val="69126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4F73F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nsid w:val="5C43479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nsid w:val="602D693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nsid w:val="6CA547ED"/>
    <w:multiLevelType w:val="hybridMultilevel"/>
    <w:tmpl w:val="C6ECC3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59C35B6"/>
    <w:multiLevelType w:val="hybridMultilevel"/>
    <w:tmpl w:val="4D320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74B50C5"/>
    <w:multiLevelType w:val="hybridMultilevel"/>
    <w:tmpl w:val="B0E24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9"/>
  </w:num>
  <w:num w:numId="4">
    <w:abstractNumId w:val="24"/>
  </w:num>
  <w:num w:numId="5">
    <w:abstractNumId w:val="29"/>
  </w:num>
  <w:num w:numId="6">
    <w:abstractNumId w:val="23"/>
  </w:num>
  <w:num w:numId="7">
    <w:abstractNumId w:val="15"/>
  </w:num>
  <w:num w:numId="8">
    <w:abstractNumId w:val="31"/>
  </w:num>
  <w:num w:numId="9">
    <w:abstractNumId w:val="25"/>
  </w:num>
  <w:num w:numId="10">
    <w:abstractNumId w:val="11"/>
  </w:num>
  <w:num w:numId="11">
    <w:abstractNumId w:val="22"/>
  </w:num>
  <w:num w:numId="12">
    <w:abstractNumId w:val="20"/>
  </w:num>
  <w:num w:numId="13">
    <w:abstractNumId w:val="30"/>
  </w:num>
  <w:num w:numId="14">
    <w:abstractNumId w:val="18"/>
  </w:num>
  <w:num w:numId="15">
    <w:abstractNumId w:val="26"/>
  </w:num>
  <w:num w:numId="16">
    <w:abstractNumId w:val="32"/>
  </w:num>
  <w:num w:numId="17">
    <w:abstractNumId w:val="27"/>
  </w:num>
  <w:num w:numId="18">
    <w:abstractNumId w:val="33"/>
  </w:num>
  <w:num w:numId="19">
    <w:abstractNumId w:val="21"/>
  </w:num>
  <w:num w:numId="20">
    <w:abstractNumId w:val="12"/>
  </w:num>
  <w:num w:numId="21">
    <w:abstractNumId w:val="13"/>
  </w:num>
  <w:num w:numId="22">
    <w:abstractNumId w:val="34"/>
  </w:num>
  <w:num w:numId="23">
    <w:abstractNumId w:val="17"/>
  </w:num>
  <w:num w:numId="24">
    <w:abstractNumId w:val="14"/>
  </w:num>
  <w:num w:numId="25">
    <w:abstractNumId w:val="28"/>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E6"/>
    <w:rsid w:val="00001C1A"/>
    <w:rsid w:val="000039D7"/>
    <w:rsid w:val="00007E10"/>
    <w:rsid w:val="000123A5"/>
    <w:rsid w:val="000140E6"/>
    <w:rsid w:val="000142EF"/>
    <w:rsid w:val="00015C01"/>
    <w:rsid w:val="00015E83"/>
    <w:rsid w:val="000174D8"/>
    <w:rsid w:val="0002043A"/>
    <w:rsid w:val="000264AE"/>
    <w:rsid w:val="00027885"/>
    <w:rsid w:val="000304AA"/>
    <w:rsid w:val="000319F5"/>
    <w:rsid w:val="000360C8"/>
    <w:rsid w:val="000366E9"/>
    <w:rsid w:val="00036BA7"/>
    <w:rsid w:val="00042511"/>
    <w:rsid w:val="00046FF8"/>
    <w:rsid w:val="00047667"/>
    <w:rsid w:val="00047C5B"/>
    <w:rsid w:val="0005189C"/>
    <w:rsid w:val="0005381F"/>
    <w:rsid w:val="00055927"/>
    <w:rsid w:val="00055AF9"/>
    <w:rsid w:val="00055BBE"/>
    <w:rsid w:val="00057287"/>
    <w:rsid w:val="00057590"/>
    <w:rsid w:val="00057675"/>
    <w:rsid w:val="00060019"/>
    <w:rsid w:val="00060C3E"/>
    <w:rsid w:val="00060D33"/>
    <w:rsid w:val="00063DA6"/>
    <w:rsid w:val="0006515F"/>
    <w:rsid w:val="0007184E"/>
    <w:rsid w:val="0007248E"/>
    <w:rsid w:val="00073CF7"/>
    <w:rsid w:val="000804AB"/>
    <w:rsid w:val="00080CA1"/>
    <w:rsid w:val="000827DF"/>
    <w:rsid w:val="000839F0"/>
    <w:rsid w:val="000850E6"/>
    <w:rsid w:val="00087E76"/>
    <w:rsid w:val="00091B74"/>
    <w:rsid w:val="00095AFC"/>
    <w:rsid w:val="00096C6B"/>
    <w:rsid w:val="00097E4A"/>
    <w:rsid w:val="000A010F"/>
    <w:rsid w:val="000A1B18"/>
    <w:rsid w:val="000A33B1"/>
    <w:rsid w:val="000A5530"/>
    <w:rsid w:val="000A5CAC"/>
    <w:rsid w:val="000A6DB8"/>
    <w:rsid w:val="000B1BCC"/>
    <w:rsid w:val="000B1EA3"/>
    <w:rsid w:val="000B22A0"/>
    <w:rsid w:val="000B55F1"/>
    <w:rsid w:val="000C3364"/>
    <w:rsid w:val="000C77CA"/>
    <w:rsid w:val="000D1D5C"/>
    <w:rsid w:val="000D3150"/>
    <w:rsid w:val="000D3291"/>
    <w:rsid w:val="000D630F"/>
    <w:rsid w:val="000D726C"/>
    <w:rsid w:val="000E0240"/>
    <w:rsid w:val="000E2C9B"/>
    <w:rsid w:val="000E2F44"/>
    <w:rsid w:val="000E6802"/>
    <w:rsid w:val="000E6864"/>
    <w:rsid w:val="000E732D"/>
    <w:rsid w:val="000E7E83"/>
    <w:rsid w:val="000F592E"/>
    <w:rsid w:val="000F6FE4"/>
    <w:rsid w:val="000F763E"/>
    <w:rsid w:val="00104A50"/>
    <w:rsid w:val="00105654"/>
    <w:rsid w:val="001103A7"/>
    <w:rsid w:val="00116F8B"/>
    <w:rsid w:val="00121C3A"/>
    <w:rsid w:val="00122843"/>
    <w:rsid w:val="00122941"/>
    <w:rsid w:val="00123672"/>
    <w:rsid w:val="001258F0"/>
    <w:rsid w:val="00126FDB"/>
    <w:rsid w:val="00127D30"/>
    <w:rsid w:val="00130A97"/>
    <w:rsid w:val="00131D18"/>
    <w:rsid w:val="00132807"/>
    <w:rsid w:val="00132812"/>
    <w:rsid w:val="00135B0A"/>
    <w:rsid w:val="00140E19"/>
    <w:rsid w:val="001421FC"/>
    <w:rsid w:val="00142C90"/>
    <w:rsid w:val="00143E91"/>
    <w:rsid w:val="0014719F"/>
    <w:rsid w:val="001472C3"/>
    <w:rsid w:val="00151328"/>
    <w:rsid w:val="0015219F"/>
    <w:rsid w:val="00152B73"/>
    <w:rsid w:val="00155137"/>
    <w:rsid w:val="00157EDF"/>
    <w:rsid w:val="001632C6"/>
    <w:rsid w:val="001639B1"/>
    <w:rsid w:val="00164024"/>
    <w:rsid w:val="0016548B"/>
    <w:rsid w:val="00173465"/>
    <w:rsid w:val="0017348B"/>
    <w:rsid w:val="00174B6C"/>
    <w:rsid w:val="00175143"/>
    <w:rsid w:val="001765B2"/>
    <w:rsid w:val="00176AA2"/>
    <w:rsid w:val="001801B1"/>
    <w:rsid w:val="00180CD8"/>
    <w:rsid w:val="001837A3"/>
    <w:rsid w:val="001840FA"/>
    <w:rsid w:val="001844AA"/>
    <w:rsid w:val="0018561D"/>
    <w:rsid w:val="0019176B"/>
    <w:rsid w:val="001938C6"/>
    <w:rsid w:val="001941DC"/>
    <w:rsid w:val="00195BD7"/>
    <w:rsid w:val="001979CF"/>
    <w:rsid w:val="001A11A7"/>
    <w:rsid w:val="001A1A35"/>
    <w:rsid w:val="001A31C4"/>
    <w:rsid w:val="001A4F5B"/>
    <w:rsid w:val="001B1AED"/>
    <w:rsid w:val="001B4CEB"/>
    <w:rsid w:val="001C1604"/>
    <w:rsid w:val="001C1B74"/>
    <w:rsid w:val="001C1DFC"/>
    <w:rsid w:val="001C5172"/>
    <w:rsid w:val="001C58C5"/>
    <w:rsid w:val="001C68B5"/>
    <w:rsid w:val="001D0350"/>
    <w:rsid w:val="001D1FF9"/>
    <w:rsid w:val="001D3D5A"/>
    <w:rsid w:val="001D4900"/>
    <w:rsid w:val="001D5191"/>
    <w:rsid w:val="001D59C8"/>
    <w:rsid w:val="001D62FA"/>
    <w:rsid w:val="001D747F"/>
    <w:rsid w:val="001D7BDF"/>
    <w:rsid w:val="001E011A"/>
    <w:rsid w:val="001E33F5"/>
    <w:rsid w:val="001E3A4A"/>
    <w:rsid w:val="001E4A68"/>
    <w:rsid w:val="001E7598"/>
    <w:rsid w:val="001F0134"/>
    <w:rsid w:val="001F17C0"/>
    <w:rsid w:val="001F271C"/>
    <w:rsid w:val="001F60AA"/>
    <w:rsid w:val="001F6C17"/>
    <w:rsid w:val="001F7161"/>
    <w:rsid w:val="002019CD"/>
    <w:rsid w:val="00201EC5"/>
    <w:rsid w:val="00201F32"/>
    <w:rsid w:val="00202C0E"/>
    <w:rsid w:val="00202F4C"/>
    <w:rsid w:val="002030D8"/>
    <w:rsid w:val="00205729"/>
    <w:rsid w:val="002117F8"/>
    <w:rsid w:val="00212763"/>
    <w:rsid w:val="00213618"/>
    <w:rsid w:val="00213F23"/>
    <w:rsid w:val="00216240"/>
    <w:rsid w:val="0022114C"/>
    <w:rsid w:val="002245EB"/>
    <w:rsid w:val="00224AFE"/>
    <w:rsid w:val="0022581C"/>
    <w:rsid w:val="002260F1"/>
    <w:rsid w:val="00232512"/>
    <w:rsid w:val="00234802"/>
    <w:rsid w:val="002349F3"/>
    <w:rsid w:val="00234FFB"/>
    <w:rsid w:val="00235766"/>
    <w:rsid w:val="0023741F"/>
    <w:rsid w:val="00240EC3"/>
    <w:rsid w:val="00242A19"/>
    <w:rsid w:val="00243E74"/>
    <w:rsid w:val="00245A43"/>
    <w:rsid w:val="00245A49"/>
    <w:rsid w:val="00247293"/>
    <w:rsid w:val="00250224"/>
    <w:rsid w:val="00251C4B"/>
    <w:rsid w:val="00251DCA"/>
    <w:rsid w:val="00251F70"/>
    <w:rsid w:val="0025378F"/>
    <w:rsid w:val="00254BE5"/>
    <w:rsid w:val="00265716"/>
    <w:rsid w:val="002663C5"/>
    <w:rsid w:val="002668A7"/>
    <w:rsid w:val="00267758"/>
    <w:rsid w:val="00267E6B"/>
    <w:rsid w:val="00270CC8"/>
    <w:rsid w:val="00272AFC"/>
    <w:rsid w:val="00275774"/>
    <w:rsid w:val="0027658C"/>
    <w:rsid w:val="002808D2"/>
    <w:rsid w:val="0028132B"/>
    <w:rsid w:val="002818E3"/>
    <w:rsid w:val="0028358D"/>
    <w:rsid w:val="00286090"/>
    <w:rsid w:val="0029254C"/>
    <w:rsid w:val="00294113"/>
    <w:rsid w:val="002963B9"/>
    <w:rsid w:val="00297A43"/>
    <w:rsid w:val="002A0674"/>
    <w:rsid w:val="002A09E1"/>
    <w:rsid w:val="002A350B"/>
    <w:rsid w:val="002A4173"/>
    <w:rsid w:val="002A51EE"/>
    <w:rsid w:val="002A7141"/>
    <w:rsid w:val="002B0060"/>
    <w:rsid w:val="002B1E65"/>
    <w:rsid w:val="002B7724"/>
    <w:rsid w:val="002C2A64"/>
    <w:rsid w:val="002C2B46"/>
    <w:rsid w:val="002C2C4F"/>
    <w:rsid w:val="002C30EE"/>
    <w:rsid w:val="002C3753"/>
    <w:rsid w:val="002C68D3"/>
    <w:rsid w:val="002C7DF1"/>
    <w:rsid w:val="002D1056"/>
    <w:rsid w:val="002D1150"/>
    <w:rsid w:val="002D1F5C"/>
    <w:rsid w:val="002D21A4"/>
    <w:rsid w:val="002D4D0C"/>
    <w:rsid w:val="002D5345"/>
    <w:rsid w:val="002D5E47"/>
    <w:rsid w:val="002E11A7"/>
    <w:rsid w:val="002E4719"/>
    <w:rsid w:val="002E725A"/>
    <w:rsid w:val="002F05DD"/>
    <w:rsid w:val="002F3773"/>
    <w:rsid w:val="002F441E"/>
    <w:rsid w:val="002F7BC1"/>
    <w:rsid w:val="0030693F"/>
    <w:rsid w:val="00310B25"/>
    <w:rsid w:val="00311011"/>
    <w:rsid w:val="0031178E"/>
    <w:rsid w:val="003126BB"/>
    <w:rsid w:val="00313B46"/>
    <w:rsid w:val="00316013"/>
    <w:rsid w:val="00322360"/>
    <w:rsid w:val="00323988"/>
    <w:rsid w:val="0032464A"/>
    <w:rsid w:val="00326A42"/>
    <w:rsid w:val="003339E9"/>
    <w:rsid w:val="00334B6E"/>
    <w:rsid w:val="0033758A"/>
    <w:rsid w:val="0034308F"/>
    <w:rsid w:val="0034366A"/>
    <w:rsid w:val="003448BC"/>
    <w:rsid w:val="00350F4B"/>
    <w:rsid w:val="00350FD8"/>
    <w:rsid w:val="00352312"/>
    <w:rsid w:val="0035392E"/>
    <w:rsid w:val="00356DF6"/>
    <w:rsid w:val="00357AC2"/>
    <w:rsid w:val="00361A66"/>
    <w:rsid w:val="00362F66"/>
    <w:rsid w:val="00362FA9"/>
    <w:rsid w:val="00371176"/>
    <w:rsid w:val="0037169B"/>
    <w:rsid w:val="00382E57"/>
    <w:rsid w:val="003875C2"/>
    <w:rsid w:val="00387DFB"/>
    <w:rsid w:val="00394543"/>
    <w:rsid w:val="00394E13"/>
    <w:rsid w:val="003976C9"/>
    <w:rsid w:val="003A4763"/>
    <w:rsid w:val="003A4A43"/>
    <w:rsid w:val="003A75FA"/>
    <w:rsid w:val="003A7AE4"/>
    <w:rsid w:val="003B0CEF"/>
    <w:rsid w:val="003B2942"/>
    <w:rsid w:val="003B611C"/>
    <w:rsid w:val="003B7012"/>
    <w:rsid w:val="003B7641"/>
    <w:rsid w:val="003C0508"/>
    <w:rsid w:val="003C054E"/>
    <w:rsid w:val="003C17B3"/>
    <w:rsid w:val="003C6768"/>
    <w:rsid w:val="003C6A6E"/>
    <w:rsid w:val="003C7D01"/>
    <w:rsid w:val="003C7E9A"/>
    <w:rsid w:val="003D1864"/>
    <w:rsid w:val="003D21F0"/>
    <w:rsid w:val="003D2911"/>
    <w:rsid w:val="003D3188"/>
    <w:rsid w:val="003D3714"/>
    <w:rsid w:val="003D545B"/>
    <w:rsid w:val="003D73D4"/>
    <w:rsid w:val="003E24CF"/>
    <w:rsid w:val="003E566C"/>
    <w:rsid w:val="003E64EC"/>
    <w:rsid w:val="003E7378"/>
    <w:rsid w:val="003E7A55"/>
    <w:rsid w:val="003F17BE"/>
    <w:rsid w:val="003F321D"/>
    <w:rsid w:val="003F4D0D"/>
    <w:rsid w:val="003F5104"/>
    <w:rsid w:val="003F5DCB"/>
    <w:rsid w:val="003F6268"/>
    <w:rsid w:val="003F659E"/>
    <w:rsid w:val="0040094B"/>
    <w:rsid w:val="004013BB"/>
    <w:rsid w:val="00402FEB"/>
    <w:rsid w:val="00406657"/>
    <w:rsid w:val="00406687"/>
    <w:rsid w:val="00406964"/>
    <w:rsid w:val="004075B1"/>
    <w:rsid w:val="00407621"/>
    <w:rsid w:val="0040798E"/>
    <w:rsid w:val="00410DCB"/>
    <w:rsid w:val="00412A3C"/>
    <w:rsid w:val="004144DA"/>
    <w:rsid w:val="0041598C"/>
    <w:rsid w:val="00415EB7"/>
    <w:rsid w:val="00417FB2"/>
    <w:rsid w:val="00420759"/>
    <w:rsid w:val="00423413"/>
    <w:rsid w:val="004278EC"/>
    <w:rsid w:val="004300F0"/>
    <w:rsid w:val="00430875"/>
    <w:rsid w:val="004354C2"/>
    <w:rsid w:val="00435E98"/>
    <w:rsid w:val="004378B1"/>
    <w:rsid w:val="00440008"/>
    <w:rsid w:val="00440867"/>
    <w:rsid w:val="00444EFA"/>
    <w:rsid w:val="004458F1"/>
    <w:rsid w:val="00446DEE"/>
    <w:rsid w:val="004537A8"/>
    <w:rsid w:val="004540FE"/>
    <w:rsid w:val="00456ED4"/>
    <w:rsid w:val="00457EEE"/>
    <w:rsid w:val="004613CB"/>
    <w:rsid w:val="0046201E"/>
    <w:rsid w:val="0046416C"/>
    <w:rsid w:val="00467DAA"/>
    <w:rsid w:val="00470D29"/>
    <w:rsid w:val="0047326F"/>
    <w:rsid w:val="00480944"/>
    <w:rsid w:val="004848C8"/>
    <w:rsid w:val="00485EFF"/>
    <w:rsid w:val="00490A1D"/>
    <w:rsid w:val="004919AF"/>
    <w:rsid w:val="004A0492"/>
    <w:rsid w:val="004A129F"/>
    <w:rsid w:val="004A2B90"/>
    <w:rsid w:val="004A4A71"/>
    <w:rsid w:val="004B476D"/>
    <w:rsid w:val="004B47D3"/>
    <w:rsid w:val="004B543F"/>
    <w:rsid w:val="004B564E"/>
    <w:rsid w:val="004B590F"/>
    <w:rsid w:val="004B6ACF"/>
    <w:rsid w:val="004C01A6"/>
    <w:rsid w:val="004C1033"/>
    <w:rsid w:val="004C2CB7"/>
    <w:rsid w:val="004C31B5"/>
    <w:rsid w:val="004C4CF9"/>
    <w:rsid w:val="004C5ACF"/>
    <w:rsid w:val="004C7AFD"/>
    <w:rsid w:val="004D1E67"/>
    <w:rsid w:val="004D3BA5"/>
    <w:rsid w:val="004D5348"/>
    <w:rsid w:val="004D72AE"/>
    <w:rsid w:val="004E21E7"/>
    <w:rsid w:val="004E42EB"/>
    <w:rsid w:val="004E6356"/>
    <w:rsid w:val="004E7974"/>
    <w:rsid w:val="004E7ABF"/>
    <w:rsid w:val="004F07E3"/>
    <w:rsid w:val="004F0ABC"/>
    <w:rsid w:val="004F4F7D"/>
    <w:rsid w:val="004F6B50"/>
    <w:rsid w:val="004F7257"/>
    <w:rsid w:val="00500C7C"/>
    <w:rsid w:val="00501F0F"/>
    <w:rsid w:val="00502F15"/>
    <w:rsid w:val="005040FC"/>
    <w:rsid w:val="00504CBC"/>
    <w:rsid w:val="00505F25"/>
    <w:rsid w:val="00511529"/>
    <w:rsid w:val="0051207C"/>
    <w:rsid w:val="0051421F"/>
    <w:rsid w:val="0051534A"/>
    <w:rsid w:val="00515B61"/>
    <w:rsid w:val="00515C0D"/>
    <w:rsid w:val="0051626C"/>
    <w:rsid w:val="005171C8"/>
    <w:rsid w:val="00525BD9"/>
    <w:rsid w:val="00526394"/>
    <w:rsid w:val="00526F81"/>
    <w:rsid w:val="005306E9"/>
    <w:rsid w:val="0053192E"/>
    <w:rsid w:val="00532411"/>
    <w:rsid w:val="005337BC"/>
    <w:rsid w:val="0053509E"/>
    <w:rsid w:val="00536314"/>
    <w:rsid w:val="00541076"/>
    <w:rsid w:val="00542509"/>
    <w:rsid w:val="00543EB0"/>
    <w:rsid w:val="00546DAF"/>
    <w:rsid w:val="00546FB3"/>
    <w:rsid w:val="00552E1B"/>
    <w:rsid w:val="0055583B"/>
    <w:rsid w:val="0055607D"/>
    <w:rsid w:val="005579A8"/>
    <w:rsid w:val="00560087"/>
    <w:rsid w:val="00560C2F"/>
    <w:rsid w:val="00563C63"/>
    <w:rsid w:val="00570369"/>
    <w:rsid w:val="00570763"/>
    <w:rsid w:val="00574060"/>
    <w:rsid w:val="00574A4D"/>
    <w:rsid w:val="0058095D"/>
    <w:rsid w:val="00581DF9"/>
    <w:rsid w:val="00582C10"/>
    <w:rsid w:val="005838D2"/>
    <w:rsid w:val="00585009"/>
    <w:rsid w:val="00585E47"/>
    <w:rsid w:val="00586178"/>
    <w:rsid w:val="005874E6"/>
    <w:rsid w:val="00591ABD"/>
    <w:rsid w:val="00591CD0"/>
    <w:rsid w:val="005934D2"/>
    <w:rsid w:val="00593898"/>
    <w:rsid w:val="005A1453"/>
    <w:rsid w:val="005B133B"/>
    <w:rsid w:val="005B1D97"/>
    <w:rsid w:val="005B5505"/>
    <w:rsid w:val="005C0A25"/>
    <w:rsid w:val="005C26BD"/>
    <w:rsid w:val="005C3F5C"/>
    <w:rsid w:val="005C5363"/>
    <w:rsid w:val="005C5796"/>
    <w:rsid w:val="005C7115"/>
    <w:rsid w:val="005D2D52"/>
    <w:rsid w:val="005D599D"/>
    <w:rsid w:val="005D6345"/>
    <w:rsid w:val="005D6479"/>
    <w:rsid w:val="005D768E"/>
    <w:rsid w:val="005E12D0"/>
    <w:rsid w:val="005E1F13"/>
    <w:rsid w:val="005E78C8"/>
    <w:rsid w:val="005F3597"/>
    <w:rsid w:val="005F3FFC"/>
    <w:rsid w:val="00600260"/>
    <w:rsid w:val="006003B8"/>
    <w:rsid w:val="006004BF"/>
    <w:rsid w:val="006014D0"/>
    <w:rsid w:val="00604A0C"/>
    <w:rsid w:val="006130DB"/>
    <w:rsid w:val="006234B0"/>
    <w:rsid w:val="00623CF5"/>
    <w:rsid w:val="00626F46"/>
    <w:rsid w:val="006317F3"/>
    <w:rsid w:val="0063346A"/>
    <w:rsid w:val="0063670C"/>
    <w:rsid w:val="00641FCF"/>
    <w:rsid w:val="00645AE7"/>
    <w:rsid w:val="00646E4A"/>
    <w:rsid w:val="00646EC6"/>
    <w:rsid w:val="0065004D"/>
    <w:rsid w:val="00650A45"/>
    <w:rsid w:val="006522B6"/>
    <w:rsid w:val="00652926"/>
    <w:rsid w:val="00652F64"/>
    <w:rsid w:val="0065372D"/>
    <w:rsid w:val="00653B20"/>
    <w:rsid w:val="00653E50"/>
    <w:rsid w:val="0065579F"/>
    <w:rsid w:val="00660984"/>
    <w:rsid w:val="00661163"/>
    <w:rsid w:val="00662C54"/>
    <w:rsid w:val="006632F2"/>
    <w:rsid w:val="00665E7A"/>
    <w:rsid w:val="00666285"/>
    <w:rsid w:val="006725DB"/>
    <w:rsid w:val="00680A59"/>
    <w:rsid w:val="006822C6"/>
    <w:rsid w:val="0068268C"/>
    <w:rsid w:val="00682EF1"/>
    <w:rsid w:val="006852E4"/>
    <w:rsid w:val="006858CB"/>
    <w:rsid w:val="00685FA6"/>
    <w:rsid w:val="00694CDD"/>
    <w:rsid w:val="00696127"/>
    <w:rsid w:val="00696545"/>
    <w:rsid w:val="006A1B3D"/>
    <w:rsid w:val="006B1A0F"/>
    <w:rsid w:val="006B3043"/>
    <w:rsid w:val="006B352D"/>
    <w:rsid w:val="006B53F4"/>
    <w:rsid w:val="006B5CAF"/>
    <w:rsid w:val="006B6A3C"/>
    <w:rsid w:val="006B6D5B"/>
    <w:rsid w:val="006B706C"/>
    <w:rsid w:val="006C57D3"/>
    <w:rsid w:val="006C73EA"/>
    <w:rsid w:val="006D25CF"/>
    <w:rsid w:val="006D2809"/>
    <w:rsid w:val="006D513D"/>
    <w:rsid w:val="006E0326"/>
    <w:rsid w:val="006E0ED0"/>
    <w:rsid w:val="006E323B"/>
    <w:rsid w:val="006E71E5"/>
    <w:rsid w:val="006E7CB5"/>
    <w:rsid w:val="006F0C03"/>
    <w:rsid w:val="006F13AD"/>
    <w:rsid w:val="006F2433"/>
    <w:rsid w:val="006F6968"/>
    <w:rsid w:val="006F6EAC"/>
    <w:rsid w:val="006F7C21"/>
    <w:rsid w:val="00702B4C"/>
    <w:rsid w:val="00703A65"/>
    <w:rsid w:val="00705CB0"/>
    <w:rsid w:val="00712A95"/>
    <w:rsid w:val="00712AF8"/>
    <w:rsid w:val="0071335C"/>
    <w:rsid w:val="00713634"/>
    <w:rsid w:val="007144A2"/>
    <w:rsid w:val="00724112"/>
    <w:rsid w:val="007258B1"/>
    <w:rsid w:val="00726AA5"/>
    <w:rsid w:val="00726D9D"/>
    <w:rsid w:val="00731210"/>
    <w:rsid w:val="007312C5"/>
    <w:rsid w:val="00732798"/>
    <w:rsid w:val="0073318A"/>
    <w:rsid w:val="00736C9B"/>
    <w:rsid w:val="0074124F"/>
    <w:rsid w:val="00741BDC"/>
    <w:rsid w:val="00743387"/>
    <w:rsid w:val="007437E2"/>
    <w:rsid w:val="0074707E"/>
    <w:rsid w:val="00750974"/>
    <w:rsid w:val="00752773"/>
    <w:rsid w:val="007544B7"/>
    <w:rsid w:val="00754A5A"/>
    <w:rsid w:val="00756A67"/>
    <w:rsid w:val="00762CA6"/>
    <w:rsid w:val="00763AA4"/>
    <w:rsid w:val="00765FD0"/>
    <w:rsid w:val="0076633F"/>
    <w:rsid w:val="007710E9"/>
    <w:rsid w:val="007722E5"/>
    <w:rsid w:val="00772902"/>
    <w:rsid w:val="00773925"/>
    <w:rsid w:val="0077650A"/>
    <w:rsid w:val="0077787A"/>
    <w:rsid w:val="0078023F"/>
    <w:rsid w:val="00780EDA"/>
    <w:rsid w:val="007811BB"/>
    <w:rsid w:val="00782FD5"/>
    <w:rsid w:val="0078533C"/>
    <w:rsid w:val="007900E4"/>
    <w:rsid w:val="00792E90"/>
    <w:rsid w:val="00793AAB"/>
    <w:rsid w:val="00794820"/>
    <w:rsid w:val="007948DB"/>
    <w:rsid w:val="00794A1A"/>
    <w:rsid w:val="00794AEF"/>
    <w:rsid w:val="007964A2"/>
    <w:rsid w:val="0079687D"/>
    <w:rsid w:val="00797299"/>
    <w:rsid w:val="007A073E"/>
    <w:rsid w:val="007A09DE"/>
    <w:rsid w:val="007A1102"/>
    <w:rsid w:val="007A15D6"/>
    <w:rsid w:val="007A3CD8"/>
    <w:rsid w:val="007A53EC"/>
    <w:rsid w:val="007A5D1B"/>
    <w:rsid w:val="007A6FEF"/>
    <w:rsid w:val="007B1E7A"/>
    <w:rsid w:val="007B4AC0"/>
    <w:rsid w:val="007B5E61"/>
    <w:rsid w:val="007B6DED"/>
    <w:rsid w:val="007C00B1"/>
    <w:rsid w:val="007C1891"/>
    <w:rsid w:val="007C2017"/>
    <w:rsid w:val="007C2600"/>
    <w:rsid w:val="007C3F04"/>
    <w:rsid w:val="007C498C"/>
    <w:rsid w:val="007C608C"/>
    <w:rsid w:val="007C7AB7"/>
    <w:rsid w:val="007D120B"/>
    <w:rsid w:val="007D3583"/>
    <w:rsid w:val="007D458E"/>
    <w:rsid w:val="007D726F"/>
    <w:rsid w:val="007D7909"/>
    <w:rsid w:val="007E0603"/>
    <w:rsid w:val="007E08DE"/>
    <w:rsid w:val="007E12B4"/>
    <w:rsid w:val="007E30B2"/>
    <w:rsid w:val="007E3CA0"/>
    <w:rsid w:val="007E5691"/>
    <w:rsid w:val="007E5F07"/>
    <w:rsid w:val="007E60E9"/>
    <w:rsid w:val="007E7489"/>
    <w:rsid w:val="007E7604"/>
    <w:rsid w:val="007F0345"/>
    <w:rsid w:val="007F3BC0"/>
    <w:rsid w:val="007F43B0"/>
    <w:rsid w:val="007F4627"/>
    <w:rsid w:val="00800399"/>
    <w:rsid w:val="00800E12"/>
    <w:rsid w:val="0080343C"/>
    <w:rsid w:val="008058C4"/>
    <w:rsid w:val="00805BFD"/>
    <w:rsid w:val="00813199"/>
    <w:rsid w:val="00813EAC"/>
    <w:rsid w:val="00817EAF"/>
    <w:rsid w:val="00821FE8"/>
    <w:rsid w:val="00822D09"/>
    <w:rsid w:val="00825503"/>
    <w:rsid w:val="00827A72"/>
    <w:rsid w:val="00827E4D"/>
    <w:rsid w:val="008302C3"/>
    <w:rsid w:val="008362DF"/>
    <w:rsid w:val="00844247"/>
    <w:rsid w:val="00845492"/>
    <w:rsid w:val="00850591"/>
    <w:rsid w:val="008511CC"/>
    <w:rsid w:val="00851ADE"/>
    <w:rsid w:val="0085327C"/>
    <w:rsid w:val="008564FF"/>
    <w:rsid w:val="00860E0D"/>
    <w:rsid w:val="00861258"/>
    <w:rsid w:val="008638D0"/>
    <w:rsid w:val="00867107"/>
    <w:rsid w:val="008671FB"/>
    <w:rsid w:val="00867A37"/>
    <w:rsid w:val="00870D2D"/>
    <w:rsid w:val="00873C06"/>
    <w:rsid w:val="00873D3B"/>
    <w:rsid w:val="00874EB5"/>
    <w:rsid w:val="008762DF"/>
    <w:rsid w:val="00876B57"/>
    <w:rsid w:val="00883AA5"/>
    <w:rsid w:val="00883FCA"/>
    <w:rsid w:val="008841F1"/>
    <w:rsid w:val="00884A46"/>
    <w:rsid w:val="008855CF"/>
    <w:rsid w:val="00891D99"/>
    <w:rsid w:val="00897274"/>
    <w:rsid w:val="008A0554"/>
    <w:rsid w:val="008A0D3A"/>
    <w:rsid w:val="008A18BD"/>
    <w:rsid w:val="008A2DC8"/>
    <w:rsid w:val="008A44DC"/>
    <w:rsid w:val="008A6B4A"/>
    <w:rsid w:val="008B037F"/>
    <w:rsid w:val="008B39DF"/>
    <w:rsid w:val="008B6550"/>
    <w:rsid w:val="008C04B8"/>
    <w:rsid w:val="008C2D35"/>
    <w:rsid w:val="008C3B8C"/>
    <w:rsid w:val="008C45F9"/>
    <w:rsid w:val="008C4A8B"/>
    <w:rsid w:val="008C4AF8"/>
    <w:rsid w:val="008C52FC"/>
    <w:rsid w:val="008C5985"/>
    <w:rsid w:val="008C724B"/>
    <w:rsid w:val="008C79B4"/>
    <w:rsid w:val="008D0F94"/>
    <w:rsid w:val="008D3DDB"/>
    <w:rsid w:val="008D673B"/>
    <w:rsid w:val="008E111E"/>
    <w:rsid w:val="008E1182"/>
    <w:rsid w:val="008E1183"/>
    <w:rsid w:val="008E152D"/>
    <w:rsid w:val="008E1D5F"/>
    <w:rsid w:val="008E280A"/>
    <w:rsid w:val="008E3235"/>
    <w:rsid w:val="008E36F8"/>
    <w:rsid w:val="008E40DA"/>
    <w:rsid w:val="008E50A5"/>
    <w:rsid w:val="008E532E"/>
    <w:rsid w:val="008F2CF3"/>
    <w:rsid w:val="008F2E07"/>
    <w:rsid w:val="008F36D3"/>
    <w:rsid w:val="008F5D21"/>
    <w:rsid w:val="008F5E5D"/>
    <w:rsid w:val="008F6D77"/>
    <w:rsid w:val="008F72CF"/>
    <w:rsid w:val="00900235"/>
    <w:rsid w:val="00904954"/>
    <w:rsid w:val="00904AB7"/>
    <w:rsid w:val="00905866"/>
    <w:rsid w:val="00905976"/>
    <w:rsid w:val="009117DE"/>
    <w:rsid w:val="009119F8"/>
    <w:rsid w:val="00911BB1"/>
    <w:rsid w:val="00912BA3"/>
    <w:rsid w:val="00912DD2"/>
    <w:rsid w:val="00913314"/>
    <w:rsid w:val="00915B4C"/>
    <w:rsid w:val="009165E3"/>
    <w:rsid w:val="009176F7"/>
    <w:rsid w:val="009210D0"/>
    <w:rsid w:val="00921488"/>
    <w:rsid w:val="00924F4D"/>
    <w:rsid w:val="0092749C"/>
    <w:rsid w:val="00932547"/>
    <w:rsid w:val="0093299D"/>
    <w:rsid w:val="009333A7"/>
    <w:rsid w:val="00933523"/>
    <w:rsid w:val="00933DC5"/>
    <w:rsid w:val="009341C2"/>
    <w:rsid w:val="00941B4A"/>
    <w:rsid w:val="00941D07"/>
    <w:rsid w:val="009432A4"/>
    <w:rsid w:val="00945C91"/>
    <w:rsid w:val="00946131"/>
    <w:rsid w:val="00946318"/>
    <w:rsid w:val="00947302"/>
    <w:rsid w:val="00950735"/>
    <w:rsid w:val="00954110"/>
    <w:rsid w:val="009546E2"/>
    <w:rsid w:val="00954D9F"/>
    <w:rsid w:val="00955E23"/>
    <w:rsid w:val="009564EB"/>
    <w:rsid w:val="009672F0"/>
    <w:rsid w:val="00967A5C"/>
    <w:rsid w:val="0097649E"/>
    <w:rsid w:val="00981185"/>
    <w:rsid w:val="00983B46"/>
    <w:rsid w:val="00983CFB"/>
    <w:rsid w:val="0098411A"/>
    <w:rsid w:val="0098688E"/>
    <w:rsid w:val="00992404"/>
    <w:rsid w:val="009979E5"/>
    <w:rsid w:val="009979E8"/>
    <w:rsid w:val="009A2EA2"/>
    <w:rsid w:val="009A4ABD"/>
    <w:rsid w:val="009B1FD8"/>
    <w:rsid w:val="009B27DC"/>
    <w:rsid w:val="009B2BBB"/>
    <w:rsid w:val="009B3495"/>
    <w:rsid w:val="009B4F34"/>
    <w:rsid w:val="009B6205"/>
    <w:rsid w:val="009C0872"/>
    <w:rsid w:val="009C15D2"/>
    <w:rsid w:val="009C4D99"/>
    <w:rsid w:val="009D1A8A"/>
    <w:rsid w:val="009D2727"/>
    <w:rsid w:val="009D3595"/>
    <w:rsid w:val="009D505E"/>
    <w:rsid w:val="009D5CDF"/>
    <w:rsid w:val="009D7DC3"/>
    <w:rsid w:val="009E0399"/>
    <w:rsid w:val="009E1107"/>
    <w:rsid w:val="009E24D0"/>
    <w:rsid w:val="009E4202"/>
    <w:rsid w:val="009E74C4"/>
    <w:rsid w:val="009F3568"/>
    <w:rsid w:val="009F3DA9"/>
    <w:rsid w:val="009F6302"/>
    <w:rsid w:val="009F7559"/>
    <w:rsid w:val="00A01E64"/>
    <w:rsid w:val="00A03CD8"/>
    <w:rsid w:val="00A050FA"/>
    <w:rsid w:val="00A07A47"/>
    <w:rsid w:val="00A07A71"/>
    <w:rsid w:val="00A1083A"/>
    <w:rsid w:val="00A10F2F"/>
    <w:rsid w:val="00A12873"/>
    <w:rsid w:val="00A14950"/>
    <w:rsid w:val="00A14C11"/>
    <w:rsid w:val="00A21965"/>
    <w:rsid w:val="00A27022"/>
    <w:rsid w:val="00A301A0"/>
    <w:rsid w:val="00A31301"/>
    <w:rsid w:val="00A3261E"/>
    <w:rsid w:val="00A33639"/>
    <w:rsid w:val="00A36903"/>
    <w:rsid w:val="00A37F51"/>
    <w:rsid w:val="00A41E18"/>
    <w:rsid w:val="00A4281C"/>
    <w:rsid w:val="00A43013"/>
    <w:rsid w:val="00A501D6"/>
    <w:rsid w:val="00A51D73"/>
    <w:rsid w:val="00A60AB7"/>
    <w:rsid w:val="00A63FC9"/>
    <w:rsid w:val="00A66E1B"/>
    <w:rsid w:val="00A71958"/>
    <w:rsid w:val="00A72706"/>
    <w:rsid w:val="00A75248"/>
    <w:rsid w:val="00A75740"/>
    <w:rsid w:val="00A75BBA"/>
    <w:rsid w:val="00A76E94"/>
    <w:rsid w:val="00A81C4C"/>
    <w:rsid w:val="00A82CF1"/>
    <w:rsid w:val="00A82D92"/>
    <w:rsid w:val="00A878CA"/>
    <w:rsid w:val="00A87A87"/>
    <w:rsid w:val="00A908CC"/>
    <w:rsid w:val="00A90939"/>
    <w:rsid w:val="00A9183B"/>
    <w:rsid w:val="00A91BDE"/>
    <w:rsid w:val="00A958DE"/>
    <w:rsid w:val="00A97939"/>
    <w:rsid w:val="00AA1491"/>
    <w:rsid w:val="00AA1C74"/>
    <w:rsid w:val="00AA240D"/>
    <w:rsid w:val="00AA2B69"/>
    <w:rsid w:val="00AA5602"/>
    <w:rsid w:val="00AB0512"/>
    <w:rsid w:val="00AB07C3"/>
    <w:rsid w:val="00AB4D44"/>
    <w:rsid w:val="00AB66A7"/>
    <w:rsid w:val="00AB7373"/>
    <w:rsid w:val="00AC2DC8"/>
    <w:rsid w:val="00AC38B5"/>
    <w:rsid w:val="00AC3E6B"/>
    <w:rsid w:val="00AC4BF5"/>
    <w:rsid w:val="00AC56D3"/>
    <w:rsid w:val="00AC58F3"/>
    <w:rsid w:val="00AC74E3"/>
    <w:rsid w:val="00AC7B2B"/>
    <w:rsid w:val="00AD448E"/>
    <w:rsid w:val="00AD48A4"/>
    <w:rsid w:val="00AD7666"/>
    <w:rsid w:val="00AE3E5F"/>
    <w:rsid w:val="00AE3FBB"/>
    <w:rsid w:val="00AF0274"/>
    <w:rsid w:val="00AF22D4"/>
    <w:rsid w:val="00AF3152"/>
    <w:rsid w:val="00AF358B"/>
    <w:rsid w:val="00AF3C40"/>
    <w:rsid w:val="00AF4A01"/>
    <w:rsid w:val="00AF571C"/>
    <w:rsid w:val="00AF6CFF"/>
    <w:rsid w:val="00B027E7"/>
    <w:rsid w:val="00B0499C"/>
    <w:rsid w:val="00B04D64"/>
    <w:rsid w:val="00B0538C"/>
    <w:rsid w:val="00B131F4"/>
    <w:rsid w:val="00B13353"/>
    <w:rsid w:val="00B1511B"/>
    <w:rsid w:val="00B1792E"/>
    <w:rsid w:val="00B24889"/>
    <w:rsid w:val="00B24B53"/>
    <w:rsid w:val="00B24EEB"/>
    <w:rsid w:val="00B25D78"/>
    <w:rsid w:val="00B26652"/>
    <w:rsid w:val="00B279F7"/>
    <w:rsid w:val="00B34864"/>
    <w:rsid w:val="00B348BF"/>
    <w:rsid w:val="00B40A5A"/>
    <w:rsid w:val="00B42469"/>
    <w:rsid w:val="00B43F16"/>
    <w:rsid w:val="00B46878"/>
    <w:rsid w:val="00B476A2"/>
    <w:rsid w:val="00B505EB"/>
    <w:rsid w:val="00B51962"/>
    <w:rsid w:val="00B524B4"/>
    <w:rsid w:val="00B52582"/>
    <w:rsid w:val="00B60329"/>
    <w:rsid w:val="00B61DC5"/>
    <w:rsid w:val="00B63637"/>
    <w:rsid w:val="00B649F6"/>
    <w:rsid w:val="00B66454"/>
    <w:rsid w:val="00B67404"/>
    <w:rsid w:val="00B6752C"/>
    <w:rsid w:val="00B72D1F"/>
    <w:rsid w:val="00B77B0D"/>
    <w:rsid w:val="00B81219"/>
    <w:rsid w:val="00B83FAE"/>
    <w:rsid w:val="00B855B2"/>
    <w:rsid w:val="00B8571D"/>
    <w:rsid w:val="00B857A6"/>
    <w:rsid w:val="00B8640C"/>
    <w:rsid w:val="00B87870"/>
    <w:rsid w:val="00B90B54"/>
    <w:rsid w:val="00B91E18"/>
    <w:rsid w:val="00B92729"/>
    <w:rsid w:val="00B92E23"/>
    <w:rsid w:val="00B948E5"/>
    <w:rsid w:val="00B950D0"/>
    <w:rsid w:val="00B95DAC"/>
    <w:rsid w:val="00B9767C"/>
    <w:rsid w:val="00BA12FD"/>
    <w:rsid w:val="00BB02BE"/>
    <w:rsid w:val="00BB1C9B"/>
    <w:rsid w:val="00BB1D55"/>
    <w:rsid w:val="00BB36C2"/>
    <w:rsid w:val="00BB4A97"/>
    <w:rsid w:val="00BB6C66"/>
    <w:rsid w:val="00BC097B"/>
    <w:rsid w:val="00BC2E07"/>
    <w:rsid w:val="00BC6062"/>
    <w:rsid w:val="00BC6384"/>
    <w:rsid w:val="00BD17DE"/>
    <w:rsid w:val="00BD19F3"/>
    <w:rsid w:val="00BD291F"/>
    <w:rsid w:val="00BD44AE"/>
    <w:rsid w:val="00BD5B33"/>
    <w:rsid w:val="00BE0C9F"/>
    <w:rsid w:val="00BE236C"/>
    <w:rsid w:val="00BE2491"/>
    <w:rsid w:val="00BE2998"/>
    <w:rsid w:val="00BE476F"/>
    <w:rsid w:val="00BE5880"/>
    <w:rsid w:val="00BE78E4"/>
    <w:rsid w:val="00BF40A3"/>
    <w:rsid w:val="00BF51EB"/>
    <w:rsid w:val="00BF72A6"/>
    <w:rsid w:val="00C04343"/>
    <w:rsid w:val="00C04479"/>
    <w:rsid w:val="00C044C0"/>
    <w:rsid w:val="00C046B3"/>
    <w:rsid w:val="00C061F0"/>
    <w:rsid w:val="00C062AC"/>
    <w:rsid w:val="00C06A47"/>
    <w:rsid w:val="00C06F1B"/>
    <w:rsid w:val="00C106A3"/>
    <w:rsid w:val="00C1307E"/>
    <w:rsid w:val="00C138BE"/>
    <w:rsid w:val="00C141DD"/>
    <w:rsid w:val="00C154C1"/>
    <w:rsid w:val="00C15CC0"/>
    <w:rsid w:val="00C1693E"/>
    <w:rsid w:val="00C21156"/>
    <w:rsid w:val="00C21BD9"/>
    <w:rsid w:val="00C228F4"/>
    <w:rsid w:val="00C230DE"/>
    <w:rsid w:val="00C2312E"/>
    <w:rsid w:val="00C23236"/>
    <w:rsid w:val="00C23909"/>
    <w:rsid w:val="00C26CAA"/>
    <w:rsid w:val="00C274E6"/>
    <w:rsid w:val="00C36DFF"/>
    <w:rsid w:val="00C4083D"/>
    <w:rsid w:val="00C4212F"/>
    <w:rsid w:val="00C42C9A"/>
    <w:rsid w:val="00C46B52"/>
    <w:rsid w:val="00C55805"/>
    <w:rsid w:val="00C61A10"/>
    <w:rsid w:val="00C62EB7"/>
    <w:rsid w:val="00C65664"/>
    <w:rsid w:val="00C6690F"/>
    <w:rsid w:val="00C673A4"/>
    <w:rsid w:val="00C67A47"/>
    <w:rsid w:val="00C73512"/>
    <w:rsid w:val="00C73852"/>
    <w:rsid w:val="00C74975"/>
    <w:rsid w:val="00C74B3E"/>
    <w:rsid w:val="00C75610"/>
    <w:rsid w:val="00C75DBD"/>
    <w:rsid w:val="00C7671C"/>
    <w:rsid w:val="00C77252"/>
    <w:rsid w:val="00C80275"/>
    <w:rsid w:val="00C80BB8"/>
    <w:rsid w:val="00C868A7"/>
    <w:rsid w:val="00C90BA8"/>
    <w:rsid w:val="00C91B95"/>
    <w:rsid w:val="00C91FD7"/>
    <w:rsid w:val="00C9399C"/>
    <w:rsid w:val="00C95780"/>
    <w:rsid w:val="00C95F1D"/>
    <w:rsid w:val="00C97054"/>
    <w:rsid w:val="00CA156E"/>
    <w:rsid w:val="00CA1F7B"/>
    <w:rsid w:val="00CA7221"/>
    <w:rsid w:val="00CA7A56"/>
    <w:rsid w:val="00CB181F"/>
    <w:rsid w:val="00CB19B2"/>
    <w:rsid w:val="00CB2B36"/>
    <w:rsid w:val="00CB2F95"/>
    <w:rsid w:val="00CB3675"/>
    <w:rsid w:val="00CB4490"/>
    <w:rsid w:val="00CB5C75"/>
    <w:rsid w:val="00CC0A2B"/>
    <w:rsid w:val="00CC28AD"/>
    <w:rsid w:val="00CC2E74"/>
    <w:rsid w:val="00CC4906"/>
    <w:rsid w:val="00CC5912"/>
    <w:rsid w:val="00CC591E"/>
    <w:rsid w:val="00CC5A0D"/>
    <w:rsid w:val="00CC6502"/>
    <w:rsid w:val="00CC756B"/>
    <w:rsid w:val="00CD3B05"/>
    <w:rsid w:val="00CD4B78"/>
    <w:rsid w:val="00CD4ED0"/>
    <w:rsid w:val="00CD5162"/>
    <w:rsid w:val="00CE391E"/>
    <w:rsid w:val="00CE4149"/>
    <w:rsid w:val="00CE49D5"/>
    <w:rsid w:val="00CE535E"/>
    <w:rsid w:val="00CE5DD3"/>
    <w:rsid w:val="00CF10C1"/>
    <w:rsid w:val="00CF3B61"/>
    <w:rsid w:val="00CF64F6"/>
    <w:rsid w:val="00CF6DF5"/>
    <w:rsid w:val="00D03927"/>
    <w:rsid w:val="00D05F95"/>
    <w:rsid w:val="00D06531"/>
    <w:rsid w:val="00D06D4F"/>
    <w:rsid w:val="00D07A99"/>
    <w:rsid w:val="00D10256"/>
    <w:rsid w:val="00D10DCA"/>
    <w:rsid w:val="00D11B6A"/>
    <w:rsid w:val="00D11BB3"/>
    <w:rsid w:val="00D11C40"/>
    <w:rsid w:val="00D130F3"/>
    <w:rsid w:val="00D13401"/>
    <w:rsid w:val="00D1476C"/>
    <w:rsid w:val="00D150FD"/>
    <w:rsid w:val="00D17063"/>
    <w:rsid w:val="00D1771E"/>
    <w:rsid w:val="00D21C2F"/>
    <w:rsid w:val="00D23344"/>
    <w:rsid w:val="00D23727"/>
    <w:rsid w:val="00D2406D"/>
    <w:rsid w:val="00D24F2B"/>
    <w:rsid w:val="00D25504"/>
    <w:rsid w:val="00D25D6A"/>
    <w:rsid w:val="00D274DA"/>
    <w:rsid w:val="00D31C16"/>
    <w:rsid w:val="00D32BE0"/>
    <w:rsid w:val="00D34D7E"/>
    <w:rsid w:val="00D41774"/>
    <w:rsid w:val="00D46F23"/>
    <w:rsid w:val="00D473C5"/>
    <w:rsid w:val="00D5101B"/>
    <w:rsid w:val="00D51167"/>
    <w:rsid w:val="00D51FD0"/>
    <w:rsid w:val="00D52774"/>
    <w:rsid w:val="00D529F7"/>
    <w:rsid w:val="00D565C0"/>
    <w:rsid w:val="00D5746F"/>
    <w:rsid w:val="00D57F1E"/>
    <w:rsid w:val="00D61C96"/>
    <w:rsid w:val="00D6229C"/>
    <w:rsid w:val="00D62709"/>
    <w:rsid w:val="00D62B78"/>
    <w:rsid w:val="00D64187"/>
    <w:rsid w:val="00D65787"/>
    <w:rsid w:val="00D659CD"/>
    <w:rsid w:val="00D65C6A"/>
    <w:rsid w:val="00D67DF8"/>
    <w:rsid w:val="00D70A5C"/>
    <w:rsid w:val="00D76170"/>
    <w:rsid w:val="00D7777B"/>
    <w:rsid w:val="00D81DE4"/>
    <w:rsid w:val="00D8261D"/>
    <w:rsid w:val="00D85F7E"/>
    <w:rsid w:val="00D92E75"/>
    <w:rsid w:val="00D937DB"/>
    <w:rsid w:val="00D95CC2"/>
    <w:rsid w:val="00D9777B"/>
    <w:rsid w:val="00D979B5"/>
    <w:rsid w:val="00DB0365"/>
    <w:rsid w:val="00DB1379"/>
    <w:rsid w:val="00DB40BD"/>
    <w:rsid w:val="00DB53F5"/>
    <w:rsid w:val="00DB5982"/>
    <w:rsid w:val="00DB6306"/>
    <w:rsid w:val="00DB66DD"/>
    <w:rsid w:val="00DB6D00"/>
    <w:rsid w:val="00DB7ED1"/>
    <w:rsid w:val="00DC08C9"/>
    <w:rsid w:val="00DC0996"/>
    <w:rsid w:val="00DC32D4"/>
    <w:rsid w:val="00DC50BF"/>
    <w:rsid w:val="00DC7A41"/>
    <w:rsid w:val="00DD02F5"/>
    <w:rsid w:val="00DD0979"/>
    <w:rsid w:val="00DD09CB"/>
    <w:rsid w:val="00DD1464"/>
    <w:rsid w:val="00DD3724"/>
    <w:rsid w:val="00DD46E1"/>
    <w:rsid w:val="00DD5263"/>
    <w:rsid w:val="00DD6483"/>
    <w:rsid w:val="00DE15F9"/>
    <w:rsid w:val="00DE181C"/>
    <w:rsid w:val="00DE5416"/>
    <w:rsid w:val="00DE6E67"/>
    <w:rsid w:val="00DF095D"/>
    <w:rsid w:val="00DF4AC0"/>
    <w:rsid w:val="00DF7012"/>
    <w:rsid w:val="00DF7577"/>
    <w:rsid w:val="00E00408"/>
    <w:rsid w:val="00E02107"/>
    <w:rsid w:val="00E03643"/>
    <w:rsid w:val="00E05903"/>
    <w:rsid w:val="00E067EF"/>
    <w:rsid w:val="00E06A22"/>
    <w:rsid w:val="00E1051A"/>
    <w:rsid w:val="00E110A4"/>
    <w:rsid w:val="00E11646"/>
    <w:rsid w:val="00E12768"/>
    <w:rsid w:val="00E14C43"/>
    <w:rsid w:val="00E160B0"/>
    <w:rsid w:val="00E16910"/>
    <w:rsid w:val="00E208D8"/>
    <w:rsid w:val="00E253DA"/>
    <w:rsid w:val="00E26594"/>
    <w:rsid w:val="00E2659C"/>
    <w:rsid w:val="00E2692F"/>
    <w:rsid w:val="00E3083E"/>
    <w:rsid w:val="00E30AEF"/>
    <w:rsid w:val="00E31AA6"/>
    <w:rsid w:val="00E35315"/>
    <w:rsid w:val="00E35B57"/>
    <w:rsid w:val="00E35CC1"/>
    <w:rsid w:val="00E374BE"/>
    <w:rsid w:val="00E403CB"/>
    <w:rsid w:val="00E4378F"/>
    <w:rsid w:val="00E44B3F"/>
    <w:rsid w:val="00E450C3"/>
    <w:rsid w:val="00E46C79"/>
    <w:rsid w:val="00E545B4"/>
    <w:rsid w:val="00E62A9D"/>
    <w:rsid w:val="00E63D48"/>
    <w:rsid w:val="00E645A3"/>
    <w:rsid w:val="00E70FF6"/>
    <w:rsid w:val="00E74CE8"/>
    <w:rsid w:val="00E754A7"/>
    <w:rsid w:val="00E7581B"/>
    <w:rsid w:val="00E81A89"/>
    <w:rsid w:val="00E81D7E"/>
    <w:rsid w:val="00E872A3"/>
    <w:rsid w:val="00E95A7C"/>
    <w:rsid w:val="00E969BC"/>
    <w:rsid w:val="00E971F8"/>
    <w:rsid w:val="00E97204"/>
    <w:rsid w:val="00EA0BF2"/>
    <w:rsid w:val="00EA3FFD"/>
    <w:rsid w:val="00EB1016"/>
    <w:rsid w:val="00EB3905"/>
    <w:rsid w:val="00EB4202"/>
    <w:rsid w:val="00EB6209"/>
    <w:rsid w:val="00EC4722"/>
    <w:rsid w:val="00EC4F98"/>
    <w:rsid w:val="00EC6E57"/>
    <w:rsid w:val="00EC7B9C"/>
    <w:rsid w:val="00ED433A"/>
    <w:rsid w:val="00ED43D7"/>
    <w:rsid w:val="00ED4764"/>
    <w:rsid w:val="00ED55C9"/>
    <w:rsid w:val="00EE1012"/>
    <w:rsid w:val="00EE25C0"/>
    <w:rsid w:val="00EE285A"/>
    <w:rsid w:val="00EE512E"/>
    <w:rsid w:val="00EE658B"/>
    <w:rsid w:val="00EF0A2B"/>
    <w:rsid w:val="00EF20BB"/>
    <w:rsid w:val="00EF7884"/>
    <w:rsid w:val="00F015D3"/>
    <w:rsid w:val="00F0268C"/>
    <w:rsid w:val="00F03DF3"/>
    <w:rsid w:val="00F048AB"/>
    <w:rsid w:val="00F04F06"/>
    <w:rsid w:val="00F11A67"/>
    <w:rsid w:val="00F11B41"/>
    <w:rsid w:val="00F12296"/>
    <w:rsid w:val="00F12A41"/>
    <w:rsid w:val="00F14208"/>
    <w:rsid w:val="00F15B43"/>
    <w:rsid w:val="00F2026A"/>
    <w:rsid w:val="00F2106C"/>
    <w:rsid w:val="00F2107B"/>
    <w:rsid w:val="00F21B59"/>
    <w:rsid w:val="00F23B46"/>
    <w:rsid w:val="00F24BB4"/>
    <w:rsid w:val="00F3264B"/>
    <w:rsid w:val="00F33911"/>
    <w:rsid w:val="00F33B95"/>
    <w:rsid w:val="00F342B6"/>
    <w:rsid w:val="00F343E6"/>
    <w:rsid w:val="00F3617F"/>
    <w:rsid w:val="00F37EED"/>
    <w:rsid w:val="00F41EFF"/>
    <w:rsid w:val="00F46D64"/>
    <w:rsid w:val="00F50169"/>
    <w:rsid w:val="00F50428"/>
    <w:rsid w:val="00F53EEE"/>
    <w:rsid w:val="00F54EB9"/>
    <w:rsid w:val="00F56EE3"/>
    <w:rsid w:val="00F57898"/>
    <w:rsid w:val="00F61332"/>
    <w:rsid w:val="00F61414"/>
    <w:rsid w:val="00F61517"/>
    <w:rsid w:val="00F65CA1"/>
    <w:rsid w:val="00F66B16"/>
    <w:rsid w:val="00F67556"/>
    <w:rsid w:val="00F7003A"/>
    <w:rsid w:val="00F71582"/>
    <w:rsid w:val="00F73AEE"/>
    <w:rsid w:val="00F75A8B"/>
    <w:rsid w:val="00F76607"/>
    <w:rsid w:val="00F768BA"/>
    <w:rsid w:val="00F804D2"/>
    <w:rsid w:val="00F80961"/>
    <w:rsid w:val="00F8248D"/>
    <w:rsid w:val="00F83E1A"/>
    <w:rsid w:val="00F83F09"/>
    <w:rsid w:val="00F844DA"/>
    <w:rsid w:val="00F84AA0"/>
    <w:rsid w:val="00F84B07"/>
    <w:rsid w:val="00F9053A"/>
    <w:rsid w:val="00F90AF0"/>
    <w:rsid w:val="00F90CB7"/>
    <w:rsid w:val="00F919A6"/>
    <w:rsid w:val="00F94061"/>
    <w:rsid w:val="00F9449F"/>
    <w:rsid w:val="00F947D8"/>
    <w:rsid w:val="00F94B33"/>
    <w:rsid w:val="00F963C3"/>
    <w:rsid w:val="00F96586"/>
    <w:rsid w:val="00F969A0"/>
    <w:rsid w:val="00FA06C3"/>
    <w:rsid w:val="00FA29B5"/>
    <w:rsid w:val="00FA2D7C"/>
    <w:rsid w:val="00FA5880"/>
    <w:rsid w:val="00FA60C9"/>
    <w:rsid w:val="00FB2864"/>
    <w:rsid w:val="00FB3A58"/>
    <w:rsid w:val="00FB4246"/>
    <w:rsid w:val="00FB4637"/>
    <w:rsid w:val="00FB4CDD"/>
    <w:rsid w:val="00FB682E"/>
    <w:rsid w:val="00FC0C87"/>
    <w:rsid w:val="00FC2942"/>
    <w:rsid w:val="00FC313E"/>
    <w:rsid w:val="00FC34AB"/>
    <w:rsid w:val="00FC4C70"/>
    <w:rsid w:val="00FC5059"/>
    <w:rsid w:val="00FC55BC"/>
    <w:rsid w:val="00FC68FA"/>
    <w:rsid w:val="00FC7AD9"/>
    <w:rsid w:val="00FD1621"/>
    <w:rsid w:val="00FD35B9"/>
    <w:rsid w:val="00FD48B7"/>
    <w:rsid w:val="00FD4FD5"/>
    <w:rsid w:val="00FE0C7C"/>
    <w:rsid w:val="00FE6C44"/>
    <w:rsid w:val="00FF0983"/>
    <w:rsid w:val="00FF51E7"/>
    <w:rsid w:val="00FF769E"/>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CE8"/>
    <w:pPr>
      <w:spacing w:after="120"/>
    </w:pPr>
    <w:rPr>
      <w:rFonts w:ascii="Arial" w:hAnsi="Arial"/>
      <w:snapToGrid w:val="0"/>
      <w:lang w:eastAsia="en-US"/>
    </w:rPr>
  </w:style>
  <w:style w:type="paragraph" w:styleId="Heading1">
    <w:name w:val="heading 1"/>
    <w:basedOn w:val="Normal"/>
    <w:next w:val="Normal"/>
    <w:qFormat/>
    <w:rsid w:val="00E74CE8"/>
    <w:pPr>
      <w:keepNext/>
      <w:outlineLvl w:val="0"/>
    </w:pPr>
    <w:rPr>
      <w:b/>
    </w:rPr>
  </w:style>
  <w:style w:type="paragraph" w:styleId="Heading2">
    <w:name w:val="heading 2"/>
    <w:aliases w:val="H2,H21,H22,H23,H24"/>
    <w:basedOn w:val="Normal"/>
    <w:next w:val="Normal"/>
    <w:qFormat/>
    <w:rsid w:val="00E74CE8"/>
    <w:pPr>
      <w:keepNext/>
      <w:outlineLvl w:val="1"/>
    </w:pPr>
  </w:style>
  <w:style w:type="paragraph" w:styleId="Heading3">
    <w:name w:val="heading 3"/>
    <w:basedOn w:val="Normal"/>
    <w:next w:val="Normal"/>
    <w:qFormat/>
    <w:rsid w:val="00E74CE8"/>
    <w:pPr>
      <w:keepNext/>
      <w:outlineLvl w:val="2"/>
    </w:pPr>
    <w:rPr>
      <w:i/>
    </w:rPr>
  </w:style>
  <w:style w:type="paragraph" w:styleId="Heading4">
    <w:name w:val="heading 4"/>
    <w:basedOn w:val="Normal"/>
    <w:next w:val="Normal"/>
    <w:qFormat/>
    <w:rsid w:val="00E74CE8"/>
    <w:pPr>
      <w:keepNext/>
      <w:tabs>
        <w:tab w:val="left" w:pos="204"/>
      </w:tabs>
      <w:spacing w:line="402" w:lineRule="exact"/>
      <w:jc w:val="both"/>
      <w:outlineLvl w:val="3"/>
    </w:pPr>
    <w:rPr>
      <w:b/>
      <w:lang w:val="en-US"/>
    </w:rPr>
  </w:style>
  <w:style w:type="paragraph" w:styleId="Heading5">
    <w:name w:val="heading 5"/>
    <w:basedOn w:val="Normal"/>
    <w:next w:val="Normal"/>
    <w:qFormat/>
    <w:rsid w:val="00E74CE8"/>
    <w:pPr>
      <w:keepNext/>
      <w:spacing w:before="40" w:after="40"/>
      <w:outlineLvl w:val="4"/>
    </w:pPr>
    <w:rPr>
      <w:b/>
      <w:u w:val="words"/>
    </w:rPr>
  </w:style>
  <w:style w:type="paragraph" w:styleId="Heading6">
    <w:name w:val="heading 6"/>
    <w:basedOn w:val="Normal"/>
    <w:next w:val="Normal"/>
    <w:qFormat/>
    <w:rsid w:val="00E74CE8"/>
    <w:pPr>
      <w:keepNext/>
      <w:spacing w:before="40" w:after="40"/>
      <w:outlineLvl w:val="5"/>
    </w:pPr>
    <w:rPr>
      <w:b/>
      <w:u w:val="single"/>
    </w:rPr>
  </w:style>
  <w:style w:type="paragraph" w:styleId="Heading7">
    <w:name w:val="heading 7"/>
    <w:basedOn w:val="Normal"/>
    <w:next w:val="Normal"/>
    <w:qFormat/>
    <w:rsid w:val="00E74CE8"/>
    <w:pPr>
      <w:keepNext/>
      <w:spacing w:before="40" w:after="40"/>
      <w:jc w:val="center"/>
      <w:outlineLvl w:val="6"/>
    </w:pPr>
    <w:rPr>
      <w:b/>
    </w:rPr>
  </w:style>
  <w:style w:type="paragraph" w:styleId="Heading8">
    <w:name w:val="heading 8"/>
    <w:basedOn w:val="Normal"/>
    <w:next w:val="Normal"/>
    <w:qFormat/>
    <w:rsid w:val="00E74CE8"/>
    <w:pPr>
      <w:keepNext/>
      <w:suppressLineNumbers/>
      <w:suppressAutoHyphens/>
      <w:spacing w:after="0"/>
      <w:ind w:left="720"/>
      <w:jc w:val="center"/>
      <w:outlineLvl w:val="7"/>
    </w:pPr>
    <w:rPr>
      <w:b/>
    </w:rPr>
  </w:style>
  <w:style w:type="paragraph" w:styleId="Heading9">
    <w:name w:val="heading 9"/>
    <w:basedOn w:val="Normal"/>
    <w:next w:val="Normal"/>
    <w:link w:val="Heading9Char"/>
    <w:semiHidden/>
    <w:unhideWhenUsed/>
    <w:qFormat/>
    <w:rsid w:val="00F33911"/>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74CE8"/>
    <w:pPr>
      <w:tabs>
        <w:tab w:val="left" w:pos="204"/>
      </w:tabs>
      <w:spacing w:line="360" w:lineRule="auto"/>
      <w:jc w:val="both"/>
    </w:pPr>
    <w:rPr>
      <w:sz w:val="24"/>
      <w:lang w:val="en-US"/>
    </w:rPr>
  </w:style>
  <w:style w:type="paragraph" w:styleId="Header">
    <w:name w:val="header"/>
    <w:basedOn w:val="Normal"/>
    <w:link w:val="HeaderChar"/>
    <w:uiPriority w:val="99"/>
    <w:rsid w:val="00E74CE8"/>
    <w:pPr>
      <w:tabs>
        <w:tab w:val="center" w:pos="4153"/>
        <w:tab w:val="right" w:pos="8306"/>
      </w:tabs>
    </w:pPr>
  </w:style>
  <w:style w:type="paragraph" w:styleId="Footer">
    <w:name w:val="footer"/>
    <w:basedOn w:val="Normal"/>
    <w:link w:val="FooterChar"/>
    <w:uiPriority w:val="99"/>
    <w:rsid w:val="00E74CE8"/>
    <w:pPr>
      <w:tabs>
        <w:tab w:val="center" w:pos="4153"/>
        <w:tab w:val="right" w:pos="8306"/>
      </w:tabs>
    </w:pPr>
  </w:style>
  <w:style w:type="paragraph" w:styleId="BodyText2">
    <w:name w:val="Body Text 2"/>
    <w:basedOn w:val="Normal"/>
    <w:rsid w:val="00E74CE8"/>
    <w:rPr>
      <w:color w:val="FF0000"/>
    </w:rPr>
  </w:style>
  <w:style w:type="paragraph" w:styleId="BodyText3">
    <w:name w:val="Body Text 3"/>
    <w:basedOn w:val="Normal"/>
    <w:rsid w:val="00E74CE8"/>
    <w:rPr>
      <w:i/>
    </w:rPr>
  </w:style>
  <w:style w:type="paragraph" w:styleId="BodyTextIndent">
    <w:name w:val="Body Text Indent"/>
    <w:basedOn w:val="Normal"/>
    <w:link w:val="BodyTextIndentChar"/>
    <w:rsid w:val="00E74CE8"/>
    <w:pPr>
      <w:spacing w:after="0"/>
      <w:ind w:left="1080"/>
    </w:pPr>
    <w:rPr>
      <w:color w:val="FF0000"/>
    </w:rPr>
  </w:style>
  <w:style w:type="character" w:styleId="CommentReference">
    <w:name w:val="annotation reference"/>
    <w:basedOn w:val="DefaultParagraphFont"/>
    <w:uiPriority w:val="99"/>
    <w:semiHidden/>
    <w:rsid w:val="00E74CE8"/>
    <w:rPr>
      <w:sz w:val="16"/>
    </w:rPr>
  </w:style>
  <w:style w:type="paragraph" w:styleId="CommentText">
    <w:name w:val="annotation text"/>
    <w:basedOn w:val="Normal"/>
    <w:link w:val="CommentTextChar"/>
    <w:uiPriority w:val="99"/>
    <w:semiHidden/>
    <w:rsid w:val="00E35CC1"/>
  </w:style>
  <w:style w:type="paragraph" w:styleId="BlockText">
    <w:name w:val="Block Text"/>
    <w:basedOn w:val="Normal"/>
    <w:rsid w:val="00E74CE8"/>
    <w:pPr>
      <w:suppressLineNumbers/>
      <w:suppressAutoHyphens/>
      <w:ind w:left="851" w:right="851"/>
    </w:pPr>
  </w:style>
  <w:style w:type="character" w:styleId="PageNumber">
    <w:name w:val="page number"/>
    <w:basedOn w:val="DefaultParagraphFont"/>
    <w:rsid w:val="00E74CE8"/>
  </w:style>
  <w:style w:type="paragraph" w:styleId="DocumentMap">
    <w:name w:val="Document Map"/>
    <w:basedOn w:val="Normal"/>
    <w:semiHidden/>
    <w:rsid w:val="00E74CE8"/>
    <w:pPr>
      <w:shd w:val="clear" w:color="auto" w:fill="000080"/>
    </w:pPr>
    <w:rPr>
      <w:rFonts w:ascii="Tahoma" w:hAnsi="Tahoma"/>
    </w:rPr>
  </w:style>
  <w:style w:type="paragraph" w:styleId="BodyTextIndent2">
    <w:name w:val="Body Text Indent 2"/>
    <w:basedOn w:val="Normal"/>
    <w:rsid w:val="00E74CE8"/>
    <w:pPr>
      <w:tabs>
        <w:tab w:val="left" w:pos="3261"/>
      </w:tabs>
      <w:ind w:left="720"/>
    </w:pPr>
  </w:style>
  <w:style w:type="paragraph" w:customStyle="1" w:styleId="BulletedList">
    <w:name w:val="Bulleted List"/>
    <w:rsid w:val="00E74CE8"/>
    <w:pPr>
      <w:spacing w:before="57" w:after="114"/>
      <w:ind w:left="1426" w:hanging="576"/>
    </w:pPr>
    <w:rPr>
      <w:sz w:val="24"/>
      <w:lang w:val="en-GB" w:eastAsia="en-US"/>
    </w:rPr>
  </w:style>
  <w:style w:type="paragraph" w:styleId="BalloonText">
    <w:name w:val="Balloon Text"/>
    <w:basedOn w:val="Normal"/>
    <w:semiHidden/>
    <w:rsid w:val="00765FD0"/>
    <w:rPr>
      <w:rFonts w:ascii="Tahoma" w:hAnsi="Tahoma" w:cs="Tahoma"/>
      <w:sz w:val="16"/>
      <w:szCs w:val="16"/>
    </w:rPr>
  </w:style>
  <w:style w:type="paragraph" w:styleId="CommentSubject">
    <w:name w:val="annotation subject"/>
    <w:basedOn w:val="CommentText"/>
    <w:next w:val="CommentText"/>
    <w:semiHidden/>
    <w:rsid w:val="00765FD0"/>
    <w:rPr>
      <w:b/>
      <w:bCs/>
    </w:rPr>
  </w:style>
  <w:style w:type="table" w:styleId="TableGrid">
    <w:name w:val="Table Grid"/>
    <w:basedOn w:val="TableNormal"/>
    <w:rsid w:val="000A6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E35CC1"/>
    <w:rPr>
      <w:rFonts w:ascii="Arial" w:hAnsi="Arial"/>
      <w:snapToGrid w:val="0"/>
      <w:lang w:eastAsia="en-US"/>
    </w:rPr>
  </w:style>
  <w:style w:type="paragraph" w:styleId="Revision">
    <w:name w:val="Revision"/>
    <w:hidden/>
    <w:uiPriority w:val="99"/>
    <w:semiHidden/>
    <w:rsid w:val="002D1F5C"/>
    <w:rPr>
      <w:rFonts w:ascii="Arial" w:hAnsi="Arial"/>
      <w:snapToGrid w:val="0"/>
      <w:lang w:eastAsia="en-US"/>
    </w:rPr>
  </w:style>
  <w:style w:type="paragraph" w:styleId="ListParagraph">
    <w:name w:val="List Paragraph"/>
    <w:basedOn w:val="Normal"/>
    <w:uiPriority w:val="34"/>
    <w:qFormat/>
    <w:rsid w:val="00055927"/>
    <w:pPr>
      <w:ind w:left="720"/>
      <w:contextualSpacing/>
    </w:pPr>
  </w:style>
  <w:style w:type="paragraph" w:customStyle="1" w:styleId="eptext">
    <w:name w:val="eptext"/>
    <w:basedOn w:val="Normal"/>
    <w:rsid w:val="00AF358B"/>
    <w:pPr>
      <w:spacing w:before="140" w:after="140" w:line="336" w:lineRule="atLeast"/>
    </w:pPr>
    <w:rPr>
      <w:rFonts w:cs="Arial"/>
      <w:snapToGrid/>
      <w:color w:val="333333"/>
      <w:sz w:val="18"/>
      <w:szCs w:val="18"/>
      <w:lang w:eastAsia="en-AU"/>
    </w:rPr>
  </w:style>
  <w:style w:type="character" w:customStyle="1" w:styleId="FooterChar">
    <w:name w:val="Footer Char"/>
    <w:basedOn w:val="DefaultParagraphFont"/>
    <w:link w:val="Footer"/>
    <w:uiPriority w:val="99"/>
    <w:rsid w:val="00794AEF"/>
    <w:rPr>
      <w:rFonts w:ascii="Arial" w:hAnsi="Arial"/>
      <w:snapToGrid w:val="0"/>
      <w:lang w:eastAsia="en-US"/>
    </w:rPr>
  </w:style>
  <w:style w:type="paragraph" w:styleId="FootnoteText">
    <w:name w:val="footnote text"/>
    <w:basedOn w:val="Normal"/>
    <w:link w:val="FootnoteTextChar"/>
    <w:rsid w:val="00782FD5"/>
    <w:pPr>
      <w:spacing w:after="0"/>
    </w:pPr>
  </w:style>
  <w:style w:type="character" w:customStyle="1" w:styleId="FootnoteTextChar">
    <w:name w:val="Footnote Text Char"/>
    <w:basedOn w:val="DefaultParagraphFont"/>
    <w:link w:val="FootnoteText"/>
    <w:rsid w:val="00782FD5"/>
    <w:rPr>
      <w:rFonts w:ascii="Arial" w:hAnsi="Arial"/>
      <w:snapToGrid w:val="0"/>
      <w:lang w:eastAsia="en-US"/>
    </w:rPr>
  </w:style>
  <w:style w:type="character" w:styleId="FootnoteReference">
    <w:name w:val="footnote reference"/>
    <w:basedOn w:val="DefaultParagraphFont"/>
    <w:rsid w:val="00782FD5"/>
    <w:rPr>
      <w:vertAlign w:val="superscript"/>
    </w:rPr>
  </w:style>
  <w:style w:type="paragraph" w:customStyle="1" w:styleId="Default">
    <w:name w:val="Default"/>
    <w:rsid w:val="00AE3FBB"/>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371176"/>
    <w:rPr>
      <w:rFonts w:ascii="Arial" w:hAnsi="Arial"/>
      <w:snapToGrid w:val="0"/>
      <w:lang w:eastAsia="en-US"/>
    </w:rPr>
  </w:style>
  <w:style w:type="paragraph" w:styleId="Bibliography">
    <w:name w:val="Bibliography"/>
    <w:basedOn w:val="Normal"/>
    <w:next w:val="Normal"/>
    <w:uiPriority w:val="37"/>
    <w:semiHidden/>
    <w:unhideWhenUsed/>
    <w:rsid w:val="00F33911"/>
  </w:style>
  <w:style w:type="paragraph" w:styleId="BodyTextFirstIndent">
    <w:name w:val="Body Text First Indent"/>
    <w:basedOn w:val="BodyText"/>
    <w:link w:val="BodyTextFirstIndentChar"/>
    <w:rsid w:val="00F33911"/>
    <w:pPr>
      <w:tabs>
        <w:tab w:val="clear" w:pos="204"/>
      </w:tabs>
      <w:spacing w:line="240" w:lineRule="auto"/>
      <w:ind w:firstLine="360"/>
      <w:jc w:val="left"/>
    </w:pPr>
    <w:rPr>
      <w:sz w:val="20"/>
      <w:lang w:val="en-AU"/>
    </w:rPr>
  </w:style>
  <w:style w:type="character" w:customStyle="1" w:styleId="BodyTextChar">
    <w:name w:val="Body Text Char"/>
    <w:basedOn w:val="DefaultParagraphFont"/>
    <w:link w:val="BodyText"/>
    <w:rsid w:val="00F33911"/>
    <w:rPr>
      <w:rFonts w:ascii="Arial" w:hAnsi="Arial"/>
      <w:snapToGrid w:val="0"/>
      <w:sz w:val="24"/>
      <w:lang w:val="en-US" w:eastAsia="en-US"/>
    </w:rPr>
  </w:style>
  <w:style w:type="character" w:customStyle="1" w:styleId="BodyTextFirstIndentChar">
    <w:name w:val="Body Text First Indent Char"/>
    <w:basedOn w:val="BodyTextChar"/>
    <w:link w:val="BodyTextFirstIndent"/>
    <w:rsid w:val="00F33911"/>
    <w:rPr>
      <w:rFonts w:ascii="Arial" w:hAnsi="Arial"/>
      <w:snapToGrid w:val="0"/>
      <w:sz w:val="24"/>
      <w:lang w:val="en-US" w:eastAsia="en-US"/>
    </w:rPr>
  </w:style>
  <w:style w:type="paragraph" w:styleId="BodyTextFirstIndent2">
    <w:name w:val="Body Text First Indent 2"/>
    <w:basedOn w:val="BodyTextIndent"/>
    <w:link w:val="BodyTextFirstIndent2Char"/>
    <w:rsid w:val="00F33911"/>
    <w:pPr>
      <w:spacing w:after="120"/>
      <w:ind w:left="360" w:firstLine="360"/>
    </w:pPr>
    <w:rPr>
      <w:color w:val="auto"/>
    </w:rPr>
  </w:style>
  <w:style w:type="character" w:customStyle="1" w:styleId="BodyTextIndentChar">
    <w:name w:val="Body Text Indent Char"/>
    <w:basedOn w:val="DefaultParagraphFont"/>
    <w:link w:val="BodyTextIndent"/>
    <w:rsid w:val="00F33911"/>
    <w:rPr>
      <w:rFonts w:ascii="Arial" w:hAnsi="Arial"/>
      <w:snapToGrid w:val="0"/>
      <w:color w:val="FF0000"/>
      <w:lang w:eastAsia="en-US"/>
    </w:rPr>
  </w:style>
  <w:style w:type="character" w:customStyle="1" w:styleId="BodyTextFirstIndent2Char">
    <w:name w:val="Body Text First Indent 2 Char"/>
    <w:basedOn w:val="BodyTextIndentChar"/>
    <w:link w:val="BodyTextFirstIndent2"/>
    <w:rsid w:val="00F33911"/>
    <w:rPr>
      <w:rFonts w:ascii="Arial" w:hAnsi="Arial"/>
      <w:snapToGrid w:val="0"/>
      <w:color w:val="FF0000"/>
      <w:lang w:eastAsia="en-US"/>
    </w:rPr>
  </w:style>
  <w:style w:type="paragraph" w:styleId="BodyTextIndent3">
    <w:name w:val="Body Text Indent 3"/>
    <w:basedOn w:val="Normal"/>
    <w:link w:val="BodyTextIndent3Char"/>
    <w:rsid w:val="00F33911"/>
    <w:pPr>
      <w:ind w:left="283"/>
    </w:pPr>
    <w:rPr>
      <w:sz w:val="16"/>
      <w:szCs w:val="16"/>
    </w:rPr>
  </w:style>
  <w:style w:type="character" w:customStyle="1" w:styleId="BodyTextIndent3Char">
    <w:name w:val="Body Text Indent 3 Char"/>
    <w:basedOn w:val="DefaultParagraphFont"/>
    <w:link w:val="BodyTextIndent3"/>
    <w:rsid w:val="00F33911"/>
    <w:rPr>
      <w:rFonts w:ascii="Arial" w:hAnsi="Arial"/>
      <w:snapToGrid w:val="0"/>
      <w:sz w:val="16"/>
      <w:szCs w:val="16"/>
      <w:lang w:eastAsia="en-US"/>
    </w:rPr>
  </w:style>
  <w:style w:type="paragraph" w:styleId="Caption">
    <w:name w:val="caption"/>
    <w:basedOn w:val="Normal"/>
    <w:next w:val="Normal"/>
    <w:semiHidden/>
    <w:unhideWhenUsed/>
    <w:qFormat/>
    <w:rsid w:val="00F33911"/>
    <w:pPr>
      <w:spacing w:after="200"/>
    </w:pPr>
    <w:rPr>
      <w:b/>
      <w:bCs/>
      <w:color w:val="4F81BD" w:themeColor="accent1"/>
      <w:sz w:val="18"/>
      <w:szCs w:val="18"/>
    </w:rPr>
  </w:style>
  <w:style w:type="paragraph" w:styleId="Closing">
    <w:name w:val="Closing"/>
    <w:basedOn w:val="Normal"/>
    <w:link w:val="ClosingChar"/>
    <w:rsid w:val="00F33911"/>
    <w:pPr>
      <w:spacing w:after="0"/>
      <w:ind w:left="4252"/>
    </w:pPr>
  </w:style>
  <w:style w:type="character" w:customStyle="1" w:styleId="ClosingChar">
    <w:name w:val="Closing Char"/>
    <w:basedOn w:val="DefaultParagraphFont"/>
    <w:link w:val="Closing"/>
    <w:rsid w:val="00F33911"/>
    <w:rPr>
      <w:rFonts w:ascii="Arial" w:hAnsi="Arial"/>
      <w:snapToGrid w:val="0"/>
      <w:lang w:eastAsia="en-US"/>
    </w:rPr>
  </w:style>
  <w:style w:type="paragraph" w:styleId="Date">
    <w:name w:val="Date"/>
    <w:basedOn w:val="Normal"/>
    <w:next w:val="Normal"/>
    <w:link w:val="DateChar"/>
    <w:rsid w:val="00F33911"/>
  </w:style>
  <w:style w:type="character" w:customStyle="1" w:styleId="DateChar">
    <w:name w:val="Date Char"/>
    <w:basedOn w:val="DefaultParagraphFont"/>
    <w:link w:val="Date"/>
    <w:rsid w:val="00F33911"/>
    <w:rPr>
      <w:rFonts w:ascii="Arial" w:hAnsi="Arial"/>
      <w:snapToGrid w:val="0"/>
      <w:lang w:eastAsia="en-US"/>
    </w:rPr>
  </w:style>
  <w:style w:type="paragraph" w:styleId="E-mailSignature">
    <w:name w:val="E-mail Signature"/>
    <w:basedOn w:val="Normal"/>
    <w:link w:val="E-mailSignatureChar"/>
    <w:rsid w:val="00F33911"/>
    <w:pPr>
      <w:spacing w:after="0"/>
    </w:pPr>
  </w:style>
  <w:style w:type="character" w:customStyle="1" w:styleId="E-mailSignatureChar">
    <w:name w:val="E-mail Signature Char"/>
    <w:basedOn w:val="DefaultParagraphFont"/>
    <w:link w:val="E-mailSignature"/>
    <w:rsid w:val="00F33911"/>
    <w:rPr>
      <w:rFonts w:ascii="Arial" w:hAnsi="Arial"/>
      <w:snapToGrid w:val="0"/>
      <w:lang w:eastAsia="en-US"/>
    </w:rPr>
  </w:style>
  <w:style w:type="paragraph" w:styleId="EndnoteText">
    <w:name w:val="endnote text"/>
    <w:basedOn w:val="Normal"/>
    <w:link w:val="EndnoteTextChar"/>
    <w:rsid w:val="00F33911"/>
    <w:pPr>
      <w:spacing w:after="0"/>
    </w:pPr>
  </w:style>
  <w:style w:type="character" w:customStyle="1" w:styleId="EndnoteTextChar">
    <w:name w:val="Endnote Text Char"/>
    <w:basedOn w:val="DefaultParagraphFont"/>
    <w:link w:val="EndnoteText"/>
    <w:rsid w:val="00F33911"/>
    <w:rPr>
      <w:rFonts w:ascii="Arial" w:hAnsi="Arial"/>
      <w:snapToGrid w:val="0"/>
      <w:lang w:eastAsia="en-US"/>
    </w:rPr>
  </w:style>
  <w:style w:type="paragraph" w:styleId="EnvelopeAddress">
    <w:name w:val="envelope address"/>
    <w:basedOn w:val="Normal"/>
    <w:rsid w:val="00F3391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3911"/>
    <w:pPr>
      <w:spacing w:after="0"/>
    </w:pPr>
    <w:rPr>
      <w:rFonts w:asciiTheme="majorHAnsi" w:eastAsiaTheme="majorEastAsia" w:hAnsiTheme="majorHAnsi" w:cstheme="majorBidi"/>
    </w:rPr>
  </w:style>
  <w:style w:type="character" w:customStyle="1" w:styleId="Heading9Char">
    <w:name w:val="Heading 9 Char"/>
    <w:basedOn w:val="DefaultParagraphFont"/>
    <w:link w:val="Heading9"/>
    <w:semiHidden/>
    <w:rsid w:val="00F33911"/>
    <w:rPr>
      <w:rFonts w:asciiTheme="majorHAnsi" w:eastAsiaTheme="majorEastAsia" w:hAnsiTheme="majorHAnsi" w:cstheme="majorBidi"/>
      <w:i/>
      <w:iCs/>
      <w:snapToGrid w:val="0"/>
      <w:color w:val="404040" w:themeColor="text1" w:themeTint="BF"/>
      <w:lang w:eastAsia="en-US"/>
    </w:rPr>
  </w:style>
  <w:style w:type="paragraph" w:styleId="HTMLAddress">
    <w:name w:val="HTML Address"/>
    <w:basedOn w:val="Normal"/>
    <w:link w:val="HTMLAddressChar"/>
    <w:rsid w:val="00F33911"/>
    <w:pPr>
      <w:spacing w:after="0"/>
    </w:pPr>
    <w:rPr>
      <w:i/>
      <w:iCs/>
    </w:rPr>
  </w:style>
  <w:style w:type="character" w:customStyle="1" w:styleId="HTMLAddressChar">
    <w:name w:val="HTML Address Char"/>
    <w:basedOn w:val="DefaultParagraphFont"/>
    <w:link w:val="HTMLAddress"/>
    <w:rsid w:val="00F33911"/>
    <w:rPr>
      <w:rFonts w:ascii="Arial" w:hAnsi="Arial"/>
      <w:i/>
      <w:iCs/>
      <w:snapToGrid w:val="0"/>
      <w:lang w:eastAsia="en-US"/>
    </w:rPr>
  </w:style>
  <w:style w:type="paragraph" w:styleId="HTMLPreformatted">
    <w:name w:val="HTML Preformatted"/>
    <w:basedOn w:val="Normal"/>
    <w:link w:val="HTMLPreformattedChar"/>
    <w:rsid w:val="00F33911"/>
    <w:pPr>
      <w:spacing w:after="0"/>
    </w:pPr>
    <w:rPr>
      <w:rFonts w:ascii="Consolas" w:hAnsi="Consolas" w:cs="Consolas"/>
    </w:rPr>
  </w:style>
  <w:style w:type="character" w:customStyle="1" w:styleId="HTMLPreformattedChar">
    <w:name w:val="HTML Preformatted Char"/>
    <w:basedOn w:val="DefaultParagraphFont"/>
    <w:link w:val="HTMLPreformatted"/>
    <w:rsid w:val="00F33911"/>
    <w:rPr>
      <w:rFonts w:ascii="Consolas" w:hAnsi="Consolas" w:cs="Consolas"/>
      <w:snapToGrid w:val="0"/>
      <w:lang w:eastAsia="en-US"/>
    </w:rPr>
  </w:style>
  <w:style w:type="paragraph" w:styleId="Index1">
    <w:name w:val="index 1"/>
    <w:basedOn w:val="Normal"/>
    <w:next w:val="Normal"/>
    <w:autoRedefine/>
    <w:rsid w:val="00F33911"/>
    <w:pPr>
      <w:spacing w:after="0"/>
      <w:ind w:left="200" w:hanging="200"/>
    </w:pPr>
  </w:style>
  <w:style w:type="paragraph" w:styleId="Index2">
    <w:name w:val="index 2"/>
    <w:basedOn w:val="Normal"/>
    <w:next w:val="Normal"/>
    <w:autoRedefine/>
    <w:rsid w:val="00F33911"/>
    <w:pPr>
      <w:spacing w:after="0"/>
      <w:ind w:left="400" w:hanging="200"/>
    </w:pPr>
  </w:style>
  <w:style w:type="paragraph" w:styleId="Index3">
    <w:name w:val="index 3"/>
    <w:basedOn w:val="Normal"/>
    <w:next w:val="Normal"/>
    <w:autoRedefine/>
    <w:rsid w:val="00F33911"/>
    <w:pPr>
      <w:spacing w:after="0"/>
      <w:ind w:left="600" w:hanging="200"/>
    </w:pPr>
  </w:style>
  <w:style w:type="paragraph" w:styleId="Index4">
    <w:name w:val="index 4"/>
    <w:basedOn w:val="Normal"/>
    <w:next w:val="Normal"/>
    <w:autoRedefine/>
    <w:rsid w:val="00F33911"/>
    <w:pPr>
      <w:spacing w:after="0"/>
      <w:ind w:left="800" w:hanging="200"/>
    </w:pPr>
  </w:style>
  <w:style w:type="paragraph" w:styleId="Index5">
    <w:name w:val="index 5"/>
    <w:basedOn w:val="Normal"/>
    <w:next w:val="Normal"/>
    <w:autoRedefine/>
    <w:rsid w:val="00F33911"/>
    <w:pPr>
      <w:spacing w:after="0"/>
      <w:ind w:left="1000" w:hanging="200"/>
    </w:pPr>
  </w:style>
  <w:style w:type="paragraph" w:styleId="Index6">
    <w:name w:val="index 6"/>
    <w:basedOn w:val="Normal"/>
    <w:next w:val="Normal"/>
    <w:autoRedefine/>
    <w:rsid w:val="00F33911"/>
    <w:pPr>
      <w:spacing w:after="0"/>
      <w:ind w:left="1200" w:hanging="200"/>
    </w:pPr>
  </w:style>
  <w:style w:type="paragraph" w:styleId="Index7">
    <w:name w:val="index 7"/>
    <w:basedOn w:val="Normal"/>
    <w:next w:val="Normal"/>
    <w:autoRedefine/>
    <w:rsid w:val="00F33911"/>
    <w:pPr>
      <w:spacing w:after="0"/>
      <w:ind w:left="1400" w:hanging="200"/>
    </w:pPr>
  </w:style>
  <w:style w:type="paragraph" w:styleId="Index8">
    <w:name w:val="index 8"/>
    <w:basedOn w:val="Normal"/>
    <w:next w:val="Normal"/>
    <w:autoRedefine/>
    <w:rsid w:val="00F33911"/>
    <w:pPr>
      <w:spacing w:after="0"/>
      <w:ind w:left="1600" w:hanging="200"/>
    </w:pPr>
  </w:style>
  <w:style w:type="paragraph" w:styleId="Index9">
    <w:name w:val="index 9"/>
    <w:basedOn w:val="Normal"/>
    <w:next w:val="Normal"/>
    <w:autoRedefine/>
    <w:rsid w:val="00F33911"/>
    <w:pPr>
      <w:spacing w:after="0"/>
      <w:ind w:left="1800" w:hanging="200"/>
    </w:pPr>
  </w:style>
  <w:style w:type="paragraph" w:styleId="IndexHeading">
    <w:name w:val="index heading"/>
    <w:basedOn w:val="Normal"/>
    <w:next w:val="Index1"/>
    <w:rsid w:val="00F3391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391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33911"/>
    <w:rPr>
      <w:rFonts w:ascii="Arial" w:hAnsi="Arial"/>
      <w:b/>
      <w:bCs/>
      <w:i/>
      <w:iCs/>
      <w:snapToGrid w:val="0"/>
      <w:color w:val="4F81BD" w:themeColor="accent1"/>
      <w:lang w:eastAsia="en-US"/>
    </w:rPr>
  </w:style>
  <w:style w:type="paragraph" w:styleId="List">
    <w:name w:val="List"/>
    <w:basedOn w:val="Normal"/>
    <w:rsid w:val="00F33911"/>
    <w:pPr>
      <w:ind w:left="283" w:hanging="283"/>
      <w:contextualSpacing/>
    </w:pPr>
  </w:style>
  <w:style w:type="paragraph" w:styleId="List2">
    <w:name w:val="List 2"/>
    <w:basedOn w:val="Normal"/>
    <w:rsid w:val="00F33911"/>
    <w:pPr>
      <w:ind w:left="566" w:hanging="283"/>
      <w:contextualSpacing/>
    </w:pPr>
  </w:style>
  <w:style w:type="paragraph" w:styleId="List3">
    <w:name w:val="List 3"/>
    <w:basedOn w:val="Normal"/>
    <w:rsid w:val="00F33911"/>
    <w:pPr>
      <w:ind w:left="849" w:hanging="283"/>
      <w:contextualSpacing/>
    </w:pPr>
  </w:style>
  <w:style w:type="paragraph" w:styleId="List4">
    <w:name w:val="List 4"/>
    <w:basedOn w:val="Normal"/>
    <w:rsid w:val="00F33911"/>
    <w:pPr>
      <w:ind w:left="1132" w:hanging="283"/>
      <w:contextualSpacing/>
    </w:pPr>
  </w:style>
  <w:style w:type="paragraph" w:styleId="List5">
    <w:name w:val="List 5"/>
    <w:basedOn w:val="Normal"/>
    <w:rsid w:val="00F33911"/>
    <w:pPr>
      <w:ind w:left="1415" w:hanging="283"/>
      <w:contextualSpacing/>
    </w:pPr>
  </w:style>
  <w:style w:type="paragraph" w:styleId="ListBullet">
    <w:name w:val="List Bullet"/>
    <w:basedOn w:val="Normal"/>
    <w:rsid w:val="00F33911"/>
    <w:pPr>
      <w:numPr>
        <w:numId w:val="26"/>
      </w:numPr>
      <w:contextualSpacing/>
    </w:pPr>
  </w:style>
  <w:style w:type="paragraph" w:styleId="ListBullet2">
    <w:name w:val="List Bullet 2"/>
    <w:basedOn w:val="Normal"/>
    <w:rsid w:val="00F33911"/>
    <w:pPr>
      <w:numPr>
        <w:numId w:val="27"/>
      </w:numPr>
      <w:contextualSpacing/>
    </w:pPr>
  </w:style>
  <w:style w:type="paragraph" w:styleId="ListBullet3">
    <w:name w:val="List Bullet 3"/>
    <w:basedOn w:val="Normal"/>
    <w:rsid w:val="00F33911"/>
    <w:pPr>
      <w:numPr>
        <w:numId w:val="28"/>
      </w:numPr>
      <w:contextualSpacing/>
    </w:pPr>
  </w:style>
  <w:style w:type="paragraph" w:styleId="ListBullet4">
    <w:name w:val="List Bullet 4"/>
    <w:basedOn w:val="Normal"/>
    <w:rsid w:val="00F33911"/>
    <w:pPr>
      <w:numPr>
        <w:numId w:val="29"/>
      </w:numPr>
      <w:contextualSpacing/>
    </w:pPr>
  </w:style>
  <w:style w:type="paragraph" w:styleId="ListBullet5">
    <w:name w:val="List Bullet 5"/>
    <w:basedOn w:val="Normal"/>
    <w:rsid w:val="00F33911"/>
    <w:pPr>
      <w:numPr>
        <w:numId w:val="30"/>
      </w:numPr>
      <w:contextualSpacing/>
    </w:pPr>
  </w:style>
  <w:style w:type="paragraph" w:styleId="ListContinue">
    <w:name w:val="List Continue"/>
    <w:basedOn w:val="Normal"/>
    <w:rsid w:val="00F33911"/>
    <w:pPr>
      <w:ind w:left="283"/>
      <w:contextualSpacing/>
    </w:pPr>
  </w:style>
  <w:style w:type="paragraph" w:styleId="ListContinue2">
    <w:name w:val="List Continue 2"/>
    <w:basedOn w:val="Normal"/>
    <w:rsid w:val="00F33911"/>
    <w:pPr>
      <w:ind w:left="566"/>
      <w:contextualSpacing/>
    </w:pPr>
  </w:style>
  <w:style w:type="paragraph" w:styleId="ListContinue3">
    <w:name w:val="List Continue 3"/>
    <w:basedOn w:val="Normal"/>
    <w:rsid w:val="00F33911"/>
    <w:pPr>
      <w:ind w:left="849"/>
      <w:contextualSpacing/>
    </w:pPr>
  </w:style>
  <w:style w:type="paragraph" w:styleId="ListContinue4">
    <w:name w:val="List Continue 4"/>
    <w:basedOn w:val="Normal"/>
    <w:rsid w:val="00F33911"/>
    <w:pPr>
      <w:ind w:left="1132"/>
      <w:contextualSpacing/>
    </w:pPr>
  </w:style>
  <w:style w:type="paragraph" w:styleId="ListContinue5">
    <w:name w:val="List Continue 5"/>
    <w:basedOn w:val="Normal"/>
    <w:rsid w:val="00F33911"/>
    <w:pPr>
      <w:ind w:left="1415"/>
      <w:contextualSpacing/>
    </w:pPr>
  </w:style>
  <w:style w:type="paragraph" w:styleId="ListNumber">
    <w:name w:val="List Number"/>
    <w:basedOn w:val="Normal"/>
    <w:rsid w:val="00F33911"/>
    <w:pPr>
      <w:numPr>
        <w:numId w:val="31"/>
      </w:numPr>
      <w:contextualSpacing/>
    </w:pPr>
  </w:style>
  <w:style w:type="paragraph" w:styleId="ListNumber2">
    <w:name w:val="List Number 2"/>
    <w:basedOn w:val="Normal"/>
    <w:rsid w:val="00F33911"/>
    <w:pPr>
      <w:numPr>
        <w:numId w:val="32"/>
      </w:numPr>
      <w:contextualSpacing/>
    </w:pPr>
  </w:style>
  <w:style w:type="paragraph" w:styleId="ListNumber3">
    <w:name w:val="List Number 3"/>
    <w:basedOn w:val="Normal"/>
    <w:rsid w:val="00F33911"/>
    <w:pPr>
      <w:numPr>
        <w:numId w:val="33"/>
      </w:numPr>
      <w:contextualSpacing/>
    </w:pPr>
  </w:style>
  <w:style w:type="paragraph" w:styleId="ListNumber4">
    <w:name w:val="List Number 4"/>
    <w:basedOn w:val="Normal"/>
    <w:rsid w:val="00F33911"/>
    <w:pPr>
      <w:numPr>
        <w:numId w:val="34"/>
      </w:numPr>
      <w:contextualSpacing/>
    </w:pPr>
  </w:style>
  <w:style w:type="paragraph" w:styleId="ListNumber5">
    <w:name w:val="List Number 5"/>
    <w:basedOn w:val="Normal"/>
    <w:rsid w:val="00F33911"/>
    <w:pPr>
      <w:numPr>
        <w:numId w:val="35"/>
      </w:numPr>
      <w:contextualSpacing/>
    </w:pPr>
  </w:style>
  <w:style w:type="paragraph" w:styleId="MacroText">
    <w:name w:val="macro"/>
    <w:link w:val="MacroTextChar"/>
    <w:rsid w:val="00F3391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napToGrid w:val="0"/>
      <w:lang w:eastAsia="en-US"/>
    </w:rPr>
  </w:style>
  <w:style w:type="character" w:customStyle="1" w:styleId="MacroTextChar">
    <w:name w:val="Macro Text Char"/>
    <w:basedOn w:val="DefaultParagraphFont"/>
    <w:link w:val="MacroText"/>
    <w:rsid w:val="00F33911"/>
    <w:rPr>
      <w:rFonts w:ascii="Consolas" w:hAnsi="Consolas" w:cs="Consolas"/>
      <w:snapToGrid w:val="0"/>
      <w:lang w:eastAsia="en-US"/>
    </w:rPr>
  </w:style>
  <w:style w:type="paragraph" w:styleId="MessageHeader">
    <w:name w:val="Message Header"/>
    <w:basedOn w:val="Normal"/>
    <w:link w:val="MessageHeaderChar"/>
    <w:rsid w:val="00F3391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3911"/>
    <w:rPr>
      <w:rFonts w:asciiTheme="majorHAnsi" w:eastAsiaTheme="majorEastAsia" w:hAnsiTheme="majorHAnsi" w:cstheme="majorBidi"/>
      <w:snapToGrid w:val="0"/>
      <w:sz w:val="24"/>
      <w:szCs w:val="24"/>
      <w:shd w:val="pct20" w:color="auto" w:fill="auto"/>
      <w:lang w:eastAsia="en-US"/>
    </w:rPr>
  </w:style>
  <w:style w:type="paragraph" w:styleId="NoSpacing">
    <w:name w:val="No Spacing"/>
    <w:uiPriority w:val="1"/>
    <w:qFormat/>
    <w:rsid w:val="00F33911"/>
    <w:rPr>
      <w:rFonts w:ascii="Arial" w:hAnsi="Arial"/>
      <w:snapToGrid w:val="0"/>
      <w:lang w:eastAsia="en-US"/>
    </w:rPr>
  </w:style>
  <w:style w:type="paragraph" w:styleId="NormalWeb">
    <w:name w:val="Normal (Web)"/>
    <w:basedOn w:val="Normal"/>
    <w:rsid w:val="00F33911"/>
    <w:rPr>
      <w:rFonts w:ascii="Times New Roman" w:hAnsi="Times New Roman"/>
      <w:sz w:val="24"/>
      <w:szCs w:val="24"/>
    </w:rPr>
  </w:style>
  <w:style w:type="paragraph" w:styleId="NormalIndent">
    <w:name w:val="Normal Indent"/>
    <w:basedOn w:val="Normal"/>
    <w:rsid w:val="00F33911"/>
    <w:pPr>
      <w:ind w:left="720"/>
    </w:pPr>
  </w:style>
  <w:style w:type="paragraph" w:styleId="NoteHeading">
    <w:name w:val="Note Heading"/>
    <w:basedOn w:val="Normal"/>
    <w:next w:val="Normal"/>
    <w:link w:val="NoteHeadingChar"/>
    <w:rsid w:val="00F33911"/>
    <w:pPr>
      <w:spacing w:after="0"/>
    </w:pPr>
  </w:style>
  <w:style w:type="character" w:customStyle="1" w:styleId="NoteHeadingChar">
    <w:name w:val="Note Heading Char"/>
    <w:basedOn w:val="DefaultParagraphFont"/>
    <w:link w:val="NoteHeading"/>
    <w:rsid w:val="00F33911"/>
    <w:rPr>
      <w:rFonts w:ascii="Arial" w:hAnsi="Arial"/>
      <w:snapToGrid w:val="0"/>
      <w:lang w:eastAsia="en-US"/>
    </w:rPr>
  </w:style>
  <w:style w:type="paragraph" w:styleId="PlainText">
    <w:name w:val="Plain Text"/>
    <w:basedOn w:val="Normal"/>
    <w:link w:val="PlainTextChar"/>
    <w:rsid w:val="00F33911"/>
    <w:pPr>
      <w:spacing w:after="0"/>
    </w:pPr>
    <w:rPr>
      <w:rFonts w:ascii="Consolas" w:hAnsi="Consolas" w:cs="Consolas"/>
      <w:sz w:val="21"/>
      <w:szCs w:val="21"/>
    </w:rPr>
  </w:style>
  <w:style w:type="character" w:customStyle="1" w:styleId="PlainTextChar">
    <w:name w:val="Plain Text Char"/>
    <w:basedOn w:val="DefaultParagraphFont"/>
    <w:link w:val="PlainText"/>
    <w:rsid w:val="00F33911"/>
    <w:rPr>
      <w:rFonts w:ascii="Consolas" w:hAnsi="Consolas" w:cs="Consolas"/>
      <w:snapToGrid w:val="0"/>
      <w:sz w:val="21"/>
      <w:szCs w:val="21"/>
      <w:lang w:eastAsia="en-US"/>
    </w:rPr>
  </w:style>
  <w:style w:type="paragraph" w:styleId="Quote">
    <w:name w:val="Quote"/>
    <w:basedOn w:val="Normal"/>
    <w:next w:val="Normal"/>
    <w:link w:val="QuoteChar"/>
    <w:uiPriority w:val="29"/>
    <w:qFormat/>
    <w:rsid w:val="00F33911"/>
    <w:rPr>
      <w:i/>
      <w:iCs/>
      <w:color w:val="000000" w:themeColor="text1"/>
    </w:rPr>
  </w:style>
  <w:style w:type="character" w:customStyle="1" w:styleId="QuoteChar">
    <w:name w:val="Quote Char"/>
    <w:basedOn w:val="DefaultParagraphFont"/>
    <w:link w:val="Quote"/>
    <w:uiPriority w:val="29"/>
    <w:rsid w:val="00F33911"/>
    <w:rPr>
      <w:rFonts w:ascii="Arial" w:hAnsi="Arial"/>
      <w:i/>
      <w:iCs/>
      <w:snapToGrid w:val="0"/>
      <w:color w:val="000000" w:themeColor="text1"/>
      <w:lang w:eastAsia="en-US"/>
    </w:rPr>
  </w:style>
  <w:style w:type="paragraph" w:styleId="Salutation">
    <w:name w:val="Salutation"/>
    <w:basedOn w:val="Normal"/>
    <w:next w:val="Normal"/>
    <w:link w:val="SalutationChar"/>
    <w:rsid w:val="00F33911"/>
  </w:style>
  <w:style w:type="character" w:customStyle="1" w:styleId="SalutationChar">
    <w:name w:val="Salutation Char"/>
    <w:basedOn w:val="DefaultParagraphFont"/>
    <w:link w:val="Salutation"/>
    <w:rsid w:val="00F33911"/>
    <w:rPr>
      <w:rFonts w:ascii="Arial" w:hAnsi="Arial"/>
      <w:snapToGrid w:val="0"/>
      <w:lang w:eastAsia="en-US"/>
    </w:rPr>
  </w:style>
  <w:style w:type="paragraph" w:styleId="Signature">
    <w:name w:val="Signature"/>
    <w:basedOn w:val="Normal"/>
    <w:link w:val="SignatureChar"/>
    <w:rsid w:val="00F33911"/>
    <w:pPr>
      <w:spacing w:after="0"/>
      <w:ind w:left="4252"/>
    </w:pPr>
  </w:style>
  <w:style w:type="character" w:customStyle="1" w:styleId="SignatureChar">
    <w:name w:val="Signature Char"/>
    <w:basedOn w:val="DefaultParagraphFont"/>
    <w:link w:val="Signature"/>
    <w:rsid w:val="00F33911"/>
    <w:rPr>
      <w:rFonts w:ascii="Arial" w:hAnsi="Arial"/>
      <w:snapToGrid w:val="0"/>
      <w:lang w:eastAsia="en-US"/>
    </w:rPr>
  </w:style>
  <w:style w:type="paragraph" w:styleId="Subtitle">
    <w:name w:val="Subtitle"/>
    <w:basedOn w:val="Normal"/>
    <w:next w:val="Normal"/>
    <w:link w:val="SubtitleChar"/>
    <w:qFormat/>
    <w:rsid w:val="00F339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33911"/>
    <w:rPr>
      <w:rFonts w:asciiTheme="majorHAnsi" w:eastAsiaTheme="majorEastAsia" w:hAnsiTheme="majorHAnsi" w:cstheme="majorBidi"/>
      <w:i/>
      <w:iCs/>
      <w:snapToGrid w:val="0"/>
      <w:color w:val="4F81BD" w:themeColor="accent1"/>
      <w:spacing w:val="15"/>
      <w:sz w:val="24"/>
      <w:szCs w:val="24"/>
      <w:lang w:eastAsia="en-US"/>
    </w:rPr>
  </w:style>
  <w:style w:type="paragraph" w:styleId="TableofAuthorities">
    <w:name w:val="table of authorities"/>
    <w:basedOn w:val="Normal"/>
    <w:next w:val="Normal"/>
    <w:rsid w:val="00F33911"/>
    <w:pPr>
      <w:spacing w:after="0"/>
      <w:ind w:left="200" w:hanging="200"/>
    </w:pPr>
  </w:style>
  <w:style w:type="paragraph" w:styleId="TableofFigures">
    <w:name w:val="table of figures"/>
    <w:basedOn w:val="Normal"/>
    <w:next w:val="Normal"/>
    <w:rsid w:val="00F33911"/>
    <w:pPr>
      <w:spacing w:after="0"/>
    </w:pPr>
  </w:style>
  <w:style w:type="paragraph" w:styleId="Title">
    <w:name w:val="Title"/>
    <w:basedOn w:val="Normal"/>
    <w:next w:val="Normal"/>
    <w:link w:val="TitleChar"/>
    <w:qFormat/>
    <w:rsid w:val="00F3391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33911"/>
    <w:rPr>
      <w:rFonts w:asciiTheme="majorHAnsi" w:eastAsiaTheme="majorEastAsia" w:hAnsiTheme="majorHAnsi" w:cstheme="majorBidi"/>
      <w:snapToGrid w:val="0"/>
      <w:color w:val="17365D" w:themeColor="text2" w:themeShade="BF"/>
      <w:spacing w:val="5"/>
      <w:kern w:val="28"/>
      <w:sz w:val="52"/>
      <w:szCs w:val="52"/>
      <w:lang w:eastAsia="en-US"/>
    </w:rPr>
  </w:style>
  <w:style w:type="paragraph" w:styleId="TOAHeading">
    <w:name w:val="toa heading"/>
    <w:basedOn w:val="Normal"/>
    <w:next w:val="Normal"/>
    <w:rsid w:val="00F3391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F33911"/>
    <w:pPr>
      <w:spacing w:after="100"/>
    </w:pPr>
  </w:style>
  <w:style w:type="paragraph" w:styleId="TOC2">
    <w:name w:val="toc 2"/>
    <w:basedOn w:val="Normal"/>
    <w:next w:val="Normal"/>
    <w:autoRedefine/>
    <w:rsid w:val="00F33911"/>
    <w:pPr>
      <w:spacing w:after="100"/>
      <w:ind w:left="200"/>
    </w:pPr>
  </w:style>
  <w:style w:type="paragraph" w:styleId="TOC3">
    <w:name w:val="toc 3"/>
    <w:basedOn w:val="Normal"/>
    <w:next w:val="Normal"/>
    <w:autoRedefine/>
    <w:rsid w:val="00F33911"/>
    <w:pPr>
      <w:spacing w:after="100"/>
      <w:ind w:left="400"/>
    </w:pPr>
  </w:style>
  <w:style w:type="paragraph" w:styleId="TOC4">
    <w:name w:val="toc 4"/>
    <w:basedOn w:val="Normal"/>
    <w:next w:val="Normal"/>
    <w:autoRedefine/>
    <w:rsid w:val="00F33911"/>
    <w:pPr>
      <w:spacing w:after="100"/>
      <w:ind w:left="600"/>
    </w:pPr>
  </w:style>
  <w:style w:type="paragraph" w:styleId="TOC5">
    <w:name w:val="toc 5"/>
    <w:basedOn w:val="Normal"/>
    <w:next w:val="Normal"/>
    <w:autoRedefine/>
    <w:rsid w:val="00F33911"/>
    <w:pPr>
      <w:spacing w:after="100"/>
      <w:ind w:left="800"/>
    </w:pPr>
  </w:style>
  <w:style w:type="paragraph" w:styleId="TOC6">
    <w:name w:val="toc 6"/>
    <w:basedOn w:val="Normal"/>
    <w:next w:val="Normal"/>
    <w:autoRedefine/>
    <w:rsid w:val="00F33911"/>
    <w:pPr>
      <w:spacing w:after="100"/>
      <w:ind w:left="1000"/>
    </w:pPr>
  </w:style>
  <w:style w:type="paragraph" w:styleId="TOC7">
    <w:name w:val="toc 7"/>
    <w:basedOn w:val="Normal"/>
    <w:next w:val="Normal"/>
    <w:autoRedefine/>
    <w:rsid w:val="00F33911"/>
    <w:pPr>
      <w:spacing w:after="100"/>
      <w:ind w:left="1200"/>
    </w:pPr>
  </w:style>
  <w:style w:type="paragraph" w:styleId="TOC8">
    <w:name w:val="toc 8"/>
    <w:basedOn w:val="Normal"/>
    <w:next w:val="Normal"/>
    <w:autoRedefine/>
    <w:rsid w:val="00F33911"/>
    <w:pPr>
      <w:spacing w:after="100"/>
      <w:ind w:left="1400"/>
    </w:pPr>
  </w:style>
  <w:style w:type="paragraph" w:styleId="TOC9">
    <w:name w:val="toc 9"/>
    <w:basedOn w:val="Normal"/>
    <w:next w:val="Normal"/>
    <w:autoRedefine/>
    <w:rsid w:val="00F33911"/>
    <w:pPr>
      <w:spacing w:after="100"/>
      <w:ind w:left="1600"/>
    </w:pPr>
  </w:style>
  <w:style w:type="paragraph" w:styleId="TOCHeading">
    <w:name w:val="TOC Heading"/>
    <w:basedOn w:val="Heading1"/>
    <w:next w:val="Normal"/>
    <w:uiPriority w:val="39"/>
    <w:semiHidden/>
    <w:unhideWhenUsed/>
    <w:qFormat/>
    <w:rsid w:val="00F33911"/>
    <w:pPr>
      <w:keepLines/>
      <w:spacing w:before="480" w:after="0"/>
      <w:outlineLvl w:val="9"/>
    </w:pPr>
    <w:rPr>
      <w:rFonts w:asciiTheme="majorHAnsi" w:eastAsiaTheme="majorEastAsia" w:hAnsiTheme="majorHAnsi" w:cstheme="majorBidi"/>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CE8"/>
    <w:pPr>
      <w:spacing w:after="120"/>
    </w:pPr>
    <w:rPr>
      <w:rFonts w:ascii="Arial" w:hAnsi="Arial"/>
      <w:snapToGrid w:val="0"/>
      <w:lang w:eastAsia="en-US"/>
    </w:rPr>
  </w:style>
  <w:style w:type="paragraph" w:styleId="Heading1">
    <w:name w:val="heading 1"/>
    <w:basedOn w:val="Normal"/>
    <w:next w:val="Normal"/>
    <w:qFormat/>
    <w:rsid w:val="00E74CE8"/>
    <w:pPr>
      <w:keepNext/>
      <w:outlineLvl w:val="0"/>
    </w:pPr>
    <w:rPr>
      <w:b/>
    </w:rPr>
  </w:style>
  <w:style w:type="paragraph" w:styleId="Heading2">
    <w:name w:val="heading 2"/>
    <w:aliases w:val="H2,H21,H22,H23,H24"/>
    <w:basedOn w:val="Normal"/>
    <w:next w:val="Normal"/>
    <w:qFormat/>
    <w:rsid w:val="00E74CE8"/>
    <w:pPr>
      <w:keepNext/>
      <w:outlineLvl w:val="1"/>
    </w:pPr>
  </w:style>
  <w:style w:type="paragraph" w:styleId="Heading3">
    <w:name w:val="heading 3"/>
    <w:basedOn w:val="Normal"/>
    <w:next w:val="Normal"/>
    <w:qFormat/>
    <w:rsid w:val="00E74CE8"/>
    <w:pPr>
      <w:keepNext/>
      <w:outlineLvl w:val="2"/>
    </w:pPr>
    <w:rPr>
      <w:i/>
    </w:rPr>
  </w:style>
  <w:style w:type="paragraph" w:styleId="Heading4">
    <w:name w:val="heading 4"/>
    <w:basedOn w:val="Normal"/>
    <w:next w:val="Normal"/>
    <w:qFormat/>
    <w:rsid w:val="00E74CE8"/>
    <w:pPr>
      <w:keepNext/>
      <w:tabs>
        <w:tab w:val="left" w:pos="204"/>
      </w:tabs>
      <w:spacing w:line="402" w:lineRule="exact"/>
      <w:jc w:val="both"/>
      <w:outlineLvl w:val="3"/>
    </w:pPr>
    <w:rPr>
      <w:b/>
      <w:lang w:val="en-US"/>
    </w:rPr>
  </w:style>
  <w:style w:type="paragraph" w:styleId="Heading5">
    <w:name w:val="heading 5"/>
    <w:basedOn w:val="Normal"/>
    <w:next w:val="Normal"/>
    <w:qFormat/>
    <w:rsid w:val="00E74CE8"/>
    <w:pPr>
      <w:keepNext/>
      <w:spacing w:before="40" w:after="40"/>
      <w:outlineLvl w:val="4"/>
    </w:pPr>
    <w:rPr>
      <w:b/>
      <w:u w:val="words"/>
    </w:rPr>
  </w:style>
  <w:style w:type="paragraph" w:styleId="Heading6">
    <w:name w:val="heading 6"/>
    <w:basedOn w:val="Normal"/>
    <w:next w:val="Normal"/>
    <w:qFormat/>
    <w:rsid w:val="00E74CE8"/>
    <w:pPr>
      <w:keepNext/>
      <w:spacing w:before="40" w:after="40"/>
      <w:outlineLvl w:val="5"/>
    </w:pPr>
    <w:rPr>
      <w:b/>
      <w:u w:val="single"/>
    </w:rPr>
  </w:style>
  <w:style w:type="paragraph" w:styleId="Heading7">
    <w:name w:val="heading 7"/>
    <w:basedOn w:val="Normal"/>
    <w:next w:val="Normal"/>
    <w:qFormat/>
    <w:rsid w:val="00E74CE8"/>
    <w:pPr>
      <w:keepNext/>
      <w:spacing w:before="40" w:after="40"/>
      <w:jc w:val="center"/>
      <w:outlineLvl w:val="6"/>
    </w:pPr>
    <w:rPr>
      <w:b/>
    </w:rPr>
  </w:style>
  <w:style w:type="paragraph" w:styleId="Heading8">
    <w:name w:val="heading 8"/>
    <w:basedOn w:val="Normal"/>
    <w:next w:val="Normal"/>
    <w:qFormat/>
    <w:rsid w:val="00E74CE8"/>
    <w:pPr>
      <w:keepNext/>
      <w:suppressLineNumbers/>
      <w:suppressAutoHyphens/>
      <w:spacing w:after="0"/>
      <w:ind w:left="720"/>
      <w:jc w:val="center"/>
      <w:outlineLvl w:val="7"/>
    </w:pPr>
    <w:rPr>
      <w:b/>
    </w:rPr>
  </w:style>
  <w:style w:type="paragraph" w:styleId="Heading9">
    <w:name w:val="heading 9"/>
    <w:basedOn w:val="Normal"/>
    <w:next w:val="Normal"/>
    <w:link w:val="Heading9Char"/>
    <w:semiHidden/>
    <w:unhideWhenUsed/>
    <w:qFormat/>
    <w:rsid w:val="00F33911"/>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74CE8"/>
    <w:pPr>
      <w:tabs>
        <w:tab w:val="left" w:pos="204"/>
      </w:tabs>
      <w:spacing w:line="360" w:lineRule="auto"/>
      <w:jc w:val="both"/>
    </w:pPr>
    <w:rPr>
      <w:sz w:val="24"/>
      <w:lang w:val="en-US"/>
    </w:rPr>
  </w:style>
  <w:style w:type="paragraph" w:styleId="Header">
    <w:name w:val="header"/>
    <w:basedOn w:val="Normal"/>
    <w:link w:val="HeaderChar"/>
    <w:uiPriority w:val="99"/>
    <w:rsid w:val="00E74CE8"/>
    <w:pPr>
      <w:tabs>
        <w:tab w:val="center" w:pos="4153"/>
        <w:tab w:val="right" w:pos="8306"/>
      </w:tabs>
    </w:pPr>
  </w:style>
  <w:style w:type="paragraph" w:styleId="Footer">
    <w:name w:val="footer"/>
    <w:basedOn w:val="Normal"/>
    <w:link w:val="FooterChar"/>
    <w:uiPriority w:val="99"/>
    <w:rsid w:val="00E74CE8"/>
    <w:pPr>
      <w:tabs>
        <w:tab w:val="center" w:pos="4153"/>
        <w:tab w:val="right" w:pos="8306"/>
      </w:tabs>
    </w:pPr>
  </w:style>
  <w:style w:type="paragraph" w:styleId="BodyText2">
    <w:name w:val="Body Text 2"/>
    <w:basedOn w:val="Normal"/>
    <w:rsid w:val="00E74CE8"/>
    <w:rPr>
      <w:color w:val="FF0000"/>
    </w:rPr>
  </w:style>
  <w:style w:type="paragraph" w:styleId="BodyText3">
    <w:name w:val="Body Text 3"/>
    <w:basedOn w:val="Normal"/>
    <w:rsid w:val="00E74CE8"/>
    <w:rPr>
      <w:i/>
    </w:rPr>
  </w:style>
  <w:style w:type="paragraph" w:styleId="BodyTextIndent">
    <w:name w:val="Body Text Indent"/>
    <w:basedOn w:val="Normal"/>
    <w:link w:val="BodyTextIndentChar"/>
    <w:rsid w:val="00E74CE8"/>
    <w:pPr>
      <w:spacing w:after="0"/>
      <w:ind w:left="1080"/>
    </w:pPr>
    <w:rPr>
      <w:color w:val="FF0000"/>
    </w:rPr>
  </w:style>
  <w:style w:type="character" w:styleId="CommentReference">
    <w:name w:val="annotation reference"/>
    <w:basedOn w:val="DefaultParagraphFont"/>
    <w:uiPriority w:val="99"/>
    <w:semiHidden/>
    <w:rsid w:val="00E74CE8"/>
    <w:rPr>
      <w:sz w:val="16"/>
    </w:rPr>
  </w:style>
  <w:style w:type="paragraph" w:styleId="CommentText">
    <w:name w:val="annotation text"/>
    <w:basedOn w:val="Normal"/>
    <w:link w:val="CommentTextChar"/>
    <w:uiPriority w:val="99"/>
    <w:semiHidden/>
    <w:rsid w:val="00E35CC1"/>
  </w:style>
  <w:style w:type="paragraph" w:styleId="BlockText">
    <w:name w:val="Block Text"/>
    <w:basedOn w:val="Normal"/>
    <w:rsid w:val="00E74CE8"/>
    <w:pPr>
      <w:suppressLineNumbers/>
      <w:suppressAutoHyphens/>
      <w:ind w:left="851" w:right="851"/>
    </w:pPr>
  </w:style>
  <w:style w:type="character" w:styleId="PageNumber">
    <w:name w:val="page number"/>
    <w:basedOn w:val="DefaultParagraphFont"/>
    <w:rsid w:val="00E74CE8"/>
  </w:style>
  <w:style w:type="paragraph" w:styleId="DocumentMap">
    <w:name w:val="Document Map"/>
    <w:basedOn w:val="Normal"/>
    <w:semiHidden/>
    <w:rsid w:val="00E74CE8"/>
    <w:pPr>
      <w:shd w:val="clear" w:color="auto" w:fill="000080"/>
    </w:pPr>
    <w:rPr>
      <w:rFonts w:ascii="Tahoma" w:hAnsi="Tahoma"/>
    </w:rPr>
  </w:style>
  <w:style w:type="paragraph" w:styleId="BodyTextIndent2">
    <w:name w:val="Body Text Indent 2"/>
    <w:basedOn w:val="Normal"/>
    <w:rsid w:val="00E74CE8"/>
    <w:pPr>
      <w:tabs>
        <w:tab w:val="left" w:pos="3261"/>
      </w:tabs>
      <w:ind w:left="720"/>
    </w:pPr>
  </w:style>
  <w:style w:type="paragraph" w:customStyle="1" w:styleId="BulletedList">
    <w:name w:val="Bulleted List"/>
    <w:rsid w:val="00E74CE8"/>
    <w:pPr>
      <w:spacing w:before="57" w:after="114"/>
      <w:ind w:left="1426" w:hanging="576"/>
    </w:pPr>
    <w:rPr>
      <w:sz w:val="24"/>
      <w:lang w:val="en-GB" w:eastAsia="en-US"/>
    </w:rPr>
  </w:style>
  <w:style w:type="paragraph" w:styleId="BalloonText">
    <w:name w:val="Balloon Text"/>
    <w:basedOn w:val="Normal"/>
    <w:semiHidden/>
    <w:rsid w:val="00765FD0"/>
    <w:rPr>
      <w:rFonts w:ascii="Tahoma" w:hAnsi="Tahoma" w:cs="Tahoma"/>
      <w:sz w:val="16"/>
      <w:szCs w:val="16"/>
    </w:rPr>
  </w:style>
  <w:style w:type="paragraph" w:styleId="CommentSubject">
    <w:name w:val="annotation subject"/>
    <w:basedOn w:val="CommentText"/>
    <w:next w:val="CommentText"/>
    <w:semiHidden/>
    <w:rsid w:val="00765FD0"/>
    <w:rPr>
      <w:b/>
      <w:bCs/>
    </w:rPr>
  </w:style>
  <w:style w:type="table" w:styleId="TableGrid">
    <w:name w:val="Table Grid"/>
    <w:basedOn w:val="TableNormal"/>
    <w:rsid w:val="000A6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E35CC1"/>
    <w:rPr>
      <w:rFonts w:ascii="Arial" w:hAnsi="Arial"/>
      <w:snapToGrid w:val="0"/>
      <w:lang w:eastAsia="en-US"/>
    </w:rPr>
  </w:style>
  <w:style w:type="paragraph" w:styleId="Revision">
    <w:name w:val="Revision"/>
    <w:hidden/>
    <w:uiPriority w:val="99"/>
    <w:semiHidden/>
    <w:rsid w:val="002D1F5C"/>
    <w:rPr>
      <w:rFonts w:ascii="Arial" w:hAnsi="Arial"/>
      <w:snapToGrid w:val="0"/>
      <w:lang w:eastAsia="en-US"/>
    </w:rPr>
  </w:style>
  <w:style w:type="paragraph" w:styleId="ListParagraph">
    <w:name w:val="List Paragraph"/>
    <w:basedOn w:val="Normal"/>
    <w:uiPriority w:val="34"/>
    <w:qFormat/>
    <w:rsid w:val="00055927"/>
    <w:pPr>
      <w:ind w:left="720"/>
      <w:contextualSpacing/>
    </w:pPr>
  </w:style>
  <w:style w:type="paragraph" w:customStyle="1" w:styleId="eptext">
    <w:name w:val="eptext"/>
    <w:basedOn w:val="Normal"/>
    <w:rsid w:val="00AF358B"/>
    <w:pPr>
      <w:spacing w:before="140" w:after="140" w:line="336" w:lineRule="atLeast"/>
    </w:pPr>
    <w:rPr>
      <w:rFonts w:cs="Arial"/>
      <w:snapToGrid/>
      <w:color w:val="333333"/>
      <w:sz w:val="18"/>
      <w:szCs w:val="18"/>
      <w:lang w:eastAsia="en-AU"/>
    </w:rPr>
  </w:style>
  <w:style w:type="character" w:customStyle="1" w:styleId="FooterChar">
    <w:name w:val="Footer Char"/>
    <w:basedOn w:val="DefaultParagraphFont"/>
    <w:link w:val="Footer"/>
    <w:uiPriority w:val="99"/>
    <w:rsid w:val="00794AEF"/>
    <w:rPr>
      <w:rFonts w:ascii="Arial" w:hAnsi="Arial"/>
      <w:snapToGrid w:val="0"/>
      <w:lang w:eastAsia="en-US"/>
    </w:rPr>
  </w:style>
  <w:style w:type="paragraph" w:styleId="FootnoteText">
    <w:name w:val="footnote text"/>
    <w:basedOn w:val="Normal"/>
    <w:link w:val="FootnoteTextChar"/>
    <w:rsid w:val="00782FD5"/>
    <w:pPr>
      <w:spacing w:after="0"/>
    </w:pPr>
  </w:style>
  <w:style w:type="character" w:customStyle="1" w:styleId="FootnoteTextChar">
    <w:name w:val="Footnote Text Char"/>
    <w:basedOn w:val="DefaultParagraphFont"/>
    <w:link w:val="FootnoteText"/>
    <w:rsid w:val="00782FD5"/>
    <w:rPr>
      <w:rFonts w:ascii="Arial" w:hAnsi="Arial"/>
      <w:snapToGrid w:val="0"/>
      <w:lang w:eastAsia="en-US"/>
    </w:rPr>
  </w:style>
  <w:style w:type="character" w:styleId="FootnoteReference">
    <w:name w:val="footnote reference"/>
    <w:basedOn w:val="DefaultParagraphFont"/>
    <w:rsid w:val="00782FD5"/>
    <w:rPr>
      <w:vertAlign w:val="superscript"/>
    </w:rPr>
  </w:style>
  <w:style w:type="paragraph" w:customStyle="1" w:styleId="Default">
    <w:name w:val="Default"/>
    <w:rsid w:val="00AE3FBB"/>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371176"/>
    <w:rPr>
      <w:rFonts w:ascii="Arial" w:hAnsi="Arial"/>
      <w:snapToGrid w:val="0"/>
      <w:lang w:eastAsia="en-US"/>
    </w:rPr>
  </w:style>
  <w:style w:type="paragraph" w:styleId="Bibliography">
    <w:name w:val="Bibliography"/>
    <w:basedOn w:val="Normal"/>
    <w:next w:val="Normal"/>
    <w:uiPriority w:val="37"/>
    <w:semiHidden/>
    <w:unhideWhenUsed/>
    <w:rsid w:val="00F33911"/>
  </w:style>
  <w:style w:type="paragraph" w:styleId="BodyTextFirstIndent">
    <w:name w:val="Body Text First Indent"/>
    <w:basedOn w:val="BodyText"/>
    <w:link w:val="BodyTextFirstIndentChar"/>
    <w:rsid w:val="00F33911"/>
    <w:pPr>
      <w:tabs>
        <w:tab w:val="clear" w:pos="204"/>
      </w:tabs>
      <w:spacing w:line="240" w:lineRule="auto"/>
      <w:ind w:firstLine="360"/>
      <w:jc w:val="left"/>
    </w:pPr>
    <w:rPr>
      <w:sz w:val="20"/>
      <w:lang w:val="en-AU"/>
    </w:rPr>
  </w:style>
  <w:style w:type="character" w:customStyle="1" w:styleId="BodyTextChar">
    <w:name w:val="Body Text Char"/>
    <w:basedOn w:val="DefaultParagraphFont"/>
    <w:link w:val="BodyText"/>
    <w:rsid w:val="00F33911"/>
    <w:rPr>
      <w:rFonts w:ascii="Arial" w:hAnsi="Arial"/>
      <w:snapToGrid w:val="0"/>
      <w:sz w:val="24"/>
      <w:lang w:val="en-US" w:eastAsia="en-US"/>
    </w:rPr>
  </w:style>
  <w:style w:type="character" w:customStyle="1" w:styleId="BodyTextFirstIndentChar">
    <w:name w:val="Body Text First Indent Char"/>
    <w:basedOn w:val="BodyTextChar"/>
    <w:link w:val="BodyTextFirstIndent"/>
    <w:rsid w:val="00F33911"/>
    <w:rPr>
      <w:rFonts w:ascii="Arial" w:hAnsi="Arial"/>
      <w:snapToGrid w:val="0"/>
      <w:sz w:val="24"/>
      <w:lang w:val="en-US" w:eastAsia="en-US"/>
    </w:rPr>
  </w:style>
  <w:style w:type="paragraph" w:styleId="BodyTextFirstIndent2">
    <w:name w:val="Body Text First Indent 2"/>
    <w:basedOn w:val="BodyTextIndent"/>
    <w:link w:val="BodyTextFirstIndent2Char"/>
    <w:rsid w:val="00F33911"/>
    <w:pPr>
      <w:spacing w:after="120"/>
      <w:ind w:left="360" w:firstLine="360"/>
    </w:pPr>
    <w:rPr>
      <w:color w:val="auto"/>
    </w:rPr>
  </w:style>
  <w:style w:type="character" w:customStyle="1" w:styleId="BodyTextIndentChar">
    <w:name w:val="Body Text Indent Char"/>
    <w:basedOn w:val="DefaultParagraphFont"/>
    <w:link w:val="BodyTextIndent"/>
    <w:rsid w:val="00F33911"/>
    <w:rPr>
      <w:rFonts w:ascii="Arial" w:hAnsi="Arial"/>
      <w:snapToGrid w:val="0"/>
      <w:color w:val="FF0000"/>
      <w:lang w:eastAsia="en-US"/>
    </w:rPr>
  </w:style>
  <w:style w:type="character" w:customStyle="1" w:styleId="BodyTextFirstIndent2Char">
    <w:name w:val="Body Text First Indent 2 Char"/>
    <w:basedOn w:val="BodyTextIndentChar"/>
    <w:link w:val="BodyTextFirstIndent2"/>
    <w:rsid w:val="00F33911"/>
    <w:rPr>
      <w:rFonts w:ascii="Arial" w:hAnsi="Arial"/>
      <w:snapToGrid w:val="0"/>
      <w:color w:val="FF0000"/>
      <w:lang w:eastAsia="en-US"/>
    </w:rPr>
  </w:style>
  <w:style w:type="paragraph" w:styleId="BodyTextIndent3">
    <w:name w:val="Body Text Indent 3"/>
    <w:basedOn w:val="Normal"/>
    <w:link w:val="BodyTextIndent3Char"/>
    <w:rsid w:val="00F33911"/>
    <w:pPr>
      <w:ind w:left="283"/>
    </w:pPr>
    <w:rPr>
      <w:sz w:val="16"/>
      <w:szCs w:val="16"/>
    </w:rPr>
  </w:style>
  <w:style w:type="character" w:customStyle="1" w:styleId="BodyTextIndent3Char">
    <w:name w:val="Body Text Indent 3 Char"/>
    <w:basedOn w:val="DefaultParagraphFont"/>
    <w:link w:val="BodyTextIndent3"/>
    <w:rsid w:val="00F33911"/>
    <w:rPr>
      <w:rFonts w:ascii="Arial" w:hAnsi="Arial"/>
      <w:snapToGrid w:val="0"/>
      <w:sz w:val="16"/>
      <w:szCs w:val="16"/>
      <w:lang w:eastAsia="en-US"/>
    </w:rPr>
  </w:style>
  <w:style w:type="paragraph" w:styleId="Caption">
    <w:name w:val="caption"/>
    <w:basedOn w:val="Normal"/>
    <w:next w:val="Normal"/>
    <w:semiHidden/>
    <w:unhideWhenUsed/>
    <w:qFormat/>
    <w:rsid w:val="00F33911"/>
    <w:pPr>
      <w:spacing w:after="200"/>
    </w:pPr>
    <w:rPr>
      <w:b/>
      <w:bCs/>
      <w:color w:val="4F81BD" w:themeColor="accent1"/>
      <w:sz w:val="18"/>
      <w:szCs w:val="18"/>
    </w:rPr>
  </w:style>
  <w:style w:type="paragraph" w:styleId="Closing">
    <w:name w:val="Closing"/>
    <w:basedOn w:val="Normal"/>
    <w:link w:val="ClosingChar"/>
    <w:rsid w:val="00F33911"/>
    <w:pPr>
      <w:spacing w:after="0"/>
      <w:ind w:left="4252"/>
    </w:pPr>
  </w:style>
  <w:style w:type="character" w:customStyle="1" w:styleId="ClosingChar">
    <w:name w:val="Closing Char"/>
    <w:basedOn w:val="DefaultParagraphFont"/>
    <w:link w:val="Closing"/>
    <w:rsid w:val="00F33911"/>
    <w:rPr>
      <w:rFonts w:ascii="Arial" w:hAnsi="Arial"/>
      <w:snapToGrid w:val="0"/>
      <w:lang w:eastAsia="en-US"/>
    </w:rPr>
  </w:style>
  <w:style w:type="paragraph" w:styleId="Date">
    <w:name w:val="Date"/>
    <w:basedOn w:val="Normal"/>
    <w:next w:val="Normal"/>
    <w:link w:val="DateChar"/>
    <w:rsid w:val="00F33911"/>
  </w:style>
  <w:style w:type="character" w:customStyle="1" w:styleId="DateChar">
    <w:name w:val="Date Char"/>
    <w:basedOn w:val="DefaultParagraphFont"/>
    <w:link w:val="Date"/>
    <w:rsid w:val="00F33911"/>
    <w:rPr>
      <w:rFonts w:ascii="Arial" w:hAnsi="Arial"/>
      <w:snapToGrid w:val="0"/>
      <w:lang w:eastAsia="en-US"/>
    </w:rPr>
  </w:style>
  <w:style w:type="paragraph" w:styleId="E-mailSignature">
    <w:name w:val="E-mail Signature"/>
    <w:basedOn w:val="Normal"/>
    <w:link w:val="E-mailSignatureChar"/>
    <w:rsid w:val="00F33911"/>
    <w:pPr>
      <w:spacing w:after="0"/>
    </w:pPr>
  </w:style>
  <w:style w:type="character" w:customStyle="1" w:styleId="E-mailSignatureChar">
    <w:name w:val="E-mail Signature Char"/>
    <w:basedOn w:val="DefaultParagraphFont"/>
    <w:link w:val="E-mailSignature"/>
    <w:rsid w:val="00F33911"/>
    <w:rPr>
      <w:rFonts w:ascii="Arial" w:hAnsi="Arial"/>
      <w:snapToGrid w:val="0"/>
      <w:lang w:eastAsia="en-US"/>
    </w:rPr>
  </w:style>
  <w:style w:type="paragraph" w:styleId="EndnoteText">
    <w:name w:val="endnote text"/>
    <w:basedOn w:val="Normal"/>
    <w:link w:val="EndnoteTextChar"/>
    <w:rsid w:val="00F33911"/>
    <w:pPr>
      <w:spacing w:after="0"/>
    </w:pPr>
  </w:style>
  <w:style w:type="character" w:customStyle="1" w:styleId="EndnoteTextChar">
    <w:name w:val="Endnote Text Char"/>
    <w:basedOn w:val="DefaultParagraphFont"/>
    <w:link w:val="EndnoteText"/>
    <w:rsid w:val="00F33911"/>
    <w:rPr>
      <w:rFonts w:ascii="Arial" w:hAnsi="Arial"/>
      <w:snapToGrid w:val="0"/>
      <w:lang w:eastAsia="en-US"/>
    </w:rPr>
  </w:style>
  <w:style w:type="paragraph" w:styleId="EnvelopeAddress">
    <w:name w:val="envelope address"/>
    <w:basedOn w:val="Normal"/>
    <w:rsid w:val="00F3391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3911"/>
    <w:pPr>
      <w:spacing w:after="0"/>
    </w:pPr>
    <w:rPr>
      <w:rFonts w:asciiTheme="majorHAnsi" w:eastAsiaTheme="majorEastAsia" w:hAnsiTheme="majorHAnsi" w:cstheme="majorBidi"/>
    </w:rPr>
  </w:style>
  <w:style w:type="character" w:customStyle="1" w:styleId="Heading9Char">
    <w:name w:val="Heading 9 Char"/>
    <w:basedOn w:val="DefaultParagraphFont"/>
    <w:link w:val="Heading9"/>
    <w:semiHidden/>
    <w:rsid w:val="00F33911"/>
    <w:rPr>
      <w:rFonts w:asciiTheme="majorHAnsi" w:eastAsiaTheme="majorEastAsia" w:hAnsiTheme="majorHAnsi" w:cstheme="majorBidi"/>
      <w:i/>
      <w:iCs/>
      <w:snapToGrid w:val="0"/>
      <w:color w:val="404040" w:themeColor="text1" w:themeTint="BF"/>
      <w:lang w:eastAsia="en-US"/>
    </w:rPr>
  </w:style>
  <w:style w:type="paragraph" w:styleId="HTMLAddress">
    <w:name w:val="HTML Address"/>
    <w:basedOn w:val="Normal"/>
    <w:link w:val="HTMLAddressChar"/>
    <w:rsid w:val="00F33911"/>
    <w:pPr>
      <w:spacing w:after="0"/>
    </w:pPr>
    <w:rPr>
      <w:i/>
      <w:iCs/>
    </w:rPr>
  </w:style>
  <w:style w:type="character" w:customStyle="1" w:styleId="HTMLAddressChar">
    <w:name w:val="HTML Address Char"/>
    <w:basedOn w:val="DefaultParagraphFont"/>
    <w:link w:val="HTMLAddress"/>
    <w:rsid w:val="00F33911"/>
    <w:rPr>
      <w:rFonts w:ascii="Arial" w:hAnsi="Arial"/>
      <w:i/>
      <w:iCs/>
      <w:snapToGrid w:val="0"/>
      <w:lang w:eastAsia="en-US"/>
    </w:rPr>
  </w:style>
  <w:style w:type="paragraph" w:styleId="HTMLPreformatted">
    <w:name w:val="HTML Preformatted"/>
    <w:basedOn w:val="Normal"/>
    <w:link w:val="HTMLPreformattedChar"/>
    <w:rsid w:val="00F33911"/>
    <w:pPr>
      <w:spacing w:after="0"/>
    </w:pPr>
    <w:rPr>
      <w:rFonts w:ascii="Consolas" w:hAnsi="Consolas" w:cs="Consolas"/>
    </w:rPr>
  </w:style>
  <w:style w:type="character" w:customStyle="1" w:styleId="HTMLPreformattedChar">
    <w:name w:val="HTML Preformatted Char"/>
    <w:basedOn w:val="DefaultParagraphFont"/>
    <w:link w:val="HTMLPreformatted"/>
    <w:rsid w:val="00F33911"/>
    <w:rPr>
      <w:rFonts w:ascii="Consolas" w:hAnsi="Consolas" w:cs="Consolas"/>
      <w:snapToGrid w:val="0"/>
      <w:lang w:eastAsia="en-US"/>
    </w:rPr>
  </w:style>
  <w:style w:type="paragraph" w:styleId="Index1">
    <w:name w:val="index 1"/>
    <w:basedOn w:val="Normal"/>
    <w:next w:val="Normal"/>
    <w:autoRedefine/>
    <w:rsid w:val="00F33911"/>
    <w:pPr>
      <w:spacing w:after="0"/>
      <w:ind w:left="200" w:hanging="200"/>
    </w:pPr>
  </w:style>
  <w:style w:type="paragraph" w:styleId="Index2">
    <w:name w:val="index 2"/>
    <w:basedOn w:val="Normal"/>
    <w:next w:val="Normal"/>
    <w:autoRedefine/>
    <w:rsid w:val="00F33911"/>
    <w:pPr>
      <w:spacing w:after="0"/>
      <w:ind w:left="400" w:hanging="200"/>
    </w:pPr>
  </w:style>
  <w:style w:type="paragraph" w:styleId="Index3">
    <w:name w:val="index 3"/>
    <w:basedOn w:val="Normal"/>
    <w:next w:val="Normal"/>
    <w:autoRedefine/>
    <w:rsid w:val="00F33911"/>
    <w:pPr>
      <w:spacing w:after="0"/>
      <w:ind w:left="600" w:hanging="200"/>
    </w:pPr>
  </w:style>
  <w:style w:type="paragraph" w:styleId="Index4">
    <w:name w:val="index 4"/>
    <w:basedOn w:val="Normal"/>
    <w:next w:val="Normal"/>
    <w:autoRedefine/>
    <w:rsid w:val="00F33911"/>
    <w:pPr>
      <w:spacing w:after="0"/>
      <w:ind w:left="800" w:hanging="200"/>
    </w:pPr>
  </w:style>
  <w:style w:type="paragraph" w:styleId="Index5">
    <w:name w:val="index 5"/>
    <w:basedOn w:val="Normal"/>
    <w:next w:val="Normal"/>
    <w:autoRedefine/>
    <w:rsid w:val="00F33911"/>
    <w:pPr>
      <w:spacing w:after="0"/>
      <w:ind w:left="1000" w:hanging="200"/>
    </w:pPr>
  </w:style>
  <w:style w:type="paragraph" w:styleId="Index6">
    <w:name w:val="index 6"/>
    <w:basedOn w:val="Normal"/>
    <w:next w:val="Normal"/>
    <w:autoRedefine/>
    <w:rsid w:val="00F33911"/>
    <w:pPr>
      <w:spacing w:after="0"/>
      <w:ind w:left="1200" w:hanging="200"/>
    </w:pPr>
  </w:style>
  <w:style w:type="paragraph" w:styleId="Index7">
    <w:name w:val="index 7"/>
    <w:basedOn w:val="Normal"/>
    <w:next w:val="Normal"/>
    <w:autoRedefine/>
    <w:rsid w:val="00F33911"/>
    <w:pPr>
      <w:spacing w:after="0"/>
      <w:ind w:left="1400" w:hanging="200"/>
    </w:pPr>
  </w:style>
  <w:style w:type="paragraph" w:styleId="Index8">
    <w:name w:val="index 8"/>
    <w:basedOn w:val="Normal"/>
    <w:next w:val="Normal"/>
    <w:autoRedefine/>
    <w:rsid w:val="00F33911"/>
    <w:pPr>
      <w:spacing w:after="0"/>
      <w:ind w:left="1600" w:hanging="200"/>
    </w:pPr>
  </w:style>
  <w:style w:type="paragraph" w:styleId="Index9">
    <w:name w:val="index 9"/>
    <w:basedOn w:val="Normal"/>
    <w:next w:val="Normal"/>
    <w:autoRedefine/>
    <w:rsid w:val="00F33911"/>
    <w:pPr>
      <w:spacing w:after="0"/>
      <w:ind w:left="1800" w:hanging="200"/>
    </w:pPr>
  </w:style>
  <w:style w:type="paragraph" w:styleId="IndexHeading">
    <w:name w:val="index heading"/>
    <w:basedOn w:val="Normal"/>
    <w:next w:val="Index1"/>
    <w:rsid w:val="00F3391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391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33911"/>
    <w:rPr>
      <w:rFonts w:ascii="Arial" w:hAnsi="Arial"/>
      <w:b/>
      <w:bCs/>
      <w:i/>
      <w:iCs/>
      <w:snapToGrid w:val="0"/>
      <w:color w:val="4F81BD" w:themeColor="accent1"/>
      <w:lang w:eastAsia="en-US"/>
    </w:rPr>
  </w:style>
  <w:style w:type="paragraph" w:styleId="List">
    <w:name w:val="List"/>
    <w:basedOn w:val="Normal"/>
    <w:rsid w:val="00F33911"/>
    <w:pPr>
      <w:ind w:left="283" w:hanging="283"/>
      <w:contextualSpacing/>
    </w:pPr>
  </w:style>
  <w:style w:type="paragraph" w:styleId="List2">
    <w:name w:val="List 2"/>
    <w:basedOn w:val="Normal"/>
    <w:rsid w:val="00F33911"/>
    <w:pPr>
      <w:ind w:left="566" w:hanging="283"/>
      <w:contextualSpacing/>
    </w:pPr>
  </w:style>
  <w:style w:type="paragraph" w:styleId="List3">
    <w:name w:val="List 3"/>
    <w:basedOn w:val="Normal"/>
    <w:rsid w:val="00F33911"/>
    <w:pPr>
      <w:ind w:left="849" w:hanging="283"/>
      <w:contextualSpacing/>
    </w:pPr>
  </w:style>
  <w:style w:type="paragraph" w:styleId="List4">
    <w:name w:val="List 4"/>
    <w:basedOn w:val="Normal"/>
    <w:rsid w:val="00F33911"/>
    <w:pPr>
      <w:ind w:left="1132" w:hanging="283"/>
      <w:contextualSpacing/>
    </w:pPr>
  </w:style>
  <w:style w:type="paragraph" w:styleId="List5">
    <w:name w:val="List 5"/>
    <w:basedOn w:val="Normal"/>
    <w:rsid w:val="00F33911"/>
    <w:pPr>
      <w:ind w:left="1415" w:hanging="283"/>
      <w:contextualSpacing/>
    </w:pPr>
  </w:style>
  <w:style w:type="paragraph" w:styleId="ListBullet">
    <w:name w:val="List Bullet"/>
    <w:basedOn w:val="Normal"/>
    <w:rsid w:val="00F33911"/>
    <w:pPr>
      <w:numPr>
        <w:numId w:val="26"/>
      </w:numPr>
      <w:contextualSpacing/>
    </w:pPr>
  </w:style>
  <w:style w:type="paragraph" w:styleId="ListBullet2">
    <w:name w:val="List Bullet 2"/>
    <w:basedOn w:val="Normal"/>
    <w:rsid w:val="00F33911"/>
    <w:pPr>
      <w:numPr>
        <w:numId w:val="27"/>
      </w:numPr>
      <w:contextualSpacing/>
    </w:pPr>
  </w:style>
  <w:style w:type="paragraph" w:styleId="ListBullet3">
    <w:name w:val="List Bullet 3"/>
    <w:basedOn w:val="Normal"/>
    <w:rsid w:val="00F33911"/>
    <w:pPr>
      <w:numPr>
        <w:numId w:val="28"/>
      </w:numPr>
      <w:contextualSpacing/>
    </w:pPr>
  </w:style>
  <w:style w:type="paragraph" w:styleId="ListBullet4">
    <w:name w:val="List Bullet 4"/>
    <w:basedOn w:val="Normal"/>
    <w:rsid w:val="00F33911"/>
    <w:pPr>
      <w:numPr>
        <w:numId w:val="29"/>
      </w:numPr>
      <w:contextualSpacing/>
    </w:pPr>
  </w:style>
  <w:style w:type="paragraph" w:styleId="ListBullet5">
    <w:name w:val="List Bullet 5"/>
    <w:basedOn w:val="Normal"/>
    <w:rsid w:val="00F33911"/>
    <w:pPr>
      <w:numPr>
        <w:numId w:val="30"/>
      </w:numPr>
      <w:contextualSpacing/>
    </w:pPr>
  </w:style>
  <w:style w:type="paragraph" w:styleId="ListContinue">
    <w:name w:val="List Continue"/>
    <w:basedOn w:val="Normal"/>
    <w:rsid w:val="00F33911"/>
    <w:pPr>
      <w:ind w:left="283"/>
      <w:contextualSpacing/>
    </w:pPr>
  </w:style>
  <w:style w:type="paragraph" w:styleId="ListContinue2">
    <w:name w:val="List Continue 2"/>
    <w:basedOn w:val="Normal"/>
    <w:rsid w:val="00F33911"/>
    <w:pPr>
      <w:ind w:left="566"/>
      <w:contextualSpacing/>
    </w:pPr>
  </w:style>
  <w:style w:type="paragraph" w:styleId="ListContinue3">
    <w:name w:val="List Continue 3"/>
    <w:basedOn w:val="Normal"/>
    <w:rsid w:val="00F33911"/>
    <w:pPr>
      <w:ind w:left="849"/>
      <w:contextualSpacing/>
    </w:pPr>
  </w:style>
  <w:style w:type="paragraph" w:styleId="ListContinue4">
    <w:name w:val="List Continue 4"/>
    <w:basedOn w:val="Normal"/>
    <w:rsid w:val="00F33911"/>
    <w:pPr>
      <w:ind w:left="1132"/>
      <w:contextualSpacing/>
    </w:pPr>
  </w:style>
  <w:style w:type="paragraph" w:styleId="ListContinue5">
    <w:name w:val="List Continue 5"/>
    <w:basedOn w:val="Normal"/>
    <w:rsid w:val="00F33911"/>
    <w:pPr>
      <w:ind w:left="1415"/>
      <w:contextualSpacing/>
    </w:pPr>
  </w:style>
  <w:style w:type="paragraph" w:styleId="ListNumber">
    <w:name w:val="List Number"/>
    <w:basedOn w:val="Normal"/>
    <w:rsid w:val="00F33911"/>
    <w:pPr>
      <w:numPr>
        <w:numId w:val="31"/>
      </w:numPr>
      <w:contextualSpacing/>
    </w:pPr>
  </w:style>
  <w:style w:type="paragraph" w:styleId="ListNumber2">
    <w:name w:val="List Number 2"/>
    <w:basedOn w:val="Normal"/>
    <w:rsid w:val="00F33911"/>
    <w:pPr>
      <w:numPr>
        <w:numId w:val="32"/>
      </w:numPr>
      <w:contextualSpacing/>
    </w:pPr>
  </w:style>
  <w:style w:type="paragraph" w:styleId="ListNumber3">
    <w:name w:val="List Number 3"/>
    <w:basedOn w:val="Normal"/>
    <w:rsid w:val="00F33911"/>
    <w:pPr>
      <w:numPr>
        <w:numId w:val="33"/>
      </w:numPr>
      <w:contextualSpacing/>
    </w:pPr>
  </w:style>
  <w:style w:type="paragraph" w:styleId="ListNumber4">
    <w:name w:val="List Number 4"/>
    <w:basedOn w:val="Normal"/>
    <w:rsid w:val="00F33911"/>
    <w:pPr>
      <w:numPr>
        <w:numId w:val="34"/>
      </w:numPr>
      <w:contextualSpacing/>
    </w:pPr>
  </w:style>
  <w:style w:type="paragraph" w:styleId="ListNumber5">
    <w:name w:val="List Number 5"/>
    <w:basedOn w:val="Normal"/>
    <w:rsid w:val="00F33911"/>
    <w:pPr>
      <w:numPr>
        <w:numId w:val="35"/>
      </w:numPr>
      <w:contextualSpacing/>
    </w:pPr>
  </w:style>
  <w:style w:type="paragraph" w:styleId="MacroText">
    <w:name w:val="macro"/>
    <w:link w:val="MacroTextChar"/>
    <w:rsid w:val="00F3391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napToGrid w:val="0"/>
      <w:lang w:eastAsia="en-US"/>
    </w:rPr>
  </w:style>
  <w:style w:type="character" w:customStyle="1" w:styleId="MacroTextChar">
    <w:name w:val="Macro Text Char"/>
    <w:basedOn w:val="DefaultParagraphFont"/>
    <w:link w:val="MacroText"/>
    <w:rsid w:val="00F33911"/>
    <w:rPr>
      <w:rFonts w:ascii="Consolas" w:hAnsi="Consolas" w:cs="Consolas"/>
      <w:snapToGrid w:val="0"/>
      <w:lang w:eastAsia="en-US"/>
    </w:rPr>
  </w:style>
  <w:style w:type="paragraph" w:styleId="MessageHeader">
    <w:name w:val="Message Header"/>
    <w:basedOn w:val="Normal"/>
    <w:link w:val="MessageHeaderChar"/>
    <w:rsid w:val="00F3391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3911"/>
    <w:rPr>
      <w:rFonts w:asciiTheme="majorHAnsi" w:eastAsiaTheme="majorEastAsia" w:hAnsiTheme="majorHAnsi" w:cstheme="majorBidi"/>
      <w:snapToGrid w:val="0"/>
      <w:sz w:val="24"/>
      <w:szCs w:val="24"/>
      <w:shd w:val="pct20" w:color="auto" w:fill="auto"/>
      <w:lang w:eastAsia="en-US"/>
    </w:rPr>
  </w:style>
  <w:style w:type="paragraph" w:styleId="NoSpacing">
    <w:name w:val="No Spacing"/>
    <w:uiPriority w:val="1"/>
    <w:qFormat/>
    <w:rsid w:val="00F33911"/>
    <w:rPr>
      <w:rFonts w:ascii="Arial" w:hAnsi="Arial"/>
      <w:snapToGrid w:val="0"/>
      <w:lang w:eastAsia="en-US"/>
    </w:rPr>
  </w:style>
  <w:style w:type="paragraph" w:styleId="NormalWeb">
    <w:name w:val="Normal (Web)"/>
    <w:basedOn w:val="Normal"/>
    <w:rsid w:val="00F33911"/>
    <w:rPr>
      <w:rFonts w:ascii="Times New Roman" w:hAnsi="Times New Roman"/>
      <w:sz w:val="24"/>
      <w:szCs w:val="24"/>
    </w:rPr>
  </w:style>
  <w:style w:type="paragraph" w:styleId="NormalIndent">
    <w:name w:val="Normal Indent"/>
    <w:basedOn w:val="Normal"/>
    <w:rsid w:val="00F33911"/>
    <w:pPr>
      <w:ind w:left="720"/>
    </w:pPr>
  </w:style>
  <w:style w:type="paragraph" w:styleId="NoteHeading">
    <w:name w:val="Note Heading"/>
    <w:basedOn w:val="Normal"/>
    <w:next w:val="Normal"/>
    <w:link w:val="NoteHeadingChar"/>
    <w:rsid w:val="00F33911"/>
    <w:pPr>
      <w:spacing w:after="0"/>
    </w:pPr>
  </w:style>
  <w:style w:type="character" w:customStyle="1" w:styleId="NoteHeadingChar">
    <w:name w:val="Note Heading Char"/>
    <w:basedOn w:val="DefaultParagraphFont"/>
    <w:link w:val="NoteHeading"/>
    <w:rsid w:val="00F33911"/>
    <w:rPr>
      <w:rFonts w:ascii="Arial" w:hAnsi="Arial"/>
      <w:snapToGrid w:val="0"/>
      <w:lang w:eastAsia="en-US"/>
    </w:rPr>
  </w:style>
  <w:style w:type="paragraph" w:styleId="PlainText">
    <w:name w:val="Plain Text"/>
    <w:basedOn w:val="Normal"/>
    <w:link w:val="PlainTextChar"/>
    <w:rsid w:val="00F33911"/>
    <w:pPr>
      <w:spacing w:after="0"/>
    </w:pPr>
    <w:rPr>
      <w:rFonts w:ascii="Consolas" w:hAnsi="Consolas" w:cs="Consolas"/>
      <w:sz w:val="21"/>
      <w:szCs w:val="21"/>
    </w:rPr>
  </w:style>
  <w:style w:type="character" w:customStyle="1" w:styleId="PlainTextChar">
    <w:name w:val="Plain Text Char"/>
    <w:basedOn w:val="DefaultParagraphFont"/>
    <w:link w:val="PlainText"/>
    <w:rsid w:val="00F33911"/>
    <w:rPr>
      <w:rFonts w:ascii="Consolas" w:hAnsi="Consolas" w:cs="Consolas"/>
      <w:snapToGrid w:val="0"/>
      <w:sz w:val="21"/>
      <w:szCs w:val="21"/>
      <w:lang w:eastAsia="en-US"/>
    </w:rPr>
  </w:style>
  <w:style w:type="paragraph" w:styleId="Quote">
    <w:name w:val="Quote"/>
    <w:basedOn w:val="Normal"/>
    <w:next w:val="Normal"/>
    <w:link w:val="QuoteChar"/>
    <w:uiPriority w:val="29"/>
    <w:qFormat/>
    <w:rsid w:val="00F33911"/>
    <w:rPr>
      <w:i/>
      <w:iCs/>
      <w:color w:val="000000" w:themeColor="text1"/>
    </w:rPr>
  </w:style>
  <w:style w:type="character" w:customStyle="1" w:styleId="QuoteChar">
    <w:name w:val="Quote Char"/>
    <w:basedOn w:val="DefaultParagraphFont"/>
    <w:link w:val="Quote"/>
    <w:uiPriority w:val="29"/>
    <w:rsid w:val="00F33911"/>
    <w:rPr>
      <w:rFonts w:ascii="Arial" w:hAnsi="Arial"/>
      <w:i/>
      <w:iCs/>
      <w:snapToGrid w:val="0"/>
      <w:color w:val="000000" w:themeColor="text1"/>
      <w:lang w:eastAsia="en-US"/>
    </w:rPr>
  </w:style>
  <w:style w:type="paragraph" w:styleId="Salutation">
    <w:name w:val="Salutation"/>
    <w:basedOn w:val="Normal"/>
    <w:next w:val="Normal"/>
    <w:link w:val="SalutationChar"/>
    <w:rsid w:val="00F33911"/>
  </w:style>
  <w:style w:type="character" w:customStyle="1" w:styleId="SalutationChar">
    <w:name w:val="Salutation Char"/>
    <w:basedOn w:val="DefaultParagraphFont"/>
    <w:link w:val="Salutation"/>
    <w:rsid w:val="00F33911"/>
    <w:rPr>
      <w:rFonts w:ascii="Arial" w:hAnsi="Arial"/>
      <w:snapToGrid w:val="0"/>
      <w:lang w:eastAsia="en-US"/>
    </w:rPr>
  </w:style>
  <w:style w:type="paragraph" w:styleId="Signature">
    <w:name w:val="Signature"/>
    <w:basedOn w:val="Normal"/>
    <w:link w:val="SignatureChar"/>
    <w:rsid w:val="00F33911"/>
    <w:pPr>
      <w:spacing w:after="0"/>
      <w:ind w:left="4252"/>
    </w:pPr>
  </w:style>
  <w:style w:type="character" w:customStyle="1" w:styleId="SignatureChar">
    <w:name w:val="Signature Char"/>
    <w:basedOn w:val="DefaultParagraphFont"/>
    <w:link w:val="Signature"/>
    <w:rsid w:val="00F33911"/>
    <w:rPr>
      <w:rFonts w:ascii="Arial" w:hAnsi="Arial"/>
      <w:snapToGrid w:val="0"/>
      <w:lang w:eastAsia="en-US"/>
    </w:rPr>
  </w:style>
  <w:style w:type="paragraph" w:styleId="Subtitle">
    <w:name w:val="Subtitle"/>
    <w:basedOn w:val="Normal"/>
    <w:next w:val="Normal"/>
    <w:link w:val="SubtitleChar"/>
    <w:qFormat/>
    <w:rsid w:val="00F339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33911"/>
    <w:rPr>
      <w:rFonts w:asciiTheme="majorHAnsi" w:eastAsiaTheme="majorEastAsia" w:hAnsiTheme="majorHAnsi" w:cstheme="majorBidi"/>
      <w:i/>
      <w:iCs/>
      <w:snapToGrid w:val="0"/>
      <w:color w:val="4F81BD" w:themeColor="accent1"/>
      <w:spacing w:val="15"/>
      <w:sz w:val="24"/>
      <w:szCs w:val="24"/>
      <w:lang w:eastAsia="en-US"/>
    </w:rPr>
  </w:style>
  <w:style w:type="paragraph" w:styleId="TableofAuthorities">
    <w:name w:val="table of authorities"/>
    <w:basedOn w:val="Normal"/>
    <w:next w:val="Normal"/>
    <w:rsid w:val="00F33911"/>
    <w:pPr>
      <w:spacing w:after="0"/>
      <w:ind w:left="200" w:hanging="200"/>
    </w:pPr>
  </w:style>
  <w:style w:type="paragraph" w:styleId="TableofFigures">
    <w:name w:val="table of figures"/>
    <w:basedOn w:val="Normal"/>
    <w:next w:val="Normal"/>
    <w:rsid w:val="00F33911"/>
    <w:pPr>
      <w:spacing w:after="0"/>
    </w:pPr>
  </w:style>
  <w:style w:type="paragraph" w:styleId="Title">
    <w:name w:val="Title"/>
    <w:basedOn w:val="Normal"/>
    <w:next w:val="Normal"/>
    <w:link w:val="TitleChar"/>
    <w:qFormat/>
    <w:rsid w:val="00F3391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33911"/>
    <w:rPr>
      <w:rFonts w:asciiTheme="majorHAnsi" w:eastAsiaTheme="majorEastAsia" w:hAnsiTheme="majorHAnsi" w:cstheme="majorBidi"/>
      <w:snapToGrid w:val="0"/>
      <w:color w:val="17365D" w:themeColor="text2" w:themeShade="BF"/>
      <w:spacing w:val="5"/>
      <w:kern w:val="28"/>
      <w:sz w:val="52"/>
      <w:szCs w:val="52"/>
      <w:lang w:eastAsia="en-US"/>
    </w:rPr>
  </w:style>
  <w:style w:type="paragraph" w:styleId="TOAHeading">
    <w:name w:val="toa heading"/>
    <w:basedOn w:val="Normal"/>
    <w:next w:val="Normal"/>
    <w:rsid w:val="00F3391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F33911"/>
    <w:pPr>
      <w:spacing w:after="100"/>
    </w:pPr>
  </w:style>
  <w:style w:type="paragraph" w:styleId="TOC2">
    <w:name w:val="toc 2"/>
    <w:basedOn w:val="Normal"/>
    <w:next w:val="Normal"/>
    <w:autoRedefine/>
    <w:rsid w:val="00F33911"/>
    <w:pPr>
      <w:spacing w:after="100"/>
      <w:ind w:left="200"/>
    </w:pPr>
  </w:style>
  <w:style w:type="paragraph" w:styleId="TOC3">
    <w:name w:val="toc 3"/>
    <w:basedOn w:val="Normal"/>
    <w:next w:val="Normal"/>
    <w:autoRedefine/>
    <w:rsid w:val="00F33911"/>
    <w:pPr>
      <w:spacing w:after="100"/>
      <w:ind w:left="400"/>
    </w:pPr>
  </w:style>
  <w:style w:type="paragraph" w:styleId="TOC4">
    <w:name w:val="toc 4"/>
    <w:basedOn w:val="Normal"/>
    <w:next w:val="Normal"/>
    <w:autoRedefine/>
    <w:rsid w:val="00F33911"/>
    <w:pPr>
      <w:spacing w:after="100"/>
      <w:ind w:left="600"/>
    </w:pPr>
  </w:style>
  <w:style w:type="paragraph" w:styleId="TOC5">
    <w:name w:val="toc 5"/>
    <w:basedOn w:val="Normal"/>
    <w:next w:val="Normal"/>
    <w:autoRedefine/>
    <w:rsid w:val="00F33911"/>
    <w:pPr>
      <w:spacing w:after="100"/>
      <w:ind w:left="800"/>
    </w:pPr>
  </w:style>
  <w:style w:type="paragraph" w:styleId="TOC6">
    <w:name w:val="toc 6"/>
    <w:basedOn w:val="Normal"/>
    <w:next w:val="Normal"/>
    <w:autoRedefine/>
    <w:rsid w:val="00F33911"/>
    <w:pPr>
      <w:spacing w:after="100"/>
      <w:ind w:left="1000"/>
    </w:pPr>
  </w:style>
  <w:style w:type="paragraph" w:styleId="TOC7">
    <w:name w:val="toc 7"/>
    <w:basedOn w:val="Normal"/>
    <w:next w:val="Normal"/>
    <w:autoRedefine/>
    <w:rsid w:val="00F33911"/>
    <w:pPr>
      <w:spacing w:after="100"/>
      <w:ind w:left="1200"/>
    </w:pPr>
  </w:style>
  <w:style w:type="paragraph" w:styleId="TOC8">
    <w:name w:val="toc 8"/>
    <w:basedOn w:val="Normal"/>
    <w:next w:val="Normal"/>
    <w:autoRedefine/>
    <w:rsid w:val="00F33911"/>
    <w:pPr>
      <w:spacing w:after="100"/>
      <w:ind w:left="1400"/>
    </w:pPr>
  </w:style>
  <w:style w:type="paragraph" w:styleId="TOC9">
    <w:name w:val="toc 9"/>
    <w:basedOn w:val="Normal"/>
    <w:next w:val="Normal"/>
    <w:autoRedefine/>
    <w:rsid w:val="00F33911"/>
    <w:pPr>
      <w:spacing w:after="100"/>
      <w:ind w:left="1600"/>
    </w:pPr>
  </w:style>
  <w:style w:type="paragraph" w:styleId="TOCHeading">
    <w:name w:val="TOC Heading"/>
    <w:basedOn w:val="Heading1"/>
    <w:next w:val="Normal"/>
    <w:uiPriority w:val="39"/>
    <w:semiHidden/>
    <w:unhideWhenUsed/>
    <w:qFormat/>
    <w:rsid w:val="00F33911"/>
    <w:pPr>
      <w:keepLines/>
      <w:spacing w:before="480" w:after="0"/>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84504">
      <w:bodyDiv w:val="1"/>
      <w:marLeft w:val="0"/>
      <w:marRight w:val="0"/>
      <w:marTop w:val="0"/>
      <w:marBottom w:val="0"/>
      <w:divBdr>
        <w:top w:val="none" w:sz="0" w:space="0" w:color="auto"/>
        <w:left w:val="none" w:sz="0" w:space="0" w:color="auto"/>
        <w:bottom w:val="none" w:sz="0" w:space="0" w:color="auto"/>
        <w:right w:val="none" w:sz="0" w:space="0" w:color="auto"/>
      </w:divBdr>
    </w:div>
    <w:div w:id="390928483">
      <w:bodyDiv w:val="1"/>
      <w:marLeft w:val="0"/>
      <w:marRight w:val="0"/>
      <w:marTop w:val="0"/>
      <w:marBottom w:val="0"/>
      <w:divBdr>
        <w:top w:val="none" w:sz="0" w:space="0" w:color="auto"/>
        <w:left w:val="none" w:sz="0" w:space="0" w:color="auto"/>
        <w:bottom w:val="none" w:sz="0" w:space="0" w:color="auto"/>
        <w:right w:val="none" w:sz="0" w:space="0" w:color="auto"/>
      </w:divBdr>
    </w:div>
    <w:div w:id="503790476">
      <w:bodyDiv w:val="1"/>
      <w:marLeft w:val="0"/>
      <w:marRight w:val="0"/>
      <w:marTop w:val="0"/>
      <w:marBottom w:val="0"/>
      <w:divBdr>
        <w:top w:val="none" w:sz="0" w:space="0" w:color="auto"/>
        <w:left w:val="none" w:sz="0" w:space="0" w:color="auto"/>
        <w:bottom w:val="none" w:sz="0" w:space="0" w:color="auto"/>
        <w:right w:val="none" w:sz="0" w:space="0" w:color="auto"/>
      </w:divBdr>
    </w:div>
    <w:div w:id="585266645">
      <w:bodyDiv w:val="1"/>
      <w:marLeft w:val="0"/>
      <w:marRight w:val="0"/>
      <w:marTop w:val="0"/>
      <w:marBottom w:val="0"/>
      <w:divBdr>
        <w:top w:val="none" w:sz="0" w:space="0" w:color="auto"/>
        <w:left w:val="none" w:sz="0" w:space="0" w:color="auto"/>
        <w:bottom w:val="none" w:sz="0" w:space="0" w:color="auto"/>
        <w:right w:val="none" w:sz="0" w:space="0" w:color="auto"/>
      </w:divBdr>
    </w:div>
    <w:div w:id="678049168">
      <w:bodyDiv w:val="1"/>
      <w:marLeft w:val="0"/>
      <w:marRight w:val="0"/>
      <w:marTop w:val="0"/>
      <w:marBottom w:val="0"/>
      <w:divBdr>
        <w:top w:val="none" w:sz="0" w:space="0" w:color="auto"/>
        <w:left w:val="none" w:sz="0" w:space="0" w:color="auto"/>
        <w:bottom w:val="none" w:sz="0" w:space="0" w:color="auto"/>
        <w:right w:val="none" w:sz="0" w:space="0" w:color="auto"/>
      </w:divBdr>
    </w:div>
    <w:div w:id="710689279">
      <w:bodyDiv w:val="1"/>
      <w:marLeft w:val="0"/>
      <w:marRight w:val="0"/>
      <w:marTop w:val="0"/>
      <w:marBottom w:val="0"/>
      <w:divBdr>
        <w:top w:val="none" w:sz="0" w:space="0" w:color="auto"/>
        <w:left w:val="none" w:sz="0" w:space="0" w:color="auto"/>
        <w:bottom w:val="none" w:sz="0" w:space="0" w:color="auto"/>
        <w:right w:val="none" w:sz="0" w:space="0" w:color="auto"/>
      </w:divBdr>
    </w:div>
    <w:div w:id="927349598">
      <w:bodyDiv w:val="1"/>
      <w:marLeft w:val="0"/>
      <w:marRight w:val="0"/>
      <w:marTop w:val="0"/>
      <w:marBottom w:val="0"/>
      <w:divBdr>
        <w:top w:val="none" w:sz="0" w:space="0" w:color="auto"/>
        <w:left w:val="none" w:sz="0" w:space="0" w:color="auto"/>
        <w:bottom w:val="none" w:sz="0" w:space="0" w:color="auto"/>
        <w:right w:val="none" w:sz="0" w:space="0" w:color="auto"/>
      </w:divBdr>
    </w:div>
    <w:div w:id="1207330363">
      <w:bodyDiv w:val="1"/>
      <w:marLeft w:val="0"/>
      <w:marRight w:val="0"/>
      <w:marTop w:val="0"/>
      <w:marBottom w:val="0"/>
      <w:divBdr>
        <w:top w:val="none" w:sz="0" w:space="0" w:color="auto"/>
        <w:left w:val="none" w:sz="0" w:space="0" w:color="auto"/>
        <w:bottom w:val="none" w:sz="0" w:space="0" w:color="auto"/>
        <w:right w:val="none" w:sz="0" w:space="0" w:color="auto"/>
      </w:divBdr>
    </w:div>
    <w:div w:id="1479760793">
      <w:bodyDiv w:val="1"/>
      <w:marLeft w:val="0"/>
      <w:marRight w:val="0"/>
      <w:marTop w:val="0"/>
      <w:marBottom w:val="0"/>
      <w:divBdr>
        <w:top w:val="none" w:sz="0" w:space="0" w:color="auto"/>
        <w:left w:val="none" w:sz="0" w:space="0" w:color="auto"/>
        <w:bottom w:val="none" w:sz="0" w:space="0" w:color="auto"/>
        <w:right w:val="none" w:sz="0" w:space="0" w:color="auto"/>
      </w:divBdr>
    </w:div>
    <w:div w:id="1618877704">
      <w:bodyDiv w:val="1"/>
      <w:marLeft w:val="0"/>
      <w:marRight w:val="0"/>
      <w:marTop w:val="0"/>
      <w:marBottom w:val="0"/>
      <w:divBdr>
        <w:top w:val="none" w:sz="0" w:space="0" w:color="auto"/>
        <w:left w:val="none" w:sz="0" w:space="0" w:color="auto"/>
        <w:bottom w:val="none" w:sz="0" w:space="0" w:color="auto"/>
        <w:right w:val="none" w:sz="0" w:space="0" w:color="auto"/>
      </w:divBdr>
      <w:divsChild>
        <w:div w:id="1009526752">
          <w:marLeft w:val="0"/>
          <w:marRight w:val="0"/>
          <w:marTop w:val="0"/>
          <w:marBottom w:val="0"/>
          <w:divBdr>
            <w:top w:val="none" w:sz="0" w:space="0" w:color="auto"/>
            <w:left w:val="none" w:sz="0" w:space="0" w:color="auto"/>
            <w:bottom w:val="none" w:sz="0" w:space="0" w:color="auto"/>
            <w:right w:val="none" w:sz="0" w:space="0" w:color="auto"/>
          </w:divBdr>
          <w:divsChild>
            <w:div w:id="168482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8677">
      <w:bodyDiv w:val="1"/>
      <w:marLeft w:val="0"/>
      <w:marRight w:val="0"/>
      <w:marTop w:val="0"/>
      <w:marBottom w:val="0"/>
      <w:divBdr>
        <w:top w:val="none" w:sz="0" w:space="0" w:color="auto"/>
        <w:left w:val="none" w:sz="0" w:space="0" w:color="auto"/>
        <w:bottom w:val="none" w:sz="0" w:space="0" w:color="auto"/>
        <w:right w:val="none" w:sz="0" w:space="0" w:color="auto"/>
      </w:divBdr>
      <w:divsChild>
        <w:div w:id="44181897">
          <w:marLeft w:val="0"/>
          <w:marRight w:val="0"/>
          <w:marTop w:val="0"/>
          <w:marBottom w:val="0"/>
          <w:divBdr>
            <w:top w:val="none" w:sz="0" w:space="0" w:color="auto"/>
            <w:left w:val="none" w:sz="0" w:space="0" w:color="auto"/>
            <w:bottom w:val="none" w:sz="0" w:space="0" w:color="auto"/>
            <w:right w:val="none" w:sz="0" w:space="0" w:color="auto"/>
          </w:divBdr>
        </w:div>
        <w:div w:id="127170488">
          <w:marLeft w:val="0"/>
          <w:marRight w:val="0"/>
          <w:marTop w:val="0"/>
          <w:marBottom w:val="0"/>
          <w:divBdr>
            <w:top w:val="none" w:sz="0" w:space="0" w:color="auto"/>
            <w:left w:val="none" w:sz="0" w:space="0" w:color="auto"/>
            <w:bottom w:val="none" w:sz="0" w:space="0" w:color="auto"/>
            <w:right w:val="none" w:sz="0" w:space="0" w:color="auto"/>
          </w:divBdr>
        </w:div>
        <w:div w:id="291403911">
          <w:marLeft w:val="0"/>
          <w:marRight w:val="0"/>
          <w:marTop w:val="0"/>
          <w:marBottom w:val="0"/>
          <w:divBdr>
            <w:top w:val="none" w:sz="0" w:space="0" w:color="auto"/>
            <w:left w:val="none" w:sz="0" w:space="0" w:color="auto"/>
            <w:bottom w:val="none" w:sz="0" w:space="0" w:color="auto"/>
            <w:right w:val="none" w:sz="0" w:space="0" w:color="auto"/>
          </w:divBdr>
        </w:div>
        <w:div w:id="1528369259">
          <w:marLeft w:val="0"/>
          <w:marRight w:val="0"/>
          <w:marTop w:val="0"/>
          <w:marBottom w:val="0"/>
          <w:divBdr>
            <w:top w:val="none" w:sz="0" w:space="0" w:color="auto"/>
            <w:left w:val="none" w:sz="0" w:space="0" w:color="auto"/>
            <w:bottom w:val="none" w:sz="0" w:space="0" w:color="auto"/>
            <w:right w:val="none" w:sz="0" w:space="0" w:color="auto"/>
          </w:divBdr>
        </w:div>
        <w:div w:id="1661425720">
          <w:marLeft w:val="0"/>
          <w:marRight w:val="0"/>
          <w:marTop w:val="0"/>
          <w:marBottom w:val="0"/>
          <w:divBdr>
            <w:top w:val="none" w:sz="0" w:space="0" w:color="auto"/>
            <w:left w:val="none" w:sz="0" w:space="0" w:color="auto"/>
            <w:bottom w:val="none" w:sz="0" w:space="0" w:color="auto"/>
            <w:right w:val="none" w:sz="0" w:space="0" w:color="auto"/>
          </w:divBdr>
        </w:div>
        <w:div w:id="1778793406">
          <w:marLeft w:val="0"/>
          <w:marRight w:val="0"/>
          <w:marTop w:val="0"/>
          <w:marBottom w:val="0"/>
          <w:divBdr>
            <w:top w:val="none" w:sz="0" w:space="0" w:color="auto"/>
            <w:left w:val="none" w:sz="0" w:space="0" w:color="auto"/>
            <w:bottom w:val="none" w:sz="0" w:space="0" w:color="auto"/>
            <w:right w:val="none" w:sz="0" w:space="0" w:color="auto"/>
          </w:divBdr>
        </w:div>
        <w:div w:id="1791970946">
          <w:marLeft w:val="0"/>
          <w:marRight w:val="0"/>
          <w:marTop w:val="0"/>
          <w:marBottom w:val="0"/>
          <w:divBdr>
            <w:top w:val="none" w:sz="0" w:space="0" w:color="auto"/>
            <w:left w:val="none" w:sz="0" w:space="0" w:color="auto"/>
            <w:bottom w:val="none" w:sz="0" w:space="0" w:color="auto"/>
            <w:right w:val="none" w:sz="0" w:space="0" w:color="auto"/>
          </w:divBdr>
        </w:div>
        <w:div w:id="2096129614">
          <w:marLeft w:val="0"/>
          <w:marRight w:val="0"/>
          <w:marTop w:val="0"/>
          <w:marBottom w:val="0"/>
          <w:divBdr>
            <w:top w:val="none" w:sz="0" w:space="0" w:color="auto"/>
            <w:left w:val="none" w:sz="0" w:space="0" w:color="auto"/>
            <w:bottom w:val="none" w:sz="0" w:space="0" w:color="auto"/>
            <w:right w:val="none" w:sz="0" w:space="0" w:color="auto"/>
          </w:divBdr>
        </w:div>
      </w:divsChild>
    </w:div>
    <w:div w:id="1643653291">
      <w:bodyDiv w:val="1"/>
      <w:marLeft w:val="0"/>
      <w:marRight w:val="0"/>
      <w:marTop w:val="0"/>
      <w:marBottom w:val="0"/>
      <w:divBdr>
        <w:top w:val="none" w:sz="0" w:space="0" w:color="auto"/>
        <w:left w:val="none" w:sz="0" w:space="0" w:color="auto"/>
        <w:bottom w:val="none" w:sz="0" w:space="0" w:color="auto"/>
        <w:right w:val="none" w:sz="0" w:space="0" w:color="auto"/>
      </w:divBdr>
    </w:div>
    <w:div w:id="175114950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15">
          <w:marLeft w:val="0"/>
          <w:marRight w:val="0"/>
          <w:marTop w:val="0"/>
          <w:marBottom w:val="0"/>
          <w:divBdr>
            <w:top w:val="none" w:sz="0" w:space="0" w:color="auto"/>
            <w:left w:val="none" w:sz="0" w:space="0" w:color="auto"/>
            <w:bottom w:val="none" w:sz="0" w:space="0" w:color="auto"/>
            <w:right w:val="none" w:sz="0" w:space="0" w:color="auto"/>
          </w:divBdr>
          <w:divsChild>
            <w:div w:id="173770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89E16-94FA-467C-9756-D29A77F84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8091</Words>
  <Characters>47690</Characters>
  <Application>Microsoft Office Word</Application>
  <DocSecurity>0</DocSecurity>
  <Lines>1014</Lines>
  <Paragraphs>557</Paragraphs>
  <ScaleCrop>false</ScaleCrop>
  <HeadingPairs>
    <vt:vector size="2" baseType="variant">
      <vt:variant>
        <vt:lpstr>Title</vt:lpstr>
      </vt:variant>
      <vt:variant>
        <vt:i4>1</vt:i4>
      </vt:variant>
    </vt:vector>
  </HeadingPairs>
  <TitlesOfParts>
    <vt:vector size="1" baseType="lpstr">
      <vt:lpstr>AusPAR attachment 1: Product Information for Nuvigil</vt:lpstr>
    </vt:vector>
  </TitlesOfParts>
  <LinksUpToDate>false</LinksUpToDate>
  <CharactersWithSpaces>55224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Nuvigil</dc:title>
  <dc:subject>Prescription medicines</dc:subject>
  <dc:creator/>
  <cp:keywords>AusPARs</cp:keywords>
  <cp:lastModifiedBy/>
  <cp:revision>1</cp:revision>
  <cp:lastPrinted>2009-12-02T06:05:00Z</cp:lastPrinted>
  <dcterms:created xsi:type="dcterms:W3CDTF">2015-11-29T23:14:00Z</dcterms:created>
  <dcterms:modified xsi:type="dcterms:W3CDTF">2016-06-06T04:51:00Z</dcterms:modified>
  <cp:contentStatus/>
</cp:coreProperties>
</file>