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812F360" w14:textId="77777777" w:rsidTr="00BF1190">
        <w:trPr>
          <w:trHeight w:val="1863"/>
        </w:trPr>
        <w:tc>
          <w:tcPr>
            <w:tcW w:w="3652" w:type="dxa"/>
            <w:tcBorders>
              <w:top w:val="nil"/>
              <w:left w:val="nil"/>
              <w:bottom w:val="nil"/>
              <w:right w:val="nil"/>
            </w:tcBorders>
          </w:tcPr>
          <w:p w14:paraId="2812F35F" w14:textId="21691BFE" w:rsidR="008E7846" w:rsidRPr="00096AA7" w:rsidRDefault="00383EA8" w:rsidP="00096AA7">
            <w:pPr>
              <w:rPr>
                <w:rFonts w:ascii="Arial" w:hAnsi="Arial" w:cs="Arial"/>
                <w:b/>
                <w:color w:val="002C47"/>
                <w:sz w:val="36"/>
                <w:szCs w:val="36"/>
              </w:rPr>
            </w:pPr>
            <w:r>
              <w:rPr>
                <w:rFonts w:ascii="Arial" w:hAnsi="Arial" w:cs="Arial"/>
                <w:b/>
                <w:color w:val="002C47"/>
                <w:sz w:val="36"/>
                <w:szCs w:val="36"/>
              </w:rPr>
              <w:t>November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812F363" w14:textId="77777777" w:rsidTr="0032583B">
        <w:trPr>
          <w:trHeight w:val="868"/>
        </w:trPr>
        <w:tc>
          <w:tcPr>
            <w:tcW w:w="9079" w:type="dxa"/>
          </w:tcPr>
          <w:p w14:paraId="2812F362" w14:textId="1494851C" w:rsidR="0032583B" w:rsidRPr="00A964D1" w:rsidRDefault="0032583B" w:rsidP="007D26DB">
            <w:pPr>
              <w:pStyle w:val="Title"/>
              <w:rPr>
                <w:color w:val="FFFFFF" w:themeColor="background1"/>
              </w:rPr>
            </w:pPr>
            <w:r w:rsidRPr="00A346EB">
              <w:rPr>
                <w:color w:val="FFFFFF" w:themeColor="background1"/>
              </w:rPr>
              <w:t>Australian Public Assessment Report for</w:t>
            </w:r>
            <w:r w:rsidR="00C66B62" w:rsidRPr="00A346EB">
              <w:rPr>
                <w:color w:val="FFFFFF" w:themeColor="background1"/>
              </w:rPr>
              <w:t xml:space="preserve"> </w:t>
            </w:r>
            <w:proofErr w:type="spellStart"/>
            <w:r w:rsidR="00B84B6C" w:rsidRPr="00A346EB">
              <w:rPr>
                <w:color w:val="FFFFFF" w:themeColor="background1"/>
              </w:rPr>
              <w:t>Aripiprazole</w:t>
            </w:r>
            <w:proofErr w:type="spellEnd"/>
            <w:r w:rsidR="00B84B6C" w:rsidRPr="00A346EB">
              <w:rPr>
                <w:color w:val="FFFFFF" w:themeColor="background1"/>
              </w:rPr>
              <w:t xml:space="preserve"> </w:t>
            </w:r>
            <w:r w:rsidR="007D26DB">
              <w:rPr>
                <w:color w:val="FFFFFF" w:themeColor="background1"/>
              </w:rPr>
              <w:t>M</w:t>
            </w:r>
            <w:bookmarkStart w:id="0" w:name="_GoBack"/>
            <w:bookmarkEnd w:id="0"/>
            <w:r w:rsidR="00B84B6C" w:rsidRPr="00A346EB">
              <w:rPr>
                <w:color w:val="FFFFFF" w:themeColor="background1"/>
              </w:rPr>
              <w:t>onohydrate</w:t>
            </w:r>
          </w:p>
        </w:tc>
      </w:tr>
      <w:tr w:rsidR="0032583B" w:rsidRPr="00B64760" w14:paraId="2812F365" w14:textId="77777777" w:rsidTr="0032583B">
        <w:tc>
          <w:tcPr>
            <w:tcW w:w="9079" w:type="dxa"/>
          </w:tcPr>
          <w:p w14:paraId="2812F364" w14:textId="0D1710B9" w:rsidR="0032583B" w:rsidRPr="008E7846" w:rsidRDefault="0032583B" w:rsidP="00B84B6C">
            <w:pPr>
              <w:pStyle w:val="Subtitle"/>
              <w:rPr>
                <w:color w:val="FFFFFF" w:themeColor="background1"/>
              </w:rPr>
            </w:pPr>
            <w:r w:rsidRPr="008E7846">
              <w:rPr>
                <w:color w:val="FFFFFF" w:themeColor="background1"/>
              </w:rPr>
              <w:t xml:space="preserve">Proprietary Product Name: </w:t>
            </w:r>
            <w:proofErr w:type="spellStart"/>
            <w:r w:rsidR="00B84B6C">
              <w:rPr>
                <w:color w:val="FFFFFF" w:themeColor="background1"/>
              </w:rPr>
              <w:t>Abilify</w:t>
            </w:r>
            <w:proofErr w:type="spellEnd"/>
            <w:r w:rsidR="00B84B6C">
              <w:rPr>
                <w:color w:val="FFFFFF" w:themeColor="background1"/>
              </w:rPr>
              <w:t xml:space="preserve"> </w:t>
            </w:r>
            <w:proofErr w:type="spellStart"/>
            <w:r w:rsidR="00B84B6C">
              <w:rPr>
                <w:color w:val="FFFFFF" w:themeColor="background1"/>
              </w:rPr>
              <w:t>Maintena</w:t>
            </w:r>
            <w:proofErr w:type="spellEnd"/>
          </w:p>
        </w:tc>
      </w:tr>
      <w:tr w:rsidR="0032583B" w:rsidRPr="00B64760" w14:paraId="2812F367" w14:textId="77777777" w:rsidTr="0032583B">
        <w:trPr>
          <w:trHeight w:val="486"/>
        </w:trPr>
        <w:tc>
          <w:tcPr>
            <w:tcW w:w="9079" w:type="dxa"/>
          </w:tcPr>
          <w:p w14:paraId="2812F366" w14:textId="48E94C91" w:rsidR="0032583B" w:rsidRPr="008E7846" w:rsidRDefault="0032583B" w:rsidP="0032583B">
            <w:pPr>
              <w:pStyle w:val="Subtitle"/>
              <w:rPr>
                <w:color w:val="FFFFFF" w:themeColor="background1"/>
              </w:rPr>
            </w:pPr>
            <w:r w:rsidRPr="008E7846">
              <w:rPr>
                <w:color w:val="FFFFFF" w:themeColor="background1"/>
              </w:rPr>
              <w:t>Sponsor:</w:t>
            </w:r>
            <w:r w:rsidR="00C66B62">
              <w:rPr>
                <w:color w:val="FFFFFF" w:themeColor="background1"/>
              </w:rPr>
              <w:t xml:space="preserve"> </w:t>
            </w:r>
            <w:proofErr w:type="spellStart"/>
            <w:r w:rsidR="00B84B6C" w:rsidRPr="00B84B6C">
              <w:rPr>
                <w:color w:val="FFFFFF" w:themeColor="background1"/>
              </w:rPr>
              <w:t>Lundbeck</w:t>
            </w:r>
            <w:proofErr w:type="spellEnd"/>
            <w:r w:rsidR="00B84B6C" w:rsidRPr="00B84B6C">
              <w:rPr>
                <w:color w:val="FFFFFF" w:themeColor="background1"/>
              </w:rPr>
              <w:t xml:space="preserve"> (Australia) Pty Ltd</w:t>
            </w:r>
          </w:p>
        </w:tc>
      </w:tr>
    </w:tbl>
    <w:p w14:paraId="2812F368" w14:textId="77777777" w:rsidR="008E7846" w:rsidRDefault="008E7846" w:rsidP="008E7846">
      <w:pPr>
        <w:pStyle w:val="NonTOCHeading2"/>
      </w:pPr>
      <w:r>
        <w:br w:type="page"/>
      </w:r>
    </w:p>
    <w:p w14:paraId="2812F369" w14:textId="77777777" w:rsidR="008E7846" w:rsidRPr="001F6CBA" w:rsidRDefault="008E7846" w:rsidP="008E7846">
      <w:pPr>
        <w:pStyle w:val="NonTOCHeading2"/>
      </w:pPr>
      <w:r w:rsidRPr="001F6CBA">
        <w:lastRenderedPageBreak/>
        <w:t>About the Therapeutic Goods Administration (TGA)</w:t>
      </w:r>
    </w:p>
    <w:p w14:paraId="2812F36A" w14:textId="77777777" w:rsidR="008E7846" w:rsidRDefault="008E7846" w:rsidP="009250BA">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2812F36B" w14:textId="77777777" w:rsidR="008E7846" w:rsidRDefault="00C80137" w:rsidP="007E5F5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14:paraId="2812F36C" w14:textId="77777777" w:rsidR="008E7846" w:rsidRDefault="008E7846" w:rsidP="007E5F5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2812F36D" w14:textId="77777777" w:rsidR="008E7846" w:rsidRDefault="008E7846" w:rsidP="007E5F5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2812F36E" w14:textId="77777777" w:rsidR="008E7846" w:rsidRDefault="008E7846" w:rsidP="007E5F50">
      <w:pPr>
        <w:pStyle w:val="ListBullet"/>
        <w:numPr>
          <w:ilvl w:val="0"/>
          <w:numId w:val="1"/>
        </w:numPr>
        <w:ind w:left="357" w:hanging="357"/>
      </w:pPr>
      <w:r>
        <w:t>To report a problem with a medicine or medical device, please see the information on the TGA website</w:t>
      </w:r>
      <w:r w:rsidR="00112F56">
        <w:t xml:space="preserve"> &lt;</w:t>
      </w:r>
      <w:hyperlink r:id="rId12" w:history="1">
        <w:r w:rsidR="00EC7A85" w:rsidRPr="003A5406">
          <w:rPr>
            <w:rStyle w:val="Hyperlink"/>
          </w:rPr>
          <w:t>http://www.tga.gov.au</w:t>
        </w:r>
      </w:hyperlink>
      <w:r w:rsidR="00112F56">
        <w:t>&gt;</w:t>
      </w:r>
      <w:r>
        <w:t>.</w:t>
      </w:r>
    </w:p>
    <w:p w14:paraId="2812F36F" w14:textId="77777777" w:rsidR="008E7846" w:rsidRDefault="008E7846" w:rsidP="008E7846">
      <w:pPr>
        <w:pStyle w:val="NonTOCHeading2"/>
      </w:pPr>
      <w:r>
        <w:t xml:space="preserve">About </w:t>
      </w:r>
      <w:proofErr w:type="spellStart"/>
      <w:r>
        <w:t>AusPARs</w:t>
      </w:r>
      <w:proofErr w:type="spellEnd"/>
    </w:p>
    <w:p w14:paraId="2812F370" w14:textId="7C4A3C61" w:rsidR="008E7846" w:rsidRDefault="008E7846" w:rsidP="007E5F50">
      <w:pPr>
        <w:pStyle w:val="ListBullet"/>
        <w:numPr>
          <w:ilvl w:val="0"/>
          <w:numId w:val="1"/>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w:t>
      </w:r>
      <w:r w:rsidR="0047254B">
        <w:t>escription medicine submission.</w:t>
      </w:r>
    </w:p>
    <w:p w14:paraId="2812F371" w14:textId="77777777" w:rsidR="008E7846" w:rsidRDefault="008E7846" w:rsidP="007E5F50">
      <w:pPr>
        <w:pStyle w:val="ListBullet"/>
        <w:numPr>
          <w:ilvl w:val="0"/>
          <w:numId w:val="1"/>
        </w:numPr>
        <w:ind w:left="357" w:hanging="357"/>
      </w:pPr>
      <w:proofErr w:type="spellStart"/>
      <w:r>
        <w:t>AusPARs</w:t>
      </w:r>
      <w:proofErr w:type="spellEnd"/>
      <w:r>
        <w:t xml:space="preserve"> are prepared and published by the TGA.</w:t>
      </w:r>
    </w:p>
    <w:p w14:paraId="2812F372" w14:textId="77777777" w:rsidR="008E7846" w:rsidRDefault="008E7846" w:rsidP="007E5F50">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14:paraId="2812F373" w14:textId="77777777" w:rsidR="008E7846" w:rsidRDefault="008E7846" w:rsidP="007E5F50">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14:paraId="2812F374" w14:textId="77777777" w:rsidR="00B452CE" w:rsidRDefault="008E7846" w:rsidP="007E5F50">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2812F375" w14:textId="77777777" w:rsidR="00924482" w:rsidRPr="00DF1D7F" w:rsidRDefault="00924482" w:rsidP="00F54B65">
      <w:pPr>
        <w:pStyle w:val="LegalSubheading"/>
        <w:spacing w:before="3120"/>
      </w:pPr>
      <w:r w:rsidRPr="00DF1D7F">
        <w:t>Copyright</w:t>
      </w:r>
    </w:p>
    <w:p w14:paraId="2812F376" w14:textId="77777777"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3" w:history="1">
        <w:r w:rsidRPr="00191B3B">
          <w:rPr>
            <w:rStyle w:val="Hyperlink"/>
            <w:rFonts w:cs="Arial"/>
            <w:lang w:val="en-GB"/>
          </w:rPr>
          <w:t>tga.copyright@tga.gov.au</w:t>
        </w:r>
      </w:hyperlink>
      <w:r w:rsidRPr="00191B3B">
        <w:rPr>
          <w:rFonts w:cs="Arial"/>
        </w:rPr>
        <w:t>&gt;.</w:t>
      </w:r>
    </w:p>
    <w:p w14:paraId="2812F377" w14:textId="77777777" w:rsidR="00924482" w:rsidRDefault="00924482" w:rsidP="00924482">
      <w:pPr>
        <w:pStyle w:val="LegalCopy"/>
        <w:sectPr w:rsidR="00924482" w:rsidSect="003D1E62">
          <w:headerReference w:type="default" r:id="rId14"/>
          <w:footerReference w:type="default" r:id="rId15"/>
          <w:headerReference w:type="first" r:id="rId16"/>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812F378" w14:textId="77777777" w:rsidR="0089635C" w:rsidRPr="0089635C" w:rsidRDefault="0089635C" w:rsidP="0010788A">
          <w:pPr>
            <w:pStyle w:val="Contents"/>
          </w:pPr>
          <w:r w:rsidRPr="0010788A">
            <w:t>Contents</w:t>
          </w:r>
        </w:p>
        <w:p w14:paraId="320DFDD2" w14:textId="77777777" w:rsidR="007D26DB" w:rsidRDefault="00CC42CD">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8924901" w:history="1">
            <w:r w:rsidR="007D26DB" w:rsidRPr="003818F2">
              <w:rPr>
                <w:rStyle w:val="Hyperlink"/>
                <w:noProof/>
              </w:rPr>
              <w:t>List of common abbreviations used in this AusPAR</w:t>
            </w:r>
            <w:r w:rsidR="007D26DB">
              <w:rPr>
                <w:noProof/>
                <w:webHidden/>
              </w:rPr>
              <w:tab/>
            </w:r>
            <w:r w:rsidR="007D26DB">
              <w:rPr>
                <w:noProof/>
                <w:webHidden/>
              </w:rPr>
              <w:fldChar w:fldCharType="begin"/>
            </w:r>
            <w:r w:rsidR="007D26DB">
              <w:rPr>
                <w:noProof/>
                <w:webHidden/>
              </w:rPr>
              <w:instrText xml:space="preserve"> PAGEREF _Toc408924901 \h </w:instrText>
            </w:r>
            <w:r w:rsidR="007D26DB">
              <w:rPr>
                <w:noProof/>
                <w:webHidden/>
              </w:rPr>
            </w:r>
            <w:r w:rsidR="007D26DB">
              <w:rPr>
                <w:noProof/>
                <w:webHidden/>
              </w:rPr>
              <w:fldChar w:fldCharType="separate"/>
            </w:r>
            <w:r w:rsidR="007D26DB">
              <w:rPr>
                <w:noProof/>
                <w:webHidden/>
              </w:rPr>
              <w:t>5</w:t>
            </w:r>
            <w:r w:rsidR="007D26DB">
              <w:rPr>
                <w:noProof/>
                <w:webHidden/>
              </w:rPr>
              <w:fldChar w:fldCharType="end"/>
            </w:r>
          </w:hyperlink>
        </w:p>
        <w:p w14:paraId="5DCF3CA0" w14:textId="77777777" w:rsidR="007D26DB" w:rsidRDefault="007D26DB">
          <w:pPr>
            <w:pStyle w:val="TOC2"/>
            <w:rPr>
              <w:rFonts w:asciiTheme="minorHAnsi" w:eastAsiaTheme="minorEastAsia" w:hAnsiTheme="minorHAnsi" w:cstheme="minorBidi"/>
              <w:b w:val="0"/>
              <w:noProof/>
              <w:sz w:val="22"/>
              <w:lang w:eastAsia="en-AU"/>
            </w:rPr>
          </w:pPr>
          <w:hyperlink w:anchor="_Toc408924902" w:history="1">
            <w:r w:rsidRPr="003818F2">
              <w:rPr>
                <w:rStyle w:val="Hyperlink"/>
                <w:noProof/>
              </w:rPr>
              <w:t>I. Introduction to product submission</w:t>
            </w:r>
            <w:r>
              <w:rPr>
                <w:noProof/>
                <w:webHidden/>
              </w:rPr>
              <w:tab/>
            </w:r>
            <w:r>
              <w:rPr>
                <w:noProof/>
                <w:webHidden/>
              </w:rPr>
              <w:fldChar w:fldCharType="begin"/>
            </w:r>
            <w:r>
              <w:rPr>
                <w:noProof/>
                <w:webHidden/>
              </w:rPr>
              <w:instrText xml:space="preserve"> PAGEREF _Toc408924902 \h </w:instrText>
            </w:r>
            <w:r>
              <w:rPr>
                <w:noProof/>
                <w:webHidden/>
              </w:rPr>
            </w:r>
            <w:r>
              <w:rPr>
                <w:noProof/>
                <w:webHidden/>
              </w:rPr>
              <w:fldChar w:fldCharType="separate"/>
            </w:r>
            <w:r>
              <w:rPr>
                <w:noProof/>
                <w:webHidden/>
              </w:rPr>
              <w:t>6</w:t>
            </w:r>
            <w:r>
              <w:rPr>
                <w:noProof/>
                <w:webHidden/>
              </w:rPr>
              <w:fldChar w:fldCharType="end"/>
            </w:r>
          </w:hyperlink>
        </w:p>
        <w:p w14:paraId="7255B012" w14:textId="77777777" w:rsidR="007D26DB" w:rsidRDefault="007D26DB">
          <w:pPr>
            <w:pStyle w:val="TOC3"/>
            <w:rPr>
              <w:rFonts w:asciiTheme="minorHAnsi" w:eastAsiaTheme="minorEastAsia" w:hAnsiTheme="minorHAnsi" w:cstheme="minorBidi"/>
              <w:noProof/>
              <w:lang w:eastAsia="en-AU"/>
            </w:rPr>
          </w:pPr>
          <w:hyperlink w:anchor="_Toc408924903" w:history="1">
            <w:r w:rsidRPr="003818F2">
              <w:rPr>
                <w:rStyle w:val="Hyperlink"/>
                <w:noProof/>
                <w:lang w:eastAsia="en-AU"/>
              </w:rPr>
              <w:t>Submission details</w:t>
            </w:r>
            <w:r>
              <w:rPr>
                <w:noProof/>
                <w:webHidden/>
              </w:rPr>
              <w:tab/>
            </w:r>
            <w:r>
              <w:rPr>
                <w:noProof/>
                <w:webHidden/>
              </w:rPr>
              <w:fldChar w:fldCharType="begin"/>
            </w:r>
            <w:r>
              <w:rPr>
                <w:noProof/>
                <w:webHidden/>
              </w:rPr>
              <w:instrText xml:space="preserve"> PAGEREF _Toc408924903 \h </w:instrText>
            </w:r>
            <w:r>
              <w:rPr>
                <w:noProof/>
                <w:webHidden/>
              </w:rPr>
            </w:r>
            <w:r>
              <w:rPr>
                <w:noProof/>
                <w:webHidden/>
              </w:rPr>
              <w:fldChar w:fldCharType="separate"/>
            </w:r>
            <w:r>
              <w:rPr>
                <w:noProof/>
                <w:webHidden/>
              </w:rPr>
              <w:t>6</w:t>
            </w:r>
            <w:r>
              <w:rPr>
                <w:noProof/>
                <w:webHidden/>
              </w:rPr>
              <w:fldChar w:fldCharType="end"/>
            </w:r>
          </w:hyperlink>
        </w:p>
        <w:p w14:paraId="5C509C99" w14:textId="77777777" w:rsidR="007D26DB" w:rsidRDefault="007D26DB">
          <w:pPr>
            <w:pStyle w:val="TOC3"/>
            <w:rPr>
              <w:rFonts w:asciiTheme="minorHAnsi" w:eastAsiaTheme="minorEastAsia" w:hAnsiTheme="minorHAnsi" w:cstheme="minorBidi"/>
              <w:noProof/>
              <w:lang w:eastAsia="en-AU"/>
            </w:rPr>
          </w:pPr>
          <w:hyperlink w:anchor="_Toc408924904" w:history="1">
            <w:r w:rsidRPr="003818F2">
              <w:rPr>
                <w:rStyle w:val="Hyperlink"/>
                <w:noProof/>
              </w:rPr>
              <w:t>Product background</w:t>
            </w:r>
            <w:r>
              <w:rPr>
                <w:noProof/>
                <w:webHidden/>
              </w:rPr>
              <w:tab/>
            </w:r>
            <w:r>
              <w:rPr>
                <w:noProof/>
                <w:webHidden/>
              </w:rPr>
              <w:fldChar w:fldCharType="begin"/>
            </w:r>
            <w:r>
              <w:rPr>
                <w:noProof/>
                <w:webHidden/>
              </w:rPr>
              <w:instrText xml:space="preserve"> PAGEREF _Toc408924904 \h </w:instrText>
            </w:r>
            <w:r>
              <w:rPr>
                <w:noProof/>
                <w:webHidden/>
              </w:rPr>
            </w:r>
            <w:r>
              <w:rPr>
                <w:noProof/>
                <w:webHidden/>
              </w:rPr>
              <w:fldChar w:fldCharType="separate"/>
            </w:r>
            <w:r>
              <w:rPr>
                <w:noProof/>
                <w:webHidden/>
              </w:rPr>
              <w:t>6</w:t>
            </w:r>
            <w:r>
              <w:rPr>
                <w:noProof/>
                <w:webHidden/>
              </w:rPr>
              <w:fldChar w:fldCharType="end"/>
            </w:r>
          </w:hyperlink>
        </w:p>
        <w:p w14:paraId="1B946F61" w14:textId="77777777" w:rsidR="007D26DB" w:rsidRDefault="007D26DB">
          <w:pPr>
            <w:pStyle w:val="TOC3"/>
            <w:rPr>
              <w:rFonts w:asciiTheme="minorHAnsi" w:eastAsiaTheme="minorEastAsia" w:hAnsiTheme="minorHAnsi" w:cstheme="minorBidi"/>
              <w:noProof/>
              <w:lang w:eastAsia="en-AU"/>
            </w:rPr>
          </w:pPr>
          <w:hyperlink w:anchor="_Toc408924905" w:history="1">
            <w:r w:rsidRPr="003818F2">
              <w:rPr>
                <w:rStyle w:val="Hyperlink"/>
                <w:noProof/>
              </w:rPr>
              <w:t>Regulatory status</w:t>
            </w:r>
            <w:r>
              <w:rPr>
                <w:noProof/>
                <w:webHidden/>
              </w:rPr>
              <w:tab/>
            </w:r>
            <w:r>
              <w:rPr>
                <w:noProof/>
                <w:webHidden/>
              </w:rPr>
              <w:fldChar w:fldCharType="begin"/>
            </w:r>
            <w:r>
              <w:rPr>
                <w:noProof/>
                <w:webHidden/>
              </w:rPr>
              <w:instrText xml:space="preserve"> PAGEREF _Toc408924905 \h </w:instrText>
            </w:r>
            <w:r>
              <w:rPr>
                <w:noProof/>
                <w:webHidden/>
              </w:rPr>
            </w:r>
            <w:r>
              <w:rPr>
                <w:noProof/>
                <w:webHidden/>
              </w:rPr>
              <w:fldChar w:fldCharType="separate"/>
            </w:r>
            <w:r>
              <w:rPr>
                <w:noProof/>
                <w:webHidden/>
              </w:rPr>
              <w:t>7</w:t>
            </w:r>
            <w:r>
              <w:rPr>
                <w:noProof/>
                <w:webHidden/>
              </w:rPr>
              <w:fldChar w:fldCharType="end"/>
            </w:r>
          </w:hyperlink>
        </w:p>
        <w:p w14:paraId="28818EE4" w14:textId="77777777" w:rsidR="007D26DB" w:rsidRDefault="007D26DB">
          <w:pPr>
            <w:pStyle w:val="TOC3"/>
            <w:rPr>
              <w:rFonts w:asciiTheme="minorHAnsi" w:eastAsiaTheme="minorEastAsia" w:hAnsiTheme="minorHAnsi" w:cstheme="minorBidi"/>
              <w:noProof/>
              <w:lang w:eastAsia="en-AU"/>
            </w:rPr>
          </w:pPr>
          <w:hyperlink w:anchor="_Toc408924906" w:history="1">
            <w:r w:rsidRPr="003818F2">
              <w:rPr>
                <w:rStyle w:val="Hyperlink"/>
                <w:noProof/>
              </w:rPr>
              <w:t>Product Information</w:t>
            </w:r>
            <w:r>
              <w:rPr>
                <w:noProof/>
                <w:webHidden/>
              </w:rPr>
              <w:tab/>
            </w:r>
            <w:r>
              <w:rPr>
                <w:noProof/>
                <w:webHidden/>
              </w:rPr>
              <w:fldChar w:fldCharType="begin"/>
            </w:r>
            <w:r>
              <w:rPr>
                <w:noProof/>
                <w:webHidden/>
              </w:rPr>
              <w:instrText xml:space="preserve"> PAGEREF _Toc408924906 \h </w:instrText>
            </w:r>
            <w:r>
              <w:rPr>
                <w:noProof/>
                <w:webHidden/>
              </w:rPr>
            </w:r>
            <w:r>
              <w:rPr>
                <w:noProof/>
                <w:webHidden/>
              </w:rPr>
              <w:fldChar w:fldCharType="separate"/>
            </w:r>
            <w:r>
              <w:rPr>
                <w:noProof/>
                <w:webHidden/>
              </w:rPr>
              <w:t>8</w:t>
            </w:r>
            <w:r>
              <w:rPr>
                <w:noProof/>
                <w:webHidden/>
              </w:rPr>
              <w:fldChar w:fldCharType="end"/>
            </w:r>
          </w:hyperlink>
        </w:p>
        <w:p w14:paraId="0D539294" w14:textId="77777777" w:rsidR="007D26DB" w:rsidRDefault="007D26DB">
          <w:pPr>
            <w:pStyle w:val="TOC2"/>
            <w:rPr>
              <w:rFonts w:asciiTheme="minorHAnsi" w:eastAsiaTheme="minorEastAsia" w:hAnsiTheme="minorHAnsi" w:cstheme="minorBidi"/>
              <w:b w:val="0"/>
              <w:noProof/>
              <w:sz w:val="22"/>
              <w:lang w:eastAsia="en-AU"/>
            </w:rPr>
          </w:pPr>
          <w:hyperlink w:anchor="_Toc408924907" w:history="1">
            <w:r w:rsidRPr="003818F2">
              <w:rPr>
                <w:rStyle w:val="Hyperlink"/>
                <w:noProof/>
              </w:rPr>
              <w:t>II. Quality findings</w:t>
            </w:r>
            <w:r>
              <w:rPr>
                <w:noProof/>
                <w:webHidden/>
              </w:rPr>
              <w:tab/>
            </w:r>
            <w:r>
              <w:rPr>
                <w:noProof/>
                <w:webHidden/>
              </w:rPr>
              <w:fldChar w:fldCharType="begin"/>
            </w:r>
            <w:r>
              <w:rPr>
                <w:noProof/>
                <w:webHidden/>
              </w:rPr>
              <w:instrText xml:space="preserve"> PAGEREF _Toc408924907 \h </w:instrText>
            </w:r>
            <w:r>
              <w:rPr>
                <w:noProof/>
                <w:webHidden/>
              </w:rPr>
            </w:r>
            <w:r>
              <w:rPr>
                <w:noProof/>
                <w:webHidden/>
              </w:rPr>
              <w:fldChar w:fldCharType="separate"/>
            </w:r>
            <w:r>
              <w:rPr>
                <w:noProof/>
                <w:webHidden/>
              </w:rPr>
              <w:t>8</w:t>
            </w:r>
            <w:r>
              <w:rPr>
                <w:noProof/>
                <w:webHidden/>
              </w:rPr>
              <w:fldChar w:fldCharType="end"/>
            </w:r>
          </w:hyperlink>
        </w:p>
        <w:p w14:paraId="5A2AF1C2" w14:textId="77777777" w:rsidR="007D26DB" w:rsidRDefault="007D26DB">
          <w:pPr>
            <w:pStyle w:val="TOC3"/>
            <w:rPr>
              <w:rFonts w:asciiTheme="minorHAnsi" w:eastAsiaTheme="minorEastAsia" w:hAnsiTheme="minorHAnsi" w:cstheme="minorBidi"/>
              <w:noProof/>
              <w:lang w:eastAsia="en-AU"/>
            </w:rPr>
          </w:pPr>
          <w:hyperlink w:anchor="_Toc408924908" w:history="1">
            <w:r w:rsidRPr="003818F2">
              <w:rPr>
                <w:rStyle w:val="Hyperlink"/>
                <w:noProof/>
              </w:rPr>
              <w:t>Drug substance (active ingredient)</w:t>
            </w:r>
            <w:r>
              <w:rPr>
                <w:noProof/>
                <w:webHidden/>
              </w:rPr>
              <w:tab/>
            </w:r>
            <w:r>
              <w:rPr>
                <w:noProof/>
                <w:webHidden/>
              </w:rPr>
              <w:fldChar w:fldCharType="begin"/>
            </w:r>
            <w:r>
              <w:rPr>
                <w:noProof/>
                <w:webHidden/>
              </w:rPr>
              <w:instrText xml:space="preserve"> PAGEREF _Toc408924908 \h </w:instrText>
            </w:r>
            <w:r>
              <w:rPr>
                <w:noProof/>
                <w:webHidden/>
              </w:rPr>
            </w:r>
            <w:r>
              <w:rPr>
                <w:noProof/>
                <w:webHidden/>
              </w:rPr>
              <w:fldChar w:fldCharType="separate"/>
            </w:r>
            <w:r>
              <w:rPr>
                <w:noProof/>
                <w:webHidden/>
              </w:rPr>
              <w:t>8</w:t>
            </w:r>
            <w:r>
              <w:rPr>
                <w:noProof/>
                <w:webHidden/>
              </w:rPr>
              <w:fldChar w:fldCharType="end"/>
            </w:r>
          </w:hyperlink>
        </w:p>
        <w:p w14:paraId="3C898FF2" w14:textId="77777777" w:rsidR="007D26DB" w:rsidRDefault="007D26DB">
          <w:pPr>
            <w:pStyle w:val="TOC3"/>
            <w:rPr>
              <w:rFonts w:asciiTheme="minorHAnsi" w:eastAsiaTheme="minorEastAsia" w:hAnsiTheme="minorHAnsi" w:cstheme="minorBidi"/>
              <w:noProof/>
              <w:lang w:eastAsia="en-AU"/>
            </w:rPr>
          </w:pPr>
          <w:hyperlink w:anchor="_Toc408924909" w:history="1">
            <w:r w:rsidRPr="003818F2">
              <w:rPr>
                <w:rStyle w:val="Hyperlink"/>
                <w:noProof/>
              </w:rPr>
              <w:t>Drug product</w:t>
            </w:r>
            <w:r>
              <w:rPr>
                <w:noProof/>
                <w:webHidden/>
              </w:rPr>
              <w:tab/>
            </w:r>
            <w:r>
              <w:rPr>
                <w:noProof/>
                <w:webHidden/>
              </w:rPr>
              <w:fldChar w:fldCharType="begin"/>
            </w:r>
            <w:r>
              <w:rPr>
                <w:noProof/>
                <w:webHidden/>
              </w:rPr>
              <w:instrText xml:space="preserve"> PAGEREF _Toc408924909 \h </w:instrText>
            </w:r>
            <w:r>
              <w:rPr>
                <w:noProof/>
                <w:webHidden/>
              </w:rPr>
            </w:r>
            <w:r>
              <w:rPr>
                <w:noProof/>
                <w:webHidden/>
              </w:rPr>
              <w:fldChar w:fldCharType="separate"/>
            </w:r>
            <w:r>
              <w:rPr>
                <w:noProof/>
                <w:webHidden/>
              </w:rPr>
              <w:t>8</w:t>
            </w:r>
            <w:r>
              <w:rPr>
                <w:noProof/>
                <w:webHidden/>
              </w:rPr>
              <w:fldChar w:fldCharType="end"/>
            </w:r>
          </w:hyperlink>
        </w:p>
        <w:p w14:paraId="0464030C" w14:textId="77777777" w:rsidR="007D26DB" w:rsidRDefault="007D26DB">
          <w:pPr>
            <w:pStyle w:val="TOC3"/>
            <w:rPr>
              <w:rFonts w:asciiTheme="minorHAnsi" w:eastAsiaTheme="minorEastAsia" w:hAnsiTheme="minorHAnsi" w:cstheme="minorBidi"/>
              <w:noProof/>
              <w:lang w:eastAsia="en-AU"/>
            </w:rPr>
          </w:pPr>
          <w:hyperlink w:anchor="_Toc408924910" w:history="1">
            <w:r w:rsidRPr="003818F2">
              <w:rPr>
                <w:rStyle w:val="Hyperlink"/>
                <w:noProof/>
              </w:rPr>
              <w:t>Evaluation of sterility aspects</w:t>
            </w:r>
            <w:r>
              <w:rPr>
                <w:noProof/>
                <w:webHidden/>
              </w:rPr>
              <w:tab/>
            </w:r>
            <w:r>
              <w:rPr>
                <w:noProof/>
                <w:webHidden/>
              </w:rPr>
              <w:fldChar w:fldCharType="begin"/>
            </w:r>
            <w:r>
              <w:rPr>
                <w:noProof/>
                <w:webHidden/>
              </w:rPr>
              <w:instrText xml:space="preserve"> PAGEREF _Toc408924910 \h </w:instrText>
            </w:r>
            <w:r>
              <w:rPr>
                <w:noProof/>
                <w:webHidden/>
              </w:rPr>
            </w:r>
            <w:r>
              <w:rPr>
                <w:noProof/>
                <w:webHidden/>
              </w:rPr>
              <w:fldChar w:fldCharType="separate"/>
            </w:r>
            <w:r>
              <w:rPr>
                <w:noProof/>
                <w:webHidden/>
              </w:rPr>
              <w:t>8</w:t>
            </w:r>
            <w:r>
              <w:rPr>
                <w:noProof/>
                <w:webHidden/>
              </w:rPr>
              <w:fldChar w:fldCharType="end"/>
            </w:r>
          </w:hyperlink>
        </w:p>
        <w:p w14:paraId="0BD58575" w14:textId="77777777" w:rsidR="007D26DB" w:rsidRDefault="007D26DB">
          <w:pPr>
            <w:pStyle w:val="TOC3"/>
            <w:rPr>
              <w:rFonts w:asciiTheme="minorHAnsi" w:eastAsiaTheme="minorEastAsia" w:hAnsiTheme="minorHAnsi" w:cstheme="minorBidi"/>
              <w:noProof/>
              <w:lang w:eastAsia="en-AU"/>
            </w:rPr>
          </w:pPr>
          <w:hyperlink w:anchor="_Toc408924911" w:history="1">
            <w:r w:rsidRPr="003818F2">
              <w:rPr>
                <w:rStyle w:val="Hyperlink"/>
                <w:noProof/>
              </w:rPr>
              <w:t>Biopharmaceutics</w:t>
            </w:r>
            <w:r>
              <w:rPr>
                <w:noProof/>
                <w:webHidden/>
              </w:rPr>
              <w:tab/>
            </w:r>
            <w:r>
              <w:rPr>
                <w:noProof/>
                <w:webHidden/>
              </w:rPr>
              <w:fldChar w:fldCharType="begin"/>
            </w:r>
            <w:r>
              <w:rPr>
                <w:noProof/>
                <w:webHidden/>
              </w:rPr>
              <w:instrText xml:space="preserve"> PAGEREF _Toc408924911 \h </w:instrText>
            </w:r>
            <w:r>
              <w:rPr>
                <w:noProof/>
                <w:webHidden/>
              </w:rPr>
            </w:r>
            <w:r>
              <w:rPr>
                <w:noProof/>
                <w:webHidden/>
              </w:rPr>
              <w:fldChar w:fldCharType="separate"/>
            </w:r>
            <w:r>
              <w:rPr>
                <w:noProof/>
                <w:webHidden/>
              </w:rPr>
              <w:t>9</w:t>
            </w:r>
            <w:r>
              <w:rPr>
                <w:noProof/>
                <w:webHidden/>
              </w:rPr>
              <w:fldChar w:fldCharType="end"/>
            </w:r>
          </w:hyperlink>
        </w:p>
        <w:p w14:paraId="196D7F6C" w14:textId="77777777" w:rsidR="007D26DB" w:rsidRDefault="007D26DB">
          <w:pPr>
            <w:pStyle w:val="TOC3"/>
            <w:rPr>
              <w:rFonts w:asciiTheme="minorHAnsi" w:eastAsiaTheme="minorEastAsia" w:hAnsiTheme="minorHAnsi" w:cstheme="minorBidi"/>
              <w:noProof/>
              <w:lang w:eastAsia="en-AU"/>
            </w:rPr>
          </w:pPr>
          <w:hyperlink w:anchor="_Toc408924912" w:history="1">
            <w:r w:rsidRPr="003818F2">
              <w:rPr>
                <w:rStyle w:val="Hyperlink"/>
                <w:noProof/>
              </w:rPr>
              <w:t>Quality summary and conclusions</w:t>
            </w:r>
            <w:r>
              <w:rPr>
                <w:noProof/>
                <w:webHidden/>
              </w:rPr>
              <w:tab/>
            </w:r>
            <w:r>
              <w:rPr>
                <w:noProof/>
                <w:webHidden/>
              </w:rPr>
              <w:fldChar w:fldCharType="begin"/>
            </w:r>
            <w:r>
              <w:rPr>
                <w:noProof/>
                <w:webHidden/>
              </w:rPr>
              <w:instrText xml:space="preserve"> PAGEREF _Toc408924912 \h </w:instrText>
            </w:r>
            <w:r>
              <w:rPr>
                <w:noProof/>
                <w:webHidden/>
              </w:rPr>
            </w:r>
            <w:r>
              <w:rPr>
                <w:noProof/>
                <w:webHidden/>
              </w:rPr>
              <w:fldChar w:fldCharType="separate"/>
            </w:r>
            <w:r>
              <w:rPr>
                <w:noProof/>
                <w:webHidden/>
              </w:rPr>
              <w:t>9</w:t>
            </w:r>
            <w:r>
              <w:rPr>
                <w:noProof/>
                <w:webHidden/>
              </w:rPr>
              <w:fldChar w:fldCharType="end"/>
            </w:r>
          </w:hyperlink>
        </w:p>
        <w:p w14:paraId="18BE0244" w14:textId="77777777" w:rsidR="007D26DB" w:rsidRDefault="007D26DB">
          <w:pPr>
            <w:pStyle w:val="TOC2"/>
            <w:rPr>
              <w:rFonts w:asciiTheme="minorHAnsi" w:eastAsiaTheme="minorEastAsia" w:hAnsiTheme="minorHAnsi" w:cstheme="minorBidi"/>
              <w:b w:val="0"/>
              <w:noProof/>
              <w:sz w:val="22"/>
              <w:lang w:eastAsia="en-AU"/>
            </w:rPr>
          </w:pPr>
          <w:hyperlink w:anchor="_Toc408924913" w:history="1">
            <w:r w:rsidRPr="003818F2">
              <w:rPr>
                <w:rStyle w:val="Hyperlink"/>
                <w:noProof/>
              </w:rPr>
              <w:t>III. Nonclinical findings</w:t>
            </w:r>
            <w:r>
              <w:rPr>
                <w:noProof/>
                <w:webHidden/>
              </w:rPr>
              <w:tab/>
            </w:r>
            <w:r>
              <w:rPr>
                <w:noProof/>
                <w:webHidden/>
              </w:rPr>
              <w:fldChar w:fldCharType="begin"/>
            </w:r>
            <w:r>
              <w:rPr>
                <w:noProof/>
                <w:webHidden/>
              </w:rPr>
              <w:instrText xml:space="preserve"> PAGEREF _Toc408924913 \h </w:instrText>
            </w:r>
            <w:r>
              <w:rPr>
                <w:noProof/>
                <w:webHidden/>
              </w:rPr>
            </w:r>
            <w:r>
              <w:rPr>
                <w:noProof/>
                <w:webHidden/>
              </w:rPr>
              <w:fldChar w:fldCharType="separate"/>
            </w:r>
            <w:r>
              <w:rPr>
                <w:noProof/>
                <w:webHidden/>
              </w:rPr>
              <w:t>10</w:t>
            </w:r>
            <w:r>
              <w:rPr>
                <w:noProof/>
                <w:webHidden/>
              </w:rPr>
              <w:fldChar w:fldCharType="end"/>
            </w:r>
          </w:hyperlink>
        </w:p>
        <w:p w14:paraId="4C69AEBD" w14:textId="77777777" w:rsidR="007D26DB" w:rsidRDefault="007D26DB">
          <w:pPr>
            <w:pStyle w:val="TOC3"/>
            <w:rPr>
              <w:rFonts w:asciiTheme="minorHAnsi" w:eastAsiaTheme="minorEastAsia" w:hAnsiTheme="minorHAnsi" w:cstheme="minorBidi"/>
              <w:noProof/>
              <w:lang w:eastAsia="en-AU"/>
            </w:rPr>
          </w:pPr>
          <w:hyperlink w:anchor="_Toc408924914" w:history="1">
            <w:r w:rsidRPr="003818F2">
              <w:rPr>
                <w:rStyle w:val="Hyperlink"/>
                <w:noProof/>
              </w:rPr>
              <w:t>Introduction</w:t>
            </w:r>
            <w:r>
              <w:rPr>
                <w:noProof/>
                <w:webHidden/>
              </w:rPr>
              <w:tab/>
            </w:r>
            <w:r>
              <w:rPr>
                <w:noProof/>
                <w:webHidden/>
              </w:rPr>
              <w:fldChar w:fldCharType="begin"/>
            </w:r>
            <w:r>
              <w:rPr>
                <w:noProof/>
                <w:webHidden/>
              </w:rPr>
              <w:instrText xml:space="preserve"> PAGEREF _Toc408924914 \h </w:instrText>
            </w:r>
            <w:r>
              <w:rPr>
                <w:noProof/>
                <w:webHidden/>
              </w:rPr>
            </w:r>
            <w:r>
              <w:rPr>
                <w:noProof/>
                <w:webHidden/>
              </w:rPr>
              <w:fldChar w:fldCharType="separate"/>
            </w:r>
            <w:r>
              <w:rPr>
                <w:noProof/>
                <w:webHidden/>
              </w:rPr>
              <w:t>10</w:t>
            </w:r>
            <w:r>
              <w:rPr>
                <w:noProof/>
                <w:webHidden/>
              </w:rPr>
              <w:fldChar w:fldCharType="end"/>
            </w:r>
          </w:hyperlink>
        </w:p>
        <w:p w14:paraId="0D615FCE" w14:textId="77777777" w:rsidR="007D26DB" w:rsidRDefault="007D26DB">
          <w:pPr>
            <w:pStyle w:val="TOC3"/>
            <w:rPr>
              <w:rFonts w:asciiTheme="minorHAnsi" w:eastAsiaTheme="minorEastAsia" w:hAnsiTheme="minorHAnsi" w:cstheme="minorBidi"/>
              <w:noProof/>
              <w:lang w:eastAsia="en-AU"/>
            </w:rPr>
          </w:pPr>
          <w:hyperlink w:anchor="_Toc408924915" w:history="1">
            <w:r w:rsidRPr="003818F2">
              <w:rPr>
                <w:rStyle w:val="Hyperlink"/>
                <w:noProof/>
              </w:rPr>
              <w:t>Pharmacology</w:t>
            </w:r>
            <w:r>
              <w:rPr>
                <w:noProof/>
                <w:webHidden/>
              </w:rPr>
              <w:tab/>
            </w:r>
            <w:r>
              <w:rPr>
                <w:noProof/>
                <w:webHidden/>
              </w:rPr>
              <w:fldChar w:fldCharType="begin"/>
            </w:r>
            <w:r>
              <w:rPr>
                <w:noProof/>
                <w:webHidden/>
              </w:rPr>
              <w:instrText xml:space="preserve"> PAGEREF _Toc408924915 \h </w:instrText>
            </w:r>
            <w:r>
              <w:rPr>
                <w:noProof/>
                <w:webHidden/>
              </w:rPr>
            </w:r>
            <w:r>
              <w:rPr>
                <w:noProof/>
                <w:webHidden/>
              </w:rPr>
              <w:fldChar w:fldCharType="separate"/>
            </w:r>
            <w:r>
              <w:rPr>
                <w:noProof/>
                <w:webHidden/>
              </w:rPr>
              <w:t>10</w:t>
            </w:r>
            <w:r>
              <w:rPr>
                <w:noProof/>
                <w:webHidden/>
              </w:rPr>
              <w:fldChar w:fldCharType="end"/>
            </w:r>
          </w:hyperlink>
        </w:p>
        <w:p w14:paraId="6BA51ED3" w14:textId="77777777" w:rsidR="007D26DB" w:rsidRDefault="007D26DB">
          <w:pPr>
            <w:pStyle w:val="TOC3"/>
            <w:rPr>
              <w:rFonts w:asciiTheme="minorHAnsi" w:eastAsiaTheme="minorEastAsia" w:hAnsiTheme="minorHAnsi" w:cstheme="minorBidi"/>
              <w:noProof/>
              <w:lang w:eastAsia="en-AU"/>
            </w:rPr>
          </w:pPr>
          <w:hyperlink w:anchor="_Toc408924916" w:history="1">
            <w:r w:rsidRPr="003818F2">
              <w:rPr>
                <w:rStyle w:val="Hyperlink"/>
                <w:noProof/>
              </w:rPr>
              <w:t>Pharmacokinetics</w:t>
            </w:r>
            <w:r>
              <w:rPr>
                <w:noProof/>
                <w:webHidden/>
              </w:rPr>
              <w:tab/>
            </w:r>
            <w:r>
              <w:rPr>
                <w:noProof/>
                <w:webHidden/>
              </w:rPr>
              <w:fldChar w:fldCharType="begin"/>
            </w:r>
            <w:r>
              <w:rPr>
                <w:noProof/>
                <w:webHidden/>
              </w:rPr>
              <w:instrText xml:space="preserve"> PAGEREF _Toc408924916 \h </w:instrText>
            </w:r>
            <w:r>
              <w:rPr>
                <w:noProof/>
                <w:webHidden/>
              </w:rPr>
            </w:r>
            <w:r>
              <w:rPr>
                <w:noProof/>
                <w:webHidden/>
              </w:rPr>
              <w:fldChar w:fldCharType="separate"/>
            </w:r>
            <w:r>
              <w:rPr>
                <w:noProof/>
                <w:webHidden/>
              </w:rPr>
              <w:t>10</w:t>
            </w:r>
            <w:r>
              <w:rPr>
                <w:noProof/>
                <w:webHidden/>
              </w:rPr>
              <w:fldChar w:fldCharType="end"/>
            </w:r>
          </w:hyperlink>
        </w:p>
        <w:p w14:paraId="389C7F50" w14:textId="77777777" w:rsidR="007D26DB" w:rsidRDefault="007D26DB">
          <w:pPr>
            <w:pStyle w:val="TOC3"/>
            <w:rPr>
              <w:rFonts w:asciiTheme="minorHAnsi" w:eastAsiaTheme="minorEastAsia" w:hAnsiTheme="minorHAnsi" w:cstheme="minorBidi"/>
              <w:noProof/>
              <w:lang w:eastAsia="en-AU"/>
            </w:rPr>
          </w:pPr>
          <w:hyperlink w:anchor="_Toc408924917" w:history="1">
            <w:r w:rsidRPr="003818F2">
              <w:rPr>
                <w:rStyle w:val="Hyperlink"/>
                <w:noProof/>
              </w:rPr>
              <w:t>Toxicology</w:t>
            </w:r>
            <w:r>
              <w:rPr>
                <w:noProof/>
                <w:webHidden/>
              </w:rPr>
              <w:tab/>
            </w:r>
            <w:r>
              <w:rPr>
                <w:noProof/>
                <w:webHidden/>
              </w:rPr>
              <w:fldChar w:fldCharType="begin"/>
            </w:r>
            <w:r>
              <w:rPr>
                <w:noProof/>
                <w:webHidden/>
              </w:rPr>
              <w:instrText xml:space="preserve"> PAGEREF _Toc408924917 \h </w:instrText>
            </w:r>
            <w:r>
              <w:rPr>
                <w:noProof/>
                <w:webHidden/>
              </w:rPr>
            </w:r>
            <w:r>
              <w:rPr>
                <w:noProof/>
                <w:webHidden/>
              </w:rPr>
              <w:fldChar w:fldCharType="separate"/>
            </w:r>
            <w:r>
              <w:rPr>
                <w:noProof/>
                <w:webHidden/>
              </w:rPr>
              <w:t>11</w:t>
            </w:r>
            <w:r>
              <w:rPr>
                <w:noProof/>
                <w:webHidden/>
              </w:rPr>
              <w:fldChar w:fldCharType="end"/>
            </w:r>
          </w:hyperlink>
        </w:p>
        <w:p w14:paraId="66CCE0E0" w14:textId="77777777" w:rsidR="007D26DB" w:rsidRDefault="007D26DB">
          <w:pPr>
            <w:pStyle w:val="TOC3"/>
            <w:rPr>
              <w:rFonts w:asciiTheme="minorHAnsi" w:eastAsiaTheme="minorEastAsia" w:hAnsiTheme="minorHAnsi" w:cstheme="minorBidi"/>
              <w:noProof/>
              <w:lang w:eastAsia="en-AU"/>
            </w:rPr>
          </w:pPr>
          <w:hyperlink w:anchor="_Toc408924918" w:history="1">
            <w:r w:rsidRPr="003818F2">
              <w:rPr>
                <w:rStyle w:val="Hyperlink"/>
                <w:noProof/>
              </w:rPr>
              <w:t>Nonclinical summary and conclusions</w:t>
            </w:r>
            <w:r>
              <w:rPr>
                <w:noProof/>
                <w:webHidden/>
              </w:rPr>
              <w:tab/>
            </w:r>
            <w:r>
              <w:rPr>
                <w:noProof/>
                <w:webHidden/>
              </w:rPr>
              <w:fldChar w:fldCharType="begin"/>
            </w:r>
            <w:r>
              <w:rPr>
                <w:noProof/>
                <w:webHidden/>
              </w:rPr>
              <w:instrText xml:space="preserve"> PAGEREF _Toc408924918 \h </w:instrText>
            </w:r>
            <w:r>
              <w:rPr>
                <w:noProof/>
                <w:webHidden/>
              </w:rPr>
            </w:r>
            <w:r>
              <w:rPr>
                <w:noProof/>
                <w:webHidden/>
              </w:rPr>
              <w:fldChar w:fldCharType="separate"/>
            </w:r>
            <w:r>
              <w:rPr>
                <w:noProof/>
                <w:webHidden/>
              </w:rPr>
              <w:t>16</w:t>
            </w:r>
            <w:r>
              <w:rPr>
                <w:noProof/>
                <w:webHidden/>
              </w:rPr>
              <w:fldChar w:fldCharType="end"/>
            </w:r>
          </w:hyperlink>
        </w:p>
        <w:p w14:paraId="5CDBCFC9" w14:textId="77777777" w:rsidR="007D26DB" w:rsidRDefault="007D26DB">
          <w:pPr>
            <w:pStyle w:val="TOC3"/>
            <w:rPr>
              <w:rFonts w:asciiTheme="minorHAnsi" w:eastAsiaTheme="minorEastAsia" w:hAnsiTheme="minorHAnsi" w:cstheme="minorBidi"/>
              <w:noProof/>
              <w:lang w:eastAsia="en-AU"/>
            </w:rPr>
          </w:pPr>
          <w:hyperlink w:anchor="_Toc408924919" w:history="1">
            <w:r w:rsidRPr="003818F2">
              <w:rPr>
                <w:rStyle w:val="Hyperlink"/>
                <w:noProof/>
              </w:rPr>
              <w:t>Nonclinical conclusions and recommendation</w:t>
            </w:r>
            <w:r>
              <w:rPr>
                <w:noProof/>
                <w:webHidden/>
              </w:rPr>
              <w:tab/>
            </w:r>
            <w:r>
              <w:rPr>
                <w:noProof/>
                <w:webHidden/>
              </w:rPr>
              <w:fldChar w:fldCharType="begin"/>
            </w:r>
            <w:r>
              <w:rPr>
                <w:noProof/>
                <w:webHidden/>
              </w:rPr>
              <w:instrText xml:space="preserve"> PAGEREF _Toc408924919 \h </w:instrText>
            </w:r>
            <w:r>
              <w:rPr>
                <w:noProof/>
                <w:webHidden/>
              </w:rPr>
            </w:r>
            <w:r>
              <w:rPr>
                <w:noProof/>
                <w:webHidden/>
              </w:rPr>
              <w:fldChar w:fldCharType="separate"/>
            </w:r>
            <w:r>
              <w:rPr>
                <w:noProof/>
                <w:webHidden/>
              </w:rPr>
              <w:t>17</w:t>
            </w:r>
            <w:r>
              <w:rPr>
                <w:noProof/>
                <w:webHidden/>
              </w:rPr>
              <w:fldChar w:fldCharType="end"/>
            </w:r>
          </w:hyperlink>
        </w:p>
        <w:p w14:paraId="77BF26C3" w14:textId="77777777" w:rsidR="007D26DB" w:rsidRDefault="007D26DB">
          <w:pPr>
            <w:pStyle w:val="TOC2"/>
            <w:rPr>
              <w:rFonts w:asciiTheme="minorHAnsi" w:eastAsiaTheme="minorEastAsia" w:hAnsiTheme="minorHAnsi" w:cstheme="minorBidi"/>
              <w:b w:val="0"/>
              <w:noProof/>
              <w:sz w:val="22"/>
              <w:lang w:eastAsia="en-AU"/>
            </w:rPr>
          </w:pPr>
          <w:hyperlink w:anchor="_Toc408924920" w:history="1">
            <w:r w:rsidRPr="003818F2">
              <w:rPr>
                <w:rStyle w:val="Hyperlink"/>
                <w:noProof/>
              </w:rPr>
              <w:t>IV. Clinical findings</w:t>
            </w:r>
            <w:r>
              <w:rPr>
                <w:noProof/>
                <w:webHidden/>
              </w:rPr>
              <w:tab/>
            </w:r>
            <w:r>
              <w:rPr>
                <w:noProof/>
                <w:webHidden/>
              </w:rPr>
              <w:fldChar w:fldCharType="begin"/>
            </w:r>
            <w:r>
              <w:rPr>
                <w:noProof/>
                <w:webHidden/>
              </w:rPr>
              <w:instrText xml:space="preserve"> PAGEREF _Toc408924920 \h </w:instrText>
            </w:r>
            <w:r>
              <w:rPr>
                <w:noProof/>
                <w:webHidden/>
              </w:rPr>
            </w:r>
            <w:r>
              <w:rPr>
                <w:noProof/>
                <w:webHidden/>
              </w:rPr>
              <w:fldChar w:fldCharType="separate"/>
            </w:r>
            <w:r>
              <w:rPr>
                <w:noProof/>
                <w:webHidden/>
              </w:rPr>
              <w:t>18</w:t>
            </w:r>
            <w:r>
              <w:rPr>
                <w:noProof/>
                <w:webHidden/>
              </w:rPr>
              <w:fldChar w:fldCharType="end"/>
            </w:r>
          </w:hyperlink>
        </w:p>
        <w:p w14:paraId="7B3EF162" w14:textId="77777777" w:rsidR="007D26DB" w:rsidRDefault="007D26DB">
          <w:pPr>
            <w:pStyle w:val="TOC3"/>
            <w:rPr>
              <w:rFonts w:asciiTheme="minorHAnsi" w:eastAsiaTheme="minorEastAsia" w:hAnsiTheme="minorHAnsi" w:cstheme="minorBidi"/>
              <w:noProof/>
              <w:lang w:eastAsia="en-AU"/>
            </w:rPr>
          </w:pPr>
          <w:hyperlink w:anchor="_Toc408924921" w:history="1">
            <w:r w:rsidRPr="003818F2">
              <w:rPr>
                <w:rStyle w:val="Hyperlink"/>
                <w:noProof/>
              </w:rPr>
              <w:t>Introduction</w:t>
            </w:r>
            <w:r>
              <w:rPr>
                <w:noProof/>
                <w:webHidden/>
              </w:rPr>
              <w:tab/>
            </w:r>
            <w:r>
              <w:rPr>
                <w:noProof/>
                <w:webHidden/>
              </w:rPr>
              <w:fldChar w:fldCharType="begin"/>
            </w:r>
            <w:r>
              <w:rPr>
                <w:noProof/>
                <w:webHidden/>
              </w:rPr>
              <w:instrText xml:space="preserve"> PAGEREF _Toc408924921 \h </w:instrText>
            </w:r>
            <w:r>
              <w:rPr>
                <w:noProof/>
                <w:webHidden/>
              </w:rPr>
            </w:r>
            <w:r>
              <w:rPr>
                <w:noProof/>
                <w:webHidden/>
              </w:rPr>
              <w:fldChar w:fldCharType="separate"/>
            </w:r>
            <w:r>
              <w:rPr>
                <w:noProof/>
                <w:webHidden/>
              </w:rPr>
              <w:t>18</w:t>
            </w:r>
            <w:r>
              <w:rPr>
                <w:noProof/>
                <w:webHidden/>
              </w:rPr>
              <w:fldChar w:fldCharType="end"/>
            </w:r>
          </w:hyperlink>
        </w:p>
        <w:p w14:paraId="38BF480B" w14:textId="77777777" w:rsidR="007D26DB" w:rsidRDefault="007D26DB">
          <w:pPr>
            <w:pStyle w:val="TOC3"/>
            <w:rPr>
              <w:rFonts w:asciiTheme="minorHAnsi" w:eastAsiaTheme="minorEastAsia" w:hAnsiTheme="minorHAnsi" w:cstheme="minorBidi"/>
              <w:noProof/>
              <w:lang w:eastAsia="en-AU"/>
            </w:rPr>
          </w:pPr>
          <w:hyperlink w:anchor="_Toc408924922" w:history="1">
            <w:r w:rsidRPr="003818F2">
              <w:rPr>
                <w:rStyle w:val="Hyperlink"/>
                <w:noProof/>
              </w:rPr>
              <w:t>Pharmacokinetics</w:t>
            </w:r>
            <w:r>
              <w:rPr>
                <w:noProof/>
                <w:webHidden/>
              </w:rPr>
              <w:tab/>
            </w:r>
            <w:r>
              <w:rPr>
                <w:noProof/>
                <w:webHidden/>
              </w:rPr>
              <w:fldChar w:fldCharType="begin"/>
            </w:r>
            <w:r>
              <w:rPr>
                <w:noProof/>
                <w:webHidden/>
              </w:rPr>
              <w:instrText xml:space="preserve"> PAGEREF _Toc408924922 \h </w:instrText>
            </w:r>
            <w:r>
              <w:rPr>
                <w:noProof/>
                <w:webHidden/>
              </w:rPr>
            </w:r>
            <w:r>
              <w:rPr>
                <w:noProof/>
                <w:webHidden/>
              </w:rPr>
              <w:fldChar w:fldCharType="separate"/>
            </w:r>
            <w:r>
              <w:rPr>
                <w:noProof/>
                <w:webHidden/>
              </w:rPr>
              <w:t>20</w:t>
            </w:r>
            <w:r>
              <w:rPr>
                <w:noProof/>
                <w:webHidden/>
              </w:rPr>
              <w:fldChar w:fldCharType="end"/>
            </w:r>
          </w:hyperlink>
        </w:p>
        <w:p w14:paraId="1D3BA930" w14:textId="77777777" w:rsidR="007D26DB" w:rsidRDefault="007D26DB">
          <w:pPr>
            <w:pStyle w:val="TOC3"/>
            <w:rPr>
              <w:rFonts w:asciiTheme="minorHAnsi" w:eastAsiaTheme="minorEastAsia" w:hAnsiTheme="minorHAnsi" w:cstheme="minorBidi"/>
              <w:noProof/>
              <w:lang w:eastAsia="en-AU"/>
            </w:rPr>
          </w:pPr>
          <w:hyperlink w:anchor="_Toc408924923" w:history="1">
            <w:r w:rsidRPr="003818F2">
              <w:rPr>
                <w:rStyle w:val="Hyperlink"/>
                <w:noProof/>
              </w:rPr>
              <w:t>Pharmacodynamics</w:t>
            </w:r>
            <w:r>
              <w:rPr>
                <w:noProof/>
                <w:webHidden/>
              </w:rPr>
              <w:tab/>
            </w:r>
            <w:r>
              <w:rPr>
                <w:noProof/>
                <w:webHidden/>
              </w:rPr>
              <w:fldChar w:fldCharType="begin"/>
            </w:r>
            <w:r>
              <w:rPr>
                <w:noProof/>
                <w:webHidden/>
              </w:rPr>
              <w:instrText xml:space="preserve"> PAGEREF _Toc408924923 \h </w:instrText>
            </w:r>
            <w:r>
              <w:rPr>
                <w:noProof/>
                <w:webHidden/>
              </w:rPr>
            </w:r>
            <w:r>
              <w:rPr>
                <w:noProof/>
                <w:webHidden/>
              </w:rPr>
              <w:fldChar w:fldCharType="separate"/>
            </w:r>
            <w:r>
              <w:rPr>
                <w:noProof/>
                <w:webHidden/>
              </w:rPr>
              <w:t>23</w:t>
            </w:r>
            <w:r>
              <w:rPr>
                <w:noProof/>
                <w:webHidden/>
              </w:rPr>
              <w:fldChar w:fldCharType="end"/>
            </w:r>
          </w:hyperlink>
        </w:p>
        <w:p w14:paraId="14D64C17" w14:textId="77777777" w:rsidR="007D26DB" w:rsidRDefault="007D26DB">
          <w:pPr>
            <w:pStyle w:val="TOC3"/>
            <w:rPr>
              <w:rFonts w:asciiTheme="minorHAnsi" w:eastAsiaTheme="minorEastAsia" w:hAnsiTheme="minorHAnsi" w:cstheme="minorBidi"/>
              <w:noProof/>
              <w:lang w:eastAsia="en-AU"/>
            </w:rPr>
          </w:pPr>
          <w:hyperlink w:anchor="_Toc408924924" w:history="1">
            <w:r w:rsidRPr="003818F2">
              <w:rPr>
                <w:rStyle w:val="Hyperlink"/>
                <w:noProof/>
              </w:rPr>
              <w:t>Dosage selection for the pivotal studies</w:t>
            </w:r>
            <w:r>
              <w:rPr>
                <w:noProof/>
                <w:webHidden/>
              </w:rPr>
              <w:tab/>
            </w:r>
            <w:r>
              <w:rPr>
                <w:noProof/>
                <w:webHidden/>
              </w:rPr>
              <w:fldChar w:fldCharType="begin"/>
            </w:r>
            <w:r>
              <w:rPr>
                <w:noProof/>
                <w:webHidden/>
              </w:rPr>
              <w:instrText xml:space="preserve"> PAGEREF _Toc408924924 \h </w:instrText>
            </w:r>
            <w:r>
              <w:rPr>
                <w:noProof/>
                <w:webHidden/>
              </w:rPr>
            </w:r>
            <w:r>
              <w:rPr>
                <w:noProof/>
                <w:webHidden/>
              </w:rPr>
              <w:fldChar w:fldCharType="separate"/>
            </w:r>
            <w:r>
              <w:rPr>
                <w:noProof/>
                <w:webHidden/>
              </w:rPr>
              <w:t>23</w:t>
            </w:r>
            <w:r>
              <w:rPr>
                <w:noProof/>
                <w:webHidden/>
              </w:rPr>
              <w:fldChar w:fldCharType="end"/>
            </w:r>
          </w:hyperlink>
        </w:p>
        <w:p w14:paraId="7C31C3ED" w14:textId="77777777" w:rsidR="007D26DB" w:rsidRDefault="007D26DB">
          <w:pPr>
            <w:pStyle w:val="TOC3"/>
            <w:rPr>
              <w:rFonts w:asciiTheme="minorHAnsi" w:eastAsiaTheme="minorEastAsia" w:hAnsiTheme="minorHAnsi" w:cstheme="minorBidi"/>
              <w:noProof/>
              <w:lang w:eastAsia="en-AU"/>
            </w:rPr>
          </w:pPr>
          <w:hyperlink w:anchor="_Toc408924925" w:history="1">
            <w:r w:rsidRPr="003818F2">
              <w:rPr>
                <w:rStyle w:val="Hyperlink"/>
                <w:noProof/>
              </w:rPr>
              <w:t>Efficacy</w:t>
            </w:r>
            <w:r>
              <w:rPr>
                <w:noProof/>
                <w:webHidden/>
              </w:rPr>
              <w:tab/>
            </w:r>
            <w:r>
              <w:rPr>
                <w:noProof/>
                <w:webHidden/>
              </w:rPr>
              <w:fldChar w:fldCharType="begin"/>
            </w:r>
            <w:r>
              <w:rPr>
                <w:noProof/>
                <w:webHidden/>
              </w:rPr>
              <w:instrText xml:space="preserve"> PAGEREF _Toc408924925 \h </w:instrText>
            </w:r>
            <w:r>
              <w:rPr>
                <w:noProof/>
                <w:webHidden/>
              </w:rPr>
            </w:r>
            <w:r>
              <w:rPr>
                <w:noProof/>
                <w:webHidden/>
              </w:rPr>
              <w:fldChar w:fldCharType="separate"/>
            </w:r>
            <w:r>
              <w:rPr>
                <w:noProof/>
                <w:webHidden/>
              </w:rPr>
              <w:t>23</w:t>
            </w:r>
            <w:r>
              <w:rPr>
                <w:noProof/>
                <w:webHidden/>
              </w:rPr>
              <w:fldChar w:fldCharType="end"/>
            </w:r>
          </w:hyperlink>
        </w:p>
        <w:p w14:paraId="1C36566F" w14:textId="77777777" w:rsidR="007D26DB" w:rsidRDefault="007D26DB">
          <w:pPr>
            <w:pStyle w:val="TOC3"/>
            <w:rPr>
              <w:rFonts w:asciiTheme="minorHAnsi" w:eastAsiaTheme="minorEastAsia" w:hAnsiTheme="minorHAnsi" w:cstheme="minorBidi"/>
              <w:noProof/>
              <w:lang w:eastAsia="en-AU"/>
            </w:rPr>
          </w:pPr>
          <w:hyperlink w:anchor="_Toc408924926" w:history="1">
            <w:r w:rsidRPr="003818F2">
              <w:rPr>
                <w:rStyle w:val="Hyperlink"/>
                <w:noProof/>
              </w:rPr>
              <w:t>Safety</w:t>
            </w:r>
            <w:r>
              <w:rPr>
                <w:noProof/>
                <w:webHidden/>
              </w:rPr>
              <w:tab/>
            </w:r>
            <w:r>
              <w:rPr>
                <w:noProof/>
                <w:webHidden/>
              </w:rPr>
              <w:fldChar w:fldCharType="begin"/>
            </w:r>
            <w:r>
              <w:rPr>
                <w:noProof/>
                <w:webHidden/>
              </w:rPr>
              <w:instrText xml:space="preserve"> PAGEREF _Toc408924926 \h </w:instrText>
            </w:r>
            <w:r>
              <w:rPr>
                <w:noProof/>
                <w:webHidden/>
              </w:rPr>
            </w:r>
            <w:r>
              <w:rPr>
                <w:noProof/>
                <w:webHidden/>
              </w:rPr>
              <w:fldChar w:fldCharType="separate"/>
            </w:r>
            <w:r>
              <w:rPr>
                <w:noProof/>
                <w:webHidden/>
              </w:rPr>
              <w:t>26</w:t>
            </w:r>
            <w:r>
              <w:rPr>
                <w:noProof/>
                <w:webHidden/>
              </w:rPr>
              <w:fldChar w:fldCharType="end"/>
            </w:r>
          </w:hyperlink>
        </w:p>
        <w:p w14:paraId="6B9E930C" w14:textId="77777777" w:rsidR="007D26DB" w:rsidRDefault="007D26DB">
          <w:pPr>
            <w:pStyle w:val="TOC3"/>
            <w:rPr>
              <w:rFonts w:asciiTheme="minorHAnsi" w:eastAsiaTheme="minorEastAsia" w:hAnsiTheme="minorHAnsi" w:cstheme="minorBidi"/>
              <w:noProof/>
              <w:lang w:eastAsia="en-AU"/>
            </w:rPr>
          </w:pPr>
          <w:hyperlink w:anchor="_Toc408924927" w:history="1">
            <w:r w:rsidRPr="003818F2">
              <w:rPr>
                <w:rStyle w:val="Hyperlink"/>
                <w:noProof/>
              </w:rPr>
              <w:t>First round benefit-risk assessment</w:t>
            </w:r>
            <w:r>
              <w:rPr>
                <w:noProof/>
                <w:webHidden/>
              </w:rPr>
              <w:tab/>
            </w:r>
            <w:r>
              <w:rPr>
                <w:noProof/>
                <w:webHidden/>
              </w:rPr>
              <w:fldChar w:fldCharType="begin"/>
            </w:r>
            <w:r>
              <w:rPr>
                <w:noProof/>
                <w:webHidden/>
              </w:rPr>
              <w:instrText xml:space="preserve"> PAGEREF _Toc408924927 \h </w:instrText>
            </w:r>
            <w:r>
              <w:rPr>
                <w:noProof/>
                <w:webHidden/>
              </w:rPr>
            </w:r>
            <w:r>
              <w:rPr>
                <w:noProof/>
                <w:webHidden/>
              </w:rPr>
              <w:fldChar w:fldCharType="separate"/>
            </w:r>
            <w:r>
              <w:rPr>
                <w:noProof/>
                <w:webHidden/>
              </w:rPr>
              <w:t>30</w:t>
            </w:r>
            <w:r>
              <w:rPr>
                <w:noProof/>
                <w:webHidden/>
              </w:rPr>
              <w:fldChar w:fldCharType="end"/>
            </w:r>
          </w:hyperlink>
        </w:p>
        <w:p w14:paraId="3D7C3270" w14:textId="77777777" w:rsidR="007D26DB" w:rsidRDefault="007D26DB">
          <w:pPr>
            <w:pStyle w:val="TOC3"/>
            <w:rPr>
              <w:rFonts w:asciiTheme="minorHAnsi" w:eastAsiaTheme="minorEastAsia" w:hAnsiTheme="minorHAnsi" w:cstheme="minorBidi"/>
              <w:noProof/>
              <w:lang w:eastAsia="en-AU"/>
            </w:rPr>
          </w:pPr>
          <w:hyperlink w:anchor="_Toc408924928" w:history="1">
            <w:r w:rsidRPr="003818F2">
              <w:rPr>
                <w:rStyle w:val="Hyperlink"/>
                <w:noProof/>
              </w:rPr>
              <w:t>First round recommendation regarding authorisation</w:t>
            </w:r>
            <w:r>
              <w:rPr>
                <w:noProof/>
                <w:webHidden/>
              </w:rPr>
              <w:tab/>
            </w:r>
            <w:r>
              <w:rPr>
                <w:noProof/>
                <w:webHidden/>
              </w:rPr>
              <w:fldChar w:fldCharType="begin"/>
            </w:r>
            <w:r>
              <w:rPr>
                <w:noProof/>
                <w:webHidden/>
              </w:rPr>
              <w:instrText xml:space="preserve"> PAGEREF _Toc408924928 \h </w:instrText>
            </w:r>
            <w:r>
              <w:rPr>
                <w:noProof/>
                <w:webHidden/>
              </w:rPr>
            </w:r>
            <w:r>
              <w:rPr>
                <w:noProof/>
                <w:webHidden/>
              </w:rPr>
              <w:fldChar w:fldCharType="separate"/>
            </w:r>
            <w:r>
              <w:rPr>
                <w:noProof/>
                <w:webHidden/>
              </w:rPr>
              <w:t>31</w:t>
            </w:r>
            <w:r>
              <w:rPr>
                <w:noProof/>
                <w:webHidden/>
              </w:rPr>
              <w:fldChar w:fldCharType="end"/>
            </w:r>
          </w:hyperlink>
        </w:p>
        <w:p w14:paraId="60A7CEEC" w14:textId="77777777" w:rsidR="007D26DB" w:rsidRDefault="007D26DB">
          <w:pPr>
            <w:pStyle w:val="TOC3"/>
            <w:rPr>
              <w:rFonts w:asciiTheme="minorHAnsi" w:eastAsiaTheme="minorEastAsia" w:hAnsiTheme="minorHAnsi" w:cstheme="minorBidi"/>
              <w:noProof/>
              <w:lang w:eastAsia="en-AU"/>
            </w:rPr>
          </w:pPr>
          <w:hyperlink w:anchor="_Toc408924929" w:history="1">
            <w:r w:rsidRPr="003818F2">
              <w:rPr>
                <w:rStyle w:val="Hyperlink"/>
                <w:noProof/>
              </w:rPr>
              <w:t>Clinical questions</w:t>
            </w:r>
            <w:r>
              <w:rPr>
                <w:noProof/>
                <w:webHidden/>
              </w:rPr>
              <w:tab/>
            </w:r>
            <w:r>
              <w:rPr>
                <w:noProof/>
                <w:webHidden/>
              </w:rPr>
              <w:fldChar w:fldCharType="begin"/>
            </w:r>
            <w:r>
              <w:rPr>
                <w:noProof/>
                <w:webHidden/>
              </w:rPr>
              <w:instrText xml:space="preserve"> PAGEREF _Toc408924929 \h </w:instrText>
            </w:r>
            <w:r>
              <w:rPr>
                <w:noProof/>
                <w:webHidden/>
              </w:rPr>
            </w:r>
            <w:r>
              <w:rPr>
                <w:noProof/>
                <w:webHidden/>
              </w:rPr>
              <w:fldChar w:fldCharType="separate"/>
            </w:r>
            <w:r>
              <w:rPr>
                <w:noProof/>
                <w:webHidden/>
              </w:rPr>
              <w:t>32</w:t>
            </w:r>
            <w:r>
              <w:rPr>
                <w:noProof/>
                <w:webHidden/>
              </w:rPr>
              <w:fldChar w:fldCharType="end"/>
            </w:r>
          </w:hyperlink>
        </w:p>
        <w:p w14:paraId="20BA2494" w14:textId="77777777" w:rsidR="007D26DB" w:rsidRDefault="007D26DB">
          <w:pPr>
            <w:pStyle w:val="TOC3"/>
            <w:rPr>
              <w:rFonts w:asciiTheme="minorHAnsi" w:eastAsiaTheme="minorEastAsia" w:hAnsiTheme="minorHAnsi" w:cstheme="minorBidi"/>
              <w:noProof/>
              <w:lang w:eastAsia="en-AU"/>
            </w:rPr>
          </w:pPr>
          <w:hyperlink w:anchor="_Toc408924930" w:history="1">
            <w:r w:rsidRPr="003818F2">
              <w:rPr>
                <w:rStyle w:val="Hyperlink"/>
                <w:noProof/>
              </w:rPr>
              <w:t>Second round benefit-risk assessment</w:t>
            </w:r>
            <w:r>
              <w:rPr>
                <w:noProof/>
                <w:webHidden/>
              </w:rPr>
              <w:tab/>
            </w:r>
            <w:r>
              <w:rPr>
                <w:noProof/>
                <w:webHidden/>
              </w:rPr>
              <w:fldChar w:fldCharType="begin"/>
            </w:r>
            <w:r>
              <w:rPr>
                <w:noProof/>
                <w:webHidden/>
              </w:rPr>
              <w:instrText xml:space="preserve"> PAGEREF _Toc408924930 \h </w:instrText>
            </w:r>
            <w:r>
              <w:rPr>
                <w:noProof/>
                <w:webHidden/>
              </w:rPr>
            </w:r>
            <w:r>
              <w:rPr>
                <w:noProof/>
                <w:webHidden/>
              </w:rPr>
              <w:fldChar w:fldCharType="separate"/>
            </w:r>
            <w:r>
              <w:rPr>
                <w:noProof/>
                <w:webHidden/>
              </w:rPr>
              <w:t>32</w:t>
            </w:r>
            <w:r>
              <w:rPr>
                <w:noProof/>
                <w:webHidden/>
              </w:rPr>
              <w:fldChar w:fldCharType="end"/>
            </w:r>
          </w:hyperlink>
        </w:p>
        <w:p w14:paraId="201A0A60" w14:textId="77777777" w:rsidR="007D26DB" w:rsidRDefault="007D26DB">
          <w:pPr>
            <w:pStyle w:val="TOC3"/>
            <w:rPr>
              <w:rFonts w:asciiTheme="minorHAnsi" w:eastAsiaTheme="minorEastAsia" w:hAnsiTheme="minorHAnsi" w:cstheme="minorBidi"/>
              <w:noProof/>
              <w:lang w:eastAsia="en-AU"/>
            </w:rPr>
          </w:pPr>
          <w:hyperlink w:anchor="_Toc408924931" w:history="1">
            <w:r w:rsidRPr="003818F2">
              <w:rPr>
                <w:rStyle w:val="Hyperlink"/>
                <w:noProof/>
              </w:rPr>
              <w:t>Second round recommendation regarding authorisation</w:t>
            </w:r>
            <w:r>
              <w:rPr>
                <w:noProof/>
                <w:webHidden/>
              </w:rPr>
              <w:tab/>
            </w:r>
            <w:r>
              <w:rPr>
                <w:noProof/>
                <w:webHidden/>
              </w:rPr>
              <w:fldChar w:fldCharType="begin"/>
            </w:r>
            <w:r>
              <w:rPr>
                <w:noProof/>
                <w:webHidden/>
              </w:rPr>
              <w:instrText xml:space="preserve"> PAGEREF _Toc408924931 \h </w:instrText>
            </w:r>
            <w:r>
              <w:rPr>
                <w:noProof/>
                <w:webHidden/>
              </w:rPr>
            </w:r>
            <w:r>
              <w:rPr>
                <w:noProof/>
                <w:webHidden/>
              </w:rPr>
              <w:fldChar w:fldCharType="separate"/>
            </w:r>
            <w:r>
              <w:rPr>
                <w:noProof/>
                <w:webHidden/>
              </w:rPr>
              <w:t>32</w:t>
            </w:r>
            <w:r>
              <w:rPr>
                <w:noProof/>
                <w:webHidden/>
              </w:rPr>
              <w:fldChar w:fldCharType="end"/>
            </w:r>
          </w:hyperlink>
        </w:p>
        <w:p w14:paraId="220CB8BA" w14:textId="77777777" w:rsidR="007D26DB" w:rsidRDefault="007D26DB">
          <w:pPr>
            <w:pStyle w:val="TOC2"/>
            <w:rPr>
              <w:rFonts w:asciiTheme="minorHAnsi" w:eastAsiaTheme="minorEastAsia" w:hAnsiTheme="minorHAnsi" w:cstheme="minorBidi"/>
              <w:b w:val="0"/>
              <w:noProof/>
              <w:sz w:val="22"/>
              <w:lang w:eastAsia="en-AU"/>
            </w:rPr>
          </w:pPr>
          <w:hyperlink w:anchor="_Toc408924932" w:history="1">
            <w:r w:rsidRPr="003818F2">
              <w:rPr>
                <w:rStyle w:val="Hyperlink"/>
                <w:noProof/>
              </w:rPr>
              <w:t>V. Pharmacovigilance findings</w:t>
            </w:r>
            <w:r>
              <w:rPr>
                <w:noProof/>
                <w:webHidden/>
              </w:rPr>
              <w:tab/>
            </w:r>
            <w:r>
              <w:rPr>
                <w:noProof/>
                <w:webHidden/>
              </w:rPr>
              <w:fldChar w:fldCharType="begin"/>
            </w:r>
            <w:r>
              <w:rPr>
                <w:noProof/>
                <w:webHidden/>
              </w:rPr>
              <w:instrText xml:space="preserve"> PAGEREF _Toc408924932 \h </w:instrText>
            </w:r>
            <w:r>
              <w:rPr>
                <w:noProof/>
                <w:webHidden/>
              </w:rPr>
            </w:r>
            <w:r>
              <w:rPr>
                <w:noProof/>
                <w:webHidden/>
              </w:rPr>
              <w:fldChar w:fldCharType="separate"/>
            </w:r>
            <w:r>
              <w:rPr>
                <w:noProof/>
                <w:webHidden/>
              </w:rPr>
              <w:t>32</w:t>
            </w:r>
            <w:r>
              <w:rPr>
                <w:noProof/>
                <w:webHidden/>
              </w:rPr>
              <w:fldChar w:fldCharType="end"/>
            </w:r>
          </w:hyperlink>
        </w:p>
        <w:p w14:paraId="5D1785B8" w14:textId="77777777" w:rsidR="007D26DB" w:rsidRDefault="007D26DB">
          <w:pPr>
            <w:pStyle w:val="TOC3"/>
            <w:rPr>
              <w:rFonts w:asciiTheme="minorHAnsi" w:eastAsiaTheme="minorEastAsia" w:hAnsiTheme="minorHAnsi" w:cstheme="minorBidi"/>
              <w:noProof/>
              <w:lang w:eastAsia="en-AU"/>
            </w:rPr>
          </w:pPr>
          <w:hyperlink w:anchor="_Toc408924933" w:history="1">
            <w:r w:rsidRPr="003818F2">
              <w:rPr>
                <w:rStyle w:val="Hyperlink"/>
                <w:noProof/>
                <w:lang w:eastAsia="en-AU"/>
              </w:rPr>
              <w:t>Risk management plan</w:t>
            </w:r>
            <w:r>
              <w:rPr>
                <w:noProof/>
                <w:webHidden/>
              </w:rPr>
              <w:tab/>
            </w:r>
            <w:r>
              <w:rPr>
                <w:noProof/>
                <w:webHidden/>
              </w:rPr>
              <w:fldChar w:fldCharType="begin"/>
            </w:r>
            <w:r>
              <w:rPr>
                <w:noProof/>
                <w:webHidden/>
              </w:rPr>
              <w:instrText xml:space="preserve"> PAGEREF _Toc408924933 \h </w:instrText>
            </w:r>
            <w:r>
              <w:rPr>
                <w:noProof/>
                <w:webHidden/>
              </w:rPr>
            </w:r>
            <w:r>
              <w:rPr>
                <w:noProof/>
                <w:webHidden/>
              </w:rPr>
              <w:fldChar w:fldCharType="separate"/>
            </w:r>
            <w:r>
              <w:rPr>
                <w:noProof/>
                <w:webHidden/>
              </w:rPr>
              <w:t>32</w:t>
            </w:r>
            <w:r>
              <w:rPr>
                <w:noProof/>
                <w:webHidden/>
              </w:rPr>
              <w:fldChar w:fldCharType="end"/>
            </w:r>
          </w:hyperlink>
        </w:p>
        <w:p w14:paraId="6A71CEFD" w14:textId="77777777" w:rsidR="007D26DB" w:rsidRDefault="007D26DB">
          <w:pPr>
            <w:pStyle w:val="TOC2"/>
            <w:rPr>
              <w:rFonts w:asciiTheme="minorHAnsi" w:eastAsiaTheme="minorEastAsia" w:hAnsiTheme="minorHAnsi" w:cstheme="minorBidi"/>
              <w:b w:val="0"/>
              <w:noProof/>
              <w:sz w:val="22"/>
              <w:lang w:eastAsia="en-AU"/>
            </w:rPr>
          </w:pPr>
          <w:hyperlink w:anchor="_Toc408924934" w:history="1">
            <w:r w:rsidRPr="003818F2">
              <w:rPr>
                <w:rStyle w:val="Hyperlink"/>
                <w:noProof/>
              </w:rPr>
              <w:t>VI. Overall conclusion and risk/benefit assessment</w:t>
            </w:r>
            <w:r>
              <w:rPr>
                <w:noProof/>
                <w:webHidden/>
              </w:rPr>
              <w:tab/>
            </w:r>
            <w:r>
              <w:rPr>
                <w:noProof/>
                <w:webHidden/>
              </w:rPr>
              <w:fldChar w:fldCharType="begin"/>
            </w:r>
            <w:r>
              <w:rPr>
                <w:noProof/>
                <w:webHidden/>
              </w:rPr>
              <w:instrText xml:space="preserve"> PAGEREF _Toc408924934 \h </w:instrText>
            </w:r>
            <w:r>
              <w:rPr>
                <w:noProof/>
                <w:webHidden/>
              </w:rPr>
            </w:r>
            <w:r>
              <w:rPr>
                <w:noProof/>
                <w:webHidden/>
              </w:rPr>
              <w:fldChar w:fldCharType="separate"/>
            </w:r>
            <w:r>
              <w:rPr>
                <w:noProof/>
                <w:webHidden/>
              </w:rPr>
              <w:t>41</w:t>
            </w:r>
            <w:r>
              <w:rPr>
                <w:noProof/>
                <w:webHidden/>
              </w:rPr>
              <w:fldChar w:fldCharType="end"/>
            </w:r>
          </w:hyperlink>
        </w:p>
        <w:p w14:paraId="2B1EB660" w14:textId="77777777" w:rsidR="007D26DB" w:rsidRDefault="007D26DB">
          <w:pPr>
            <w:pStyle w:val="TOC3"/>
            <w:rPr>
              <w:rFonts w:asciiTheme="minorHAnsi" w:eastAsiaTheme="minorEastAsia" w:hAnsiTheme="minorHAnsi" w:cstheme="minorBidi"/>
              <w:noProof/>
              <w:lang w:eastAsia="en-AU"/>
            </w:rPr>
          </w:pPr>
          <w:hyperlink w:anchor="_Toc408924935" w:history="1">
            <w:r w:rsidRPr="003818F2">
              <w:rPr>
                <w:rStyle w:val="Hyperlink"/>
                <w:noProof/>
              </w:rPr>
              <w:t>Quality</w:t>
            </w:r>
            <w:r>
              <w:rPr>
                <w:noProof/>
                <w:webHidden/>
              </w:rPr>
              <w:tab/>
            </w:r>
            <w:r>
              <w:rPr>
                <w:noProof/>
                <w:webHidden/>
              </w:rPr>
              <w:fldChar w:fldCharType="begin"/>
            </w:r>
            <w:r>
              <w:rPr>
                <w:noProof/>
                <w:webHidden/>
              </w:rPr>
              <w:instrText xml:space="preserve"> PAGEREF _Toc408924935 \h </w:instrText>
            </w:r>
            <w:r>
              <w:rPr>
                <w:noProof/>
                <w:webHidden/>
              </w:rPr>
            </w:r>
            <w:r>
              <w:rPr>
                <w:noProof/>
                <w:webHidden/>
              </w:rPr>
              <w:fldChar w:fldCharType="separate"/>
            </w:r>
            <w:r>
              <w:rPr>
                <w:noProof/>
                <w:webHidden/>
              </w:rPr>
              <w:t>41</w:t>
            </w:r>
            <w:r>
              <w:rPr>
                <w:noProof/>
                <w:webHidden/>
              </w:rPr>
              <w:fldChar w:fldCharType="end"/>
            </w:r>
          </w:hyperlink>
        </w:p>
        <w:p w14:paraId="54473B05" w14:textId="77777777" w:rsidR="007D26DB" w:rsidRDefault="007D26DB">
          <w:pPr>
            <w:pStyle w:val="TOC3"/>
            <w:rPr>
              <w:rFonts w:asciiTheme="minorHAnsi" w:eastAsiaTheme="minorEastAsia" w:hAnsiTheme="minorHAnsi" w:cstheme="minorBidi"/>
              <w:noProof/>
              <w:lang w:eastAsia="en-AU"/>
            </w:rPr>
          </w:pPr>
          <w:hyperlink w:anchor="_Toc408924936" w:history="1">
            <w:r w:rsidRPr="003818F2">
              <w:rPr>
                <w:rStyle w:val="Hyperlink"/>
                <w:noProof/>
              </w:rPr>
              <w:t>Nonclinical</w:t>
            </w:r>
            <w:r>
              <w:rPr>
                <w:noProof/>
                <w:webHidden/>
              </w:rPr>
              <w:tab/>
            </w:r>
            <w:r>
              <w:rPr>
                <w:noProof/>
                <w:webHidden/>
              </w:rPr>
              <w:fldChar w:fldCharType="begin"/>
            </w:r>
            <w:r>
              <w:rPr>
                <w:noProof/>
                <w:webHidden/>
              </w:rPr>
              <w:instrText xml:space="preserve"> PAGEREF _Toc408924936 \h </w:instrText>
            </w:r>
            <w:r>
              <w:rPr>
                <w:noProof/>
                <w:webHidden/>
              </w:rPr>
            </w:r>
            <w:r>
              <w:rPr>
                <w:noProof/>
                <w:webHidden/>
              </w:rPr>
              <w:fldChar w:fldCharType="separate"/>
            </w:r>
            <w:r>
              <w:rPr>
                <w:noProof/>
                <w:webHidden/>
              </w:rPr>
              <w:t>41</w:t>
            </w:r>
            <w:r>
              <w:rPr>
                <w:noProof/>
                <w:webHidden/>
              </w:rPr>
              <w:fldChar w:fldCharType="end"/>
            </w:r>
          </w:hyperlink>
        </w:p>
        <w:p w14:paraId="4BB006DB" w14:textId="77777777" w:rsidR="007D26DB" w:rsidRDefault="007D26DB">
          <w:pPr>
            <w:pStyle w:val="TOC3"/>
            <w:rPr>
              <w:rFonts w:asciiTheme="minorHAnsi" w:eastAsiaTheme="minorEastAsia" w:hAnsiTheme="minorHAnsi" w:cstheme="minorBidi"/>
              <w:noProof/>
              <w:lang w:eastAsia="en-AU"/>
            </w:rPr>
          </w:pPr>
          <w:hyperlink w:anchor="_Toc408924937" w:history="1">
            <w:r w:rsidRPr="003818F2">
              <w:rPr>
                <w:rStyle w:val="Hyperlink"/>
                <w:noProof/>
              </w:rPr>
              <w:t>Clinical</w:t>
            </w:r>
            <w:r>
              <w:rPr>
                <w:noProof/>
                <w:webHidden/>
              </w:rPr>
              <w:tab/>
            </w:r>
            <w:r>
              <w:rPr>
                <w:noProof/>
                <w:webHidden/>
              </w:rPr>
              <w:fldChar w:fldCharType="begin"/>
            </w:r>
            <w:r>
              <w:rPr>
                <w:noProof/>
                <w:webHidden/>
              </w:rPr>
              <w:instrText xml:space="preserve"> PAGEREF _Toc408924937 \h </w:instrText>
            </w:r>
            <w:r>
              <w:rPr>
                <w:noProof/>
                <w:webHidden/>
              </w:rPr>
            </w:r>
            <w:r>
              <w:rPr>
                <w:noProof/>
                <w:webHidden/>
              </w:rPr>
              <w:fldChar w:fldCharType="separate"/>
            </w:r>
            <w:r>
              <w:rPr>
                <w:noProof/>
                <w:webHidden/>
              </w:rPr>
              <w:t>42</w:t>
            </w:r>
            <w:r>
              <w:rPr>
                <w:noProof/>
                <w:webHidden/>
              </w:rPr>
              <w:fldChar w:fldCharType="end"/>
            </w:r>
          </w:hyperlink>
        </w:p>
        <w:p w14:paraId="3B03E9CF" w14:textId="77777777" w:rsidR="007D26DB" w:rsidRDefault="007D26DB">
          <w:pPr>
            <w:pStyle w:val="TOC3"/>
            <w:rPr>
              <w:rFonts w:asciiTheme="minorHAnsi" w:eastAsiaTheme="minorEastAsia" w:hAnsiTheme="minorHAnsi" w:cstheme="minorBidi"/>
              <w:noProof/>
              <w:lang w:eastAsia="en-AU"/>
            </w:rPr>
          </w:pPr>
          <w:hyperlink w:anchor="_Toc408924938" w:history="1">
            <w:r w:rsidRPr="003818F2">
              <w:rPr>
                <w:rStyle w:val="Hyperlink"/>
                <w:noProof/>
                <w:lang w:eastAsia="en-AU"/>
              </w:rPr>
              <w:t>Risk management plan</w:t>
            </w:r>
            <w:r>
              <w:rPr>
                <w:noProof/>
                <w:webHidden/>
              </w:rPr>
              <w:tab/>
            </w:r>
            <w:r>
              <w:rPr>
                <w:noProof/>
                <w:webHidden/>
              </w:rPr>
              <w:fldChar w:fldCharType="begin"/>
            </w:r>
            <w:r>
              <w:rPr>
                <w:noProof/>
                <w:webHidden/>
              </w:rPr>
              <w:instrText xml:space="preserve"> PAGEREF _Toc408924938 \h </w:instrText>
            </w:r>
            <w:r>
              <w:rPr>
                <w:noProof/>
                <w:webHidden/>
              </w:rPr>
            </w:r>
            <w:r>
              <w:rPr>
                <w:noProof/>
                <w:webHidden/>
              </w:rPr>
              <w:fldChar w:fldCharType="separate"/>
            </w:r>
            <w:r>
              <w:rPr>
                <w:noProof/>
                <w:webHidden/>
              </w:rPr>
              <w:t>42</w:t>
            </w:r>
            <w:r>
              <w:rPr>
                <w:noProof/>
                <w:webHidden/>
              </w:rPr>
              <w:fldChar w:fldCharType="end"/>
            </w:r>
          </w:hyperlink>
        </w:p>
        <w:p w14:paraId="202D7368" w14:textId="77777777" w:rsidR="007D26DB" w:rsidRDefault="007D26DB">
          <w:pPr>
            <w:pStyle w:val="TOC3"/>
            <w:rPr>
              <w:rFonts w:asciiTheme="minorHAnsi" w:eastAsiaTheme="minorEastAsia" w:hAnsiTheme="minorHAnsi" w:cstheme="minorBidi"/>
              <w:noProof/>
              <w:lang w:eastAsia="en-AU"/>
            </w:rPr>
          </w:pPr>
          <w:hyperlink w:anchor="_Toc408924939" w:history="1">
            <w:r w:rsidRPr="003818F2">
              <w:rPr>
                <w:rStyle w:val="Hyperlink"/>
                <w:noProof/>
              </w:rPr>
              <w:t>Risk-benefit analysis</w:t>
            </w:r>
            <w:r>
              <w:rPr>
                <w:noProof/>
                <w:webHidden/>
              </w:rPr>
              <w:tab/>
            </w:r>
            <w:r>
              <w:rPr>
                <w:noProof/>
                <w:webHidden/>
              </w:rPr>
              <w:fldChar w:fldCharType="begin"/>
            </w:r>
            <w:r>
              <w:rPr>
                <w:noProof/>
                <w:webHidden/>
              </w:rPr>
              <w:instrText xml:space="preserve"> PAGEREF _Toc408924939 \h </w:instrText>
            </w:r>
            <w:r>
              <w:rPr>
                <w:noProof/>
                <w:webHidden/>
              </w:rPr>
            </w:r>
            <w:r>
              <w:rPr>
                <w:noProof/>
                <w:webHidden/>
              </w:rPr>
              <w:fldChar w:fldCharType="separate"/>
            </w:r>
            <w:r>
              <w:rPr>
                <w:noProof/>
                <w:webHidden/>
              </w:rPr>
              <w:t>42</w:t>
            </w:r>
            <w:r>
              <w:rPr>
                <w:noProof/>
                <w:webHidden/>
              </w:rPr>
              <w:fldChar w:fldCharType="end"/>
            </w:r>
          </w:hyperlink>
        </w:p>
        <w:p w14:paraId="0AB12205" w14:textId="77777777" w:rsidR="007D26DB" w:rsidRDefault="007D26DB">
          <w:pPr>
            <w:pStyle w:val="TOC3"/>
            <w:rPr>
              <w:rFonts w:asciiTheme="minorHAnsi" w:eastAsiaTheme="minorEastAsia" w:hAnsiTheme="minorHAnsi" w:cstheme="minorBidi"/>
              <w:noProof/>
              <w:lang w:eastAsia="en-AU"/>
            </w:rPr>
          </w:pPr>
          <w:hyperlink w:anchor="_Toc408924940" w:history="1">
            <w:r w:rsidRPr="003818F2">
              <w:rPr>
                <w:rStyle w:val="Hyperlink"/>
                <w:noProof/>
              </w:rPr>
              <w:t>Outcome</w:t>
            </w:r>
            <w:r>
              <w:rPr>
                <w:noProof/>
                <w:webHidden/>
              </w:rPr>
              <w:tab/>
            </w:r>
            <w:r>
              <w:rPr>
                <w:noProof/>
                <w:webHidden/>
              </w:rPr>
              <w:fldChar w:fldCharType="begin"/>
            </w:r>
            <w:r>
              <w:rPr>
                <w:noProof/>
                <w:webHidden/>
              </w:rPr>
              <w:instrText xml:space="preserve"> PAGEREF _Toc408924940 \h </w:instrText>
            </w:r>
            <w:r>
              <w:rPr>
                <w:noProof/>
                <w:webHidden/>
              </w:rPr>
            </w:r>
            <w:r>
              <w:rPr>
                <w:noProof/>
                <w:webHidden/>
              </w:rPr>
              <w:fldChar w:fldCharType="separate"/>
            </w:r>
            <w:r>
              <w:rPr>
                <w:noProof/>
                <w:webHidden/>
              </w:rPr>
              <w:t>50</w:t>
            </w:r>
            <w:r>
              <w:rPr>
                <w:noProof/>
                <w:webHidden/>
              </w:rPr>
              <w:fldChar w:fldCharType="end"/>
            </w:r>
          </w:hyperlink>
        </w:p>
        <w:p w14:paraId="4872C6FF" w14:textId="77777777" w:rsidR="007D26DB" w:rsidRDefault="007D26DB">
          <w:pPr>
            <w:pStyle w:val="TOC2"/>
            <w:tabs>
              <w:tab w:val="left" w:pos="2448"/>
            </w:tabs>
            <w:rPr>
              <w:rFonts w:asciiTheme="minorHAnsi" w:eastAsiaTheme="minorEastAsia" w:hAnsiTheme="minorHAnsi" w:cstheme="minorBidi"/>
              <w:b w:val="0"/>
              <w:noProof/>
              <w:sz w:val="22"/>
              <w:lang w:eastAsia="en-AU"/>
            </w:rPr>
          </w:pPr>
          <w:hyperlink w:anchor="_Toc408924941" w:history="1">
            <w:r w:rsidRPr="003818F2">
              <w:rPr>
                <w:rStyle w:val="Hyperlink"/>
                <w:noProof/>
              </w:rPr>
              <w:t>Attachment 1.</w:t>
            </w:r>
            <w:r>
              <w:rPr>
                <w:rFonts w:asciiTheme="minorHAnsi" w:eastAsiaTheme="minorEastAsia" w:hAnsiTheme="minorHAnsi" w:cstheme="minorBidi"/>
                <w:b w:val="0"/>
                <w:noProof/>
                <w:sz w:val="22"/>
                <w:lang w:eastAsia="en-AU"/>
              </w:rPr>
              <w:tab/>
            </w:r>
            <w:r w:rsidRPr="003818F2">
              <w:rPr>
                <w:rStyle w:val="Hyperlink"/>
                <w:noProof/>
              </w:rPr>
              <w:t>Product Information</w:t>
            </w:r>
            <w:r>
              <w:rPr>
                <w:noProof/>
                <w:webHidden/>
              </w:rPr>
              <w:tab/>
            </w:r>
            <w:r>
              <w:rPr>
                <w:noProof/>
                <w:webHidden/>
              </w:rPr>
              <w:fldChar w:fldCharType="begin"/>
            </w:r>
            <w:r>
              <w:rPr>
                <w:noProof/>
                <w:webHidden/>
              </w:rPr>
              <w:instrText xml:space="preserve"> PAGEREF _Toc408924941 \h </w:instrText>
            </w:r>
            <w:r>
              <w:rPr>
                <w:noProof/>
                <w:webHidden/>
              </w:rPr>
            </w:r>
            <w:r>
              <w:rPr>
                <w:noProof/>
                <w:webHidden/>
              </w:rPr>
              <w:fldChar w:fldCharType="separate"/>
            </w:r>
            <w:r>
              <w:rPr>
                <w:noProof/>
                <w:webHidden/>
              </w:rPr>
              <w:t>51</w:t>
            </w:r>
            <w:r>
              <w:rPr>
                <w:noProof/>
                <w:webHidden/>
              </w:rPr>
              <w:fldChar w:fldCharType="end"/>
            </w:r>
          </w:hyperlink>
        </w:p>
        <w:p w14:paraId="764912C7" w14:textId="77777777" w:rsidR="007D26DB" w:rsidRDefault="007D26DB">
          <w:pPr>
            <w:pStyle w:val="TOC2"/>
            <w:rPr>
              <w:rFonts w:asciiTheme="minorHAnsi" w:eastAsiaTheme="minorEastAsia" w:hAnsiTheme="minorHAnsi" w:cstheme="minorBidi"/>
              <w:b w:val="0"/>
              <w:noProof/>
              <w:sz w:val="22"/>
              <w:lang w:eastAsia="en-AU"/>
            </w:rPr>
          </w:pPr>
          <w:hyperlink w:anchor="_Toc408924942" w:history="1">
            <w:r w:rsidRPr="003818F2">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_Toc408924942 \h </w:instrText>
            </w:r>
            <w:r>
              <w:rPr>
                <w:noProof/>
                <w:webHidden/>
              </w:rPr>
            </w:r>
            <w:r>
              <w:rPr>
                <w:noProof/>
                <w:webHidden/>
              </w:rPr>
              <w:fldChar w:fldCharType="separate"/>
            </w:r>
            <w:r>
              <w:rPr>
                <w:noProof/>
                <w:webHidden/>
              </w:rPr>
              <w:t>51</w:t>
            </w:r>
            <w:r>
              <w:rPr>
                <w:noProof/>
                <w:webHidden/>
              </w:rPr>
              <w:fldChar w:fldCharType="end"/>
            </w:r>
          </w:hyperlink>
        </w:p>
        <w:p w14:paraId="2812F3A3" w14:textId="77777777" w:rsidR="003A7F6C" w:rsidRPr="00B811C6" w:rsidRDefault="00CC42CD" w:rsidP="00B811C6">
          <w:pPr>
            <w:pStyle w:val="TOC2"/>
          </w:pPr>
          <w:r>
            <w:fldChar w:fldCharType="end"/>
          </w:r>
        </w:p>
      </w:sdtContent>
    </w:sdt>
    <w:bookmarkStart w:id="3" w:name="_Toc314842482" w:displacedByCustomXml="prev"/>
    <w:p w14:paraId="2812F3A4" w14:textId="77777777" w:rsidR="003F0465" w:rsidRDefault="003F0465">
      <w:pPr>
        <w:spacing w:before="0" w:after="200" w:line="0" w:lineRule="auto"/>
        <w:rPr>
          <w:rFonts w:ascii="Arial" w:eastAsia="Times New Roman" w:hAnsi="Arial"/>
          <w:b/>
          <w:bCs/>
          <w:sz w:val="32"/>
          <w:szCs w:val="26"/>
        </w:rPr>
      </w:pPr>
      <w:r>
        <w:br w:type="page"/>
      </w:r>
    </w:p>
    <w:p w14:paraId="2812F3A5" w14:textId="77777777" w:rsidR="00E01F69" w:rsidRDefault="00E01F69" w:rsidP="00DF4F1C">
      <w:pPr>
        <w:pStyle w:val="Heading2"/>
      </w:pPr>
      <w:bookmarkStart w:id="4" w:name="_Toc408924901"/>
      <w:r>
        <w:lastRenderedPageBreak/>
        <w:t xml:space="preserve">List of common abbreviations used in this </w:t>
      </w:r>
      <w:proofErr w:type="spellStart"/>
      <w:r>
        <w:t>AusPAR</w:t>
      </w:r>
      <w:bookmarkEnd w:id="4"/>
      <w:proofErr w:type="spellEnd"/>
    </w:p>
    <w:tbl>
      <w:tblPr>
        <w:tblStyle w:val="TableTGAblue"/>
        <w:tblW w:w="0" w:type="auto"/>
        <w:tblLook w:val="04A0" w:firstRow="1" w:lastRow="0" w:firstColumn="1" w:lastColumn="0" w:noHBand="0" w:noVBand="1"/>
      </w:tblPr>
      <w:tblGrid>
        <w:gridCol w:w="2376"/>
        <w:gridCol w:w="5387"/>
      </w:tblGrid>
      <w:tr w:rsidR="00E01F69" w:rsidRPr="00AE0D26" w14:paraId="2812F3A8" w14:textId="77777777" w:rsidTr="002F39D1">
        <w:trPr>
          <w:cnfStyle w:val="100000000000" w:firstRow="1" w:lastRow="0" w:firstColumn="0" w:lastColumn="0" w:oddVBand="0" w:evenVBand="0" w:oddHBand="0" w:evenHBand="0" w:firstRowFirstColumn="0" w:firstRowLastColumn="0" w:lastRowFirstColumn="0" w:lastRowLastColumn="0"/>
          <w:trHeight w:val="510"/>
        </w:trPr>
        <w:tc>
          <w:tcPr>
            <w:tcW w:w="2376" w:type="dxa"/>
          </w:tcPr>
          <w:p w14:paraId="2812F3A6" w14:textId="77777777" w:rsidR="00E01F69" w:rsidRPr="00DF4F1C" w:rsidRDefault="00E01F69" w:rsidP="00DF4F1C">
            <w:pPr>
              <w:pStyle w:val="TableHeading"/>
              <w:rPr>
                <w:b/>
              </w:rPr>
            </w:pPr>
            <w:r w:rsidRPr="00DF4F1C">
              <w:rPr>
                <w:b/>
              </w:rPr>
              <w:t>Abbreviation</w:t>
            </w:r>
          </w:p>
        </w:tc>
        <w:tc>
          <w:tcPr>
            <w:tcW w:w="5387" w:type="dxa"/>
          </w:tcPr>
          <w:p w14:paraId="2812F3A7" w14:textId="77777777" w:rsidR="00E01F69" w:rsidRPr="00DF4F1C" w:rsidRDefault="00E01F69" w:rsidP="00DF4F1C">
            <w:pPr>
              <w:pStyle w:val="TableHeading"/>
              <w:rPr>
                <w:b/>
              </w:rPr>
            </w:pPr>
            <w:r w:rsidRPr="00DF4F1C">
              <w:rPr>
                <w:b/>
              </w:rPr>
              <w:t>Meaning</w:t>
            </w:r>
          </w:p>
        </w:tc>
      </w:tr>
      <w:tr w:rsidR="00831500" w:rsidRPr="00AE0D26" w14:paraId="2812F3AB" w14:textId="77777777" w:rsidTr="002F39D1">
        <w:trPr>
          <w:trHeight w:val="510"/>
        </w:trPr>
        <w:tc>
          <w:tcPr>
            <w:tcW w:w="2376" w:type="dxa"/>
          </w:tcPr>
          <w:p w14:paraId="2812F3A9" w14:textId="77777777" w:rsidR="00831500" w:rsidRPr="00AE0D26" w:rsidRDefault="00831500" w:rsidP="007D712B">
            <w:r w:rsidRPr="00AE0D26">
              <w:t>AE</w:t>
            </w:r>
          </w:p>
        </w:tc>
        <w:tc>
          <w:tcPr>
            <w:tcW w:w="5387" w:type="dxa"/>
          </w:tcPr>
          <w:p w14:paraId="2812F3AA" w14:textId="77777777" w:rsidR="00831500" w:rsidRPr="00AE0D26" w:rsidRDefault="00831500" w:rsidP="007D712B">
            <w:r w:rsidRPr="00AE0D26">
              <w:t>Adverse Event</w:t>
            </w:r>
          </w:p>
        </w:tc>
      </w:tr>
      <w:tr w:rsidR="00831500" w:rsidRPr="00AE0D26" w14:paraId="2812F3AE" w14:textId="77777777" w:rsidTr="002F39D1">
        <w:trPr>
          <w:trHeight w:val="510"/>
        </w:trPr>
        <w:tc>
          <w:tcPr>
            <w:tcW w:w="2376" w:type="dxa"/>
          </w:tcPr>
          <w:p w14:paraId="2812F3AC" w14:textId="77777777" w:rsidR="00831500" w:rsidRPr="00AE0D26" w:rsidRDefault="00831500" w:rsidP="007D712B">
            <w:r w:rsidRPr="00AE0D26">
              <w:t>AUC</w:t>
            </w:r>
          </w:p>
        </w:tc>
        <w:tc>
          <w:tcPr>
            <w:tcW w:w="5387" w:type="dxa"/>
          </w:tcPr>
          <w:p w14:paraId="2812F3AD" w14:textId="77777777" w:rsidR="00831500" w:rsidRPr="00AE0D26" w:rsidRDefault="00831500" w:rsidP="007D712B">
            <w:r w:rsidRPr="00AE0D26">
              <w:t xml:space="preserve">Area under concentration versus time </w:t>
            </w:r>
            <w:proofErr w:type="spellStart"/>
            <w:r w:rsidRPr="00AE0D26">
              <w:t>cruve</w:t>
            </w:r>
            <w:proofErr w:type="spellEnd"/>
          </w:p>
        </w:tc>
      </w:tr>
      <w:tr w:rsidR="00831500" w:rsidRPr="00AE0D26" w14:paraId="2812F3B1" w14:textId="77777777" w:rsidTr="002F39D1">
        <w:trPr>
          <w:trHeight w:val="510"/>
        </w:trPr>
        <w:tc>
          <w:tcPr>
            <w:tcW w:w="2376" w:type="dxa"/>
          </w:tcPr>
          <w:p w14:paraId="2812F3AF" w14:textId="77777777" w:rsidR="00831500" w:rsidRPr="00AE0D26" w:rsidRDefault="00831500" w:rsidP="007D712B">
            <w:r w:rsidRPr="00AE0D26">
              <w:t xml:space="preserve">CI </w:t>
            </w:r>
          </w:p>
        </w:tc>
        <w:tc>
          <w:tcPr>
            <w:tcW w:w="5387" w:type="dxa"/>
          </w:tcPr>
          <w:p w14:paraId="2812F3B0" w14:textId="77777777" w:rsidR="00831500" w:rsidRPr="00AE0D26" w:rsidRDefault="00831500" w:rsidP="007D712B">
            <w:r w:rsidRPr="00AE0D26">
              <w:t>Confidence interval</w:t>
            </w:r>
          </w:p>
        </w:tc>
      </w:tr>
      <w:tr w:rsidR="00831500" w:rsidRPr="00AE0D26" w14:paraId="2812F3B4" w14:textId="77777777" w:rsidTr="002F39D1">
        <w:trPr>
          <w:trHeight w:val="510"/>
        </w:trPr>
        <w:tc>
          <w:tcPr>
            <w:tcW w:w="2376" w:type="dxa"/>
          </w:tcPr>
          <w:p w14:paraId="2812F3B2" w14:textId="31A0110E" w:rsidR="00831500" w:rsidRPr="00AE0D26" w:rsidRDefault="00831500" w:rsidP="007D712B">
            <w:proofErr w:type="spellStart"/>
            <w:r w:rsidRPr="00AE0D26">
              <w:t>C</w:t>
            </w:r>
            <w:r w:rsidRPr="00AE0D26">
              <w:rPr>
                <w:vertAlign w:val="subscript"/>
              </w:rPr>
              <w:t>max</w:t>
            </w:r>
            <w:proofErr w:type="spellEnd"/>
          </w:p>
        </w:tc>
        <w:tc>
          <w:tcPr>
            <w:tcW w:w="5387" w:type="dxa"/>
          </w:tcPr>
          <w:p w14:paraId="2812F3B3" w14:textId="77777777" w:rsidR="00831500" w:rsidRPr="00AE0D26" w:rsidRDefault="00831500" w:rsidP="007D712B">
            <w:r w:rsidRPr="00AE0D26">
              <w:t>Peak (or maximum) concentration</w:t>
            </w:r>
          </w:p>
        </w:tc>
      </w:tr>
      <w:tr w:rsidR="00831500" w:rsidRPr="00AE0D26" w14:paraId="2812F3B7" w14:textId="77777777" w:rsidTr="002F39D1">
        <w:trPr>
          <w:trHeight w:val="510"/>
        </w:trPr>
        <w:tc>
          <w:tcPr>
            <w:tcW w:w="2376" w:type="dxa"/>
          </w:tcPr>
          <w:p w14:paraId="2812F3B5" w14:textId="77777777" w:rsidR="00831500" w:rsidRPr="00AE0D26" w:rsidRDefault="00831500" w:rsidP="007D712B">
            <w:r w:rsidRPr="00AE0D26">
              <w:t>EU</w:t>
            </w:r>
          </w:p>
        </w:tc>
        <w:tc>
          <w:tcPr>
            <w:tcW w:w="5387" w:type="dxa"/>
          </w:tcPr>
          <w:p w14:paraId="2812F3B6" w14:textId="77777777" w:rsidR="00831500" w:rsidRPr="00AE0D26" w:rsidRDefault="00831500" w:rsidP="007D712B">
            <w:r w:rsidRPr="00AE0D26">
              <w:t>European Union</w:t>
            </w:r>
          </w:p>
        </w:tc>
      </w:tr>
      <w:tr w:rsidR="00831500" w:rsidRPr="00AE0D26" w14:paraId="2812F3BA" w14:textId="77777777" w:rsidTr="002F39D1">
        <w:trPr>
          <w:trHeight w:val="510"/>
        </w:trPr>
        <w:tc>
          <w:tcPr>
            <w:tcW w:w="2376" w:type="dxa"/>
          </w:tcPr>
          <w:p w14:paraId="2812F3B8" w14:textId="77777777" w:rsidR="00831500" w:rsidRPr="00AE0D26" w:rsidRDefault="00831500" w:rsidP="007D712B">
            <w:r w:rsidRPr="00AE0D26">
              <w:t>EMA</w:t>
            </w:r>
          </w:p>
        </w:tc>
        <w:tc>
          <w:tcPr>
            <w:tcW w:w="5387" w:type="dxa"/>
          </w:tcPr>
          <w:p w14:paraId="2812F3B9" w14:textId="77777777" w:rsidR="00831500" w:rsidRPr="00AE0D26" w:rsidRDefault="00831500" w:rsidP="007D712B">
            <w:r w:rsidRPr="00AE0D26">
              <w:t>European Medicines Agency</w:t>
            </w:r>
          </w:p>
        </w:tc>
      </w:tr>
      <w:tr w:rsidR="00831500" w:rsidRPr="00AE0D26" w14:paraId="2812F3BD" w14:textId="77777777" w:rsidTr="002F39D1">
        <w:trPr>
          <w:trHeight w:val="510"/>
        </w:trPr>
        <w:tc>
          <w:tcPr>
            <w:tcW w:w="2376" w:type="dxa"/>
          </w:tcPr>
          <w:p w14:paraId="2812F3BB" w14:textId="77777777" w:rsidR="00831500" w:rsidRPr="00AE0D26" w:rsidRDefault="00831500" w:rsidP="007D712B">
            <w:r w:rsidRPr="00AE0D26">
              <w:t>GCP</w:t>
            </w:r>
          </w:p>
        </w:tc>
        <w:tc>
          <w:tcPr>
            <w:tcW w:w="5387" w:type="dxa"/>
          </w:tcPr>
          <w:p w14:paraId="2812F3BC" w14:textId="77777777" w:rsidR="00831500" w:rsidRPr="00AE0D26" w:rsidRDefault="00831500" w:rsidP="007D712B">
            <w:r w:rsidRPr="00AE0D26">
              <w:t>Good Clinical Practice</w:t>
            </w:r>
          </w:p>
        </w:tc>
      </w:tr>
      <w:tr w:rsidR="00831500" w:rsidRPr="00AE0D26" w14:paraId="2812F3C0" w14:textId="77777777" w:rsidTr="002F39D1">
        <w:trPr>
          <w:trHeight w:val="510"/>
        </w:trPr>
        <w:tc>
          <w:tcPr>
            <w:tcW w:w="2376" w:type="dxa"/>
          </w:tcPr>
          <w:p w14:paraId="2812F3BE" w14:textId="77777777" w:rsidR="00831500" w:rsidRPr="00AE0D26" w:rsidRDefault="00831500" w:rsidP="007D712B">
            <w:r w:rsidRPr="00AE0D26">
              <w:t>IM</w:t>
            </w:r>
          </w:p>
        </w:tc>
        <w:tc>
          <w:tcPr>
            <w:tcW w:w="5387" w:type="dxa"/>
          </w:tcPr>
          <w:p w14:paraId="2812F3BF" w14:textId="77777777" w:rsidR="00831500" w:rsidRPr="00AE0D26" w:rsidRDefault="00831500" w:rsidP="007D712B">
            <w:r w:rsidRPr="00AE0D26">
              <w:t>Intramuscular</w:t>
            </w:r>
          </w:p>
        </w:tc>
      </w:tr>
      <w:tr w:rsidR="00831500" w:rsidRPr="00AE0D26" w14:paraId="2812F3C3" w14:textId="77777777" w:rsidTr="002F39D1">
        <w:trPr>
          <w:trHeight w:val="510"/>
        </w:trPr>
        <w:tc>
          <w:tcPr>
            <w:tcW w:w="2376" w:type="dxa"/>
          </w:tcPr>
          <w:p w14:paraId="2812F3C1" w14:textId="77777777" w:rsidR="00831500" w:rsidRPr="00AE0D26" w:rsidRDefault="00831500" w:rsidP="007D712B">
            <w:r w:rsidRPr="00AE0D26">
              <w:t>PANSS</w:t>
            </w:r>
          </w:p>
        </w:tc>
        <w:tc>
          <w:tcPr>
            <w:tcW w:w="5387" w:type="dxa"/>
          </w:tcPr>
          <w:p w14:paraId="2812F3C2" w14:textId="7AA7AE8D" w:rsidR="00831500" w:rsidRPr="00AE0D26" w:rsidRDefault="00831500" w:rsidP="007D712B">
            <w:r w:rsidRPr="00AE0D26">
              <w:t>Posit</w:t>
            </w:r>
            <w:r w:rsidR="00DF4F1C">
              <w:t>ive and Negative Syndrome Scale</w:t>
            </w:r>
          </w:p>
        </w:tc>
      </w:tr>
      <w:tr w:rsidR="00831500" w:rsidRPr="00AE0D26" w14:paraId="2812F3C6" w14:textId="77777777" w:rsidTr="002F39D1">
        <w:trPr>
          <w:trHeight w:val="510"/>
        </w:trPr>
        <w:tc>
          <w:tcPr>
            <w:tcW w:w="2376" w:type="dxa"/>
          </w:tcPr>
          <w:p w14:paraId="2812F3C4" w14:textId="77777777" w:rsidR="00831500" w:rsidRPr="00AE0D26" w:rsidRDefault="00831500" w:rsidP="007D712B">
            <w:r w:rsidRPr="00AE0D26">
              <w:t xml:space="preserve">PD </w:t>
            </w:r>
          </w:p>
        </w:tc>
        <w:tc>
          <w:tcPr>
            <w:tcW w:w="5387" w:type="dxa"/>
          </w:tcPr>
          <w:p w14:paraId="2812F3C5" w14:textId="77777777" w:rsidR="00831500" w:rsidRPr="00AE0D26" w:rsidRDefault="00831500" w:rsidP="007D712B">
            <w:proofErr w:type="spellStart"/>
            <w:r w:rsidRPr="00AE0D26">
              <w:t>Pharmacodynamic</w:t>
            </w:r>
            <w:proofErr w:type="spellEnd"/>
          </w:p>
        </w:tc>
      </w:tr>
      <w:tr w:rsidR="00831500" w:rsidRPr="00AE0D26" w14:paraId="2812F3C9" w14:textId="77777777" w:rsidTr="002F39D1">
        <w:trPr>
          <w:trHeight w:val="510"/>
        </w:trPr>
        <w:tc>
          <w:tcPr>
            <w:tcW w:w="2376" w:type="dxa"/>
          </w:tcPr>
          <w:p w14:paraId="2812F3C7" w14:textId="77777777" w:rsidR="00831500" w:rsidRPr="00AE0D26" w:rsidRDefault="00831500" w:rsidP="007D712B">
            <w:r w:rsidRPr="00AE0D26">
              <w:t>PK</w:t>
            </w:r>
          </w:p>
        </w:tc>
        <w:tc>
          <w:tcPr>
            <w:tcW w:w="5387" w:type="dxa"/>
          </w:tcPr>
          <w:p w14:paraId="2812F3C8" w14:textId="77777777" w:rsidR="00831500" w:rsidRPr="00AE0D26" w:rsidRDefault="00831500" w:rsidP="007D712B">
            <w:r w:rsidRPr="00AE0D26">
              <w:t>Pharmacokinetic</w:t>
            </w:r>
          </w:p>
        </w:tc>
      </w:tr>
      <w:tr w:rsidR="00831500" w:rsidRPr="00AE0D26" w14:paraId="2812F3CC" w14:textId="77777777" w:rsidTr="002F39D1">
        <w:trPr>
          <w:trHeight w:val="510"/>
        </w:trPr>
        <w:tc>
          <w:tcPr>
            <w:tcW w:w="2376" w:type="dxa"/>
          </w:tcPr>
          <w:p w14:paraId="2812F3CA" w14:textId="77777777" w:rsidR="00831500" w:rsidRPr="00AE0D26" w:rsidRDefault="00831500" w:rsidP="007D712B">
            <w:r w:rsidRPr="00AE0D26">
              <w:t>PSP</w:t>
            </w:r>
          </w:p>
        </w:tc>
        <w:tc>
          <w:tcPr>
            <w:tcW w:w="5387" w:type="dxa"/>
          </w:tcPr>
          <w:p w14:paraId="2812F3CB" w14:textId="77777777" w:rsidR="00831500" w:rsidRPr="00AE0D26" w:rsidRDefault="00831500" w:rsidP="007D712B">
            <w:r w:rsidRPr="00AE0D26">
              <w:t>Personal and Social Performance Scale</w:t>
            </w:r>
          </w:p>
        </w:tc>
      </w:tr>
      <w:tr w:rsidR="00831500" w:rsidRPr="00AE0D26" w14:paraId="2812F3CF" w14:textId="77777777" w:rsidTr="002F39D1">
        <w:trPr>
          <w:trHeight w:val="510"/>
        </w:trPr>
        <w:tc>
          <w:tcPr>
            <w:tcW w:w="2376" w:type="dxa"/>
          </w:tcPr>
          <w:p w14:paraId="2812F3CD" w14:textId="77777777" w:rsidR="00831500" w:rsidRPr="00AE0D26" w:rsidRDefault="00831500" w:rsidP="007D712B">
            <w:r w:rsidRPr="00AE0D26">
              <w:t>SAE</w:t>
            </w:r>
          </w:p>
        </w:tc>
        <w:tc>
          <w:tcPr>
            <w:tcW w:w="5387" w:type="dxa"/>
          </w:tcPr>
          <w:p w14:paraId="2812F3CE" w14:textId="77777777" w:rsidR="00831500" w:rsidRPr="00AE0D26" w:rsidRDefault="00831500" w:rsidP="007D712B">
            <w:r w:rsidRPr="00AE0D26">
              <w:t>Serious adverse event</w:t>
            </w:r>
          </w:p>
        </w:tc>
      </w:tr>
    </w:tbl>
    <w:p w14:paraId="2812F3D0" w14:textId="77777777" w:rsidR="00E01F69" w:rsidRPr="00AE0D26" w:rsidRDefault="00E01F69" w:rsidP="00E01F69">
      <w:pPr>
        <w:rPr>
          <w:sz w:val="20"/>
          <w:szCs w:val="20"/>
        </w:rPr>
      </w:pPr>
    </w:p>
    <w:p w14:paraId="2812F3D1" w14:textId="77777777" w:rsidR="00E01F69" w:rsidRDefault="00E01F69">
      <w:pPr>
        <w:spacing w:before="0" w:after="200" w:line="0" w:lineRule="auto"/>
      </w:pPr>
      <w:r>
        <w:br w:type="page"/>
      </w:r>
    </w:p>
    <w:p w14:paraId="2812F3D2" w14:textId="77777777" w:rsidR="008E7846" w:rsidRDefault="00F53C07" w:rsidP="008E7846">
      <w:pPr>
        <w:pStyle w:val="Heading2"/>
      </w:pPr>
      <w:bookmarkStart w:id="5" w:name="_Toc408924902"/>
      <w:r>
        <w:lastRenderedPageBreak/>
        <w:t>I.</w:t>
      </w:r>
      <w:r w:rsidR="008E7846">
        <w:t xml:space="preserve"> Introduction to product submission</w:t>
      </w:r>
      <w:bookmarkEnd w:id="3"/>
      <w:bookmarkEnd w:id="1"/>
      <w:bookmarkEnd w:id="5"/>
    </w:p>
    <w:p w14:paraId="2812F3D3" w14:textId="77777777" w:rsidR="008E7846" w:rsidRDefault="008E7846" w:rsidP="008E7846">
      <w:pPr>
        <w:pStyle w:val="Heading3"/>
        <w:rPr>
          <w:lang w:eastAsia="en-AU"/>
        </w:rPr>
      </w:pPr>
      <w:bookmarkStart w:id="6" w:name="_Toc247691502"/>
      <w:bookmarkStart w:id="7" w:name="_Toc314842483"/>
      <w:bookmarkStart w:id="8" w:name="_Toc408924903"/>
      <w:r>
        <w:rPr>
          <w:lang w:eastAsia="en-AU"/>
        </w:rPr>
        <w:t>Submission details</w:t>
      </w:r>
      <w:bookmarkEnd w:id="6"/>
      <w:bookmarkEnd w:id="7"/>
      <w:bookmarkEnd w:id="8"/>
    </w:p>
    <w:tbl>
      <w:tblPr>
        <w:tblW w:w="9497" w:type="dxa"/>
        <w:tblInd w:w="108" w:type="dxa"/>
        <w:tblLook w:val="01E0" w:firstRow="1" w:lastRow="1" w:firstColumn="1" w:lastColumn="1" w:noHBand="0" w:noVBand="0"/>
      </w:tblPr>
      <w:tblGrid>
        <w:gridCol w:w="2907"/>
        <w:gridCol w:w="6307"/>
        <w:gridCol w:w="283"/>
      </w:tblGrid>
      <w:tr w:rsidR="008E7846" w:rsidRPr="003D1E62" w14:paraId="2812F3D6" w14:textId="77777777" w:rsidTr="007E5F50">
        <w:trPr>
          <w:trHeight w:hRule="exact" w:val="454"/>
        </w:trPr>
        <w:tc>
          <w:tcPr>
            <w:tcW w:w="2907" w:type="dxa"/>
          </w:tcPr>
          <w:p w14:paraId="2812F3D4"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2812F3D5" w14:textId="77777777" w:rsidR="008E7846" w:rsidRPr="003D1E62" w:rsidRDefault="00B84B6C" w:rsidP="00B84B6C">
            <w:r>
              <w:t>M</w:t>
            </w:r>
            <w:r w:rsidR="008E7846" w:rsidRPr="003D1E62">
              <w:t xml:space="preserve">ajor </w:t>
            </w:r>
            <w:r w:rsidR="001B5C90">
              <w:t>v</w:t>
            </w:r>
            <w:r w:rsidR="008E7846" w:rsidRPr="003D1E62">
              <w:t>ariation (</w:t>
            </w:r>
            <w:r>
              <w:t>N</w:t>
            </w:r>
            <w:r w:rsidR="008E7846" w:rsidRPr="003D1E62">
              <w:t xml:space="preserve">ew </w:t>
            </w:r>
            <w:r w:rsidR="001B5C90">
              <w:t>s</w:t>
            </w:r>
            <w:r w:rsidR="008E7846" w:rsidRPr="003D1E62">
              <w:t>trength</w:t>
            </w:r>
            <w:r>
              <w:t xml:space="preserve"> and new dosage form</w:t>
            </w:r>
            <w:r w:rsidR="008E7846" w:rsidRPr="003D1E62">
              <w:t>)</w:t>
            </w:r>
          </w:p>
        </w:tc>
      </w:tr>
      <w:tr w:rsidR="008E7846" w:rsidRPr="003D1E62" w14:paraId="2812F3D9" w14:textId="77777777" w:rsidTr="007E5F50">
        <w:trPr>
          <w:trHeight w:hRule="exact" w:val="454"/>
        </w:trPr>
        <w:tc>
          <w:tcPr>
            <w:tcW w:w="2907" w:type="dxa"/>
          </w:tcPr>
          <w:p w14:paraId="2812F3D7" w14:textId="77777777" w:rsidR="008E7846" w:rsidRPr="003D1E62" w:rsidRDefault="008E7846" w:rsidP="003D1E62">
            <w:r w:rsidRPr="003D1E62">
              <w:rPr>
                <w:i/>
              </w:rPr>
              <w:t>Decision</w:t>
            </w:r>
            <w:r w:rsidRPr="003D1E62">
              <w:t>:</w:t>
            </w:r>
          </w:p>
        </w:tc>
        <w:tc>
          <w:tcPr>
            <w:tcW w:w="6590" w:type="dxa"/>
            <w:gridSpan w:val="2"/>
          </w:tcPr>
          <w:p w14:paraId="2812F3D8" w14:textId="7BB9BA93" w:rsidR="008E7846" w:rsidRPr="003D1E62" w:rsidRDefault="00B341AE" w:rsidP="00B84B6C">
            <w:r>
              <w:t>Approved</w:t>
            </w:r>
          </w:p>
        </w:tc>
      </w:tr>
      <w:tr w:rsidR="008E7846" w:rsidRPr="003D1E62" w14:paraId="2812F3DC" w14:textId="77777777" w:rsidTr="007E5F50">
        <w:trPr>
          <w:trHeight w:hRule="exact" w:val="454"/>
        </w:trPr>
        <w:tc>
          <w:tcPr>
            <w:tcW w:w="2907" w:type="dxa"/>
          </w:tcPr>
          <w:p w14:paraId="2812F3DA"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2812F3DB" w14:textId="77777777" w:rsidR="008E7846" w:rsidRPr="003D1E62" w:rsidRDefault="007E5F50" w:rsidP="001B5C90">
            <w:r>
              <w:t>22 July 2014</w:t>
            </w:r>
          </w:p>
        </w:tc>
      </w:tr>
      <w:tr w:rsidR="008E7846" w:rsidRPr="00487162" w14:paraId="2812F3DF" w14:textId="77777777" w:rsidTr="007E5F50">
        <w:trPr>
          <w:gridAfter w:val="1"/>
          <w:wAfter w:w="283" w:type="dxa"/>
        </w:trPr>
        <w:tc>
          <w:tcPr>
            <w:tcW w:w="2907" w:type="dxa"/>
          </w:tcPr>
          <w:p w14:paraId="2812F3DD" w14:textId="79920297" w:rsidR="008E7846" w:rsidRPr="005E23C8" w:rsidRDefault="00B4542E" w:rsidP="00B4542E">
            <w:pPr>
              <w:rPr>
                <w:i/>
              </w:rPr>
            </w:pPr>
            <w:r>
              <w:rPr>
                <w:i/>
              </w:rPr>
              <w:t>Active ingredien</w:t>
            </w:r>
            <w:r w:rsidR="00B341AE">
              <w:rPr>
                <w:i/>
              </w:rPr>
              <w:t>t</w:t>
            </w:r>
            <w:r w:rsidR="001B5C90" w:rsidRPr="005E23C8">
              <w:rPr>
                <w:i/>
              </w:rPr>
              <w:t>:</w:t>
            </w:r>
          </w:p>
        </w:tc>
        <w:tc>
          <w:tcPr>
            <w:tcW w:w="6307" w:type="dxa"/>
          </w:tcPr>
          <w:p w14:paraId="2812F3DE" w14:textId="77777777" w:rsidR="008E7846" w:rsidRPr="00487162" w:rsidRDefault="00B33028" w:rsidP="00B33028">
            <w:pPr>
              <w:pStyle w:val="BodyCopy"/>
            </w:pPr>
            <w:proofErr w:type="spellStart"/>
            <w:r w:rsidRPr="00707423">
              <w:t>Aripiprazole</w:t>
            </w:r>
            <w:proofErr w:type="spellEnd"/>
            <w:r w:rsidR="00C66B62">
              <w:t xml:space="preserve"> </w:t>
            </w:r>
            <w:r w:rsidRPr="00707423">
              <w:t>Monohydrate</w:t>
            </w:r>
          </w:p>
        </w:tc>
      </w:tr>
      <w:tr w:rsidR="008E7846" w:rsidRPr="00487162" w14:paraId="2812F3E2" w14:textId="77777777" w:rsidTr="007E5F50">
        <w:trPr>
          <w:gridAfter w:val="1"/>
          <w:wAfter w:w="283" w:type="dxa"/>
        </w:trPr>
        <w:tc>
          <w:tcPr>
            <w:tcW w:w="2907" w:type="dxa"/>
          </w:tcPr>
          <w:p w14:paraId="2812F3E0" w14:textId="52558D31" w:rsidR="008E7846" w:rsidRPr="005E23C8" w:rsidRDefault="008E7846" w:rsidP="00B4542E">
            <w:pPr>
              <w:rPr>
                <w:i/>
              </w:rPr>
            </w:pPr>
            <w:r w:rsidRPr="005E23C8">
              <w:rPr>
                <w:i/>
              </w:rPr>
              <w:t>Product</w:t>
            </w:r>
            <w:r w:rsidR="00B4542E">
              <w:rPr>
                <w:i/>
              </w:rPr>
              <w:t xml:space="preserve"> name:</w:t>
            </w:r>
          </w:p>
        </w:tc>
        <w:tc>
          <w:tcPr>
            <w:tcW w:w="6307" w:type="dxa"/>
          </w:tcPr>
          <w:p w14:paraId="2812F3E1" w14:textId="77777777" w:rsidR="008E7846" w:rsidRPr="00B33028" w:rsidRDefault="00B33028" w:rsidP="007E5F50">
            <w:proofErr w:type="spellStart"/>
            <w:r w:rsidRPr="00171213">
              <w:t>Abilify</w:t>
            </w:r>
            <w:proofErr w:type="spellEnd"/>
            <w:r w:rsidR="00C66B62">
              <w:t xml:space="preserve"> </w:t>
            </w:r>
            <w:proofErr w:type="spellStart"/>
            <w:r w:rsidRPr="00171213">
              <w:t>Maintena</w:t>
            </w:r>
            <w:proofErr w:type="spellEnd"/>
          </w:p>
        </w:tc>
      </w:tr>
      <w:tr w:rsidR="008E7846" w:rsidRPr="00487162" w14:paraId="2812F3E6" w14:textId="77777777" w:rsidTr="007E5F50">
        <w:trPr>
          <w:gridAfter w:val="1"/>
          <w:wAfter w:w="283" w:type="dxa"/>
        </w:trPr>
        <w:tc>
          <w:tcPr>
            <w:tcW w:w="2907" w:type="dxa"/>
          </w:tcPr>
          <w:p w14:paraId="2812F3E3" w14:textId="77777777" w:rsidR="008E7846" w:rsidRPr="005E23C8" w:rsidRDefault="008E7846" w:rsidP="001B5C90">
            <w:pPr>
              <w:rPr>
                <w:i/>
              </w:rPr>
            </w:pPr>
            <w:r w:rsidRPr="005E23C8">
              <w:rPr>
                <w:i/>
              </w:rPr>
              <w:t xml:space="preserve">Sponsor’s </w:t>
            </w:r>
            <w:r w:rsidR="001B5C90" w:rsidRPr="005E23C8">
              <w:rPr>
                <w:i/>
              </w:rPr>
              <w:t>n</w:t>
            </w:r>
            <w:r w:rsidRPr="005E23C8">
              <w:rPr>
                <w:i/>
              </w:rPr>
              <w:t xml:space="preserve">ame and </w:t>
            </w:r>
            <w:r w:rsidR="001B5C90" w:rsidRPr="005E23C8">
              <w:rPr>
                <w:i/>
              </w:rPr>
              <w:t>a</w:t>
            </w:r>
            <w:r w:rsidRPr="005E23C8">
              <w:rPr>
                <w:i/>
              </w:rPr>
              <w:t>ddress:</w:t>
            </w:r>
          </w:p>
        </w:tc>
        <w:tc>
          <w:tcPr>
            <w:tcW w:w="6307" w:type="dxa"/>
          </w:tcPr>
          <w:p w14:paraId="2812F3E5" w14:textId="6C9F0D74" w:rsidR="00600CE3" w:rsidRPr="00487162" w:rsidRDefault="00B84B6C" w:rsidP="008E244C">
            <w:proofErr w:type="spellStart"/>
            <w:r w:rsidRPr="007E5F50">
              <w:t>Lundbeck</w:t>
            </w:r>
            <w:proofErr w:type="spellEnd"/>
            <w:r w:rsidRPr="007E5F50">
              <w:t xml:space="preserve"> (Australia) Pty Ltd</w:t>
            </w:r>
            <w:r w:rsidR="008E244C">
              <w:br/>
            </w:r>
            <w:r w:rsidR="007E5F50">
              <w:t>1</w:t>
            </w:r>
            <w:r w:rsidR="008E244C">
              <w:t xml:space="preserve"> Innovation Rd</w:t>
            </w:r>
            <w:r w:rsidR="008E244C">
              <w:br/>
            </w:r>
            <w:r w:rsidR="007E5F50" w:rsidRPr="007E5F50">
              <w:t>North Ryde</w:t>
            </w:r>
            <w:r w:rsidR="008E244C">
              <w:br/>
            </w:r>
            <w:r w:rsidR="00600CE3" w:rsidRPr="007E5F50">
              <w:t>NSW 2113</w:t>
            </w:r>
          </w:p>
        </w:tc>
      </w:tr>
      <w:tr w:rsidR="008E7846" w:rsidRPr="00487162" w14:paraId="2812F3E9" w14:textId="77777777" w:rsidTr="007E5F50">
        <w:trPr>
          <w:gridAfter w:val="1"/>
          <w:wAfter w:w="283" w:type="dxa"/>
        </w:trPr>
        <w:tc>
          <w:tcPr>
            <w:tcW w:w="2907" w:type="dxa"/>
          </w:tcPr>
          <w:p w14:paraId="2812F3E7" w14:textId="338B1B5E" w:rsidR="008E7846" w:rsidRPr="005E23C8" w:rsidRDefault="001B5C90" w:rsidP="00B341AE">
            <w:pPr>
              <w:rPr>
                <w:i/>
              </w:rPr>
            </w:pPr>
            <w:r w:rsidRPr="005E23C8">
              <w:rPr>
                <w:i/>
              </w:rPr>
              <w:t>Dose forms:</w:t>
            </w:r>
          </w:p>
        </w:tc>
        <w:tc>
          <w:tcPr>
            <w:tcW w:w="6307" w:type="dxa"/>
          </w:tcPr>
          <w:p w14:paraId="2812F3E8" w14:textId="77777777" w:rsidR="008E7846" w:rsidRPr="00487162" w:rsidRDefault="00493380" w:rsidP="00E45619">
            <w:r>
              <w:t xml:space="preserve">Lyophilised powder </w:t>
            </w:r>
            <w:r w:rsidR="007E5F50">
              <w:t xml:space="preserve">and solvent </w:t>
            </w:r>
            <w:r>
              <w:t>for reconstitution</w:t>
            </w:r>
          </w:p>
        </w:tc>
      </w:tr>
      <w:tr w:rsidR="008E7846" w:rsidRPr="00487162" w14:paraId="2812F3EC" w14:textId="77777777" w:rsidTr="007E5F50">
        <w:trPr>
          <w:gridAfter w:val="1"/>
          <w:wAfter w:w="283" w:type="dxa"/>
        </w:trPr>
        <w:tc>
          <w:tcPr>
            <w:tcW w:w="2907" w:type="dxa"/>
          </w:tcPr>
          <w:p w14:paraId="2812F3EA" w14:textId="2B5767C2" w:rsidR="008E7846" w:rsidRPr="005E23C8" w:rsidRDefault="008E7846" w:rsidP="00B341AE">
            <w:pPr>
              <w:rPr>
                <w:i/>
              </w:rPr>
            </w:pPr>
            <w:r w:rsidRPr="005E23C8">
              <w:rPr>
                <w:i/>
              </w:rPr>
              <w:t>Strengths:</w:t>
            </w:r>
          </w:p>
        </w:tc>
        <w:tc>
          <w:tcPr>
            <w:tcW w:w="6307" w:type="dxa"/>
          </w:tcPr>
          <w:p w14:paraId="2812F3EB" w14:textId="2F2F25EA" w:rsidR="008E7846" w:rsidRPr="00487162" w:rsidRDefault="00493380" w:rsidP="0070032C">
            <w:pPr>
              <w:pStyle w:val="BodyCopy"/>
            </w:pPr>
            <w:r>
              <w:t>D</w:t>
            </w:r>
            <w:r w:rsidR="00B33028">
              <w:t xml:space="preserve">osage strength </w:t>
            </w:r>
            <w:r w:rsidR="007E5F50">
              <w:t xml:space="preserve">when </w:t>
            </w:r>
            <w:r>
              <w:t xml:space="preserve">reconstituted (in 2 mL water) </w:t>
            </w:r>
            <w:r w:rsidR="007E5F50">
              <w:t>is</w:t>
            </w:r>
            <w:r>
              <w:t xml:space="preserve"> </w:t>
            </w:r>
            <w:r w:rsidR="00B33028">
              <w:t>300</w:t>
            </w:r>
            <w:r>
              <w:t xml:space="preserve"> </w:t>
            </w:r>
            <w:r w:rsidR="00B33028">
              <w:t>mg or 400</w:t>
            </w:r>
            <w:r>
              <w:t xml:space="preserve"> </w:t>
            </w:r>
            <w:r w:rsidR="00B33028">
              <w:t xml:space="preserve">mg of </w:t>
            </w:r>
            <w:proofErr w:type="spellStart"/>
            <w:r w:rsidR="00B33028">
              <w:t>aripiprazole</w:t>
            </w:r>
            <w:proofErr w:type="spellEnd"/>
          </w:p>
        </w:tc>
      </w:tr>
      <w:tr w:rsidR="008E7846" w:rsidRPr="00487162" w14:paraId="2812F3EF" w14:textId="77777777" w:rsidTr="007E5F50">
        <w:trPr>
          <w:gridAfter w:val="1"/>
          <w:wAfter w:w="283" w:type="dxa"/>
        </w:trPr>
        <w:tc>
          <w:tcPr>
            <w:tcW w:w="2907" w:type="dxa"/>
          </w:tcPr>
          <w:p w14:paraId="2812F3ED" w14:textId="41C390F2" w:rsidR="008E7846" w:rsidRPr="005E23C8" w:rsidRDefault="00B4542E" w:rsidP="00B4542E">
            <w:pPr>
              <w:rPr>
                <w:i/>
              </w:rPr>
            </w:pPr>
            <w:r>
              <w:rPr>
                <w:i/>
              </w:rPr>
              <w:t>Container</w:t>
            </w:r>
            <w:r w:rsidR="008E7846" w:rsidRPr="005E23C8">
              <w:rPr>
                <w:i/>
              </w:rPr>
              <w:t>:</w:t>
            </w:r>
          </w:p>
        </w:tc>
        <w:tc>
          <w:tcPr>
            <w:tcW w:w="6307" w:type="dxa"/>
          </w:tcPr>
          <w:p w14:paraId="2812F3EE" w14:textId="77777777" w:rsidR="008E7846" w:rsidRPr="00487162" w:rsidRDefault="007E5F50" w:rsidP="00E45619">
            <w:r>
              <w:t>Injection vial</w:t>
            </w:r>
          </w:p>
        </w:tc>
      </w:tr>
      <w:tr w:rsidR="008E7846" w:rsidRPr="00487162" w14:paraId="2812F3F2" w14:textId="77777777" w:rsidTr="007E5F50">
        <w:trPr>
          <w:gridAfter w:val="1"/>
          <w:wAfter w:w="283" w:type="dxa"/>
        </w:trPr>
        <w:tc>
          <w:tcPr>
            <w:tcW w:w="2907" w:type="dxa"/>
          </w:tcPr>
          <w:p w14:paraId="2812F3F0" w14:textId="197698D5" w:rsidR="008E7846" w:rsidRPr="005E23C8" w:rsidRDefault="00B4542E" w:rsidP="00E45619">
            <w:pPr>
              <w:rPr>
                <w:i/>
              </w:rPr>
            </w:pPr>
            <w:r>
              <w:rPr>
                <w:i/>
              </w:rPr>
              <w:t>Pack size</w:t>
            </w:r>
            <w:r w:rsidR="008E7846" w:rsidRPr="005E23C8">
              <w:rPr>
                <w:i/>
              </w:rPr>
              <w:t>:</w:t>
            </w:r>
          </w:p>
        </w:tc>
        <w:tc>
          <w:tcPr>
            <w:tcW w:w="6307" w:type="dxa"/>
          </w:tcPr>
          <w:p w14:paraId="2812F3F1" w14:textId="77777777" w:rsidR="008E7846" w:rsidRPr="00487162" w:rsidRDefault="00493380" w:rsidP="00E45619">
            <w:r>
              <w:t>Single</w:t>
            </w:r>
          </w:p>
        </w:tc>
      </w:tr>
      <w:tr w:rsidR="008E7846" w:rsidRPr="00487162" w14:paraId="2812F3F5" w14:textId="77777777" w:rsidTr="007E5F50">
        <w:trPr>
          <w:gridAfter w:val="1"/>
          <w:wAfter w:w="283" w:type="dxa"/>
        </w:trPr>
        <w:tc>
          <w:tcPr>
            <w:tcW w:w="2907" w:type="dxa"/>
          </w:tcPr>
          <w:p w14:paraId="2812F3F3" w14:textId="77777777" w:rsidR="008E7846" w:rsidRPr="005E23C8" w:rsidRDefault="008E7846" w:rsidP="001B5C90">
            <w:pPr>
              <w:rPr>
                <w:i/>
              </w:rPr>
            </w:pPr>
            <w:r w:rsidRPr="005E23C8">
              <w:rPr>
                <w:i/>
              </w:rPr>
              <w:t xml:space="preserve">Approved </w:t>
            </w:r>
            <w:r w:rsidR="001B5C90" w:rsidRPr="005E23C8">
              <w:rPr>
                <w:i/>
              </w:rPr>
              <w:t>t</w:t>
            </w:r>
            <w:r w:rsidRPr="005E23C8">
              <w:rPr>
                <w:i/>
              </w:rPr>
              <w:t>herapeutic use:</w:t>
            </w:r>
          </w:p>
        </w:tc>
        <w:tc>
          <w:tcPr>
            <w:tcW w:w="6307" w:type="dxa"/>
          </w:tcPr>
          <w:p w14:paraId="2812F3F4" w14:textId="77777777" w:rsidR="008E7846" w:rsidRPr="007E5F50" w:rsidRDefault="007E5F50" w:rsidP="00E45619">
            <w:pPr>
              <w:rPr>
                <w:rFonts w:eastAsia="MS Mincho"/>
                <w:i/>
                <w:lang w:eastAsia="ja-JP"/>
              </w:rPr>
            </w:pPr>
            <w:r w:rsidRPr="007E5F50">
              <w:rPr>
                <w:i/>
              </w:rPr>
              <w:t>For maintenance of clinical improvement in the treatment of schizophrenia.</w:t>
            </w:r>
          </w:p>
        </w:tc>
      </w:tr>
      <w:tr w:rsidR="008E7846" w:rsidRPr="00487162" w14:paraId="2812F3F8" w14:textId="77777777" w:rsidTr="007E5F50">
        <w:trPr>
          <w:gridAfter w:val="1"/>
          <w:wAfter w:w="283" w:type="dxa"/>
        </w:trPr>
        <w:tc>
          <w:tcPr>
            <w:tcW w:w="2907" w:type="dxa"/>
          </w:tcPr>
          <w:p w14:paraId="2812F3F6" w14:textId="1242B229" w:rsidR="008E7846" w:rsidRPr="005E23C8" w:rsidRDefault="008E7846" w:rsidP="00B4542E">
            <w:pPr>
              <w:rPr>
                <w:i/>
              </w:rPr>
            </w:pPr>
            <w:r w:rsidRPr="005E23C8">
              <w:rPr>
                <w:i/>
              </w:rPr>
              <w:t>Route</w:t>
            </w:r>
            <w:r w:rsidR="00B4542E">
              <w:rPr>
                <w:i/>
              </w:rPr>
              <w:t xml:space="preserve"> </w:t>
            </w:r>
            <w:r w:rsidRPr="005E23C8">
              <w:rPr>
                <w:i/>
              </w:rPr>
              <w:t>of administration:</w:t>
            </w:r>
          </w:p>
        </w:tc>
        <w:tc>
          <w:tcPr>
            <w:tcW w:w="6307" w:type="dxa"/>
          </w:tcPr>
          <w:p w14:paraId="2812F3F7" w14:textId="77777777" w:rsidR="008E7846" w:rsidRPr="00487162" w:rsidRDefault="00493380" w:rsidP="00493380">
            <w:r>
              <w:t>Intramuscular (IM) injection</w:t>
            </w:r>
          </w:p>
        </w:tc>
      </w:tr>
      <w:tr w:rsidR="008E7846" w:rsidRPr="00487162" w14:paraId="2812F3FB" w14:textId="77777777" w:rsidTr="007E5F50">
        <w:trPr>
          <w:gridAfter w:val="1"/>
          <w:wAfter w:w="283" w:type="dxa"/>
        </w:trPr>
        <w:tc>
          <w:tcPr>
            <w:tcW w:w="2907" w:type="dxa"/>
          </w:tcPr>
          <w:p w14:paraId="2812F3F9" w14:textId="77777777" w:rsidR="008E7846" w:rsidRPr="005E23C8" w:rsidRDefault="008E7846" w:rsidP="00E45619">
            <w:pPr>
              <w:rPr>
                <w:i/>
              </w:rPr>
            </w:pPr>
            <w:r w:rsidRPr="005E23C8">
              <w:rPr>
                <w:i/>
              </w:rPr>
              <w:t>Dosage:</w:t>
            </w:r>
          </w:p>
        </w:tc>
        <w:tc>
          <w:tcPr>
            <w:tcW w:w="6307" w:type="dxa"/>
          </w:tcPr>
          <w:p w14:paraId="2812F3FA" w14:textId="77777777" w:rsidR="008E7846" w:rsidRPr="00487162" w:rsidRDefault="00493380" w:rsidP="00831500">
            <w:r>
              <w:t>See Product information (PI, Attachment 1).</w:t>
            </w:r>
          </w:p>
        </w:tc>
      </w:tr>
      <w:tr w:rsidR="008E7846" w:rsidRPr="00487162" w14:paraId="2812F3FE" w14:textId="77777777" w:rsidTr="007E5F50">
        <w:trPr>
          <w:gridAfter w:val="1"/>
          <w:wAfter w:w="283" w:type="dxa"/>
        </w:trPr>
        <w:tc>
          <w:tcPr>
            <w:tcW w:w="2907" w:type="dxa"/>
          </w:tcPr>
          <w:p w14:paraId="2812F3FC" w14:textId="27282A4E" w:rsidR="008E7846" w:rsidRPr="005E23C8" w:rsidRDefault="008E7846" w:rsidP="00B341AE">
            <w:pPr>
              <w:rPr>
                <w:i/>
              </w:rPr>
            </w:pPr>
            <w:r w:rsidRPr="005E23C8">
              <w:rPr>
                <w:i/>
              </w:rPr>
              <w:t xml:space="preserve">ARTG </w:t>
            </w:r>
            <w:r w:rsidR="001B5C90" w:rsidRPr="005E23C8">
              <w:rPr>
                <w:i/>
              </w:rPr>
              <w:t>n</w:t>
            </w:r>
            <w:r w:rsidR="00B341AE">
              <w:rPr>
                <w:i/>
              </w:rPr>
              <w:t>umber</w:t>
            </w:r>
            <w:r w:rsidRPr="005E23C8">
              <w:rPr>
                <w:i/>
              </w:rPr>
              <w:t>s</w:t>
            </w:r>
            <w:r w:rsidR="001B5C90" w:rsidRPr="005E23C8">
              <w:rPr>
                <w:i/>
              </w:rPr>
              <w:t>:</w:t>
            </w:r>
          </w:p>
        </w:tc>
        <w:tc>
          <w:tcPr>
            <w:tcW w:w="6307" w:type="dxa"/>
          </w:tcPr>
          <w:p w14:paraId="2812F3FD" w14:textId="75DFE166" w:rsidR="008E7846" w:rsidRPr="007E5F50" w:rsidRDefault="007E5F50" w:rsidP="0049082D">
            <w:r w:rsidRPr="007E5F50">
              <w:t>211122</w:t>
            </w:r>
            <w:r w:rsidR="0049082D">
              <w:t xml:space="preserve"> (300 mg)</w:t>
            </w:r>
            <w:r w:rsidR="0049082D">
              <w:br/>
              <w:t>211150 (400 mg)</w:t>
            </w:r>
          </w:p>
        </w:tc>
      </w:tr>
    </w:tbl>
    <w:p w14:paraId="2812F3FF" w14:textId="77777777" w:rsidR="004C67AA" w:rsidRDefault="004C67AA">
      <w:pPr>
        <w:spacing w:before="0" w:after="200" w:line="0" w:lineRule="auto"/>
        <w:rPr>
          <w:rFonts w:ascii="Arial" w:eastAsia="Times New Roman" w:hAnsi="Arial"/>
          <w:b/>
          <w:bCs/>
          <w:szCs w:val="21"/>
        </w:rPr>
      </w:pPr>
      <w:bookmarkStart w:id="9" w:name="_Toc384807741"/>
      <w:bookmarkEnd w:id="2"/>
    </w:p>
    <w:p w14:paraId="2812F400" w14:textId="77777777" w:rsidR="004C67AA" w:rsidRDefault="004C67AA" w:rsidP="00B341AE">
      <w:pPr>
        <w:pStyle w:val="Heading3"/>
      </w:pPr>
      <w:bookmarkStart w:id="10" w:name="_Toc408924904"/>
      <w:r>
        <w:t xml:space="preserve">Product </w:t>
      </w:r>
      <w:r w:rsidRPr="00B341AE">
        <w:t>background</w:t>
      </w:r>
      <w:bookmarkEnd w:id="9"/>
      <w:bookmarkEnd w:id="10"/>
    </w:p>
    <w:p w14:paraId="2812F401" w14:textId="5CC5B7C5" w:rsidR="0032011C" w:rsidRDefault="00A55BFD" w:rsidP="00B341AE">
      <w:r>
        <w:t>T</w:t>
      </w:r>
      <w:r w:rsidR="004C67AA" w:rsidRPr="00940A89">
        <w:t xml:space="preserve">his </w:t>
      </w:r>
      <w:proofErr w:type="spellStart"/>
      <w:r w:rsidR="004C67AA" w:rsidRPr="00940A89">
        <w:t>AusPAR</w:t>
      </w:r>
      <w:proofErr w:type="spellEnd"/>
      <w:r w:rsidR="004C67AA" w:rsidRPr="00940A89">
        <w:t xml:space="preserve"> describes the application by the sponsor </w:t>
      </w:r>
      <w:proofErr w:type="spellStart"/>
      <w:r w:rsidRPr="00156E54">
        <w:rPr>
          <w:rFonts w:cs="Arial"/>
        </w:rPr>
        <w:t>Lundbeck</w:t>
      </w:r>
      <w:proofErr w:type="spellEnd"/>
      <w:r w:rsidRPr="00156E54">
        <w:rPr>
          <w:rFonts w:cs="Arial"/>
        </w:rPr>
        <w:t xml:space="preserve"> Australia Pty Ltd</w:t>
      </w:r>
      <w:r w:rsidRPr="00156E54">
        <w:rPr>
          <w:kern w:val="2"/>
        </w:rPr>
        <w:t xml:space="preserve"> </w:t>
      </w:r>
      <w:r w:rsidR="004C67AA" w:rsidRPr="00940A89">
        <w:t>to register</w:t>
      </w:r>
      <w:r w:rsidR="004C67AA">
        <w:t xml:space="preserve"> </w:t>
      </w:r>
      <w:proofErr w:type="spellStart"/>
      <w:r w:rsidRPr="00156E54">
        <w:rPr>
          <w:kern w:val="2"/>
        </w:rPr>
        <w:t>a</w:t>
      </w:r>
      <w:r w:rsidRPr="00156E54">
        <w:t>ripiprazole</w:t>
      </w:r>
      <w:proofErr w:type="spellEnd"/>
      <w:r w:rsidRPr="00156E54">
        <w:t xml:space="preserve"> monohydrate (</w:t>
      </w:r>
      <w:r w:rsidR="0032011C">
        <w:t xml:space="preserve">as </w:t>
      </w:r>
      <w:proofErr w:type="spellStart"/>
      <w:r w:rsidRPr="00A55BFD">
        <w:t>Abilify</w:t>
      </w:r>
      <w:proofErr w:type="spellEnd"/>
      <w:r w:rsidRPr="00A55BFD">
        <w:t xml:space="preserve"> </w:t>
      </w:r>
      <w:proofErr w:type="spellStart"/>
      <w:r w:rsidRPr="00A55BFD">
        <w:t>Maintena</w:t>
      </w:r>
      <w:proofErr w:type="spellEnd"/>
      <w:r>
        <w:t>)</w:t>
      </w:r>
      <w:r w:rsidRPr="00156E54">
        <w:t xml:space="preserve"> powder and solvent </w:t>
      </w:r>
      <w:r w:rsidR="0032011C">
        <w:t>as a</w:t>
      </w:r>
      <w:r w:rsidRPr="00156E54">
        <w:t xml:space="preserve"> prolonged release suspension for injection in dosage strengths of 300</w:t>
      </w:r>
      <w:r>
        <w:t xml:space="preserve"> </w:t>
      </w:r>
      <w:r w:rsidRPr="00156E54">
        <w:t>mg and 400</w:t>
      </w:r>
      <w:r>
        <w:t xml:space="preserve"> </w:t>
      </w:r>
      <w:r w:rsidRPr="00156E54">
        <w:t>mg</w:t>
      </w:r>
      <w:r w:rsidRPr="00BB48AB">
        <w:t xml:space="preserve"> </w:t>
      </w:r>
      <w:r w:rsidRPr="00156E54">
        <w:t xml:space="preserve">for </w:t>
      </w:r>
      <w:r w:rsidR="008E244C">
        <w:t>the treatment of schizophrenia.</w:t>
      </w:r>
    </w:p>
    <w:p w14:paraId="2812F402" w14:textId="77777777" w:rsidR="0032011C" w:rsidRDefault="0032011C" w:rsidP="00B341AE">
      <w:r>
        <w:t xml:space="preserve">Nonclinical </w:t>
      </w:r>
      <w:r w:rsidRPr="003D2F75">
        <w:t xml:space="preserve">studies on the primary pharmacodynamics of </w:t>
      </w:r>
      <w:proofErr w:type="spellStart"/>
      <w:r w:rsidRPr="003D2F75">
        <w:t>aripiprazole</w:t>
      </w:r>
      <w:proofErr w:type="spellEnd"/>
      <w:r w:rsidRPr="003D2F75">
        <w:t xml:space="preserve"> suggest that its antipsychotic activity is mediated through a combination of partial </w:t>
      </w:r>
      <w:proofErr w:type="spellStart"/>
      <w:r w:rsidRPr="003D2F75">
        <w:t>agonism</w:t>
      </w:r>
      <w:proofErr w:type="spellEnd"/>
      <w:r w:rsidRPr="003D2F75">
        <w:t xml:space="preserve"> at dopamine D</w:t>
      </w:r>
      <w:r w:rsidRPr="00CC73AB">
        <w:rPr>
          <w:vertAlign w:val="subscript"/>
        </w:rPr>
        <w:t>2</w:t>
      </w:r>
      <w:r w:rsidRPr="003D2F75">
        <w:t xml:space="preserve"> and serotonin 5HT</w:t>
      </w:r>
      <w:r>
        <w:rPr>
          <w:vertAlign w:val="subscript"/>
        </w:rPr>
        <w:t>1A</w:t>
      </w:r>
      <w:r w:rsidRPr="003D2F75">
        <w:t xml:space="preserve"> receptors</w:t>
      </w:r>
      <w:r>
        <w:t xml:space="preserve"> and antagonism at serotonin </w:t>
      </w:r>
      <w:r w:rsidRPr="003D2F75">
        <w:t>5HT</w:t>
      </w:r>
      <w:r>
        <w:rPr>
          <w:vertAlign w:val="subscript"/>
        </w:rPr>
        <w:t>2A</w:t>
      </w:r>
      <w:r w:rsidRPr="003D2F75">
        <w:t xml:space="preserve"> receptors.</w:t>
      </w:r>
    </w:p>
    <w:p w14:paraId="2812F403" w14:textId="4D64C819" w:rsidR="0032011C" w:rsidRDefault="0032011C" w:rsidP="00B341AE">
      <w:r w:rsidRPr="00156E54">
        <w:lastRenderedPageBreak/>
        <w:t xml:space="preserve">Other registered formulations of </w:t>
      </w:r>
      <w:proofErr w:type="spellStart"/>
      <w:r w:rsidRPr="00156E54">
        <w:t>aripiprazole</w:t>
      </w:r>
      <w:proofErr w:type="spellEnd"/>
      <w:r w:rsidRPr="00156E54">
        <w:t xml:space="preserve"> include </w:t>
      </w:r>
      <w:proofErr w:type="spellStart"/>
      <w:r w:rsidRPr="00A55BFD">
        <w:t>Abilify</w:t>
      </w:r>
      <w:proofErr w:type="spellEnd"/>
      <w:r w:rsidRPr="00156E54">
        <w:rPr>
          <w:smallCaps/>
        </w:rPr>
        <w:t xml:space="preserve"> </w:t>
      </w:r>
      <w:r w:rsidRPr="00156E54">
        <w:t>tablets, orally disintegrating tablets and an immediate release injection.</w:t>
      </w:r>
      <w:r>
        <w:rPr>
          <w:rStyle w:val="FootnoteReference"/>
        </w:rPr>
        <w:footnoteReference w:id="2"/>
      </w:r>
      <w:r>
        <w:t xml:space="preserve"> </w:t>
      </w:r>
      <w:proofErr w:type="spellStart"/>
      <w:r w:rsidRPr="00A55BFD">
        <w:t>Abilify</w:t>
      </w:r>
      <w:proofErr w:type="spellEnd"/>
      <w:r w:rsidRPr="00A55BFD">
        <w:t xml:space="preserve"> </w:t>
      </w:r>
      <w:proofErr w:type="spellStart"/>
      <w:r w:rsidRPr="00A55BFD">
        <w:t>Maintena</w:t>
      </w:r>
      <w:proofErr w:type="spellEnd"/>
      <w:r>
        <w:t xml:space="preserve"> will be presented in a </w:t>
      </w:r>
      <w:r w:rsidR="0049082D">
        <w:t xml:space="preserve">therapeutic kit </w:t>
      </w:r>
      <w:r>
        <w:t xml:space="preserve">containing the components that are needed to reconstitute and administer the product into the gluteal muscle. </w:t>
      </w:r>
      <w:r w:rsidRPr="00156E54">
        <w:t xml:space="preserve">Dosing is </w:t>
      </w:r>
      <w:r>
        <w:t xml:space="preserve">proposed as </w:t>
      </w:r>
      <w:r w:rsidRPr="00156E54">
        <w:t xml:space="preserve">once monthly </w:t>
      </w:r>
      <w:r>
        <w:t>for t</w:t>
      </w:r>
      <w:r w:rsidRPr="00156E54">
        <w:t>h</w:t>
      </w:r>
      <w:r>
        <w:t>is</w:t>
      </w:r>
      <w:r w:rsidRPr="00156E54">
        <w:t xml:space="preserve"> new </w:t>
      </w:r>
      <w:r>
        <w:t>intramuscular (IM) formulation.</w:t>
      </w:r>
    </w:p>
    <w:p w14:paraId="2812F404" w14:textId="63C7FB98" w:rsidR="0032011C" w:rsidRDefault="0032011C" w:rsidP="00B4542E">
      <w:r>
        <w:t>The sponsor has proposed the following dosage and administration in their application:</w:t>
      </w:r>
    </w:p>
    <w:p w14:paraId="2812F405" w14:textId="77777777" w:rsidR="0032011C" w:rsidRPr="00B4542E" w:rsidRDefault="0032011C" w:rsidP="00B4542E">
      <w:pPr>
        <w:ind w:left="720"/>
        <w:rPr>
          <w:i/>
        </w:rPr>
      </w:pPr>
      <w:r w:rsidRPr="00B4542E">
        <w:rPr>
          <w:i/>
        </w:rPr>
        <w:t xml:space="preserve">The recommended starting and maintenance dose of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is 400 mg. Titration of the dose of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is not required.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should be administered by a healthcare professional once-monthly as a single injection (no sooner than 26 days after the previous injection). After the first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injection, treatment should be in conjunction with 10 mg to 20 mg oral </w:t>
      </w:r>
      <w:proofErr w:type="spellStart"/>
      <w:r w:rsidRPr="00B4542E">
        <w:rPr>
          <w:i/>
        </w:rPr>
        <w:t>aripiprazole</w:t>
      </w:r>
      <w:proofErr w:type="spellEnd"/>
      <w:r w:rsidRPr="00B4542E">
        <w:rPr>
          <w:i/>
        </w:rPr>
        <w:t xml:space="preserve"> (or other oral antipsychotic) for 14 consecutive days to maintain therapeutic antipsychotic concentrations during initiation of therapy. If there are adverse reactions with the 400 mg dosage, reduction of the dose to 300 mg once-monthly should be considered.</w:t>
      </w:r>
    </w:p>
    <w:p w14:paraId="2812F406" w14:textId="77777777" w:rsidR="0032011C" w:rsidRPr="00B4542E" w:rsidRDefault="0032011C" w:rsidP="00B4542E">
      <w:pPr>
        <w:ind w:left="720"/>
        <w:rPr>
          <w:i/>
        </w:rPr>
      </w:pPr>
      <w:r w:rsidRPr="00B4542E">
        <w:rPr>
          <w:i/>
        </w:rPr>
        <w:t xml:space="preserve">For patients who have never taken oral or injectable </w:t>
      </w:r>
      <w:proofErr w:type="spellStart"/>
      <w:r w:rsidRPr="00B4542E">
        <w:rPr>
          <w:i/>
        </w:rPr>
        <w:t>aripiprazole</w:t>
      </w:r>
      <w:proofErr w:type="spellEnd"/>
      <w:r w:rsidRPr="00B4542E">
        <w:rPr>
          <w:i/>
        </w:rPr>
        <w:t xml:space="preserve">, establish tolerability with oral </w:t>
      </w:r>
      <w:proofErr w:type="spellStart"/>
      <w:r w:rsidRPr="00B4542E">
        <w:rPr>
          <w:i/>
        </w:rPr>
        <w:t>aripiprazole</w:t>
      </w:r>
      <w:proofErr w:type="spellEnd"/>
      <w:r w:rsidRPr="00B4542E">
        <w:rPr>
          <w:i/>
        </w:rPr>
        <w:t xml:space="preserve"> prior to initiating treatment with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When switching from oral antipsychotics, patients may continue their current oral antipsychotic (oral </w:t>
      </w:r>
      <w:proofErr w:type="spellStart"/>
      <w:r w:rsidRPr="00B4542E">
        <w:rPr>
          <w:i/>
        </w:rPr>
        <w:t>aripiprazole</w:t>
      </w:r>
      <w:proofErr w:type="spellEnd"/>
      <w:r w:rsidRPr="00B4542E">
        <w:rPr>
          <w:i/>
        </w:rPr>
        <w:t xml:space="preserve"> or prescribed dose of other oral antipsychotic) for 14 days following the first dose of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to maintain therapeutic plasma concentrations during the initiation of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should then be administered once monthly as described above.</w:t>
      </w:r>
    </w:p>
    <w:p w14:paraId="2812F407" w14:textId="075B4606" w:rsidR="0032011C" w:rsidRPr="00B4542E" w:rsidRDefault="0032011C" w:rsidP="00B4542E">
      <w:pPr>
        <w:ind w:left="720"/>
        <w:rPr>
          <w:i/>
        </w:rPr>
      </w:pPr>
      <w:r w:rsidRPr="00B4542E">
        <w:rPr>
          <w:i/>
        </w:rPr>
        <w:t xml:space="preserve">Inject immediately after reconstitution. </w:t>
      </w:r>
      <w:proofErr w:type="spellStart"/>
      <w:r w:rsidRPr="00B4542E">
        <w:rPr>
          <w:i/>
        </w:rPr>
        <w:t>Abilify</w:t>
      </w:r>
      <w:proofErr w:type="spellEnd"/>
      <w:r w:rsidRPr="00B4542E">
        <w:rPr>
          <w:i/>
        </w:rPr>
        <w:t xml:space="preserve"> </w:t>
      </w:r>
      <w:proofErr w:type="spellStart"/>
      <w:r w:rsidRPr="00B4542E">
        <w:rPr>
          <w:i/>
        </w:rPr>
        <w:t>Maintena</w:t>
      </w:r>
      <w:proofErr w:type="spellEnd"/>
      <w:r w:rsidRPr="00B4542E">
        <w:rPr>
          <w:i/>
        </w:rPr>
        <w:t xml:space="preserve"> should be administered by a healthcare professional once-monthly as a single injection (do not divide doses) into the gluteal muscle.</w:t>
      </w:r>
    </w:p>
    <w:p w14:paraId="2812F408" w14:textId="5DF355CC" w:rsidR="00600CE3" w:rsidRDefault="00A55BFD" w:rsidP="007D712B">
      <w:r>
        <w:t>Data was</w:t>
      </w:r>
      <w:r w:rsidR="00600CE3">
        <w:t xml:space="preserve"> included in this application to support</w:t>
      </w:r>
      <w:r>
        <w:t xml:space="preserve"> </w:t>
      </w:r>
      <w:r w:rsidR="00600CE3">
        <w:t xml:space="preserve">the addition of </w:t>
      </w:r>
      <w:r w:rsidR="00EF2BBF">
        <w:t xml:space="preserve">a </w:t>
      </w:r>
      <w:r w:rsidR="00600CE3">
        <w:t xml:space="preserve">new dosage form and dosage strengths to the currently approved </w:t>
      </w:r>
      <w:proofErr w:type="spellStart"/>
      <w:r>
        <w:t>Abilify</w:t>
      </w:r>
      <w:proofErr w:type="spellEnd"/>
      <w:r>
        <w:t xml:space="preserve"> </w:t>
      </w:r>
      <w:r w:rsidR="00600CE3">
        <w:t xml:space="preserve">presentations </w:t>
      </w:r>
      <w:r>
        <w:t>registered in Australia</w:t>
      </w:r>
      <w:r w:rsidR="004A6166">
        <w:t>.</w:t>
      </w:r>
    </w:p>
    <w:p w14:paraId="2812F409" w14:textId="77777777" w:rsidR="00600CE3" w:rsidRDefault="004C67AA" w:rsidP="00930037">
      <w:pPr>
        <w:pStyle w:val="Heading3"/>
      </w:pPr>
      <w:bookmarkStart w:id="11" w:name="_Toc314842485"/>
      <w:bookmarkStart w:id="12" w:name="_Toc384807742"/>
      <w:bookmarkStart w:id="13" w:name="_Toc247691504"/>
      <w:bookmarkStart w:id="14" w:name="_Toc408924905"/>
      <w:r>
        <w:t>Regulatory status</w:t>
      </w:r>
      <w:bookmarkEnd w:id="11"/>
      <w:bookmarkEnd w:id="12"/>
      <w:bookmarkEnd w:id="14"/>
    </w:p>
    <w:p w14:paraId="2812F40A" w14:textId="71F7F9DC" w:rsidR="004C67AA" w:rsidRPr="003F31A2" w:rsidRDefault="00600CE3" w:rsidP="00930037">
      <w:proofErr w:type="spellStart"/>
      <w:r>
        <w:t>Aripiprazole</w:t>
      </w:r>
      <w:proofErr w:type="spellEnd"/>
      <w:r>
        <w:t xml:space="preserve"> was first included in the Australian Register of Therapeutic Goods (ARTG) as</w:t>
      </w:r>
      <w:r w:rsidR="0032011C">
        <w:t xml:space="preserve"> </w:t>
      </w:r>
      <w:proofErr w:type="spellStart"/>
      <w:r w:rsidR="0032011C">
        <w:t>Abilify</w:t>
      </w:r>
      <w:proofErr w:type="spellEnd"/>
      <w:r w:rsidR="0032011C">
        <w:t xml:space="preserve"> </w:t>
      </w:r>
      <w:r>
        <w:t>tablets in 2003 for the treatment of schizophrenia and was made available through</w:t>
      </w:r>
      <w:r w:rsidR="0032011C">
        <w:t xml:space="preserve"> </w:t>
      </w:r>
      <w:r>
        <w:t>the Pharmaceutical Benefits Scheme in 2004. Since 2003 additional dosage forms have</w:t>
      </w:r>
      <w:r w:rsidR="0032011C">
        <w:t xml:space="preserve"> </w:t>
      </w:r>
      <w:r>
        <w:t>been included in the ARTG and the treatment of bipolar disorder has been added as an indication (</w:t>
      </w:r>
      <w:r w:rsidR="0032011C">
        <w:t xml:space="preserve">in </w:t>
      </w:r>
      <w:r>
        <w:t>2011).</w:t>
      </w:r>
      <w:bookmarkEnd w:id="13"/>
    </w:p>
    <w:p w14:paraId="2812F40B" w14:textId="4DEE63CA" w:rsidR="00600CE3" w:rsidRPr="00B277C4" w:rsidRDefault="00600CE3" w:rsidP="00930037">
      <w:bookmarkStart w:id="15" w:name="_Toc247691505"/>
      <w:bookmarkStart w:id="16" w:name="_Toc314842486"/>
      <w:r>
        <w:t xml:space="preserve">Marketing Authorisation Applications for </w:t>
      </w:r>
      <w:proofErr w:type="spellStart"/>
      <w:r w:rsidR="0032011C">
        <w:t>Abilify</w:t>
      </w:r>
      <w:proofErr w:type="spellEnd"/>
      <w:r w:rsidR="0032011C">
        <w:t xml:space="preserve"> </w:t>
      </w:r>
      <w:proofErr w:type="spellStart"/>
      <w:r w:rsidR="0032011C">
        <w:t>Maintena</w:t>
      </w:r>
      <w:proofErr w:type="spellEnd"/>
      <w:r w:rsidR="0032011C">
        <w:t xml:space="preserve"> </w:t>
      </w:r>
      <w:r>
        <w:t xml:space="preserve">were </w:t>
      </w:r>
      <w:r w:rsidR="0032011C">
        <w:t>approved</w:t>
      </w:r>
      <w:r w:rsidR="00C66B62">
        <w:t xml:space="preserve"> </w:t>
      </w:r>
      <w:r>
        <w:t xml:space="preserve">in the </w:t>
      </w:r>
      <w:r w:rsidR="004F5EC1">
        <w:t xml:space="preserve">US on the 28 February </w:t>
      </w:r>
      <w:r w:rsidR="004F5EC1" w:rsidRPr="00B277C4">
        <w:t xml:space="preserve">2013, </w:t>
      </w:r>
      <w:r w:rsidRPr="00B277C4">
        <w:t xml:space="preserve">in Canada on </w:t>
      </w:r>
      <w:r w:rsidR="0032011C" w:rsidRPr="00B277C4">
        <w:t xml:space="preserve">10 </w:t>
      </w:r>
      <w:r w:rsidR="004F5EC1" w:rsidRPr="00B277C4">
        <w:t>F</w:t>
      </w:r>
      <w:r w:rsidR="0032011C" w:rsidRPr="00B277C4">
        <w:t>ebruary 2014</w:t>
      </w:r>
      <w:r w:rsidRPr="00B277C4">
        <w:t xml:space="preserve"> and in Switzerland on </w:t>
      </w:r>
      <w:r w:rsidR="004F5EC1" w:rsidRPr="00B277C4">
        <w:t>28 April 2014 (see Table 1)</w:t>
      </w:r>
      <w:r w:rsidRPr="00B277C4">
        <w:t>.</w:t>
      </w:r>
      <w:r w:rsidR="00B277C4" w:rsidRPr="00B277C4">
        <w:t xml:space="preserve"> </w:t>
      </w:r>
      <w:proofErr w:type="spellStart"/>
      <w:r w:rsidR="00B277C4" w:rsidRPr="00B277C4">
        <w:t>Abilify</w:t>
      </w:r>
      <w:proofErr w:type="spellEnd"/>
      <w:r w:rsidR="00B277C4" w:rsidRPr="00B277C4">
        <w:t xml:space="preserve"> </w:t>
      </w:r>
      <w:proofErr w:type="spellStart"/>
      <w:r w:rsidR="00B277C4" w:rsidRPr="00B277C4">
        <w:t>Maintena</w:t>
      </w:r>
      <w:proofErr w:type="spellEnd"/>
      <w:r w:rsidR="00B277C4" w:rsidRPr="00B277C4">
        <w:t xml:space="preserve"> was granted marketing authorisation via the</w:t>
      </w:r>
      <w:r w:rsidR="00B277C4">
        <w:t xml:space="preserve"> European Union (</w:t>
      </w:r>
      <w:r w:rsidR="00B277C4" w:rsidRPr="00B277C4">
        <w:t>EU</w:t>
      </w:r>
      <w:r w:rsidR="00B277C4">
        <w:t>)</w:t>
      </w:r>
      <w:r w:rsidR="00B277C4" w:rsidRPr="00B277C4">
        <w:t xml:space="preserve"> Centralised Procedure on 15 November 2013 by all 2</w:t>
      </w:r>
      <w:r w:rsidR="0049082D">
        <w:t>7</w:t>
      </w:r>
      <w:r w:rsidR="00B277C4" w:rsidRPr="00B277C4">
        <w:t xml:space="preserve"> European Union member states, Norway, Liechtenstein and Iceland.</w:t>
      </w:r>
    </w:p>
    <w:p w14:paraId="2812F40E" w14:textId="082CC333" w:rsidR="004C67AA" w:rsidRDefault="004C67AA" w:rsidP="00930037">
      <w:pPr>
        <w:pStyle w:val="Heading3"/>
      </w:pPr>
      <w:bookmarkStart w:id="17" w:name="_Toc384807743"/>
      <w:bookmarkStart w:id="18" w:name="_Toc408924906"/>
      <w:r>
        <w:lastRenderedPageBreak/>
        <w:t xml:space="preserve">Product </w:t>
      </w:r>
      <w:r w:rsidR="00B341AE">
        <w:t>I</w:t>
      </w:r>
      <w:r>
        <w:t>nformation</w:t>
      </w:r>
      <w:bookmarkEnd w:id="15"/>
      <w:bookmarkEnd w:id="16"/>
      <w:bookmarkEnd w:id="17"/>
      <w:bookmarkEnd w:id="18"/>
    </w:p>
    <w:p w14:paraId="2812F40F" w14:textId="3A4F8E5C" w:rsidR="004C67AA" w:rsidRDefault="004C67AA" w:rsidP="00B341AE">
      <w:pPr>
        <w:rPr>
          <w:b/>
          <w:bCs/>
        </w:rPr>
      </w:pPr>
      <w:bookmarkStart w:id="19" w:name="_Toc247691506"/>
      <w:bookmarkStart w:id="20"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7" w:history="1">
        <w:r w:rsidR="00B341AE">
          <w:rPr>
            <w:rStyle w:val="Hyperlink"/>
          </w:rPr>
          <w:t>http://www.tga.gov.au/product-information-pi</w:t>
        </w:r>
      </w:hyperlink>
      <w:r w:rsidRPr="00940A89">
        <w:t>&gt;.</w:t>
      </w:r>
    </w:p>
    <w:p w14:paraId="2812F410" w14:textId="77777777" w:rsidR="004C67AA" w:rsidRPr="003602A9" w:rsidRDefault="004C67AA" w:rsidP="00BA5999">
      <w:pPr>
        <w:pStyle w:val="Heading2"/>
      </w:pPr>
      <w:bookmarkStart w:id="21" w:name="_Toc384807744"/>
      <w:bookmarkStart w:id="22" w:name="_Toc408924907"/>
      <w:r>
        <w:t>II. Quality findings</w:t>
      </w:r>
      <w:bookmarkEnd w:id="19"/>
      <w:bookmarkEnd w:id="20"/>
      <w:bookmarkEnd w:id="21"/>
      <w:bookmarkEnd w:id="22"/>
    </w:p>
    <w:p w14:paraId="2812F411" w14:textId="77777777" w:rsidR="0073785E" w:rsidRDefault="0073785E" w:rsidP="00930037">
      <w:pPr>
        <w:pStyle w:val="Heading3"/>
      </w:pPr>
      <w:bookmarkStart w:id="23" w:name="_Toc247691507"/>
      <w:bookmarkStart w:id="24" w:name="_Toc314842488"/>
      <w:bookmarkStart w:id="25" w:name="_Toc384807746"/>
      <w:bookmarkStart w:id="26" w:name="_Toc408924908"/>
      <w:r w:rsidRPr="008751DC">
        <w:t xml:space="preserve">Drug </w:t>
      </w:r>
      <w:r>
        <w:t>s</w:t>
      </w:r>
      <w:r w:rsidRPr="008751DC">
        <w:t>ubstance</w:t>
      </w:r>
      <w:r>
        <w:t xml:space="preserve"> (active ingredient)</w:t>
      </w:r>
      <w:bookmarkEnd w:id="26"/>
    </w:p>
    <w:p w14:paraId="2812F412" w14:textId="00BC1D8A" w:rsidR="0073785E" w:rsidRDefault="0073785E" w:rsidP="00930037">
      <w:r>
        <w:t xml:space="preserve">The chemical structure of </w:t>
      </w:r>
      <w:proofErr w:type="spellStart"/>
      <w:r>
        <w:t>aripiprazole</w:t>
      </w:r>
      <w:proofErr w:type="spellEnd"/>
      <w:r>
        <w:t xml:space="preserve"> </w:t>
      </w:r>
      <w:r w:rsidR="009A0F26">
        <w:t xml:space="preserve">monohydrate </w:t>
      </w:r>
      <w:r>
        <w:t>is shown below.</w:t>
      </w:r>
    </w:p>
    <w:p w14:paraId="2812F413" w14:textId="77777777" w:rsidR="0073785E" w:rsidRDefault="0073785E" w:rsidP="00930037">
      <w:pPr>
        <w:pStyle w:val="FigureTitle"/>
      </w:pPr>
      <w:r>
        <w:t>Figure 1. Chemical structure.</w:t>
      </w:r>
    </w:p>
    <w:p w14:paraId="2812F414" w14:textId="77777777" w:rsidR="0073785E" w:rsidRDefault="0073785E" w:rsidP="0073785E">
      <w:pPr>
        <w:pStyle w:val="A-Head6"/>
      </w:pPr>
      <w:r>
        <w:rPr>
          <w:noProof/>
          <w:lang w:eastAsia="en-AU"/>
        </w:rPr>
        <w:drawing>
          <wp:inline distT="0" distB="0" distL="0" distR="0" wp14:anchorId="2812F714" wp14:editId="2812F715">
            <wp:extent cx="3031588" cy="759176"/>
            <wp:effectExtent l="0" t="0" r="0" b="0"/>
            <wp:docPr id="2" name="Picture 2" descr="Figure 1.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1509" cy="759156"/>
                    </a:xfrm>
                    <a:prstGeom prst="rect">
                      <a:avLst/>
                    </a:prstGeom>
                    <a:noFill/>
                    <a:ln>
                      <a:noFill/>
                    </a:ln>
                  </pic:spPr>
                </pic:pic>
              </a:graphicData>
            </a:graphic>
          </wp:inline>
        </w:drawing>
      </w:r>
    </w:p>
    <w:p w14:paraId="2812F415" w14:textId="77777777" w:rsidR="0073785E" w:rsidRPr="0073785E" w:rsidRDefault="0073785E" w:rsidP="00930037">
      <w:pPr>
        <w:pStyle w:val="FigureDescription"/>
      </w:pPr>
      <w:r w:rsidRPr="0073785E">
        <w:t>Molecular Formula</w:t>
      </w:r>
      <w:r>
        <w:t xml:space="preserve"> </w:t>
      </w:r>
      <w:r w:rsidRPr="0073785E">
        <w:rPr>
          <w:lang w:eastAsia="en-AU"/>
        </w:rPr>
        <w:t>C</w:t>
      </w:r>
      <w:r w:rsidRPr="0073785E">
        <w:rPr>
          <w:vertAlign w:val="subscript"/>
          <w:lang w:eastAsia="en-AU"/>
        </w:rPr>
        <w:t>23</w:t>
      </w:r>
      <w:r w:rsidRPr="0073785E">
        <w:rPr>
          <w:lang w:eastAsia="en-AU"/>
        </w:rPr>
        <w:t>H</w:t>
      </w:r>
      <w:r w:rsidRPr="0073785E">
        <w:rPr>
          <w:vertAlign w:val="subscript"/>
          <w:lang w:eastAsia="en-AU"/>
        </w:rPr>
        <w:t>27</w:t>
      </w:r>
      <w:r w:rsidRPr="0073785E">
        <w:rPr>
          <w:lang w:eastAsia="en-AU"/>
        </w:rPr>
        <w:t>Cl</w:t>
      </w:r>
      <w:r w:rsidRPr="0073785E">
        <w:rPr>
          <w:vertAlign w:val="subscript"/>
          <w:lang w:eastAsia="en-AU"/>
        </w:rPr>
        <w:t>2</w:t>
      </w:r>
      <w:r w:rsidRPr="0073785E">
        <w:rPr>
          <w:lang w:eastAsia="en-AU"/>
        </w:rPr>
        <w:t>N</w:t>
      </w:r>
      <w:r w:rsidRPr="0073785E">
        <w:rPr>
          <w:vertAlign w:val="subscript"/>
          <w:lang w:eastAsia="en-AU"/>
        </w:rPr>
        <w:t>3</w:t>
      </w:r>
      <w:r w:rsidRPr="0073785E">
        <w:rPr>
          <w:lang w:eastAsia="en-AU"/>
        </w:rPr>
        <w:t>O</w:t>
      </w:r>
      <w:r w:rsidRPr="0073785E">
        <w:rPr>
          <w:vertAlign w:val="subscript"/>
          <w:lang w:eastAsia="en-AU"/>
        </w:rPr>
        <w:t>2</w:t>
      </w:r>
      <w:r w:rsidRPr="0073785E">
        <w:rPr>
          <w:lang w:eastAsia="en-AU"/>
        </w:rPr>
        <w:t>.H</w:t>
      </w:r>
      <w:r w:rsidRPr="0073785E">
        <w:rPr>
          <w:vertAlign w:val="subscript"/>
          <w:lang w:eastAsia="en-AU"/>
        </w:rPr>
        <w:t>2</w:t>
      </w:r>
      <w:r w:rsidRPr="0073785E">
        <w:rPr>
          <w:lang w:eastAsia="en-AU"/>
        </w:rPr>
        <w:t>O</w:t>
      </w:r>
      <w:r>
        <w:rPr>
          <w:lang w:eastAsia="en-AU"/>
        </w:rPr>
        <w:t xml:space="preserve">. </w:t>
      </w:r>
      <w:r w:rsidRPr="0073785E">
        <w:t>Molecular Weight</w:t>
      </w:r>
      <w:r>
        <w:t xml:space="preserve"> </w:t>
      </w:r>
      <w:r w:rsidRPr="0073785E">
        <w:t>466.40</w:t>
      </w:r>
    </w:p>
    <w:p w14:paraId="2812F416" w14:textId="221C7032" w:rsidR="0073785E" w:rsidRDefault="0073785E" w:rsidP="00930037">
      <w:r>
        <w:t xml:space="preserve">There is a US </w:t>
      </w:r>
      <w:r w:rsidR="00066CBD">
        <w:t>Pharmacopeia</w:t>
      </w:r>
      <w:r>
        <w:t xml:space="preserve"> monograph f</w:t>
      </w:r>
      <w:r w:rsidR="00930037">
        <w:t xml:space="preserve">or </w:t>
      </w:r>
      <w:proofErr w:type="spellStart"/>
      <w:r w:rsidR="00930037">
        <w:t>aripiprazole</w:t>
      </w:r>
      <w:proofErr w:type="spellEnd"/>
      <w:r w:rsidR="00930037">
        <w:t>.</w:t>
      </w:r>
    </w:p>
    <w:p w14:paraId="2812F417" w14:textId="1CA88948" w:rsidR="0073785E" w:rsidRDefault="006A6B47" w:rsidP="00930037">
      <w:r>
        <w:rPr>
          <w:szCs w:val="24"/>
          <w:lang w:eastAsia="en-AU"/>
        </w:rPr>
        <w:t xml:space="preserve">Sterile </w:t>
      </w:r>
      <w:proofErr w:type="spellStart"/>
      <w:r>
        <w:rPr>
          <w:szCs w:val="24"/>
          <w:lang w:eastAsia="en-AU"/>
        </w:rPr>
        <w:t>aripiprazole</w:t>
      </w:r>
      <w:proofErr w:type="spellEnd"/>
      <w:r>
        <w:rPr>
          <w:szCs w:val="24"/>
          <w:lang w:eastAsia="en-AU"/>
        </w:rPr>
        <w:t xml:space="preserve"> monohydrate is manufactured by an aseptic process from anhydrous </w:t>
      </w:r>
      <w:proofErr w:type="spellStart"/>
      <w:r>
        <w:rPr>
          <w:szCs w:val="24"/>
          <w:lang w:eastAsia="en-AU"/>
        </w:rPr>
        <w:t>aripipra</w:t>
      </w:r>
      <w:r w:rsidR="00706153">
        <w:rPr>
          <w:szCs w:val="24"/>
          <w:lang w:eastAsia="en-AU"/>
        </w:rPr>
        <w:t>zole</w:t>
      </w:r>
      <w:proofErr w:type="spellEnd"/>
      <w:r w:rsidR="00706153">
        <w:rPr>
          <w:szCs w:val="24"/>
          <w:lang w:eastAsia="en-AU"/>
        </w:rPr>
        <w:t xml:space="preserve"> oral grade (intermediate).</w:t>
      </w:r>
      <w:r>
        <w:rPr>
          <w:szCs w:val="24"/>
          <w:lang w:eastAsia="en-AU"/>
        </w:rPr>
        <w:t xml:space="preserve"> </w:t>
      </w:r>
      <w:r w:rsidR="0073785E">
        <w:t>Th</w:t>
      </w:r>
      <w:r>
        <w:t>is</w:t>
      </w:r>
      <w:r w:rsidR="0073785E">
        <w:t xml:space="preserve"> application includes two sources of st</w:t>
      </w:r>
      <w:r w:rsidR="00706153">
        <w:t xml:space="preserve">erile </w:t>
      </w:r>
      <w:proofErr w:type="spellStart"/>
      <w:r w:rsidR="00706153">
        <w:t>Aripiprazole</w:t>
      </w:r>
      <w:proofErr w:type="spellEnd"/>
      <w:r w:rsidR="00706153">
        <w:t xml:space="preserve"> Monohydrate.</w:t>
      </w:r>
      <w:r w:rsidR="0073785E">
        <w:t xml:space="preserve"> Both manufacturers source oral grade </w:t>
      </w:r>
      <w:proofErr w:type="spellStart"/>
      <w:r w:rsidR="0073785E">
        <w:t>Aripiprazole</w:t>
      </w:r>
      <w:proofErr w:type="spellEnd"/>
      <w:r w:rsidR="0073785E">
        <w:t xml:space="preserve"> Anhydrous from the same source and produce the sterile monohydrate grade via aseptic filtration and recrystallization.</w:t>
      </w:r>
    </w:p>
    <w:p w14:paraId="2812F418" w14:textId="27C16011" w:rsidR="006A6B47" w:rsidRDefault="006A6B47" w:rsidP="00930037">
      <w:r>
        <w:rPr>
          <w:lang w:eastAsia="en-AU"/>
        </w:rPr>
        <w:t xml:space="preserve">Sterile </w:t>
      </w:r>
      <w:proofErr w:type="spellStart"/>
      <w:r>
        <w:rPr>
          <w:lang w:eastAsia="en-AU"/>
        </w:rPr>
        <w:t>aripiprazole</w:t>
      </w:r>
      <w:proofErr w:type="spellEnd"/>
      <w:r>
        <w:rPr>
          <w:lang w:eastAsia="en-AU"/>
        </w:rPr>
        <w:t xml:space="preserve"> monohydrate is manufactured in a one-step sterile crystallization process startin</w:t>
      </w:r>
      <w:r w:rsidR="00706153">
        <w:rPr>
          <w:lang w:eastAsia="en-AU"/>
        </w:rPr>
        <w:t xml:space="preserve">g with anhydrous </w:t>
      </w:r>
      <w:proofErr w:type="spellStart"/>
      <w:r w:rsidR="00706153">
        <w:rPr>
          <w:lang w:eastAsia="en-AU"/>
        </w:rPr>
        <w:t>aripiprazole</w:t>
      </w:r>
      <w:proofErr w:type="spellEnd"/>
      <w:r w:rsidR="00706153">
        <w:rPr>
          <w:lang w:eastAsia="en-AU"/>
        </w:rPr>
        <w:t xml:space="preserve">. </w:t>
      </w:r>
      <w:r>
        <w:rPr>
          <w:lang w:eastAsia="en-AU"/>
        </w:rPr>
        <w:t xml:space="preserve">The critical quality attributes for sterile </w:t>
      </w:r>
      <w:proofErr w:type="spellStart"/>
      <w:r>
        <w:rPr>
          <w:lang w:eastAsia="en-AU"/>
        </w:rPr>
        <w:t>aripiprazole</w:t>
      </w:r>
      <w:proofErr w:type="spellEnd"/>
      <w:r>
        <w:rPr>
          <w:lang w:eastAsia="en-AU"/>
        </w:rPr>
        <w:t xml:space="preserve"> monohydrate are </w:t>
      </w:r>
      <w:r w:rsidR="00706153">
        <w:rPr>
          <w:lang w:eastAsia="en-AU"/>
        </w:rPr>
        <w:t>crystalline form and sterility.</w:t>
      </w:r>
      <w:r>
        <w:rPr>
          <w:lang w:eastAsia="en-AU"/>
        </w:rPr>
        <w:t xml:space="preserve"> Desired crystalline form is the monohydrate</w:t>
      </w:r>
      <w:r w:rsidR="00831500">
        <w:rPr>
          <w:lang w:eastAsia="en-AU"/>
        </w:rPr>
        <w:t xml:space="preserve">. </w:t>
      </w:r>
      <w:r w:rsidRPr="009E3686">
        <w:t>Product specific validation of the aseptic filtering and filling of the concentrated injection has been provided and w</w:t>
      </w:r>
      <w:r>
        <w:t>as</w:t>
      </w:r>
      <w:r w:rsidRPr="009E3686">
        <w:t xml:space="preserve"> assessed by the TGA’s Office of Laboratories and Scientific Services</w:t>
      </w:r>
      <w:r w:rsidR="00391462">
        <w:t xml:space="preserve"> (see below)</w:t>
      </w:r>
      <w:r w:rsidRPr="009E3686">
        <w:t>.</w:t>
      </w:r>
    </w:p>
    <w:p w14:paraId="2812F419" w14:textId="77777777" w:rsidR="0073785E" w:rsidRDefault="0073785E" w:rsidP="00930037">
      <w:pPr>
        <w:pStyle w:val="Heading3"/>
      </w:pPr>
      <w:bookmarkStart w:id="27" w:name="_Toc247691508"/>
      <w:bookmarkStart w:id="28" w:name="_Toc314842490"/>
      <w:bookmarkStart w:id="29" w:name="_Toc384807747"/>
      <w:bookmarkStart w:id="30" w:name="_Toc408924909"/>
      <w:r w:rsidRPr="008751DC">
        <w:t xml:space="preserve">Drug </w:t>
      </w:r>
      <w:r>
        <w:t>p</w:t>
      </w:r>
      <w:r w:rsidRPr="008751DC">
        <w:t>roduct</w:t>
      </w:r>
      <w:bookmarkEnd w:id="27"/>
      <w:bookmarkEnd w:id="28"/>
      <w:bookmarkEnd w:id="29"/>
      <w:bookmarkEnd w:id="30"/>
    </w:p>
    <w:p w14:paraId="2812F41A" w14:textId="773410A8" w:rsidR="00ED539E" w:rsidRDefault="00EF2BBF" w:rsidP="00706153">
      <w:pPr>
        <w:rPr>
          <w:szCs w:val="24"/>
          <w:lang w:eastAsia="en-AU"/>
        </w:rPr>
      </w:pPr>
      <w:bookmarkStart w:id="31" w:name="_Toc314842491"/>
      <w:bookmarkStart w:id="32" w:name="_Toc384807748"/>
      <w:proofErr w:type="spellStart"/>
      <w:r>
        <w:rPr>
          <w:lang w:eastAsia="en-AU"/>
        </w:rPr>
        <w:t>Abilify</w:t>
      </w:r>
      <w:proofErr w:type="spellEnd"/>
      <w:r>
        <w:rPr>
          <w:lang w:eastAsia="en-AU"/>
        </w:rPr>
        <w:t xml:space="preserve"> </w:t>
      </w:r>
      <w:proofErr w:type="spellStart"/>
      <w:r>
        <w:rPr>
          <w:lang w:eastAsia="en-AU"/>
        </w:rPr>
        <w:t>Maintena</w:t>
      </w:r>
      <w:proofErr w:type="spellEnd"/>
      <w:r>
        <w:rPr>
          <w:lang w:eastAsia="en-AU"/>
        </w:rPr>
        <w:t xml:space="preserve"> </w:t>
      </w:r>
      <w:r w:rsidR="003421CB">
        <w:rPr>
          <w:lang w:eastAsia="en-AU"/>
        </w:rPr>
        <w:t xml:space="preserve">is a single dose injectable suspension to be reconstituted with Water for Injections (WFI) prior to administration. </w:t>
      </w:r>
      <w:r w:rsidR="00586E1B">
        <w:rPr>
          <w:szCs w:val="24"/>
          <w:lang w:eastAsia="en-AU"/>
        </w:rPr>
        <w:t>The Water for Injection</w:t>
      </w:r>
      <w:r w:rsidR="00066CBD">
        <w:rPr>
          <w:szCs w:val="24"/>
          <w:lang w:eastAsia="en-AU"/>
        </w:rPr>
        <w:t>s</w:t>
      </w:r>
      <w:r w:rsidR="00586E1B">
        <w:rPr>
          <w:szCs w:val="24"/>
          <w:lang w:eastAsia="en-AU"/>
        </w:rPr>
        <w:t xml:space="preserve"> meets the current European </w:t>
      </w:r>
      <w:r>
        <w:rPr>
          <w:szCs w:val="24"/>
          <w:lang w:eastAsia="en-AU"/>
        </w:rPr>
        <w:t>Pharmacopeia</w:t>
      </w:r>
      <w:r w:rsidR="00586E1B">
        <w:rPr>
          <w:szCs w:val="24"/>
          <w:lang w:eastAsia="en-AU"/>
        </w:rPr>
        <w:t xml:space="preserve"> (</w:t>
      </w:r>
      <w:proofErr w:type="spellStart"/>
      <w:r w:rsidR="00586E1B">
        <w:rPr>
          <w:szCs w:val="24"/>
          <w:lang w:eastAsia="en-AU"/>
        </w:rPr>
        <w:t>Ph</w:t>
      </w:r>
      <w:r w:rsidR="00391462">
        <w:rPr>
          <w:szCs w:val="24"/>
          <w:lang w:eastAsia="en-AU"/>
        </w:rPr>
        <w:t>.</w:t>
      </w:r>
      <w:r w:rsidR="00586E1B">
        <w:rPr>
          <w:szCs w:val="24"/>
          <w:lang w:eastAsia="en-AU"/>
        </w:rPr>
        <w:t>Eur</w:t>
      </w:r>
      <w:proofErr w:type="spellEnd"/>
      <w:r w:rsidR="00586E1B">
        <w:rPr>
          <w:szCs w:val="24"/>
          <w:lang w:eastAsia="en-AU"/>
        </w:rPr>
        <w:t>)</w:t>
      </w:r>
      <w:r w:rsidR="009205EE">
        <w:rPr>
          <w:szCs w:val="24"/>
          <w:lang w:eastAsia="en-AU"/>
        </w:rPr>
        <w:t xml:space="preserve"> and </w:t>
      </w:r>
      <w:r w:rsidR="00930037">
        <w:rPr>
          <w:szCs w:val="24"/>
          <w:lang w:eastAsia="en-AU"/>
        </w:rPr>
        <w:t>USP.</w:t>
      </w:r>
    </w:p>
    <w:p w14:paraId="2812F41B" w14:textId="77777777" w:rsidR="00586E1B" w:rsidRDefault="00ED539E" w:rsidP="00930037">
      <w:r>
        <w:t xml:space="preserve">The extended-release injectable suspension delivers 300 mg of </w:t>
      </w:r>
      <w:proofErr w:type="spellStart"/>
      <w:r>
        <w:t>aripiprazole</w:t>
      </w:r>
      <w:proofErr w:type="spellEnd"/>
      <w:r>
        <w:t xml:space="preserve"> in 300 mg/vial strength and 400 mg of </w:t>
      </w:r>
      <w:proofErr w:type="spellStart"/>
      <w:r>
        <w:t>aripiprazole</w:t>
      </w:r>
      <w:proofErr w:type="spellEnd"/>
      <w:r>
        <w:t xml:space="preserve"> in 400 mg/vial strength. The compositions of the 300 mg/vial and 400 mg/vial are the same differing only in the fill volume in the vial.</w:t>
      </w:r>
    </w:p>
    <w:p w14:paraId="2812F41C" w14:textId="77777777" w:rsidR="00586E1B" w:rsidRDefault="00586E1B" w:rsidP="00706153">
      <w:pPr>
        <w:pStyle w:val="Heading3"/>
      </w:pPr>
      <w:bookmarkStart w:id="33" w:name="_Toc408924910"/>
      <w:r>
        <w:t>Evaluation of sterility aspects</w:t>
      </w:r>
      <w:bookmarkEnd w:id="33"/>
    </w:p>
    <w:p w14:paraId="2812F41D" w14:textId="77777777" w:rsidR="00586E1B" w:rsidRPr="00420005" w:rsidRDefault="00ED539E" w:rsidP="00930037">
      <w:pPr>
        <w:rPr>
          <w:bCs/>
        </w:rPr>
      </w:pPr>
      <w:r>
        <w:t xml:space="preserve">Following receipt of the sponsor’s </w:t>
      </w:r>
      <w:r w:rsidRPr="001906ED">
        <w:rPr>
          <w:rFonts w:asciiTheme="minorHAnsi" w:hAnsiTheme="minorHAnsi"/>
        </w:rPr>
        <w:t>respon</w:t>
      </w:r>
      <w:r>
        <w:rPr>
          <w:rFonts w:asciiTheme="minorHAnsi" w:hAnsiTheme="minorHAnsi"/>
        </w:rPr>
        <w:t>se</w:t>
      </w:r>
      <w:r w:rsidRPr="001906ED">
        <w:rPr>
          <w:rFonts w:asciiTheme="minorHAnsi" w:hAnsiTheme="minorHAnsi"/>
        </w:rPr>
        <w:t xml:space="preserve"> to the questions raised in the evaluation of sterility aspects dated </w:t>
      </w:r>
      <w:r>
        <w:rPr>
          <w:rFonts w:asciiTheme="minorHAnsi" w:hAnsiTheme="minorHAnsi"/>
        </w:rPr>
        <w:t>30 August</w:t>
      </w:r>
      <w:r w:rsidRPr="001906ED">
        <w:rPr>
          <w:rFonts w:asciiTheme="minorHAnsi" w:hAnsiTheme="minorHAnsi"/>
        </w:rPr>
        <w:t xml:space="preserve"> 2013</w:t>
      </w:r>
      <w:r>
        <w:rPr>
          <w:rFonts w:asciiTheme="minorHAnsi" w:hAnsiTheme="minorHAnsi"/>
        </w:rPr>
        <w:t>, t</w:t>
      </w:r>
      <w:r w:rsidR="00586E1B" w:rsidRPr="00420005">
        <w:t xml:space="preserve">here </w:t>
      </w:r>
      <w:r w:rsidR="00586E1B">
        <w:t>were</w:t>
      </w:r>
      <w:r w:rsidR="00586E1B" w:rsidRPr="00420005">
        <w:t xml:space="preserve"> no objections from a microbiological viewpoint to the approval of the registration of </w:t>
      </w:r>
      <w:proofErr w:type="spellStart"/>
      <w:r w:rsidR="00586E1B" w:rsidRPr="00420005">
        <w:rPr>
          <w:bCs/>
        </w:rPr>
        <w:t>Abilify</w:t>
      </w:r>
      <w:proofErr w:type="spellEnd"/>
      <w:r w:rsidR="00586E1B" w:rsidRPr="00420005">
        <w:rPr>
          <w:bCs/>
        </w:rPr>
        <w:t xml:space="preserve"> </w:t>
      </w:r>
      <w:proofErr w:type="spellStart"/>
      <w:r w:rsidR="00586E1B" w:rsidRPr="00420005">
        <w:rPr>
          <w:bCs/>
        </w:rPr>
        <w:t>Maintena</w:t>
      </w:r>
      <w:proofErr w:type="spellEnd"/>
      <w:r w:rsidR="00586E1B" w:rsidRPr="00420005">
        <w:rPr>
          <w:bCs/>
        </w:rPr>
        <w:t xml:space="preserve"> (</w:t>
      </w:r>
      <w:proofErr w:type="spellStart"/>
      <w:r w:rsidR="00586E1B" w:rsidRPr="00420005">
        <w:rPr>
          <w:bCs/>
        </w:rPr>
        <w:t>aripiprazole</w:t>
      </w:r>
      <w:proofErr w:type="spellEnd"/>
      <w:r w:rsidR="00586E1B" w:rsidRPr="00420005">
        <w:rPr>
          <w:bCs/>
        </w:rPr>
        <w:t xml:space="preserve"> monohydrate) Powder and Solvent for Prolonged Release Suspension for Injection 300 mg and 400 mg.</w:t>
      </w:r>
    </w:p>
    <w:p w14:paraId="2812F41E" w14:textId="77777777" w:rsidR="0073785E" w:rsidRDefault="0073785E" w:rsidP="00930037">
      <w:pPr>
        <w:pStyle w:val="Heading3"/>
      </w:pPr>
      <w:bookmarkStart w:id="34" w:name="_Toc408924911"/>
      <w:proofErr w:type="spellStart"/>
      <w:r>
        <w:lastRenderedPageBreak/>
        <w:t>Biopharmaceutics</w:t>
      </w:r>
      <w:bookmarkEnd w:id="31"/>
      <w:bookmarkEnd w:id="32"/>
      <w:bookmarkEnd w:id="34"/>
      <w:proofErr w:type="spellEnd"/>
    </w:p>
    <w:p w14:paraId="2812F41F" w14:textId="1AD132DB" w:rsidR="0073785E" w:rsidRPr="00D62B4C" w:rsidRDefault="0073785E" w:rsidP="00930037">
      <w:pPr>
        <w:rPr>
          <w:lang w:val="en-US" w:eastAsia="en-AU"/>
        </w:rPr>
      </w:pPr>
      <w:bookmarkStart w:id="35" w:name="_Toc314842492"/>
      <w:bookmarkStart w:id="36" w:name="_Toc384807749"/>
      <w:r w:rsidRPr="00D62B4C">
        <w:rPr>
          <w:lang w:val="en-US" w:eastAsia="en-AU"/>
        </w:rPr>
        <w:t xml:space="preserve">Absorption of </w:t>
      </w:r>
      <w:proofErr w:type="spellStart"/>
      <w:r w:rsidRPr="00D62B4C">
        <w:rPr>
          <w:lang w:val="en-US" w:eastAsia="en-AU"/>
        </w:rPr>
        <w:t>aripiprazole</w:t>
      </w:r>
      <w:proofErr w:type="spellEnd"/>
      <w:r w:rsidRPr="00D62B4C">
        <w:rPr>
          <w:lang w:val="en-US" w:eastAsia="en-AU"/>
        </w:rPr>
        <w:t xml:space="preserve"> from IM depot formulation was complete relative to IM</w:t>
      </w:r>
      <w:r>
        <w:rPr>
          <w:lang w:val="en-US" w:eastAsia="en-AU"/>
        </w:rPr>
        <w:t xml:space="preserve"> </w:t>
      </w:r>
      <w:r w:rsidRPr="00D62B4C">
        <w:rPr>
          <w:lang w:val="en-US" w:eastAsia="en-AU"/>
        </w:rPr>
        <w:t>standard formulation based on dose adjusted AUC</w:t>
      </w:r>
      <w:r w:rsidRPr="00D62B4C">
        <w:rPr>
          <w:vertAlign w:val="subscript"/>
          <w:lang w:val="en-US" w:eastAsia="en-AU"/>
        </w:rPr>
        <w:t>(0-</w:t>
      </w:r>
      <w:r>
        <w:rPr>
          <w:vertAlign w:val="subscript"/>
          <w:lang w:val="en-US" w:eastAsia="en-AU"/>
        </w:rPr>
        <w:t>t</w:t>
      </w:r>
      <w:r w:rsidRPr="00D62B4C">
        <w:rPr>
          <w:vertAlign w:val="subscript"/>
          <w:lang w:val="en-US" w:eastAsia="en-AU"/>
        </w:rPr>
        <w:t>)</w:t>
      </w:r>
      <w:r w:rsidRPr="00D62B4C">
        <w:rPr>
          <w:lang w:val="en-US" w:eastAsia="en-AU"/>
        </w:rPr>
        <w:t xml:space="preserve"> values and maximum</w:t>
      </w:r>
      <w:r>
        <w:rPr>
          <w:lang w:val="en-US" w:eastAsia="en-AU"/>
        </w:rPr>
        <w:t xml:space="preserve"> </w:t>
      </w:r>
      <w:r w:rsidRPr="00D62B4C">
        <w:rPr>
          <w:lang w:val="en-US" w:eastAsia="en-AU"/>
        </w:rPr>
        <w:t xml:space="preserve">cumulative fraction of dose absorbed as determined by </w:t>
      </w:r>
      <w:proofErr w:type="spellStart"/>
      <w:r w:rsidRPr="00D62B4C">
        <w:rPr>
          <w:lang w:val="en-US" w:eastAsia="en-AU"/>
        </w:rPr>
        <w:t>deconvolution</w:t>
      </w:r>
      <w:proofErr w:type="spellEnd"/>
      <w:r w:rsidRPr="00D62B4C">
        <w:rPr>
          <w:lang w:val="en-US" w:eastAsia="en-AU"/>
        </w:rPr>
        <w:t xml:space="preserve"> analysis.</w:t>
      </w:r>
      <w:r>
        <w:rPr>
          <w:lang w:val="en-US" w:eastAsia="en-AU"/>
        </w:rPr>
        <w:t xml:space="preserve">  </w:t>
      </w:r>
      <w:r w:rsidRPr="00D62B4C">
        <w:rPr>
          <w:lang w:val="en-US" w:eastAsia="en-AU"/>
        </w:rPr>
        <w:t xml:space="preserve">Following single dose of </w:t>
      </w:r>
      <w:proofErr w:type="spellStart"/>
      <w:r w:rsidRPr="00D62B4C">
        <w:rPr>
          <w:lang w:val="en-US" w:eastAsia="en-AU"/>
        </w:rPr>
        <w:t>aripiprazole</w:t>
      </w:r>
      <w:proofErr w:type="spellEnd"/>
      <w:r w:rsidRPr="00D62B4C">
        <w:rPr>
          <w:lang w:val="en-US" w:eastAsia="en-AU"/>
        </w:rPr>
        <w:t xml:space="preserve"> in the IM depot formulation, the estimated time</w:t>
      </w:r>
      <w:r>
        <w:rPr>
          <w:lang w:val="en-US" w:eastAsia="en-AU"/>
        </w:rPr>
        <w:t xml:space="preserve"> </w:t>
      </w:r>
      <w:r w:rsidRPr="00D62B4C">
        <w:rPr>
          <w:lang w:val="en-US" w:eastAsia="en-AU"/>
        </w:rPr>
        <w:t xml:space="preserve">required to absorb 50% of the </w:t>
      </w:r>
      <w:proofErr w:type="spellStart"/>
      <w:r w:rsidRPr="00D62B4C">
        <w:rPr>
          <w:lang w:val="en-US" w:eastAsia="en-AU"/>
        </w:rPr>
        <w:t>aripiprazole</w:t>
      </w:r>
      <w:proofErr w:type="spellEnd"/>
      <w:r w:rsidRPr="00D62B4C">
        <w:rPr>
          <w:lang w:val="en-US" w:eastAsia="en-AU"/>
        </w:rPr>
        <w:t xml:space="preserve"> dose ranged between 10 to 35 days over</w:t>
      </w:r>
      <w:r>
        <w:rPr>
          <w:lang w:val="en-US" w:eastAsia="en-AU"/>
        </w:rPr>
        <w:t xml:space="preserve"> </w:t>
      </w:r>
      <w:r w:rsidRPr="00D62B4C">
        <w:rPr>
          <w:lang w:val="en-US" w:eastAsia="en-AU"/>
        </w:rPr>
        <w:t>the dose range of 15 to 400 mg.</w:t>
      </w:r>
      <w:r>
        <w:rPr>
          <w:lang w:val="en-US" w:eastAsia="en-AU"/>
        </w:rPr>
        <w:t xml:space="preserve">  </w:t>
      </w:r>
      <w:r w:rsidRPr="00D62B4C">
        <w:rPr>
          <w:lang w:val="en-US" w:eastAsia="en-AU"/>
        </w:rPr>
        <w:t xml:space="preserve">Single doses of </w:t>
      </w:r>
      <w:proofErr w:type="spellStart"/>
      <w:r w:rsidRPr="00D62B4C">
        <w:rPr>
          <w:lang w:val="en-US" w:eastAsia="en-AU"/>
        </w:rPr>
        <w:t>aripiprazole</w:t>
      </w:r>
      <w:proofErr w:type="spellEnd"/>
      <w:r w:rsidRPr="00D62B4C">
        <w:rPr>
          <w:lang w:val="en-US" w:eastAsia="en-AU"/>
        </w:rPr>
        <w:t xml:space="preserve"> IM depot over the range of 15 mg to 400 mg were</w:t>
      </w:r>
      <w:r>
        <w:rPr>
          <w:lang w:val="en-US" w:eastAsia="en-AU"/>
        </w:rPr>
        <w:t xml:space="preserve"> </w:t>
      </w:r>
      <w:r w:rsidRPr="00D62B4C">
        <w:rPr>
          <w:lang w:val="en-US" w:eastAsia="en-AU"/>
        </w:rPr>
        <w:t xml:space="preserve">generally safe and well-tolerated by subjects with </w:t>
      </w:r>
      <w:r>
        <w:rPr>
          <w:lang w:val="en-US" w:eastAsia="en-AU"/>
        </w:rPr>
        <w:t>schizophren</w:t>
      </w:r>
      <w:r w:rsidR="00930037">
        <w:rPr>
          <w:lang w:val="en-US" w:eastAsia="en-AU"/>
        </w:rPr>
        <w:t>ia or schizoaffective subjects.</w:t>
      </w:r>
    </w:p>
    <w:p w14:paraId="2812F420" w14:textId="77777777" w:rsidR="0073785E" w:rsidRPr="008751DC" w:rsidRDefault="0073785E" w:rsidP="00706153">
      <w:pPr>
        <w:pStyle w:val="Heading3"/>
      </w:pPr>
      <w:bookmarkStart w:id="37" w:name="_Toc247691509"/>
      <w:bookmarkStart w:id="38" w:name="_Toc314842493"/>
      <w:bookmarkStart w:id="39" w:name="_Toc384807750"/>
      <w:bookmarkStart w:id="40" w:name="_Toc408924912"/>
      <w:bookmarkEnd w:id="35"/>
      <w:bookmarkEnd w:id="36"/>
      <w:r>
        <w:t>Quality s</w:t>
      </w:r>
      <w:r w:rsidRPr="008751DC">
        <w:t>ummary</w:t>
      </w:r>
      <w:r>
        <w:t xml:space="preserve"> and </w:t>
      </w:r>
      <w:r w:rsidRPr="00706153">
        <w:t>conclusions</w:t>
      </w:r>
      <w:bookmarkEnd w:id="37"/>
      <w:bookmarkEnd w:id="38"/>
      <w:bookmarkEnd w:id="39"/>
      <w:bookmarkEnd w:id="40"/>
    </w:p>
    <w:p w14:paraId="2812F421" w14:textId="77777777" w:rsidR="00586E1B" w:rsidRDefault="00586E1B" w:rsidP="00930037">
      <w:r>
        <w:t xml:space="preserve">The application and the supporting data relating to the composition, development, manufacture, quality control and stability of the product have been assessed and checked for compliance, as applicable, with Australian legislation and requirements for new medicines and in accordance with </w:t>
      </w:r>
      <w:proofErr w:type="spellStart"/>
      <w:r>
        <w:t>pharmacopoeial</w:t>
      </w:r>
      <w:proofErr w:type="spellEnd"/>
      <w:r>
        <w:t xml:space="preserve"> standards and the technical guidelines adopted by the TGA.</w:t>
      </w:r>
    </w:p>
    <w:p w14:paraId="2812F422" w14:textId="77777777" w:rsidR="00986865" w:rsidRDefault="00E01F69" w:rsidP="00930037">
      <w:r w:rsidRPr="00736FE2">
        <w:t xml:space="preserve">There are no objections to registration from a quality and </w:t>
      </w:r>
      <w:proofErr w:type="spellStart"/>
      <w:r w:rsidRPr="00736FE2">
        <w:t>biopharmaceutics</w:t>
      </w:r>
      <w:proofErr w:type="spellEnd"/>
      <w:r w:rsidRPr="00736FE2">
        <w:t xml:space="preserve"> perspective.</w:t>
      </w:r>
    </w:p>
    <w:p w14:paraId="2812F423" w14:textId="77777777" w:rsidR="00E01F69" w:rsidRPr="00736FE2" w:rsidRDefault="00E01F69" w:rsidP="00930037">
      <w:r w:rsidRPr="00736FE2">
        <w:t>The following details relate to this submission:</w:t>
      </w:r>
    </w:p>
    <w:p w14:paraId="2812F424" w14:textId="6698C00B" w:rsidR="00E01F69" w:rsidRPr="00E5593A" w:rsidRDefault="00E01F69" w:rsidP="00930037">
      <w:pPr>
        <w:pStyle w:val="ListBullet"/>
      </w:pPr>
      <w:r w:rsidRPr="00736FE2">
        <w:t xml:space="preserve">A shelf life of </w:t>
      </w:r>
      <w:r>
        <w:t>36</w:t>
      </w:r>
      <w:r w:rsidRPr="00736FE2">
        <w:t xml:space="preserve"> months when stored b</w:t>
      </w:r>
      <w:r w:rsidRPr="00500ECE">
        <w:t xml:space="preserve">elow 30°C </w:t>
      </w:r>
      <w:r>
        <w:t xml:space="preserve">with the extra condition </w:t>
      </w:r>
      <w:r w:rsidR="004F5EC1">
        <w:t>‘</w:t>
      </w:r>
      <w:r w:rsidRPr="004F5EC1">
        <w:rPr>
          <w:i/>
        </w:rPr>
        <w:t>Do not freeze</w:t>
      </w:r>
      <w:r w:rsidR="004F5EC1">
        <w:t>’</w:t>
      </w:r>
      <w:r>
        <w:t xml:space="preserve"> </w:t>
      </w:r>
      <w:r w:rsidRPr="00500ECE">
        <w:t>has been assigned</w:t>
      </w:r>
      <w:r>
        <w:t xml:space="preserve"> </w:t>
      </w:r>
      <w:r w:rsidRPr="00500ECE">
        <w:t xml:space="preserve">to the </w:t>
      </w:r>
      <w:r>
        <w:t>un</w:t>
      </w:r>
      <w:r w:rsidR="004F5EC1">
        <w:t>-</w:t>
      </w:r>
      <w:r>
        <w:t xml:space="preserve">constituted </w:t>
      </w:r>
      <w:r w:rsidRPr="00500ECE">
        <w:t xml:space="preserve">powder for suspension for injection packaged in a </w:t>
      </w:r>
      <w:r w:rsidRPr="00500ECE">
        <w:rPr>
          <w:rFonts w:cs="Calibri"/>
          <w:color w:val="000000"/>
        </w:rPr>
        <w:t xml:space="preserve">10 mL clear </w:t>
      </w:r>
      <w:r>
        <w:rPr>
          <w:rFonts w:cs="Calibri"/>
          <w:color w:val="000000"/>
        </w:rPr>
        <w:t xml:space="preserve">Type I </w:t>
      </w:r>
      <w:r w:rsidRPr="00500ECE">
        <w:rPr>
          <w:rFonts w:cs="Calibri"/>
          <w:color w:val="000000"/>
        </w:rPr>
        <w:t xml:space="preserve">glass vial, stoppered with a </w:t>
      </w:r>
      <w:proofErr w:type="spellStart"/>
      <w:r w:rsidRPr="00500ECE">
        <w:rPr>
          <w:rFonts w:cs="Calibri"/>
          <w:color w:val="000000"/>
        </w:rPr>
        <w:t>teflon</w:t>
      </w:r>
      <w:proofErr w:type="spellEnd"/>
      <w:r w:rsidRPr="00500ECE">
        <w:rPr>
          <w:rFonts w:cs="Calibri"/>
          <w:color w:val="000000"/>
        </w:rPr>
        <w:t xml:space="preserve"> laminated </w:t>
      </w:r>
      <w:proofErr w:type="spellStart"/>
      <w:r w:rsidRPr="00500ECE">
        <w:rPr>
          <w:rFonts w:cs="Calibri"/>
          <w:color w:val="000000"/>
        </w:rPr>
        <w:t>chlorobutyl</w:t>
      </w:r>
      <w:proofErr w:type="spellEnd"/>
      <w:r w:rsidRPr="00500ECE">
        <w:rPr>
          <w:rFonts w:cs="Calibri"/>
          <w:color w:val="000000"/>
        </w:rPr>
        <w:t xml:space="preserve"> rubber stopper and sealed with an aluminium flip-off seal with </w:t>
      </w:r>
      <w:r w:rsidRPr="00500ECE">
        <w:rPr>
          <w:rFonts w:cs="Calibri"/>
        </w:rPr>
        <w:t>either</w:t>
      </w:r>
      <w:r w:rsidRPr="00500ECE">
        <w:rPr>
          <w:rFonts w:cs="Calibri"/>
          <w:color w:val="000000"/>
        </w:rPr>
        <w:t xml:space="preserve"> a yellow polypropylene flip-off top (300 mg) or a blue </w:t>
      </w:r>
      <w:r w:rsidRPr="00E5593A">
        <w:rPr>
          <w:rFonts w:cs="Calibri"/>
          <w:color w:val="000000"/>
        </w:rPr>
        <w:t>polypropylene flip-off top (400 mg)</w:t>
      </w:r>
      <w:r w:rsidRPr="00E5593A">
        <w:t>.</w:t>
      </w:r>
    </w:p>
    <w:p w14:paraId="2812F425" w14:textId="77777777" w:rsidR="00E01F69" w:rsidRPr="00E5593A" w:rsidRDefault="00E01F69" w:rsidP="00930037">
      <w:pPr>
        <w:pStyle w:val="ListBullet"/>
        <w:rPr>
          <w:rFonts w:cstheme="minorHAnsi"/>
        </w:rPr>
      </w:pPr>
      <w:r w:rsidRPr="00E5593A">
        <w:rPr>
          <w:rFonts w:cstheme="minorHAnsi"/>
        </w:rPr>
        <w:t xml:space="preserve">An identical shelf life has been allocated to the </w:t>
      </w:r>
      <w:r w:rsidRPr="00E5593A">
        <w:t xml:space="preserve">Water for Injections diluent packaged in a 2 mL clear glass vial, stoppered with a </w:t>
      </w:r>
      <w:proofErr w:type="spellStart"/>
      <w:r w:rsidRPr="00E5593A">
        <w:t>FluroTec</w:t>
      </w:r>
      <w:proofErr w:type="spellEnd"/>
      <w:r w:rsidRPr="00E5593A">
        <w:t xml:space="preserve">® Plus laminated </w:t>
      </w:r>
      <w:proofErr w:type="spellStart"/>
      <w:r w:rsidRPr="00E5593A">
        <w:t>gray</w:t>
      </w:r>
      <w:proofErr w:type="spellEnd"/>
      <w:r w:rsidRPr="00E5593A">
        <w:t xml:space="preserve"> </w:t>
      </w:r>
      <w:proofErr w:type="spellStart"/>
      <w:r w:rsidRPr="00E5593A">
        <w:t>bromobutyl</w:t>
      </w:r>
      <w:proofErr w:type="spellEnd"/>
      <w:r w:rsidRPr="00E5593A">
        <w:t xml:space="preserve"> rubber stopper and sealed with an aluminium flip-off cap with plastic flip-off disc. </w:t>
      </w:r>
      <w:r>
        <w:t>This has been accepted by the applicant.</w:t>
      </w:r>
    </w:p>
    <w:p w14:paraId="2812F426" w14:textId="032BC607" w:rsidR="00E01F69" w:rsidRPr="00736FE2" w:rsidRDefault="00E01F69" w:rsidP="00930037">
      <w:pPr>
        <w:pStyle w:val="ListBullet"/>
        <w:rPr>
          <w:rFonts w:cstheme="minorHAnsi"/>
        </w:rPr>
      </w:pPr>
      <w:r w:rsidRPr="00736FE2">
        <w:rPr>
          <w:rFonts w:cstheme="minorHAnsi"/>
        </w:rPr>
        <w:t xml:space="preserve">A </w:t>
      </w:r>
      <w:r>
        <w:rPr>
          <w:rFonts w:cstheme="minorHAnsi"/>
        </w:rPr>
        <w:t xml:space="preserve">shelf life of 4 h </w:t>
      </w:r>
      <w:r w:rsidRPr="00FB1FD7">
        <w:t xml:space="preserve">when stored </w:t>
      </w:r>
      <w:r w:rsidR="0049082D">
        <w:t xml:space="preserve">below </w:t>
      </w:r>
      <w:r>
        <w:t>25</w:t>
      </w:r>
      <w:r w:rsidRPr="00FB1FD7">
        <w:t xml:space="preserve">°C with the extra condition </w:t>
      </w:r>
      <w:r w:rsidR="004F5EC1">
        <w:t>‘</w:t>
      </w:r>
      <w:r w:rsidRPr="004F5EC1">
        <w:rPr>
          <w:i/>
        </w:rPr>
        <w:t>Do not freeze</w:t>
      </w:r>
      <w:r w:rsidR="004F5EC1">
        <w:t>’</w:t>
      </w:r>
      <w:r w:rsidRPr="00FB1FD7">
        <w:t xml:space="preserve"> has been assigned to the suspension for injection</w:t>
      </w:r>
      <w:r>
        <w:rPr>
          <w:rFonts w:cstheme="minorHAnsi"/>
        </w:rPr>
        <w:t xml:space="preserve"> stored in the </w:t>
      </w:r>
      <w:r w:rsidRPr="00500ECE">
        <w:rPr>
          <w:color w:val="000000"/>
        </w:rPr>
        <w:t xml:space="preserve">clear </w:t>
      </w:r>
      <w:r>
        <w:rPr>
          <w:color w:val="000000"/>
        </w:rPr>
        <w:t xml:space="preserve">Type I </w:t>
      </w:r>
      <w:r w:rsidRPr="00500ECE">
        <w:rPr>
          <w:color w:val="000000"/>
        </w:rPr>
        <w:t>glass vial</w:t>
      </w:r>
      <w:r w:rsidRPr="00FB1FD7">
        <w:t xml:space="preserve"> </w:t>
      </w:r>
      <w:r>
        <w:t>after re</w:t>
      </w:r>
      <w:r w:rsidRPr="00FB1FD7">
        <w:t>constitut</w:t>
      </w:r>
      <w:r>
        <w:t>ion in the supplied Water for Injections diluent.</w:t>
      </w:r>
    </w:p>
    <w:p w14:paraId="2812F427" w14:textId="2A16851F" w:rsidR="00E01F69" w:rsidRPr="00736FE2" w:rsidRDefault="00E01F69" w:rsidP="00930037">
      <w:pPr>
        <w:pStyle w:val="ListBullet"/>
      </w:pPr>
      <w:r w:rsidRPr="00736FE2">
        <w:t xml:space="preserve">A (revised) </w:t>
      </w:r>
      <w:r w:rsidR="00986865">
        <w:t>PI</w:t>
      </w:r>
      <w:r w:rsidRPr="00736FE2">
        <w:t xml:space="preserve"> document was </w:t>
      </w:r>
      <w:r w:rsidR="004F5EC1" w:rsidRPr="004F5EC1">
        <w:t>not</w:t>
      </w:r>
      <w:r>
        <w:t xml:space="preserve"> </w:t>
      </w:r>
      <w:r w:rsidRPr="00736FE2">
        <w:t>provided</w:t>
      </w:r>
      <w:r>
        <w:t>;</w:t>
      </w:r>
      <w:r w:rsidRPr="00736FE2">
        <w:t xml:space="preserve"> </w:t>
      </w:r>
      <w:r>
        <w:t xml:space="preserve">instead, an assurance was given that this will be submitted with the </w:t>
      </w:r>
      <w:r w:rsidR="00986865">
        <w:t>sponsor</w:t>
      </w:r>
      <w:r>
        <w:t xml:space="preserve"> comments in relation to the </w:t>
      </w:r>
      <w:r w:rsidR="00986865">
        <w:t>Second r</w:t>
      </w:r>
      <w:r>
        <w:t>ound evaluation report</w:t>
      </w:r>
      <w:r w:rsidR="00930037">
        <w:rPr>
          <w:rFonts w:cs="Calibri"/>
        </w:rPr>
        <w:t>s.</w:t>
      </w:r>
    </w:p>
    <w:p w14:paraId="2812F428" w14:textId="6FA6CCCE" w:rsidR="00E01F69" w:rsidRPr="004F376B" w:rsidRDefault="00E01F69" w:rsidP="00930037">
      <w:pPr>
        <w:pStyle w:val="ListBullet"/>
      </w:pPr>
      <w:r w:rsidRPr="004F376B">
        <w:t xml:space="preserve">Amended mock-ups of the vial, carton and diluent labels were provided </w:t>
      </w:r>
      <w:r w:rsidR="004F5EC1">
        <w:t xml:space="preserve">and these were considered </w:t>
      </w:r>
      <w:r w:rsidR="00930037">
        <w:t>acceptable.</w:t>
      </w:r>
    </w:p>
    <w:p w14:paraId="2812F429" w14:textId="77777777" w:rsidR="00E01F69" w:rsidRPr="00736FE2" w:rsidRDefault="00E01F69" w:rsidP="00930037">
      <w:pPr>
        <w:pStyle w:val="ListBullet"/>
      </w:pPr>
      <w:r w:rsidRPr="00736FE2">
        <w:t xml:space="preserve">The </w:t>
      </w:r>
      <w:r w:rsidR="004F5EC1" w:rsidRPr="004F5EC1">
        <w:rPr>
          <w:rFonts w:asciiTheme="minorHAnsi" w:hAnsiTheme="minorHAnsi"/>
          <w:lang w:val="en"/>
        </w:rPr>
        <w:t>Provisional ARTG record</w:t>
      </w:r>
      <w:r w:rsidR="004F5EC1">
        <w:rPr>
          <w:rFonts w:asciiTheme="minorHAnsi" w:hAnsiTheme="minorHAnsi"/>
          <w:lang w:val="en"/>
        </w:rPr>
        <w:t>s</w:t>
      </w:r>
      <w:r w:rsidR="004F5EC1">
        <w:rPr>
          <w:rFonts w:ascii="Verdana" w:hAnsi="Verdana"/>
          <w:sz w:val="20"/>
          <w:szCs w:val="20"/>
          <w:lang w:val="en"/>
        </w:rPr>
        <w:t xml:space="preserve"> (</w:t>
      </w:r>
      <w:r w:rsidRPr="00736FE2">
        <w:t>PARs</w:t>
      </w:r>
      <w:r w:rsidR="004F5EC1">
        <w:t>)</w:t>
      </w:r>
      <w:r w:rsidRPr="00736FE2">
        <w:t xml:space="preserve"> have been checked by the applicant and their accuracy has been confirmed.</w:t>
      </w:r>
    </w:p>
    <w:p w14:paraId="2812F42A" w14:textId="77777777" w:rsidR="00E01F69" w:rsidRPr="00061CC2" w:rsidRDefault="00ED539E" w:rsidP="00930037">
      <w:pPr>
        <w:pStyle w:val="ListBullet"/>
      </w:pPr>
      <w:r>
        <w:rPr>
          <w:rFonts w:cstheme="minorHAnsi"/>
        </w:rPr>
        <w:t>C</w:t>
      </w:r>
      <w:r w:rsidR="00E01F69" w:rsidRPr="00061CC2">
        <w:t xml:space="preserve">urrent evidence of acceptable </w:t>
      </w:r>
      <w:r w:rsidR="004F5EC1">
        <w:t>Good Manufacturing Practice (</w:t>
      </w:r>
      <w:r w:rsidR="00E01F69" w:rsidRPr="00061CC2">
        <w:t>GMP</w:t>
      </w:r>
      <w:r w:rsidR="004F5EC1">
        <w:t>)</w:t>
      </w:r>
      <w:r w:rsidR="00E01F69" w:rsidRPr="00061CC2">
        <w:t xml:space="preserve"> is available for the sites nominated for the manufacture of the </w:t>
      </w:r>
      <w:r w:rsidR="004F5EC1">
        <w:t>active pharmaceutical ingredient (</w:t>
      </w:r>
      <w:r w:rsidR="00E01F69" w:rsidRPr="00061CC2">
        <w:t>API</w:t>
      </w:r>
      <w:r w:rsidR="004F5EC1">
        <w:t>)</w:t>
      </w:r>
      <w:r w:rsidR="00E01F69" w:rsidRPr="00061CC2">
        <w:t>.</w:t>
      </w:r>
    </w:p>
    <w:p w14:paraId="2812F42B" w14:textId="77777777" w:rsidR="00E01F69" w:rsidRPr="00736FE2" w:rsidRDefault="00E01F69" w:rsidP="00930037">
      <w:pPr>
        <w:pStyle w:val="ListBullet"/>
      </w:pPr>
      <w:r w:rsidRPr="00736FE2">
        <w:t xml:space="preserve">Acceptable </w:t>
      </w:r>
      <w:r>
        <w:t xml:space="preserve">composite </w:t>
      </w:r>
      <w:r w:rsidRPr="00736FE2">
        <w:t>release and expiry specifications have been submitted for the finished products.</w:t>
      </w:r>
    </w:p>
    <w:p w14:paraId="2812F42C" w14:textId="6D0BF019" w:rsidR="00E01F69" w:rsidRPr="00986865" w:rsidRDefault="00E01F69" w:rsidP="00706153">
      <w:pPr>
        <w:pStyle w:val="ListBullet"/>
        <w:rPr>
          <w:rFonts w:asciiTheme="minorHAnsi" w:hAnsiTheme="minorHAnsi" w:cstheme="minorHAnsi"/>
        </w:rPr>
      </w:pPr>
      <w:r w:rsidRPr="00B500B1">
        <w:rPr>
          <w:rFonts w:asciiTheme="minorHAnsi" w:hAnsiTheme="minorHAnsi" w:cstheme="minorHAnsi"/>
        </w:rPr>
        <w:t xml:space="preserve">The application for registration of </w:t>
      </w:r>
      <w:proofErr w:type="spellStart"/>
      <w:r w:rsidR="009A0F26">
        <w:rPr>
          <w:rFonts w:asciiTheme="minorHAnsi" w:hAnsiTheme="minorHAnsi" w:cstheme="minorHAnsi"/>
        </w:rPr>
        <w:t>Abilify</w:t>
      </w:r>
      <w:proofErr w:type="spellEnd"/>
      <w:r w:rsidR="009A0F26">
        <w:rPr>
          <w:rFonts w:asciiTheme="minorHAnsi" w:hAnsiTheme="minorHAnsi" w:cstheme="minorHAnsi"/>
        </w:rPr>
        <w:t xml:space="preserve"> </w:t>
      </w:r>
      <w:proofErr w:type="spellStart"/>
      <w:r w:rsidR="009A0F26">
        <w:rPr>
          <w:rFonts w:asciiTheme="minorHAnsi" w:hAnsiTheme="minorHAnsi" w:cstheme="minorHAnsi"/>
        </w:rPr>
        <w:t>Maintena</w:t>
      </w:r>
      <w:proofErr w:type="spellEnd"/>
      <w:r w:rsidR="009A0F26">
        <w:rPr>
          <w:rFonts w:asciiTheme="minorHAnsi" w:hAnsiTheme="minorHAnsi" w:cstheme="minorHAnsi"/>
        </w:rPr>
        <w:t xml:space="preserve"> </w:t>
      </w:r>
      <w:r w:rsidRPr="00B500B1">
        <w:rPr>
          <w:rFonts w:asciiTheme="minorHAnsi" w:hAnsiTheme="minorHAnsi" w:cstheme="minorHAnsi"/>
        </w:rPr>
        <w:t xml:space="preserve">included </w:t>
      </w:r>
      <w:r>
        <w:rPr>
          <w:rFonts w:asciiTheme="minorHAnsi" w:hAnsiTheme="minorHAnsi" w:cstheme="minorHAnsi"/>
        </w:rPr>
        <w:t xml:space="preserve">results from a Phase </w:t>
      </w:r>
      <w:r w:rsidR="004F5EC1">
        <w:rPr>
          <w:rFonts w:asciiTheme="minorHAnsi" w:hAnsiTheme="minorHAnsi" w:cstheme="minorHAnsi"/>
        </w:rPr>
        <w:t>II</w:t>
      </w:r>
      <w:r>
        <w:rPr>
          <w:rFonts w:asciiTheme="minorHAnsi" w:hAnsiTheme="minorHAnsi" w:cstheme="minorHAnsi"/>
        </w:rPr>
        <w:t xml:space="preserve"> study</w:t>
      </w:r>
      <w:r w:rsidRPr="00B500B1">
        <w:rPr>
          <w:rFonts w:asciiTheme="minorHAnsi" w:hAnsiTheme="minorHAnsi" w:cstheme="minorHAnsi"/>
        </w:rPr>
        <w:t xml:space="preserve"> that established to the </w:t>
      </w:r>
      <w:r w:rsidRPr="006D025B">
        <w:t xml:space="preserve">TGA's satisfaction that </w:t>
      </w:r>
      <w:r w:rsidRPr="006D025B">
        <w:rPr>
          <w:lang w:val="en-US"/>
        </w:rPr>
        <w:t xml:space="preserve">absorption of </w:t>
      </w:r>
      <w:proofErr w:type="spellStart"/>
      <w:r w:rsidRPr="006D025B">
        <w:rPr>
          <w:lang w:val="en-US"/>
        </w:rPr>
        <w:t>aripiprazole</w:t>
      </w:r>
      <w:proofErr w:type="spellEnd"/>
      <w:r w:rsidRPr="006D025B">
        <w:rPr>
          <w:lang w:val="en-US"/>
        </w:rPr>
        <w:t xml:space="preserve"> from the IM depot formulation was complete relative to an IM standard formulation based on dose adjusted </w:t>
      </w:r>
      <w:r w:rsidR="004F5EC1">
        <w:rPr>
          <w:lang w:val="en-US"/>
        </w:rPr>
        <w:t>area under the concentration versus time curve from time 0 to time t (</w:t>
      </w:r>
      <w:r w:rsidRPr="006D025B">
        <w:rPr>
          <w:lang w:val="en-US"/>
        </w:rPr>
        <w:t>AUC</w:t>
      </w:r>
      <w:r w:rsidRPr="006D025B">
        <w:rPr>
          <w:vertAlign w:val="subscript"/>
          <w:lang w:val="en-US"/>
        </w:rPr>
        <w:t>(0-t)</w:t>
      </w:r>
      <w:r w:rsidR="004F5EC1">
        <w:rPr>
          <w:lang w:val="en-US"/>
        </w:rPr>
        <w:t xml:space="preserve">) </w:t>
      </w:r>
      <w:r w:rsidRPr="006D025B">
        <w:rPr>
          <w:lang w:val="en-US"/>
        </w:rPr>
        <w:t xml:space="preserve">values and the maximum cumulative fraction of dose absorbed as determined </w:t>
      </w:r>
      <w:r w:rsidRPr="00706153">
        <w:t>by</w:t>
      </w:r>
      <w:r w:rsidRPr="006D025B">
        <w:rPr>
          <w:lang w:val="en-US"/>
        </w:rPr>
        <w:t xml:space="preserve"> </w:t>
      </w:r>
      <w:proofErr w:type="spellStart"/>
      <w:r w:rsidRPr="006D025B">
        <w:rPr>
          <w:lang w:val="en-US"/>
        </w:rPr>
        <w:t>deconvolution</w:t>
      </w:r>
      <w:proofErr w:type="spellEnd"/>
      <w:r w:rsidRPr="006D025B">
        <w:rPr>
          <w:lang w:val="en-US"/>
        </w:rPr>
        <w:t xml:space="preserve"> analysis.</w:t>
      </w:r>
      <w:r w:rsidR="00C66B62">
        <w:rPr>
          <w:lang w:val="en-US"/>
        </w:rPr>
        <w:t xml:space="preserve"> </w:t>
      </w:r>
      <w:r w:rsidRPr="006D025B">
        <w:rPr>
          <w:lang w:val="en-US"/>
        </w:rPr>
        <w:t xml:space="preserve">Following a single dose of </w:t>
      </w:r>
      <w:proofErr w:type="spellStart"/>
      <w:r w:rsidRPr="006D025B">
        <w:rPr>
          <w:lang w:val="en-US"/>
        </w:rPr>
        <w:t>aripiprazole</w:t>
      </w:r>
      <w:proofErr w:type="spellEnd"/>
      <w:r w:rsidRPr="006D025B">
        <w:rPr>
          <w:lang w:val="en-US"/>
        </w:rPr>
        <w:t xml:space="preserve"> in the </w:t>
      </w:r>
      <w:r w:rsidRPr="006D025B">
        <w:rPr>
          <w:lang w:val="en-US"/>
        </w:rPr>
        <w:lastRenderedPageBreak/>
        <w:t xml:space="preserve">IM depot formulation, the estimated time required to absorb 50% of the </w:t>
      </w:r>
      <w:proofErr w:type="spellStart"/>
      <w:r w:rsidRPr="006D025B">
        <w:rPr>
          <w:lang w:val="en-US"/>
        </w:rPr>
        <w:t>aripiprazole</w:t>
      </w:r>
      <w:proofErr w:type="spellEnd"/>
      <w:r w:rsidRPr="006D025B">
        <w:rPr>
          <w:lang w:val="en-US"/>
        </w:rPr>
        <w:t xml:space="preserve"> dose ranged between 10 to 35 days over </w:t>
      </w:r>
      <w:r>
        <w:rPr>
          <w:lang w:val="en-US"/>
        </w:rPr>
        <w:t>the dose range of 15 to 400 </w:t>
      </w:r>
      <w:r w:rsidRPr="006D025B">
        <w:rPr>
          <w:lang w:val="en-US"/>
        </w:rPr>
        <w:t>mg.</w:t>
      </w:r>
    </w:p>
    <w:p w14:paraId="2812F42D" w14:textId="77777777" w:rsidR="00986865" w:rsidRPr="00B500B1" w:rsidRDefault="00986865" w:rsidP="00930037">
      <w:pPr>
        <w:rPr>
          <w:rFonts w:asciiTheme="minorHAnsi" w:hAnsiTheme="minorHAnsi" w:cstheme="minorHAnsi"/>
        </w:rPr>
      </w:pPr>
      <w:r>
        <w:rPr>
          <w:lang w:val="en-US"/>
        </w:rPr>
        <w:t>See also the Delegate’s Overview below.</w:t>
      </w:r>
    </w:p>
    <w:p w14:paraId="2812F42E" w14:textId="77777777" w:rsidR="004C67AA" w:rsidRDefault="004C67AA" w:rsidP="00930037">
      <w:pPr>
        <w:pStyle w:val="Heading2"/>
      </w:pPr>
      <w:bookmarkStart w:id="41" w:name="_Toc196046439"/>
      <w:bookmarkStart w:id="42" w:name="_Toc247691510"/>
      <w:bookmarkStart w:id="43" w:name="_Toc314842494"/>
      <w:bookmarkStart w:id="44" w:name="_Toc384807751"/>
      <w:bookmarkStart w:id="45" w:name="_Toc408924913"/>
      <w:bookmarkEnd w:id="23"/>
      <w:bookmarkEnd w:id="24"/>
      <w:bookmarkEnd w:id="25"/>
      <w:r>
        <w:t>III. Nonclinical</w:t>
      </w:r>
      <w:bookmarkEnd w:id="41"/>
      <w:r>
        <w:t xml:space="preserve"> findings</w:t>
      </w:r>
      <w:bookmarkEnd w:id="42"/>
      <w:bookmarkEnd w:id="43"/>
      <w:bookmarkEnd w:id="44"/>
      <w:bookmarkEnd w:id="45"/>
    </w:p>
    <w:p w14:paraId="2812F42F" w14:textId="12A6803A" w:rsidR="004C67AA" w:rsidRDefault="004C67AA" w:rsidP="00930037">
      <w:pPr>
        <w:pStyle w:val="Heading3"/>
      </w:pPr>
      <w:bookmarkStart w:id="46" w:name="_Toc247691511"/>
      <w:bookmarkStart w:id="47" w:name="_Toc314842495"/>
      <w:bookmarkStart w:id="48" w:name="_Toc384807752"/>
      <w:bookmarkStart w:id="49" w:name="_Toc408924914"/>
      <w:r>
        <w:t>Introduction</w:t>
      </w:r>
      <w:bookmarkEnd w:id="46"/>
      <w:bookmarkEnd w:id="47"/>
      <w:bookmarkEnd w:id="48"/>
      <w:bookmarkEnd w:id="49"/>
    </w:p>
    <w:p w14:paraId="2812F430" w14:textId="77777777" w:rsidR="0074206A" w:rsidRDefault="00E01F69" w:rsidP="00930037">
      <w:r w:rsidRPr="003D2F75">
        <w:t>The general quality of the submitted nonclinical studies was reasonable, although there was limited rationale for the nonclinical testing strategy and limited interpretation and analysis of the study results.</w:t>
      </w:r>
      <w:r w:rsidR="00C66B62">
        <w:t xml:space="preserve"> </w:t>
      </w:r>
      <w:r w:rsidR="0074206A">
        <w:t>A mix of p</w:t>
      </w:r>
      <w:r w:rsidR="0074206A" w:rsidRPr="003D2F75">
        <w:t xml:space="preserve">reviously evaluated </w:t>
      </w:r>
      <w:r w:rsidR="0074206A">
        <w:t xml:space="preserve">nonclinical </w:t>
      </w:r>
      <w:r w:rsidR="0074206A" w:rsidRPr="003D2F75">
        <w:t>studies</w:t>
      </w:r>
      <w:r w:rsidR="0074206A">
        <w:t xml:space="preserve"> and new nonclinical studies was submitted.</w:t>
      </w:r>
    </w:p>
    <w:p w14:paraId="2812F431" w14:textId="32B700FA" w:rsidR="00E01F69" w:rsidRPr="003D2F75" w:rsidRDefault="00E01F69" w:rsidP="00930037">
      <w:r w:rsidRPr="004F5EC1">
        <w:t xml:space="preserve">The range of studies was consistent with </w:t>
      </w:r>
      <w:r w:rsidR="004F5EC1" w:rsidRPr="004F5EC1">
        <w:t xml:space="preserve">the </w:t>
      </w:r>
      <w:hyperlink r:id="rId19" w:tooltip="link to the ICH website" w:history="1">
        <w:r w:rsidR="004F5EC1" w:rsidRPr="004F5EC1">
          <w:t>International Conference on Harmonisation of Technical Requirements for Registration of Pharmaceuticals for Human Use</w:t>
        </w:r>
      </w:hyperlink>
      <w:r w:rsidR="004F5EC1" w:rsidRPr="004F5EC1">
        <w:t xml:space="preserve"> (</w:t>
      </w:r>
      <w:r w:rsidRPr="004F5EC1">
        <w:t>ICH</w:t>
      </w:r>
      <w:r w:rsidR="004F5EC1" w:rsidRPr="004F5EC1">
        <w:t>)</w:t>
      </w:r>
      <w:r w:rsidRPr="004F5EC1">
        <w:t xml:space="preserve"> guidelines</w:t>
      </w:r>
      <w:r w:rsidRPr="003D2F75">
        <w:t xml:space="preserve">. Pivotal studies examining repeat-dose toxicity were conducted under </w:t>
      </w:r>
      <w:r w:rsidR="004F5EC1">
        <w:t>Goo</w:t>
      </w:r>
      <w:r w:rsidR="0074206A">
        <w:t>d</w:t>
      </w:r>
      <w:r w:rsidR="004F5EC1">
        <w:t xml:space="preserve"> Laboratory practice (</w:t>
      </w:r>
      <w:r w:rsidRPr="003D2F75">
        <w:t>GLP</w:t>
      </w:r>
      <w:r w:rsidR="004F5EC1">
        <w:t>)</w:t>
      </w:r>
      <w:r w:rsidRPr="003D2F75">
        <w:t xml:space="preserve"> conditions with the proposed </w:t>
      </w:r>
      <w:proofErr w:type="spellStart"/>
      <w:r w:rsidRPr="003D2F75">
        <w:t>aripiprazole</w:t>
      </w:r>
      <w:proofErr w:type="spellEnd"/>
      <w:r w:rsidRPr="003D2F75">
        <w:t xml:space="preserve"> IM depot formulation. The exposure ratios are adequate to address the clinical releva</w:t>
      </w:r>
      <w:r w:rsidR="00930037">
        <w:t>nce of the observed toxicities.</w:t>
      </w:r>
    </w:p>
    <w:p w14:paraId="2812F432" w14:textId="77777777" w:rsidR="004C67AA" w:rsidRDefault="004C67AA" w:rsidP="00930037">
      <w:pPr>
        <w:pStyle w:val="Heading3"/>
      </w:pPr>
      <w:bookmarkStart w:id="50" w:name="_Toc247691512"/>
      <w:bookmarkStart w:id="51" w:name="_Toc314842496"/>
      <w:bookmarkStart w:id="52" w:name="_Toc384807753"/>
      <w:bookmarkStart w:id="53" w:name="_Toc408924915"/>
      <w:r w:rsidRPr="00020030">
        <w:t>Pharmacology</w:t>
      </w:r>
      <w:bookmarkEnd w:id="50"/>
      <w:bookmarkEnd w:id="51"/>
      <w:bookmarkEnd w:id="52"/>
      <w:bookmarkEnd w:id="53"/>
    </w:p>
    <w:p w14:paraId="2812F433" w14:textId="77777777" w:rsidR="00E01F69" w:rsidRPr="003D2F75" w:rsidRDefault="00E01F69" w:rsidP="00930037">
      <w:pPr>
        <w:pStyle w:val="Heading4"/>
      </w:pPr>
      <w:r w:rsidRPr="003D2F75">
        <w:t>Mechanism of action</w:t>
      </w:r>
    </w:p>
    <w:p w14:paraId="2812F434" w14:textId="77777777" w:rsidR="00E01F69" w:rsidRPr="003D2F75" w:rsidRDefault="00E01F69" w:rsidP="00930037">
      <w:r w:rsidRPr="003D2F75">
        <w:t xml:space="preserve">Previously evaluated studies on the primary pharmacodynamics of </w:t>
      </w:r>
      <w:proofErr w:type="spellStart"/>
      <w:r w:rsidRPr="003D2F75">
        <w:t>aripiprazole</w:t>
      </w:r>
      <w:proofErr w:type="spellEnd"/>
      <w:r w:rsidRPr="003D2F75">
        <w:t xml:space="preserve"> suggest that its antipsychotic activity is mediated through a combination of partial </w:t>
      </w:r>
      <w:proofErr w:type="spellStart"/>
      <w:r w:rsidRPr="003D2F75">
        <w:t>agonism</w:t>
      </w:r>
      <w:proofErr w:type="spellEnd"/>
      <w:r w:rsidRPr="003D2F75">
        <w:t xml:space="preserve"> at D</w:t>
      </w:r>
      <w:r w:rsidRPr="00CC73AB">
        <w:rPr>
          <w:vertAlign w:val="subscript"/>
        </w:rPr>
        <w:t>2</w:t>
      </w:r>
      <w:r w:rsidRPr="003D2F75">
        <w:t xml:space="preserve"> and 5HT</w:t>
      </w:r>
      <w:r>
        <w:rPr>
          <w:vertAlign w:val="subscript"/>
        </w:rPr>
        <w:t>1A</w:t>
      </w:r>
      <w:r w:rsidRPr="003D2F75">
        <w:t xml:space="preserve"> receptors</w:t>
      </w:r>
      <w:r>
        <w:t xml:space="preserve"> and antagonism at </w:t>
      </w:r>
      <w:r w:rsidRPr="003D2F75">
        <w:t>5HT</w:t>
      </w:r>
      <w:r>
        <w:rPr>
          <w:vertAlign w:val="subscript"/>
        </w:rPr>
        <w:t>2A</w:t>
      </w:r>
      <w:r w:rsidRPr="003D2F75">
        <w:t xml:space="preserve"> receptors.</w:t>
      </w:r>
    </w:p>
    <w:p w14:paraId="2812F435" w14:textId="77777777" w:rsidR="00E01F69" w:rsidRPr="003D2F75" w:rsidRDefault="00E01F69" w:rsidP="00930037">
      <w:pPr>
        <w:pStyle w:val="Heading4"/>
      </w:pPr>
      <w:r w:rsidRPr="003D2F75">
        <w:t xml:space="preserve">Pharmacology and </w:t>
      </w:r>
      <w:proofErr w:type="spellStart"/>
      <w:r>
        <w:t>pharmacodynamic</w:t>
      </w:r>
      <w:proofErr w:type="spellEnd"/>
      <w:r>
        <w:t xml:space="preserve"> </w:t>
      </w:r>
      <w:r w:rsidRPr="003D2F75">
        <w:t>drug interactions</w:t>
      </w:r>
    </w:p>
    <w:p w14:paraId="2812F436" w14:textId="77777777" w:rsidR="00E01F69" w:rsidRPr="003D2F75" w:rsidRDefault="00E01F69" w:rsidP="00930037">
      <w:r w:rsidRPr="003D2F75">
        <w:t xml:space="preserve">Two older </w:t>
      </w:r>
      <w:r w:rsidRPr="0074206A">
        <w:t>ex vivo</w:t>
      </w:r>
      <w:r w:rsidRPr="003D2F75">
        <w:t xml:space="preserve"> studies, but no new recent studies</w:t>
      </w:r>
      <w:r>
        <w:t>,</w:t>
      </w:r>
      <w:r w:rsidRPr="003D2F75">
        <w:t xml:space="preserve"> were submitted. These two </w:t>
      </w:r>
      <w:r w:rsidRPr="0074206A">
        <w:t>ex vivo</w:t>
      </w:r>
      <w:r w:rsidRPr="003D2F75">
        <w:t xml:space="preserve"> studies conducted on the mouse forebrain dopamine </w:t>
      </w:r>
      <w:proofErr w:type="spellStart"/>
      <w:r w:rsidRPr="003D2F75">
        <w:t>autoreceptor</w:t>
      </w:r>
      <w:proofErr w:type="spellEnd"/>
      <w:r w:rsidRPr="003D2F75">
        <w:t xml:space="preserve"> confirmed the dopamine </w:t>
      </w:r>
      <w:proofErr w:type="spellStart"/>
      <w:r w:rsidRPr="003D2F75">
        <w:t>autoreceptor</w:t>
      </w:r>
      <w:proofErr w:type="spellEnd"/>
      <w:r w:rsidRPr="003D2F75">
        <w:t xml:space="preserve"> agonist activity of </w:t>
      </w:r>
      <w:proofErr w:type="spellStart"/>
      <w:r w:rsidRPr="003D2F75">
        <w:t>aripiprazole</w:t>
      </w:r>
      <w:proofErr w:type="spellEnd"/>
      <w:r w:rsidRPr="003D2F75">
        <w:t xml:space="preserve">. No new </w:t>
      </w:r>
      <w:r w:rsidRPr="0074206A">
        <w:t>in vivo</w:t>
      </w:r>
      <w:r w:rsidRPr="003D2F75">
        <w:t xml:space="preserve"> studies were submitted.</w:t>
      </w:r>
    </w:p>
    <w:p w14:paraId="2812F437" w14:textId="77777777" w:rsidR="00E01F69" w:rsidRPr="003D2F75" w:rsidRDefault="00E01F69" w:rsidP="00930037">
      <w:pPr>
        <w:pStyle w:val="Heading4"/>
      </w:pPr>
      <w:r w:rsidRPr="003D2F75">
        <w:t>Safety pharmacology</w:t>
      </w:r>
    </w:p>
    <w:p w14:paraId="2812F438" w14:textId="157C455D" w:rsidR="00E01F69" w:rsidRPr="003D2F75" w:rsidRDefault="00E01F69" w:rsidP="00930037">
      <w:r w:rsidRPr="003D2F75">
        <w:t>One older study, but no new recent studies</w:t>
      </w:r>
      <w:r>
        <w:t>,</w:t>
      </w:r>
      <w:r w:rsidRPr="003D2F75">
        <w:t xml:space="preserve"> </w:t>
      </w:r>
      <w:r>
        <w:t>was</w:t>
      </w:r>
      <w:r w:rsidRPr="003D2F75">
        <w:t xml:space="preserve"> submitted. This study in guinea pigs showed </w:t>
      </w:r>
      <w:proofErr w:type="spellStart"/>
      <w:r w:rsidRPr="003D2F75">
        <w:t>aripiprazole</w:t>
      </w:r>
      <w:proofErr w:type="spellEnd"/>
      <w:r w:rsidRPr="003D2F75">
        <w:t xml:space="preserve"> had no effect on the corneal reflex indicati</w:t>
      </w:r>
      <w:r w:rsidR="00EF5CD2">
        <w:t>ng no local anaesthetic action.</w:t>
      </w:r>
    </w:p>
    <w:p w14:paraId="2812F439" w14:textId="77777777" w:rsidR="004C67AA" w:rsidRPr="0074206A" w:rsidRDefault="004C67AA" w:rsidP="00EF5CD2">
      <w:pPr>
        <w:pStyle w:val="Heading3"/>
      </w:pPr>
      <w:bookmarkStart w:id="54" w:name="_Toc247691513"/>
      <w:bookmarkStart w:id="55" w:name="_Toc314842497"/>
      <w:bookmarkStart w:id="56" w:name="_Toc384807754"/>
      <w:bookmarkStart w:id="57" w:name="_Toc408924916"/>
      <w:r>
        <w:t>Pharmacokinetics</w:t>
      </w:r>
      <w:bookmarkEnd w:id="54"/>
      <w:bookmarkEnd w:id="55"/>
      <w:bookmarkEnd w:id="56"/>
      <w:bookmarkEnd w:id="57"/>
    </w:p>
    <w:p w14:paraId="2812F43A" w14:textId="5B7DB994" w:rsidR="00E01F69" w:rsidRPr="003D2F75" w:rsidRDefault="00E01F69" w:rsidP="00EF5CD2">
      <w:bookmarkStart w:id="58" w:name="_Toc247691514"/>
      <w:bookmarkStart w:id="59" w:name="_Toc314842498"/>
      <w:r w:rsidRPr="003D2F75">
        <w:t xml:space="preserve">Nonclinical pharmacokinetic studies with </w:t>
      </w:r>
      <w:proofErr w:type="spellStart"/>
      <w:r w:rsidRPr="003D2F75">
        <w:t>aripiprazole</w:t>
      </w:r>
      <w:proofErr w:type="spellEnd"/>
      <w:r w:rsidRPr="003D2F75">
        <w:t xml:space="preserve"> IM depot formulation were conducted in rats and dogs. Studies with </w:t>
      </w:r>
      <w:proofErr w:type="spellStart"/>
      <w:r w:rsidRPr="003D2F75">
        <w:t>aripiprazole</w:t>
      </w:r>
      <w:proofErr w:type="spellEnd"/>
      <w:r w:rsidRPr="003D2F75">
        <w:t xml:space="preserve"> IM aqueous formulation were conducted in mini-pigs, dogs and monkeys.</w:t>
      </w:r>
    </w:p>
    <w:p w14:paraId="2812F43B" w14:textId="77777777" w:rsidR="0074206A" w:rsidRDefault="00E01F69" w:rsidP="00EF5CD2">
      <w:pPr>
        <w:pStyle w:val="Heading4"/>
      </w:pPr>
      <w:r w:rsidRPr="003D2F75">
        <w:t>Absorption</w:t>
      </w:r>
    </w:p>
    <w:p w14:paraId="2812F43C" w14:textId="77777777" w:rsidR="0074206A" w:rsidRDefault="00E01F69" w:rsidP="00EF5CD2">
      <w:r w:rsidRPr="003D2F75">
        <w:t xml:space="preserve">Absorption following single dose administration of </w:t>
      </w:r>
      <w:proofErr w:type="spellStart"/>
      <w:r w:rsidRPr="003D2F75">
        <w:t>aripiprazole</w:t>
      </w:r>
      <w:proofErr w:type="spellEnd"/>
      <w:r w:rsidRPr="003D2F75">
        <w:t xml:space="preserve"> IM depot formulation in rats was dose-proportional with a long </w:t>
      </w:r>
      <w:r w:rsidR="0074206A">
        <w:t>time to peak plasma concentration (</w:t>
      </w:r>
      <w:proofErr w:type="spellStart"/>
      <w:r w:rsidRPr="003D2F75">
        <w:t>T</w:t>
      </w:r>
      <w:r w:rsidRPr="003D2F75">
        <w:rPr>
          <w:vertAlign w:val="subscript"/>
        </w:rPr>
        <w:t>max</w:t>
      </w:r>
      <w:proofErr w:type="spellEnd"/>
      <w:r w:rsidR="0074206A">
        <w:t xml:space="preserve">) </w:t>
      </w:r>
      <w:r w:rsidRPr="003D2F75">
        <w:t>(168</w:t>
      </w:r>
      <w:r w:rsidR="0074206A">
        <w:t xml:space="preserve"> </w:t>
      </w:r>
      <w:r>
        <w:t>h</w:t>
      </w:r>
      <w:r w:rsidRPr="003D2F75">
        <w:t xml:space="preserve">) and a long plasma half-life, in contrast to the </w:t>
      </w:r>
      <w:proofErr w:type="spellStart"/>
      <w:r w:rsidRPr="003D2F75">
        <w:t>aripiprazole</w:t>
      </w:r>
      <w:proofErr w:type="spellEnd"/>
      <w:r w:rsidRPr="003D2F75">
        <w:t xml:space="preserve"> IM aqueous formulation which </w:t>
      </w:r>
      <w:r w:rsidRPr="003D2F75">
        <w:lastRenderedPageBreak/>
        <w:t xml:space="preserve">had a short </w:t>
      </w:r>
      <w:proofErr w:type="spellStart"/>
      <w:r w:rsidRPr="003D2F75">
        <w:t>T</w:t>
      </w:r>
      <w:r w:rsidRPr="003D2F75">
        <w:rPr>
          <w:vertAlign w:val="subscript"/>
        </w:rPr>
        <w:t>max</w:t>
      </w:r>
      <w:proofErr w:type="spellEnd"/>
      <w:r w:rsidRPr="003D2F75">
        <w:t xml:space="preserve"> (0.25</w:t>
      </w:r>
      <w:r w:rsidR="0074206A">
        <w:t xml:space="preserve"> </w:t>
      </w:r>
      <w:r>
        <w:t>h</w:t>
      </w:r>
      <w:r w:rsidRPr="003D2F75">
        <w:t xml:space="preserve">) and short half-life. In mini-pigs, </w:t>
      </w:r>
      <w:proofErr w:type="spellStart"/>
      <w:r w:rsidRPr="003D2F75">
        <w:t>aripiprazole</w:t>
      </w:r>
      <w:proofErr w:type="spellEnd"/>
      <w:r w:rsidRPr="003D2F75">
        <w:t xml:space="preserve"> in IM aqueous formulation was completely bioavailable and showed wide tissue distribution. In dogs, absorption following IM depot formulation was dose-proportional with a </w:t>
      </w:r>
      <w:proofErr w:type="spellStart"/>
      <w:r w:rsidRPr="003D2F75">
        <w:t>T</w:t>
      </w:r>
      <w:r w:rsidRPr="003D2F75">
        <w:rPr>
          <w:vertAlign w:val="subscript"/>
        </w:rPr>
        <w:t>max</w:t>
      </w:r>
      <w:proofErr w:type="spellEnd"/>
      <w:r w:rsidRPr="003D2F75">
        <w:t xml:space="preserve"> of 8</w:t>
      </w:r>
      <w:r w:rsidR="0074206A">
        <w:t xml:space="preserve"> </w:t>
      </w:r>
      <w:r>
        <w:t>h</w:t>
      </w:r>
      <w:r w:rsidRPr="003D2F75">
        <w:t>. In repeat-dose studies in rats and dogs, exposure was dose-proportional and increased with the period of exposure. There were no differences between the sexes.</w:t>
      </w:r>
    </w:p>
    <w:p w14:paraId="2812F43D" w14:textId="77777777" w:rsidR="0074206A" w:rsidRDefault="00E01F69" w:rsidP="00706153">
      <w:pPr>
        <w:pStyle w:val="Heading4"/>
      </w:pPr>
      <w:r w:rsidRPr="00706153">
        <w:t>Distribution</w:t>
      </w:r>
    </w:p>
    <w:p w14:paraId="2812F43E" w14:textId="5C20EAB7" w:rsidR="0074206A" w:rsidRDefault="00E01F69" w:rsidP="00EF5CD2">
      <w:r w:rsidRPr="0074206A">
        <w:t xml:space="preserve">Plasma protein binding of </w:t>
      </w:r>
      <w:proofErr w:type="spellStart"/>
      <w:r w:rsidRPr="0074206A">
        <w:t>aripiprazole</w:t>
      </w:r>
      <w:proofErr w:type="spellEnd"/>
      <w:r w:rsidRPr="0074206A">
        <w:t xml:space="preserve"> was previously shown to be high in humans and rats. Following IM depot formulation administration in rats, there was high retention of </w:t>
      </w:r>
      <w:proofErr w:type="spellStart"/>
      <w:r w:rsidRPr="0074206A">
        <w:t>aripiprazole</w:t>
      </w:r>
      <w:proofErr w:type="spellEnd"/>
      <w:r w:rsidRPr="0074206A">
        <w:t xml:space="preserve"> in the injection site muscle compared with the IM aqueous formulation. Tissue distribution following IM aqueous formulation was high at 0.25</w:t>
      </w:r>
      <w:r w:rsidR="0074206A">
        <w:t xml:space="preserve"> </w:t>
      </w:r>
      <w:r w:rsidRPr="0074206A">
        <w:t>h and radioactivity was still detected at 168</w:t>
      </w:r>
      <w:r w:rsidR="0074206A">
        <w:t xml:space="preserve"> </w:t>
      </w:r>
      <w:r w:rsidRPr="0074206A">
        <w:t xml:space="preserve">h in </w:t>
      </w:r>
      <w:proofErr w:type="spellStart"/>
      <w:r w:rsidRPr="0074206A">
        <w:t>Harderian</w:t>
      </w:r>
      <w:proofErr w:type="spellEnd"/>
      <w:r w:rsidRPr="0074206A">
        <w:t xml:space="preserve"> gland, </w:t>
      </w:r>
      <w:proofErr w:type="spellStart"/>
      <w:r w:rsidRPr="0074206A">
        <w:t>submaxillary</w:t>
      </w:r>
      <w:proofErr w:type="spellEnd"/>
      <w:r w:rsidRPr="0074206A">
        <w:t xml:space="preserve"> gland, liver, adrenal gland </w:t>
      </w:r>
      <w:r w:rsidR="0074206A">
        <w:t>and kidney. As shown previously</w:t>
      </w:r>
      <w:r w:rsidRPr="0074206A">
        <w:t xml:space="preserve">, </w:t>
      </w:r>
      <w:proofErr w:type="spellStart"/>
      <w:r w:rsidRPr="0074206A">
        <w:t>aripiprazole</w:t>
      </w:r>
      <w:proofErr w:type="spellEnd"/>
      <w:r w:rsidRPr="0074206A">
        <w:t xml:space="preserve"> can cross the blood-brain barrier and, following IM administration, was detected in the cerebellum at 0.25</w:t>
      </w:r>
      <w:r w:rsidR="0074206A">
        <w:t xml:space="preserve"> </w:t>
      </w:r>
      <w:r w:rsidRPr="0074206A">
        <w:t>h but not at 168</w:t>
      </w:r>
      <w:r w:rsidR="0074206A">
        <w:t xml:space="preserve"> </w:t>
      </w:r>
      <w:r w:rsidRPr="0074206A">
        <w:t>h</w:t>
      </w:r>
      <w:r w:rsidR="0074206A">
        <w:t xml:space="preserve"> </w:t>
      </w:r>
      <w:proofErr w:type="spellStart"/>
      <w:r w:rsidR="0074206A">
        <w:t>postdose</w:t>
      </w:r>
      <w:proofErr w:type="spellEnd"/>
      <w:r w:rsidRPr="0074206A">
        <w:t xml:space="preserve">. Unchanged </w:t>
      </w:r>
      <w:proofErr w:type="spellStart"/>
      <w:r w:rsidRPr="0074206A">
        <w:t>aripiprazole</w:t>
      </w:r>
      <w:proofErr w:type="spellEnd"/>
      <w:r w:rsidRPr="0074206A">
        <w:t xml:space="preserve"> was the major substance at the injec</w:t>
      </w:r>
      <w:r w:rsidR="00EF5CD2">
        <w:t>tion site and in plasma (&gt;85%).</w:t>
      </w:r>
    </w:p>
    <w:p w14:paraId="2812F43F" w14:textId="77777777" w:rsidR="0074206A" w:rsidRPr="0074206A" w:rsidRDefault="00E01F69" w:rsidP="00EF5CD2">
      <w:pPr>
        <w:pStyle w:val="Heading4"/>
      </w:pPr>
      <w:r w:rsidRPr="003D2F75">
        <w:t>Metabolism</w:t>
      </w:r>
    </w:p>
    <w:p w14:paraId="2812F440" w14:textId="4FA11400" w:rsidR="0074206A" w:rsidRDefault="00E01F69" w:rsidP="00EF5CD2">
      <w:r w:rsidRPr="003D2F75">
        <w:t xml:space="preserve">The metabolism of </w:t>
      </w:r>
      <w:proofErr w:type="spellStart"/>
      <w:r w:rsidRPr="003D2F75">
        <w:t>aripiprazole</w:t>
      </w:r>
      <w:proofErr w:type="spellEnd"/>
      <w:r w:rsidRPr="003D2F75">
        <w:t xml:space="preserve"> following oral administration was examined previously. No new metabolites have been identified in plasma over 1008</w:t>
      </w:r>
      <w:r w:rsidR="0074206A">
        <w:t xml:space="preserve"> </w:t>
      </w:r>
      <w:r w:rsidRPr="003D2F75">
        <w:t xml:space="preserve">h following IM depot administration of </w:t>
      </w:r>
      <w:proofErr w:type="spellStart"/>
      <w:r w:rsidRPr="003D2F75">
        <w:t>aripiprazole</w:t>
      </w:r>
      <w:proofErr w:type="spellEnd"/>
      <w:r w:rsidRPr="003D2F75">
        <w:t xml:space="preserve"> in rats. At the injection site in the muscle tissue of rats, the two very minor </w:t>
      </w:r>
      <w:r w:rsidR="0074206A" w:rsidRPr="0074206A">
        <w:t>High-performance liquid chromatography</w:t>
      </w:r>
      <w:r w:rsidR="0074206A">
        <w:rPr>
          <w:rStyle w:val="st"/>
          <w:rFonts w:ascii="Arial" w:hAnsi="Arial" w:cs="Arial"/>
          <w:color w:val="222222"/>
        </w:rPr>
        <w:t xml:space="preserve"> (</w:t>
      </w:r>
      <w:r w:rsidRPr="003D2F75">
        <w:t>HPLC</w:t>
      </w:r>
      <w:r w:rsidR="0074206A">
        <w:t>)</w:t>
      </w:r>
      <w:r w:rsidRPr="003D2F75">
        <w:t xml:space="preserve"> peaks (&lt;0.6%), one identified as DM-1452 and the other possibly as an oxidation product, increased only slightly over 1008</w:t>
      </w:r>
      <w:r w:rsidR="000521CB">
        <w:t xml:space="preserve"> </w:t>
      </w:r>
      <w:r w:rsidRPr="003D2F75">
        <w:t>h and were not considered to indicate the formation of new metabolites at the injection site. In mini-pigs, the AUC ratio of the pharmacologically active metabolite OPC-14857 (</w:t>
      </w:r>
      <w:proofErr w:type="spellStart"/>
      <w:r w:rsidRPr="003D2F75">
        <w:t>dehydro-aripiprazole</w:t>
      </w:r>
      <w:proofErr w:type="spellEnd"/>
      <w:r w:rsidRPr="003D2F75">
        <w:t xml:space="preserve">) to </w:t>
      </w:r>
      <w:proofErr w:type="spellStart"/>
      <w:r w:rsidRPr="003D2F75">
        <w:t>aripiprazole</w:t>
      </w:r>
      <w:proofErr w:type="spellEnd"/>
      <w:r w:rsidRPr="003D2F75">
        <w:t xml:space="preserve"> was similar following </w:t>
      </w:r>
      <w:r w:rsidR="0074206A">
        <w:t>intravenous (</w:t>
      </w:r>
      <w:r w:rsidRPr="003D2F75">
        <w:t>IV</w:t>
      </w:r>
      <w:r w:rsidR="0074206A">
        <w:t>)</w:t>
      </w:r>
      <w:r w:rsidRPr="003D2F75">
        <w:t xml:space="preserve">, IM and </w:t>
      </w:r>
      <w:r w:rsidR="0074206A">
        <w:t>subcutaneous (</w:t>
      </w:r>
      <w:r w:rsidRPr="003D2F75">
        <w:t>SC</w:t>
      </w:r>
      <w:r w:rsidR="0074206A">
        <w:t>)</w:t>
      </w:r>
      <w:r w:rsidRPr="003D2F75">
        <w:t xml:space="preserve"> routes but higher following the oral rou</w:t>
      </w:r>
      <w:r w:rsidR="00EF5CD2">
        <w:t>te due to first-pass metabolism</w:t>
      </w:r>
      <w:r w:rsidR="00706153">
        <w:t>.</w:t>
      </w:r>
    </w:p>
    <w:p w14:paraId="2812F441" w14:textId="77777777" w:rsidR="0074206A" w:rsidRDefault="00E01F69" w:rsidP="00EF5CD2">
      <w:pPr>
        <w:pStyle w:val="Heading4"/>
      </w:pPr>
      <w:r w:rsidRPr="003D2F75">
        <w:t>Excretion</w:t>
      </w:r>
    </w:p>
    <w:p w14:paraId="2812F442" w14:textId="533886E5" w:rsidR="00E01F69" w:rsidRDefault="00E01F69" w:rsidP="00EF5CD2">
      <w:r w:rsidRPr="003D2F75">
        <w:t>The major excretion route in rats following IM aqueous formulation administration was faec</w:t>
      </w:r>
      <w:r>
        <w:t>al</w:t>
      </w:r>
      <w:r w:rsidRPr="003D2F75">
        <w:t xml:space="preserve"> (92%), with urinary excretion at 5</w:t>
      </w:r>
      <w:r w:rsidR="0074206A">
        <w:t xml:space="preserve"> to </w:t>
      </w:r>
      <w:r w:rsidRPr="003D2F75">
        <w:t>6% over 168</w:t>
      </w:r>
      <w:r w:rsidR="0074206A">
        <w:t xml:space="preserve"> </w:t>
      </w:r>
      <w:r>
        <w:t>h</w:t>
      </w:r>
      <w:r w:rsidRPr="003D2F75">
        <w:t>. Similar results were obtained following oral administration in rats, with evidence of significant biliary excretion. In humans and monkeys, biliary excretion was evident after oral administration, t</w:t>
      </w:r>
      <w:r w:rsidR="00EF5CD2">
        <w:t>ogether with urinary excretion.</w:t>
      </w:r>
    </w:p>
    <w:p w14:paraId="2812F443" w14:textId="77777777" w:rsidR="0074206A" w:rsidRDefault="00E01F69" w:rsidP="00EF5CD2">
      <w:pPr>
        <w:pStyle w:val="Heading4"/>
      </w:pPr>
      <w:r w:rsidRPr="003D2F75">
        <w:t>Conclusion</w:t>
      </w:r>
    </w:p>
    <w:p w14:paraId="2812F444" w14:textId="3A9BF25B" w:rsidR="00E01F69" w:rsidRPr="003D2F75" w:rsidRDefault="00E01F69" w:rsidP="00EF5CD2">
      <w:r w:rsidRPr="003D2F75">
        <w:t xml:space="preserve">The submitted data on the pharmacokinetics of IM depot formulation demonstrated the high retention of </w:t>
      </w:r>
      <w:proofErr w:type="spellStart"/>
      <w:r w:rsidRPr="003D2F75">
        <w:t>aripiprazole</w:t>
      </w:r>
      <w:proofErr w:type="spellEnd"/>
      <w:r w:rsidRPr="003D2F75">
        <w:t xml:space="preserve"> at the injection site and its slow release into the plasma. There was no evidence of significant metabolism at the injection site. Once absorbed, it was distributed, metabolised and excreted similarly to orally administered </w:t>
      </w:r>
      <w:proofErr w:type="spellStart"/>
      <w:r w:rsidRPr="003D2F75">
        <w:t>aripi</w:t>
      </w:r>
      <w:r w:rsidR="0074206A">
        <w:t>prazole</w:t>
      </w:r>
      <w:proofErr w:type="spellEnd"/>
      <w:r w:rsidR="0074206A">
        <w:t>, as examined previously</w:t>
      </w:r>
      <w:r w:rsidRPr="003D2F75">
        <w:t>. A similar pharmacokinetic pattern was observed in all species examined.</w:t>
      </w:r>
    </w:p>
    <w:p w14:paraId="2812F445" w14:textId="77777777" w:rsidR="004C67AA" w:rsidRPr="0074206A" w:rsidRDefault="004C67AA" w:rsidP="00EF5CD2">
      <w:pPr>
        <w:pStyle w:val="Heading3"/>
      </w:pPr>
      <w:bookmarkStart w:id="60" w:name="_Toc384807755"/>
      <w:bookmarkStart w:id="61" w:name="_Toc408924917"/>
      <w:r>
        <w:t>Toxicology</w:t>
      </w:r>
      <w:bookmarkEnd w:id="58"/>
      <w:bookmarkEnd w:id="59"/>
      <w:bookmarkEnd w:id="60"/>
      <w:bookmarkEnd w:id="61"/>
    </w:p>
    <w:p w14:paraId="2812F446" w14:textId="77777777" w:rsidR="00E01F69" w:rsidRDefault="00E01F69" w:rsidP="0012235A">
      <w:pPr>
        <w:pStyle w:val="Heading4"/>
      </w:pPr>
      <w:bookmarkStart w:id="62" w:name="_Toc294861727"/>
      <w:bookmarkStart w:id="63" w:name="_Toc247691515"/>
      <w:bookmarkStart w:id="64" w:name="_Toc314842499"/>
      <w:bookmarkStart w:id="65" w:name="_Toc384807756"/>
      <w:r w:rsidRPr="003D2F75">
        <w:t xml:space="preserve">Acute </w:t>
      </w:r>
      <w:r w:rsidRPr="0012235A">
        <w:t>toxicity</w:t>
      </w:r>
      <w:bookmarkEnd w:id="62"/>
    </w:p>
    <w:p w14:paraId="2812F447" w14:textId="175CAB34" w:rsidR="00E01F69" w:rsidRDefault="00E01F69" w:rsidP="00EF5CD2">
      <w:r w:rsidRPr="003D2F75">
        <w:t>Single-dose toxicity studies with the IM formulation have been conducted in two studies in dogs up to 400</w:t>
      </w:r>
      <w:r w:rsidR="0074206A">
        <w:t xml:space="preserve"> </w:t>
      </w:r>
      <w:r w:rsidRPr="003D2F75">
        <w:t>mg/animal in 1</w:t>
      </w:r>
      <w:r w:rsidR="0074206A">
        <w:t xml:space="preserve"> to </w:t>
      </w:r>
      <w:r w:rsidRPr="003D2F75">
        <w:t xml:space="preserve">4 injections. In one study, there was evidence of tremors </w:t>
      </w:r>
      <w:r w:rsidRPr="003D2F75">
        <w:lastRenderedPageBreak/>
        <w:t xml:space="preserve">and decreased activity on the treatment day but not </w:t>
      </w:r>
      <w:r>
        <w:t>o</w:t>
      </w:r>
      <w:r w:rsidRPr="003D2F75">
        <w:t>n subsequent days. There were no other treatment</w:t>
      </w:r>
      <w:r w:rsidR="0074206A">
        <w:t xml:space="preserve"> </w:t>
      </w:r>
      <w:r w:rsidRPr="003D2F75">
        <w:t>related clinical signs. There was white discoloration and minimal to moderate granulomatous inflammation at the injection site which was still evident after 6 weeks, although reduced in severity. There was no evidence of muscle necrosis. Minimal changes in clinical pathology parameters that were evident upon treatment were not evident  4 weeks</w:t>
      </w:r>
      <w:r w:rsidR="003954A6">
        <w:t xml:space="preserve"> after dosing</w:t>
      </w:r>
      <w:r w:rsidRPr="003D2F75">
        <w:t>.</w:t>
      </w:r>
      <w:r w:rsidR="00C66B62">
        <w:t xml:space="preserve"> </w:t>
      </w:r>
      <w:r w:rsidRPr="003D2F75">
        <w:t>The maximum non-lethal clinical dose was 400</w:t>
      </w:r>
      <w:r w:rsidR="0074206A">
        <w:t xml:space="preserve"> </w:t>
      </w:r>
      <w:r w:rsidRPr="003D2F75">
        <w:t xml:space="preserve">mg/animal IM. Based on these studies, </w:t>
      </w:r>
      <w:proofErr w:type="spellStart"/>
      <w:r w:rsidRPr="003D2F75">
        <w:t>aripiprazole</w:t>
      </w:r>
      <w:proofErr w:type="spellEnd"/>
      <w:r w:rsidRPr="003D2F75">
        <w:t xml:space="preserve"> has a low order of acute toxicity via the clinical (IM depot formulation) rou</w:t>
      </w:r>
      <w:r w:rsidR="00EF5CD2">
        <w:t>te.</w:t>
      </w:r>
    </w:p>
    <w:p w14:paraId="2812F448" w14:textId="77777777" w:rsidR="00E01F69" w:rsidRPr="003D2F75" w:rsidRDefault="00E01F69" w:rsidP="00EF5CD2">
      <w:pPr>
        <w:pStyle w:val="Heading4"/>
      </w:pPr>
      <w:bookmarkStart w:id="66" w:name="_Toc294861728"/>
      <w:r w:rsidRPr="003D2F75">
        <w:t>Repeat-dose toxicity</w:t>
      </w:r>
      <w:bookmarkEnd w:id="66"/>
    </w:p>
    <w:p w14:paraId="2812F449" w14:textId="533F10F3" w:rsidR="00E01F69" w:rsidRPr="003D2F75" w:rsidRDefault="00E01F69" w:rsidP="00EF5CD2">
      <w:r w:rsidRPr="003D2F75">
        <w:t xml:space="preserve">Appropriately designed repeat dose toxicity studies with weekly treatment with </w:t>
      </w:r>
      <w:proofErr w:type="spellStart"/>
      <w:r w:rsidRPr="003D2F75">
        <w:t>aripiprazole</w:t>
      </w:r>
      <w:proofErr w:type="spellEnd"/>
      <w:r w:rsidRPr="003D2F75">
        <w:t xml:space="preserve"> IM depot formulation were conducted in rats up to 26 weeks and in dogs up to 52 weeks, consistent with </w:t>
      </w:r>
      <w:r w:rsidR="00166781">
        <w:t xml:space="preserve">relevant </w:t>
      </w:r>
      <w:r w:rsidRPr="003D2F75">
        <w:t xml:space="preserve">ICH guidelines. Two studies in monkeys with daily treatment with </w:t>
      </w:r>
      <w:proofErr w:type="spellStart"/>
      <w:r w:rsidRPr="003D2F75">
        <w:t>aripiprazole</w:t>
      </w:r>
      <w:proofErr w:type="spellEnd"/>
      <w:r w:rsidRPr="003D2F75">
        <w:t xml:space="preserve"> IM aqueous formulation over 2 a</w:t>
      </w:r>
      <w:r w:rsidR="00EF5CD2">
        <w:t>nd 4 weeks were also conducted.</w:t>
      </w:r>
    </w:p>
    <w:p w14:paraId="2812F44A" w14:textId="77777777" w:rsidR="00E01F69" w:rsidRPr="003D2F75" w:rsidRDefault="00E01F69" w:rsidP="00EF5CD2">
      <w:pPr>
        <w:pStyle w:val="Heading5"/>
      </w:pPr>
      <w:r w:rsidRPr="003D2F75">
        <w:t>Relative exposure</w:t>
      </w:r>
    </w:p>
    <w:p w14:paraId="2812F44B" w14:textId="27EF6E3C" w:rsidR="00E01F69" w:rsidRDefault="00E01F69" w:rsidP="00EF5CD2">
      <w:r w:rsidRPr="003D2F75">
        <w:t>Exposure ratios have been calculated based on animal:</w:t>
      </w:r>
      <w:r w:rsidR="00800A2A">
        <w:t xml:space="preserve"> </w:t>
      </w:r>
      <w:r w:rsidRPr="003D2F75">
        <w:t>human plasma AUC</w:t>
      </w:r>
      <w:r w:rsidRPr="003D2F75">
        <w:rPr>
          <w:vertAlign w:val="subscript"/>
        </w:rPr>
        <w:t>0–28d</w:t>
      </w:r>
      <w:r w:rsidR="00800A2A">
        <w:t xml:space="preserve"> (see Table 2)</w:t>
      </w:r>
      <w:r w:rsidRPr="003D2F75">
        <w:t xml:space="preserve">. </w:t>
      </w:r>
      <w:r>
        <w:t>The h</w:t>
      </w:r>
      <w:r w:rsidRPr="003D2F75">
        <w:t>uman reference value</w:t>
      </w:r>
      <w:r>
        <w:t xml:space="preserve"> is</w:t>
      </w:r>
      <w:r w:rsidRPr="003D2F75">
        <w:t xml:space="preserve"> from Clinical Trial 31-05-244. The </w:t>
      </w:r>
      <w:r w:rsidR="00800A2A">
        <w:t>No Observable Adverse Effect Level (</w:t>
      </w:r>
      <w:r w:rsidRPr="003D2F75">
        <w:t>NOAEL</w:t>
      </w:r>
      <w:r w:rsidR="00800A2A">
        <w:t>)</w:t>
      </w:r>
      <w:r w:rsidRPr="003D2F75">
        <w:t>, if established, is shown in bold type</w:t>
      </w:r>
      <w:r w:rsidR="00800A2A">
        <w:t xml:space="preserve"> in Table </w:t>
      </w:r>
      <w:r w:rsidR="00EF5CD2">
        <w:t>1</w:t>
      </w:r>
      <w:r w:rsidRPr="003D2F75">
        <w:t>.</w:t>
      </w:r>
    </w:p>
    <w:p w14:paraId="2812F44C" w14:textId="77777777" w:rsidR="00E01F69" w:rsidRPr="005F1B80" w:rsidRDefault="00E01F69" w:rsidP="00EF5CD2">
      <w:r>
        <w:t xml:space="preserve">It is noted that the clinical exposure to </w:t>
      </w:r>
      <w:proofErr w:type="spellStart"/>
      <w:r>
        <w:t>aripiprazole</w:t>
      </w:r>
      <w:proofErr w:type="spellEnd"/>
      <w:r>
        <w:t xml:space="preserve"> associated with the </w:t>
      </w:r>
      <w:r w:rsidR="00800A2A">
        <w:t>maximum recommended human dose (</w:t>
      </w:r>
      <w:r>
        <w:t>MRHD</w:t>
      </w:r>
      <w:r w:rsidR="00800A2A">
        <w:t>)</w:t>
      </w:r>
      <w:r>
        <w:t xml:space="preserve"> (400</w:t>
      </w:r>
      <w:r w:rsidR="00800A2A">
        <w:t xml:space="preserve"> </w:t>
      </w:r>
      <w:r>
        <w:t xml:space="preserve">mg/month) of </w:t>
      </w:r>
      <w:proofErr w:type="spellStart"/>
      <w:r w:rsidR="00800A2A" w:rsidRPr="00800A2A">
        <w:t>Abilify</w:t>
      </w:r>
      <w:proofErr w:type="spellEnd"/>
      <w:r w:rsidR="00800A2A" w:rsidRPr="00800A2A">
        <w:t xml:space="preserve"> </w:t>
      </w:r>
      <w:proofErr w:type="spellStart"/>
      <w:r w:rsidR="00800A2A" w:rsidRPr="00800A2A">
        <w:t>Maintena</w:t>
      </w:r>
      <w:proofErr w:type="spellEnd"/>
      <w:r>
        <w:t xml:space="preserve"> (AUC</w:t>
      </w:r>
      <w:r w:rsidRPr="005F1B80">
        <w:rPr>
          <w:vertAlign w:val="subscript"/>
        </w:rPr>
        <w:t>0-28d</w:t>
      </w:r>
      <w:r>
        <w:t xml:space="preserve"> value 163 µ</w:t>
      </w:r>
      <w:proofErr w:type="spellStart"/>
      <w:r>
        <w:t>g.h</w:t>
      </w:r>
      <w:proofErr w:type="spellEnd"/>
      <w:r>
        <w:t>/mL = AUC</w:t>
      </w:r>
      <w:r w:rsidRPr="00E413BF">
        <w:rPr>
          <w:vertAlign w:val="subscript"/>
        </w:rPr>
        <w:t>0-24h</w:t>
      </w:r>
      <w:r>
        <w:t xml:space="preserve"> 5821 </w:t>
      </w:r>
      <w:proofErr w:type="spellStart"/>
      <w:r>
        <w:t>ng.h</w:t>
      </w:r>
      <w:proofErr w:type="spellEnd"/>
      <w:r>
        <w:t>/mL) is lower than the corresponding exposure associated with the MRHD (30</w:t>
      </w:r>
      <w:r w:rsidR="00800A2A">
        <w:t xml:space="preserve"> </w:t>
      </w:r>
      <w:r>
        <w:t xml:space="preserve">mg/day) of </w:t>
      </w:r>
      <w:proofErr w:type="spellStart"/>
      <w:r w:rsidR="00800A2A">
        <w:t>Abilify</w:t>
      </w:r>
      <w:proofErr w:type="spellEnd"/>
      <w:r>
        <w:t xml:space="preserve"> tablets (AUC</w:t>
      </w:r>
      <w:r w:rsidRPr="00E413BF">
        <w:rPr>
          <w:vertAlign w:val="subscript"/>
        </w:rPr>
        <w:t>0-24h</w:t>
      </w:r>
      <w:r>
        <w:t xml:space="preserve"> 7561-8360 </w:t>
      </w:r>
      <w:proofErr w:type="spellStart"/>
      <w:r>
        <w:t>ng.h</w:t>
      </w:r>
      <w:proofErr w:type="spellEnd"/>
      <w:r>
        <w:t xml:space="preserve">/mL; Clinical studies 31-93-204, 31-99-224). Thus, the toxicological risk assessment undertaken for </w:t>
      </w:r>
      <w:proofErr w:type="spellStart"/>
      <w:r>
        <w:t>aripiprazole</w:t>
      </w:r>
      <w:proofErr w:type="spellEnd"/>
      <w:r>
        <w:t xml:space="preserve"> in the nonclinical evaluation of the submission to register </w:t>
      </w:r>
      <w:proofErr w:type="spellStart"/>
      <w:r w:rsidR="00800A2A">
        <w:t>Abilify</w:t>
      </w:r>
      <w:proofErr w:type="spellEnd"/>
      <w:r>
        <w:t xml:space="preserve"> tablets is considered to be valid for the current submission, insofar as the overall toxicological profile of the compound is concerned. The main focus of the current nonclinical assessment is therefore the new formulation/route of administration.</w:t>
      </w:r>
    </w:p>
    <w:p w14:paraId="2812F44D" w14:textId="5F9C6A1F" w:rsidR="00E01F69" w:rsidRPr="003D2F75" w:rsidRDefault="00800A2A" w:rsidP="00EF5CD2">
      <w:pPr>
        <w:pStyle w:val="TableTitle"/>
      </w:pPr>
      <w:r>
        <w:t xml:space="preserve">Table </w:t>
      </w:r>
      <w:r w:rsidR="00EF5CD2">
        <w:t>1</w:t>
      </w:r>
      <w:r>
        <w:t xml:space="preserve">. </w:t>
      </w:r>
      <w:r w:rsidR="00E01F69" w:rsidRPr="003D2F75">
        <w:t>Relative exposure in repeat-dose toxicity studies</w:t>
      </w:r>
    </w:p>
    <w:tbl>
      <w:tblPr>
        <w:tblStyle w:val="TableTGAblue"/>
        <w:tblW w:w="8613" w:type="dxa"/>
        <w:tblLayout w:type="fixed"/>
        <w:tblLook w:val="01E0" w:firstRow="1" w:lastRow="1" w:firstColumn="1" w:lastColumn="1" w:noHBand="0" w:noVBand="0"/>
      </w:tblPr>
      <w:tblGrid>
        <w:gridCol w:w="1242"/>
        <w:gridCol w:w="1418"/>
        <w:gridCol w:w="1417"/>
        <w:gridCol w:w="1560"/>
        <w:gridCol w:w="1417"/>
        <w:gridCol w:w="1559"/>
      </w:tblGrid>
      <w:tr w:rsidR="003E166F" w:rsidRPr="003D2F75" w14:paraId="2812F458" w14:textId="77777777" w:rsidTr="00AE0D26">
        <w:trPr>
          <w:cnfStyle w:val="100000000000" w:firstRow="1" w:lastRow="0" w:firstColumn="0" w:lastColumn="0" w:oddVBand="0" w:evenVBand="0" w:oddHBand="0" w:evenHBand="0" w:firstRowFirstColumn="0" w:firstRowLastColumn="0" w:lastRowFirstColumn="0" w:lastRowLastColumn="0"/>
        </w:trPr>
        <w:tc>
          <w:tcPr>
            <w:tcW w:w="1242" w:type="dxa"/>
          </w:tcPr>
          <w:p w14:paraId="2812F44E" w14:textId="77777777" w:rsidR="00E01F69" w:rsidRPr="00800A2A" w:rsidRDefault="00E01F69" w:rsidP="00EF5CD2">
            <w:pPr>
              <w:ind w:left="0"/>
            </w:pPr>
            <w:r w:rsidRPr="00800A2A">
              <w:t>Species</w:t>
            </w:r>
          </w:p>
        </w:tc>
        <w:tc>
          <w:tcPr>
            <w:tcW w:w="1418" w:type="dxa"/>
          </w:tcPr>
          <w:p w14:paraId="2812F44F" w14:textId="77777777" w:rsidR="00E01F69" w:rsidRPr="00800A2A" w:rsidRDefault="00E01F69" w:rsidP="00EF5CD2">
            <w:pPr>
              <w:ind w:left="0"/>
            </w:pPr>
            <w:r w:rsidRPr="00800A2A">
              <w:t>Study duration</w:t>
            </w:r>
          </w:p>
        </w:tc>
        <w:tc>
          <w:tcPr>
            <w:tcW w:w="1417" w:type="dxa"/>
          </w:tcPr>
          <w:p w14:paraId="2812F450" w14:textId="7FA626BD" w:rsidR="00E01F69" w:rsidRPr="00800A2A" w:rsidRDefault="00E01F69" w:rsidP="00EF5CD2">
            <w:pPr>
              <w:ind w:left="0"/>
            </w:pPr>
            <w:proofErr w:type="spellStart"/>
            <w:r w:rsidRPr="00800A2A">
              <w:t>Dose</w:t>
            </w:r>
            <w:r w:rsidR="00800A2A">
              <w:t>mg</w:t>
            </w:r>
            <w:proofErr w:type="spellEnd"/>
            <w:r w:rsidR="00800A2A">
              <w:t>/kg</w:t>
            </w:r>
            <w:r w:rsidRPr="00800A2A">
              <w:t>/</w:t>
            </w:r>
            <w:r w:rsidR="00EF5CD2">
              <w:t xml:space="preserve"> </w:t>
            </w:r>
            <w:r w:rsidRPr="00800A2A">
              <w:t>week IM</w:t>
            </w:r>
          </w:p>
        </w:tc>
        <w:tc>
          <w:tcPr>
            <w:tcW w:w="1560" w:type="dxa"/>
          </w:tcPr>
          <w:p w14:paraId="2812F452" w14:textId="414E2D32" w:rsidR="00E01F69" w:rsidRPr="00800A2A" w:rsidRDefault="00E01F69" w:rsidP="00EF5CD2">
            <w:pPr>
              <w:ind w:left="34"/>
            </w:pPr>
            <w:r w:rsidRPr="00800A2A">
              <w:t>AUC</w:t>
            </w:r>
            <w:r w:rsidRPr="00800A2A">
              <w:rPr>
                <w:vertAlign w:val="subscript"/>
              </w:rPr>
              <w:t>0–7d</w:t>
            </w:r>
            <w:r w:rsidRPr="00800A2A">
              <w:br/>
            </w:r>
            <w:proofErr w:type="spellStart"/>
            <w:r w:rsidRPr="00800A2A">
              <w:t>ng∙day</w:t>
            </w:r>
            <w:proofErr w:type="spellEnd"/>
            <w:r w:rsidRPr="00800A2A">
              <w:t>/mL</w:t>
            </w:r>
            <w:r w:rsidR="00EF5CD2">
              <w:t xml:space="preserve"> </w:t>
            </w:r>
            <w:r w:rsidRPr="00800A2A">
              <w:t>m/f</w:t>
            </w:r>
          </w:p>
        </w:tc>
        <w:tc>
          <w:tcPr>
            <w:tcW w:w="1417" w:type="dxa"/>
          </w:tcPr>
          <w:p w14:paraId="2812F455" w14:textId="7FB87854" w:rsidR="00E01F69" w:rsidRPr="00800A2A" w:rsidRDefault="00E01F69" w:rsidP="00EF5CD2">
            <w:pPr>
              <w:ind w:left="33"/>
            </w:pPr>
            <w:r w:rsidRPr="00800A2A">
              <w:t>AUC</w:t>
            </w:r>
            <w:r w:rsidRPr="00800A2A">
              <w:rPr>
                <w:vertAlign w:val="subscript"/>
              </w:rPr>
              <w:t>0-28d</w:t>
            </w:r>
            <w:r w:rsidRPr="00800A2A">
              <w:t>^</w:t>
            </w:r>
            <w:r w:rsidR="00EF5CD2">
              <w:t xml:space="preserve"> </w:t>
            </w:r>
            <w:r w:rsidRPr="00800A2A">
              <w:t>µ</w:t>
            </w:r>
            <w:proofErr w:type="spellStart"/>
            <w:r w:rsidRPr="00800A2A">
              <w:t>g·h</w:t>
            </w:r>
            <w:proofErr w:type="spellEnd"/>
            <w:r w:rsidRPr="00800A2A">
              <w:t>/mL</w:t>
            </w:r>
            <w:r w:rsidR="00EF5CD2">
              <w:t xml:space="preserve"> </w:t>
            </w:r>
            <w:r w:rsidRPr="00800A2A">
              <w:t>m/f</w:t>
            </w:r>
          </w:p>
        </w:tc>
        <w:tc>
          <w:tcPr>
            <w:tcW w:w="1559" w:type="dxa"/>
          </w:tcPr>
          <w:p w14:paraId="2812F456" w14:textId="77777777" w:rsidR="00E01F69" w:rsidRPr="00800A2A" w:rsidRDefault="00E01F69" w:rsidP="00EF5CD2">
            <w:pPr>
              <w:ind w:left="34"/>
              <w:rPr>
                <w:vertAlign w:val="superscript"/>
              </w:rPr>
            </w:pPr>
            <w:r w:rsidRPr="00800A2A">
              <w:t>Exposure ratio</w:t>
            </w:r>
            <w:r w:rsidRPr="00800A2A">
              <w:rPr>
                <w:vertAlign w:val="superscript"/>
              </w:rPr>
              <w:t>#</w:t>
            </w:r>
          </w:p>
          <w:p w14:paraId="2812F457" w14:textId="77777777" w:rsidR="00E01F69" w:rsidRPr="00800A2A" w:rsidRDefault="00E01F69" w:rsidP="00EF5CD2">
            <w:pPr>
              <w:ind w:left="34"/>
            </w:pPr>
            <w:r w:rsidRPr="00800A2A">
              <w:t>m/f</w:t>
            </w:r>
          </w:p>
        </w:tc>
      </w:tr>
      <w:tr w:rsidR="003E166F" w:rsidRPr="003D2F75" w14:paraId="2812F45F" w14:textId="77777777" w:rsidTr="00510CCA">
        <w:trPr>
          <w:trHeight w:val="227"/>
        </w:trPr>
        <w:tc>
          <w:tcPr>
            <w:tcW w:w="1242" w:type="dxa"/>
            <w:vMerge w:val="restart"/>
          </w:tcPr>
          <w:p w14:paraId="2812F459" w14:textId="77777777" w:rsidR="00E01F69" w:rsidRPr="00800A2A" w:rsidRDefault="00E01F69" w:rsidP="00EF5CD2">
            <w:pPr>
              <w:ind w:left="0"/>
            </w:pPr>
            <w:r w:rsidRPr="00800A2A">
              <w:t>Rat</w:t>
            </w:r>
            <w:r w:rsidRPr="00800A2A">
              <w:br/>
              <w:t>(SD)</w:t>
            </w:r>
          </w:p>
        </w:tc>
        <w:tc>
          <w:tcPr>
            <w:tcW w:w="1418" w:type="dxa"/>
            <w:vMerge w:val="restart"/>
          </w:tcPr>
          <w:p w14:paraId="2812F45A" w14:textId="77777777" w:rsidR="00E01F69" w:rsidRPr="00800A2A" w:rsidRDefault="00E01F69" w:rsidP="00EF5CD2">
            <w:pPr>
              <w:ind w:left="0"/>
            </w:pPr>
            <w:r w:rsidRPr="00800A2A">
              <w:t>26 weeks</w:t>
            </w:r>
          </w:p>
        </w:tc>
        <w:tc>
          <w:tcPr>
            <w:tcW w:w="1417" w:type="dxa"/>
          </w:tcPr>
          <w:p w14:paraId="2812F45B" w14:textId="77777777" w:rsidR="00E01F69" w:rsidRPr="00800A2A" w:rsidRDefault="00E01F69" w:rsidP="00EF5CD2">
            <w:pPr>
              <w:ind w:left="0"/>
            </w:pPr>
            <w:r w:rsidRPr="00800A2A">
              <w:t>25</w:t>
            </w:r>
          </w:p>
        </w:tc>
        <w:tc>
          <w:tcPr>
            <w:tcW w:w="1560" w:type="dxa"/>
          </w:tcPr>
          <w:p w14:paraId="2812F45C" w14:textId="77777777" w:rsidR="00E01F69" w:rsidRPr="00800A2A" w:rsidRDefault="00E01F69" w:rsidP="00EF5CD2">
            <w:pPr>
              <w:ind w:left="34"/>
            </w:pPr>
            <w:r w:rsidRPr="00800A2A">
              <w:t>728/647</w:t>
            </w:r>
          </w:p>
        </w:tc>
        <w:tc>
          <w:tcPr>
            <w:tcW w:w="1417" w:type="dxa"/>
          </w:tcPr>
          <w:p w14:paraId="2812F45D" w14:textId="77777777" w:rsidR="00E01F69" w:rsidRPr="00800A2A" w:rsidRDefault="00E01F69" w:rsidP="00EF5CD2">
            <w:pPr>
              <w:ind w:left="33"/>
            </w:pPr>
            <w:r w:rsidRPr="00800A2A">
              <w:t>70/62</w:t>
            </w:r>
          </w:p>
        </w:tc>
        <w:tc>
          <w:tcPr>
            <w:tcW w:w="1559" w:type="dxa"/>
          </w:tcPr>
          <w:p w14:paraId="2812F45E" w14:textId="77777777" w:rsidR="00E01F69" w:rsidRPr="00800A2A" w:rsidRDefault="00E01F69" w:rsidP="00EF5CD2">
            <w:pPr>
              <w:ind w:left="34"/>
            </w:pPr>
            <w:r w:rsidRPr="00800A2A">
              <w:t>0.43/0.38</w:t>
            </w:r>
          </w:p>
        </w:tc>
      </w:tr>
      <w:tr w:rsidR="003E166F" w:rsidRPr="003D2F75" w14:paraId="2812F466" w14:textId="77777777" w:rsidTr="00510CCA">
        <w:trPr>
          <w:trHeight w:val="227"/>
        </w:trPr>
        <w:tc>
          <w:tcPr>
            <w:tcW w:w="1242" w:type="dxa"/>
            <w:vMerge/>
          </w:tcPr>
          <w:p w14:paraId="2812F460" w14:textId="77777777" w:rsidR="00E01F69" w:rsidRPr="00800A2A" w:rsidRDefault="00E01F69" w:rsidP="00EF5CD2">
            <w:pPr>
              <w:ind w:left="0"/>
            </w:pPr>
          </w:p>
        </w:tc>
        <w:tc>
          <w:tcPr>
            <w:tcW w:w="1418" w:type="dxa"/>
            <w:vMerge/>
          </w:tcPr>
          <w:p w14:paraId="2812F461" w14:textId="77777777" w:rsidR="00E01F69" w:rsidRPr="00800A2A" w:rsidRDefault="00E01F69" w:rsidP="00EF5CD2">
            <w:pPr>
              <w:ind w:left="0"/>
            </w:pPr>
          </w:p>
        </w:tc>
        <w:tc>
          <w:tcPr>
            <w:tcW w:w="1417" w:type="dxa"/>
          </w:tcPr>
          <w:p w14:paraId="2812F462" w14:textId="77777777" w:rsidR="00E01F69" w:rsidRPr="00800A2A" w:rsidRDefault="00E01F69" w:rsidP="00EF5CD2">
            <w:pPr>
              <w:ind w:left="0"/>
            </w:pPr>
            <w:r w:rsidRPr="00800A2A">
              <w:t>50</w:t>
            </w:r>
          </w:p>
        </w:tc>
        <w:tc>
          <w:tcPr>
            <w:tcW w:w="1560" w:type="dxa"/>
          </w:tcPr>
          <w:p w14:paraId="2812F463" w14:textId="77777777" w:rsidR="00E01F69" w:rsidRPr="00800A2A" w:rsidRDefault="00E01F69" w:rsidP="00EF5CD2">
            <w:pPr>
              <w:ind w:left="34"/>
            </w:pPr>
            <w:r w:rsidRPr="00800A2A">
              <w:t>598/536</w:t>
            </w:r>
          </w:p>
        </w:tc>
        <w:tc>
          <w:tcPr>
            <w:tcW w:w="1417" w:type="dxa"/>
          </w:tcPr>
          <w:p w14:paraId="2812F464" w14:textId="77777777" w:rsidR="00E01F69" w:rsidRPr="00800A2A" w:rsidRDefault="00E01F69" w:rsidP="00EF5CD2">
            <w:pPr>
              <w:ind w:left="33"/>
            </w:pPr>
            <w:r w:rsidRPr="00800A2A">
              <w:t>57/51</w:t>
            </w:r>
          </w:p>
        </w:tc>
        <w:tc>
          <w:tcPr>
            <w:tcW w:w="1559" w:type="dxa"/>
          </w:tcPr>
          <w:p w14:paraId="2812F465" w14:textId="77777777" w:rsidR="00E01F69" w:rsidRPr="00800A2A" w:rsidRDefault="00E01F69" w:rsidP="00EF5CD2">
            <w:pPr>
              <w:ind w:left="34"/>
            </w:pPr>
            <w:r w:rsidRPr="00800A2A">
              <w:t>0.35/0.32</w:t>
            </w:r>
          </w:p>
        </w:tc>
      </w:tr>
      <w:tr w:rsidR="003E166F" w:rsidRPr="003D2F75" w14:paraId="2812F46D" w14:textId="77777777" w:rsidTr="00510CCA">
        <w:trPr>
          <w:trHeight w:val="227"/>
        </w:trPr>
        <w:tc>
          <w:tcPr>
            <w:tcW w:w="1242" w:type="dxa"/>
            <w:vMerge/>
          </w:tcPr>
          <w:p w14:paraId="2812F467" w14:textId="77777777" w:rsidR="00E01F69" w:rsidRPr="00800A2A" w:rsidRDefault="00E01F69" w:rsidP="00EF5CD2">
            <w:pPr>
              <w:ind w:left="0"/>
            </w:pPr>
          </w:p>
        </w:tc>
        <w:tc>
          <w:tcPr>
            <w:tcW w:w="1418" w:type="dxa"/>
            <w:vMerge/>
          </w:tcPr>
          <w:p w14:paraId="2812F468" w14:textId="77777777" w:rsidR="00E01F69" w:rsidRPr="00800A2A" w:rsidRDefault="00E01F69" w:rsidP="00EF5CD2">
            <w:pPr>
              <w:ind w:left="0"/>
            </w:pPr>
          </w:p>
        </w:tc>
        <w:tc>
          <w:tcPr>
            <w:tcW w:w="1417" w:type="dxa"/>
          </w:tcPr>
          <w:p w14:paraId="2812F469" w14:textId="77777777" w:rsidR="00E01F69" w:rsidRPr="00800A2A" w:rsidRDefault="00E01F69" w:rsidP="00EF5CD2">
            <w:pPr>
              <w:ind w:left="0"/>
            </w:pPr>
            <w:r w:rsidRPr="00800A2A">
              <w:t>100</w:t>
            </w:r>
          </w:p>
        </w:tc>
        <w:tc>
          <w:tcPr>
            <w:tcW w:w="1560" w:type="dxa"/>
          </w:tcPr>
          <w:p w14:paraId="2812F46A" w14:textId="77777777" w:rsidR="00E01F69" w:rsidRPr="00800A2A" w:rsidRDefault="00E01F69" w:rsidP="00EF5CD2">
            <w:pPr>
              <w:ind w:left="34"/>
            </w:pPr>
            <w:r w:rsidRPr="00800A2A">
              <w:t>3840/4336</w:t>
            </w:r>
          </w:p>
        </w:tc>
        <w:tc>
          <w:tcPr>
            <w:tcW w:w="1417" w:type="dxa"/>
          </w:tcPr>
          <w:p w14:paraId="2812F46B" w14:textId="77777777" w:rsidR="00E01F69" w:rsidRPr="00800A2A" w:rsidRDefault="00E01F69" w:rsidP="00EF5CD2">
            <w:pPr>
              <w:ind w:left="33"/>
            </w:pPr>
            <w:r w:rsidRPr="00800A2A">
              <w:t>368/416</w:t>
            </w:r>
          </w:p>
        </w:tc>
        <w:tc>
          <w:tcPr>
            <w:tcW w:w="1559" w:type="dxa"/>
          </w:tcPr>
          <w:p w14:paraId="2812F46C" w14:textId="77777777" w:rsidR="00E01F69" w:rsidRPr="00800A2A" w:rsidRDefault="00E01F69" w:rsidP="00EF5CD2">
            <w:pPr>
              <w:ind w:left="34"/>
            </w:pPr>
            <w:r w:rsidRPr="00800A2A">
              <w:t>2.26/2.55</w:t>
            </w:r>
          </w:p>
        </w:tc>
      </w:tr>
      <w:tr w:rsidR="003E166F" w:rsidRPr="003D2F75" w14:paraId="2812F475" w14:textId="77777777" w:rsidTr="00510CCA">
        <w:trPr>
          <w:trHeight w:val="227"/>
        </w:trPr>
        <w:tc>
          <w:tcPr>
            <w:tcW w:w="1242" w:type="dxa"/>
            <w:vMerge w:val="restart"/>
          </w:tcPr>
          <w:p w14:paraId="2812F46F" w14:textId="0EA00646" w:rsidR="00E01F69" w:rsidRPr="00800A2A" w:rsidRDefault="00E01F69" w:rsidP="00EF5CD2">
            <w:pPr>
              <w:ind w:left="0"/>
            </w:pPr>
            <w:r w:rsidRPr="00800A2A">
              <w:t>Dog (Beagle)</w:t>
            </w:r>
          </w:p>
        </w:tc>
        <w:tc>
          <w:tcPr>
            <w:tcW w:w="1418" w:type="dxa"/>
            <w:vMerge w:val="restart"/>
          </w:tcPr>
          <w:p w14:paraId="2812F470" w14:textId="77777777" w:rsidR="00E01F69" w:rsidRPr="00800A2A" w:rsidRDefault="00E01F69" w:rsidP="00EF5CD2">
            <w:pPr>
              <w:ind w:left="0"/>
            </w:pPr>
            <w:r w:rsidRPr="00800A2A">
              <w:t>26 weeks</w:t>
            </w:r>
          </w:p>
        </w:tc>
        <w:tc>
          <w:tcPr>
            <w:tcW w:w="1417" w:type="dxa"/>
          </w:tcPr>
          <w:p w14:paraId="2812F471" w14:textId="77777777" w:rsidR="00E01F69" w:rsidRPr="00800A2A" w:rsidRDefault="00E01F69" w:rsidP="00EF5CD2">
            <w:pPr>
              <w:ind w:left="0"/>
            </w:pPr>
            <w:r w:rsidRPr="00800A2A">
              <w:t>10</w:t>
            </w:r>
          </w:p>
        </w:tc>
        <w:tc>
          <w:tcPr>
            <w:tcW w:w="1560" w:type="dxa"/>
          </w:tcPr>
          <w:p w14:paraId="2812F472" w14:textId="77777777" w:rsidR="00E01F69" w:rsidRPr="00800A2A" w:rsidRDefault="00E01F69" w:rsidP="00EF5CD2">
            <w:pPr>
              <w:ind w:left="34"/>
            </w:pPr>
            <w:r w:rsidRPr="00800A2A">
              <w:t>365/265</w:t>
            </w:r>
          </w:p>
        </w:tc>
        <w:tc>
          <w:tcPr>
            <w:tcW w:w="1417" w:type="dxa"/>
          </w:tcPr>
          <w:p w14:paraId="2812F473" w14:textId="77777777" w:rsidR="00E01F69" w:rsidRPr="00800A2A" w:rsidRDefault="00E01F69" w:rsidP="00EF5CD2">
            <w:pPr>
              <w:ind w:left="33"/>
            </w:pPr>
            <w:r w:rsidRPr="00800A2A">
              <w:t>35/25</w:t>
            </w:r>
          </w:p>
        </w:tc>
        <w:tc>
          <w:tcPr>
            <w:tcW w:w="1559" w:type="dxa"/>
          </w:tcPr>
          <w:p w14:paraId="2812F474" w14:textId="77777777" w:rsidR="00E01F69" w:rsidRPr="00800A2A" w:rsidRDefault="00E01F69" w:rsidP="00EF5CD2">
            <w:pPr>
              <w:ind w:left="34"/>
            </w:pPr>
            <w:r w:rsidRPr="00800A2A">
              <w:t>0.22/0.16</w:t>
            </w:r>
          </w:p>
        </w:tc>
      </w:tr>
      <w:tr w:rsidR="003E166F" w:rsidRPr="003E166F" w14:paraId="2812F47C" w14:textId="77777777" w:rsidTr="00510CCA">
        <w:trPr>
          <w:trHeight w:val="227"/>
        </w:trPr>
        <w:tc>
          <w:tcPr>
            <w:tcW w:w="1242" w:type="dxa"/>
            <w:vMerge/>
          </w:tcPr>
          <w:p w14:paraId="2812F476" w14:textId="77777777" w:rsidR="00E01F69" w:rsidRPr="00800A2A" w:rsidRDefault="00E01F69" w:rsidP="00EF5CD2">
            <w:pPr>
              <w:ind w:left="0"/>
            </w:pPr>
          </w:p>
        </w:tc>
        <w:tc>
          <w:tcPr>
            <w:tcW w:w="1418" w:type="dxa"/>
            <w:vMerge/>
          </w:tcPr>
          <w:p w14:paraId="2812F477" w14:textId="77777777" w:rsidR="00E01F69" w:rsidRPr="00800A2A" w:rsidRDefault="00E01F69" w:rsidP="00EF5CD2">
            <w:pPr>
              <w:ind w:left="0"/>
            </w:pPr>
          </w:p>
        </w:tc>
        <w:tc>
          <w:tcPr>
            <w:tcW w:w="1417" w:type="dxa"/>
          </w:tcPr>
          <w:p w14:paraId="2812F478" w14:textId="77777777" w:rsidR="00E01F69" w:rsidRPr="00800A2A" w:rsidRDefault="00E01F69" w:rsidP="00EF5CD2">
            <w:pPr>
              <w:ind w:left="0"/>
            </w:pPr>
            <w:r w:rsidRPr="00800A2A">
              <w:t>20</w:t>
            </w:r>
          </w:p>
        </w:tc>
        <w:tc>
          <w:tcPr>
            <w:tcW w:w="1560" w:type="dxa"/>
          </w:tcPr>
          <w:p w14:paraId="2812F479" w14:textId="77777777" w:rsidR="00E01F69" w:rsidRPr="00800A2A" w:rsidRDefault="00E01F69" w:rsidP="00EF5CD2">
            <w:pPr>
              <w:ind w:left="34"/>
            </w:pPr>
            <w:r w:rsidRPr="00800A2A">
              <w:t>654/727</w:t>
            </w:r>
          </w:p>
        </w:tc>
        <w:tc>
          <w:tcPr>
            <w:tcW w:w="1417" w:type="dxa"/>
          </w:tcPr>
          <w:p w14:paraId="2812F47A" w14:textId="77777777" w:rsidR="00E01F69" w:rsidRPr="00800A2A" w:rsidRDefault="00E01F69" w:rsidP="00EF5CD2">
            <w:pPr>
              <w:ind w:left="33"/>
            </w:pPr>
            <w:r w:rsidRPr="00800A2A">
              <w:t>63/70</w:t>
            </w:r>
          </w:p>
        </w:tc>
        <w:tc>
          <w:tcPr>
            <w:tcW w:w="1559" w:type="dxa"/>
          </w:tcPr>
          <w:p w14:paraId="2812F47B" w14:textId="77777777" w:rsidR="00E01F69" w:rsidRPr="002F1D84" w:rsidRDefault="00E01F69" w:rsidP="00EF5CD2">
            <w:pPr>
              <w:ind w:left="34"/>
            </w:pPr>
            <w:r w:rsidRPr="002F1D84">
              <w:t>0.39/0.43</w:t>
            </w:r>
          </w:p>
        </w:tc>
      </w:tr>
      <w:tr w:rsidR="003E166F" w:rsidRPr="003D2F75" w14:paraId="2812F483" w14:textId="77777777" w:rsidTr="00510CCA">
        <w:trPr>
          <w:trHeight w:val="227"/>
        </w:trPr>
        <w:tc>
          <w:tcPr>
            <w:tcW w:w="1242" w:type="dxa"/>
            <w:vMerge/>
          </w:tcPr>
          <w:p w14:paraId="2812F47D" w14:textId="77777777" w:rsidR="00E01F69" w:rsidRPr="00800A2A" w:rsidRDefault="00E01F69" w:rsidP="00EF5CD2">
            <w:pPr>
              <w:ind w:left="0"/>
            </w:pPr>
          </w:p>
        </w:tc>
        <w:tc>
          <w:tcPr>
            <w:tcW w:w="1418" w:type="dxa"/>
            <w:vMerge/>
          </w:tcPr>
          <w:p w14:paraId="2812F47E" w14:textId="77777777" w:rsidR="00E01F69" w:rsidRPr="00800A2A" w:rsidRDefault="00E01F69" w:rsidP="00EF5CD2">
            <w:pPr>
              <w:ind w:left="0"/>
            </w:pPr>
          </w:p>
        </w:tc>
        <w:tc>
          <w:tcPr>
            <w:tcW w:w="1417" w:type="dxa"/>
          </w:tcPr>
          <w:p w14:paraId="2812F47F" w14:textId="77777777" w:rsidR="00E01F69" w:rsidRPr="00800A2A" w:rsidRDefault="00E01F69" w:rsidP="00EF5CD2">
            <w:pPr>
              <w:ind w:left="0"/>
            </w:pPr>
            <w:r w:rsidRPr="00800A2A">
              <w:t>40</w:t>
            </w:r>
          </w:p>
        </w:tc>
        <w:tc>
          <w:tcPr>
            <w:tcW w:w="1560" w:type="dxa"/>
          </w:tcPr>
          <w:p w14:paraId="2812F480" w14:textId="77777777" w:rsidR="00E01F69" w:rsidRPr="00800A2A" w:rsidRDefault="00E01F69" w:rsidP="00EF5CD2">
            <w:pPr>
              <w:ind w:left="34"/>
            </w:pPr>
            <w:r w:rsidRPr="00800A2A">
              <w:t>1430/1520</w:t>
            </w:r>
          </w:p>
        </w:tc>
        <w:tc>
          <w:tcPr>
            <w:tcW w:w="1417" w:type="dxa"/>
          </w:tcPr>
          <w:p w14:paraId="2812F481" w14:textId="77777777" w:rsidR="00E01F69" w:rsidRPr="00800A2A" w:rsidRDefault="00E01F69" w:rsidP="00EF5CD2">
            <w:pPr>
              <w:ind w:left="33"/>
            </w:pPr>
            <w:r w:rsidRPr="00800A2A">
              <w:t>137/146</w:t>
            </w:r>
          </w:p>
        </w:tc>
        <w:tc>
          <w:tcPr>
            <w:tcW w:w="1559" w:type="dxa"/>
          </w:tcPr>
          <w:p w14:paraId="2812F482" w14:textId="77777777" w:rsidR="00E01F69" w:rsidRPr="00800A2A" w:rsidRDefault="00E01F69" w:rsidP="00EF5CD2">
            <w:pPr>
              <w:ind w:left="34"/>
            </w:pPr>
            <w:r w:rsidRPr="00800A2A">
              <w:t>0.84/0.90</w:t>
            </w:r>
          </w:p>
        </w:tc>
      </w:tr>
      <w:tr w:rsidR="003E166F" w:rsidRPr="003D2F75" w14:paraId="2812F48A" w14:textId="77777777" w:rsidTr="00510CCA">
        <w:trPr>
          <w:trHeight w:val="227"/>
        </w:trPr>
        <w:tc>
          <w:tcPr>
            <w:tcW w:w="1242" w:type="dxa"/>
            <w:vMerge/>
          </w:tcPr>
          <w:p w14:paraId="2812F484" w14:textId="77777777" w:rsidR="00E01F69" w:rsidRPr="00800A2A" w:rsidRDefault="00E01F69" w:rsidP="00EF5CD2">
            <w:pPr>
              <w:ind w:left="0"/>
            </w:pPr>
          </w:p>
        </w:tc>
        <w:tc>
          <w:tcPr>
            <w:tcW w:w="1418" w:type="dxa"/>
            <w:vMerge w:val="restart"/>
          </w:tcPr>
          <w:p w14:paraId="2812F485" w14:textId="77777777" w:rsidR="00E01F69" w:rsidRPr="00800A2A" w:rsidRDefault="00E01F69" w:rsidP="00EF5CD2">
            <w:pPr>
              <w:ind w:left="0"/>
            </w:pPr>
            <w:r w:rsidRPr="00800A2A">
              <w:t>52 weeks</w:t>
            </w:r>
          </w:p>
        </w:tc>
        <w:tc>
          <w:tcPr>
            <w:tcW w:w="1417" w:type="dxa"/>
          </w:tcPr>
          <w:p w14:paraId="2812F486" w14:textId="77777777" w:rsidR="00E01F69" w:rsidRPr="00800A2A" w:rsidRDefault="00E01F69" w:rsidP="00EF5CD2">
            <w:pPr>
              <w:ind w:left="0"/>
            </w:pPr>
            <w:r w:rsidRPr="00800A2A">
              <w:t>10</w:t>
            </w:r>
          </w:p>
        </w:tc>
        <w:tc>
          <w:tcPr>
            <w:tcW w:w="1560" w:type="dxa"/>
          </w:tcPr>
          <w:p w14:paraId="2812F487" w14:textId="77777777" w:rsidR="00E01F69" w:rsidRPr="00800A2A" w:rsidRDefault="00E01F69" w:rsidP="00EF5CD2">
            <w:pPr>
              <w:ind w:left="34"/>
            </w:pPr>
            <w:r w:rsidRPr="00800A2A">
              <w:t>400/357</w:t>
            </w:r>
          </w:p>
        </w:tc>
        <w:tc>
          <w:tcPr>
            <w:tcW w:w="1417" w:type="dxa"/>
          </w:tcPr>
          <w:p w14:paraId="2812F488" w14:textId="77777777" w:rsidR="00E01F69" w:rsidRPr="00800A2A" w:rsidRDefault="00E01F69" w:rsidP="00EF5CD2">
            <w:pPr>
              <w:ind w:left="33"/>
            </w:pPr>
            <w:r w:rsidRPr="00800A2A">
              <w:t>38/34</w:t>
            </w:r>
          </w:p>
        </w:tc>
        <w:tc>
          <w:tcPr>
            <w:tcW w:w="1559" w:type="dxa"/>
          </w:tcPr>
          <w:p w14:paraId="2812F489" w14:textId="77777777" w:rsidR="00E01F69" w:rsidRPr="00800A2A" w:rsidRDefault="00E01F69" w:rsidP="00EF5CD2">
            <w:pPr>
              <w:ind w:left="34"/>
            </w:pPr>
            <w:r w:rsidRPr="00800A2A">
              <w:t>0.24/0.21</w:t>
            </w:r>
          </w:p>
        </w:tc>
      </w:tr>
      <w:tr w:rsidR="003E166F" w:rsidRPr="003D2F75" w14:paraId="2812F491" w14:textId="77777777" w:rsidTr="00510CCA">
        <w:trPr>
          <w:trHeight w:val="227"/>
        </w:trPr>
        <w:tc>
          <w:tcPr>
            <w:tcW w:w="1242" w:type="dxa"/>
            <w:vMerge/>
          </w:tcPr>
          <w:p w14:paraId="2812F48B" w14:textId="77777777" w:rsidR="00E01F69" w:rsidRPr="00800A2A" w:rsidRDefault="00E01F69" w:rsidP="00EF5CD2">
            <w:pPr>
              <w:ind w:left="0"/>
            </w:pPr>
          </w:p>
        </w:tc>
        <w:tc>
          <w:tcPr>
            <w:tcW w:w="1418" w:type="dxa"/>
            <w:vMerge/>
          </w:tcPr>
          <w:p w14:paraId="2812F48C" w14:textId="77777777" w:rsidR="00E01F69" w:rsidRPr="00800A2A" w:rsidRDefault="00E01F69" w:rsidP="00EF5CD2">
            <w:pPr>
              <w:ind w:left="0"/>
            </w:pPr>
          </w:p>
        </w:tc>
        <w:tc>
          <w:tcPr>
            <w:tcW w:w="1417" w:type="dxa"/>
          </w:tcPr>
          <w:p w14:paraId="2812F48D" w14:textId="77777777" w:rsidR="00E01F69" w:rsidRPr="00800A2A" w:rsidRDefault="00E01F69" w:rsidP="00EF5CD2">
            <w:pPr>
              <w:ind w:left="0"/>
            </w:pPr>
            <w:r w:rsidRPr="00800A2A">
              <w:t>20</w:t>
            </w:r>
          </w:p>
        </w:tc>
        <w:tc>
          <w:tcPr>
            <w:tcW w:w="1560" w:type="dxa"/>
          </w:tcPr>
          <w:p w14:paraId="2812F48E" w14:textId="77777777" w:rsidR="00E01F69" w:rsidRPr="00800A2A" w:rsidRDefault="00E01F69" w:rsidP="00EF5CD2">
            <w:pPr>
              <w:ind w:left="34"/>
            </w:pPr>
            <w:r w:rsidRPr="00800A2A">
              <w:t>833/693</w:t>
            </w:r>
          </w:p>
        </w:tc>
        <w:tc>
          <w:tcPr>
            <w:tcW w:w="1417" w:type="dxa"/>
          </w:tcPr>
          <w:p w14:paraId="2812F48F" w14:textId="77777777" w:rsidR="00E01F69" w:rsidRPr="00800A2A" w:rsidRDefault="00E01F69" w:rsidP="00EF5CD2">
            <w:pPr>
              <w:ind w:left="33"/>
            </w:pPr>
            <w:r w:rsidRPr="00800A2A">
              <w:t>80/66</w:t>
            </w:r>
          </w:p>
        </w:tc>
        <w:tc>
          <w:tcPr>
            <w:tcW w:w="1559" w:type="dxa"/>
          </w:tcPr>
          <w:p w14:paraId="2812F490" w14:textId="77777777" w:rsidR="00E01F69" w:rsidRPr="00800A2A" w:rsidRDefault="00E01F69" w:rsidP="00EF5CD2">
            <w:pPr>
              <w:ind w:left="34"/>
            </w:pPr>
            <w:r w:rsidRPr="00800A2A">
              <w:t>0.49/0.41</w:t>
            </w:r>
          </w:p>
        </w:tc>
      </w:tr>
      <w:tr w:rsidR="003E166F" w:rsidRPr="003D2F75" w14:paraId="2812F498" w14:textId="77777777" w:rsidTr="00510CCA">
        <w:trPr>
          <w:trHeight w:val="227"/>
        </w:trPr>
        <w:tc>
          <w:tcPr>
            <w:tcW w:w="1242" w:type="dxa"/>
            <w:vMerge/>
          </w:tcPr>
          <w:p w14:paraId="2812F492" w14:textId="77777777" w:rsidR="00E01F69" w:rsidRPr="00800A2A" w:rsidRDefault="00E01F69" w:rsidP="00EF5CD2">
            <w:pPr>
              <w:ind w:left="0"/>
            </w:pPr>
          </w:p>
        </w:tc>
        <w:tc>
          <w:tcPr>
            <w:tcW w:w="1418" w:type="dxa"/>
            <w:vMerge/>
          </w:tcPr>
          <w:p w14:paraId="2812F493" w14:textId="77777777" w:rsidR="00E01F69" w:rsidRPr="00800A2A" w:rsidRDefault="00E01F69" w:rsidP="00EF5CD2">
            <w:pPr>
              <w:ind w:left="0"/>
            </w:pPr>
          </w:p>
        </w:tc>
        <w:tc>
          <w:tcPr>
            <w:tcW w:w="1417" w:type="dxa"/>
          </w:tcPr>
          <w:p w14:paraId="2812F494" w14:textId="77777777" w:rsidR="00E01F69" w:rsidRPr="00800A2A" w:rsidRDefault="00E01F69" w:rsidP="00EF5CD2">
            <w:pPr>
              <w:ind w:left="0"/>
            </w:pPr>
            <w:r w:rsidRPr="00800A2A">
              <w:t>40</w:t>
            </w:r>
          </w:p>
        </w:tc>
        <w:tc>
          <w:tcPr>
            <w:tcW w:w="1560" w:type="dxa"/>
          </w:tcPr>
          <w:p w14:paraId="2812F495" w14:textId="77777777" w:rsidR="00E01F69" w:rsidRPr="00800A2A" w:rsidRDefault="00E01F69" w:rsidP="00EF5CD2">
            <w:pPr>
              <w:ind w:left="34"/>
            </w:pPr>
            <w:r w:rsidRPr="00800A2A">
              <w:t>2460/1820</w:t>
            </w:r>
          </w:p>
        </w:tc>
        <w:tc>
          <w:tcPr>
            <w:tcW w:w="1417" w:type="dxa"/>
          </w:tcPr>
          <w:p w14:paraId="2812F496" w14:textId="77777777" w:rsidR="00E01F69" w:rsidRPr="00800A2A" w:rsidRDefault="00E01F69" w:rsidP="00EF5CD2">
            <w:pPr>
              <w:ind w:left="33"/>
            </w:pPr>
            <w:r w:rsidRPr="00800A2A">
              <w:t>236/175</w:t>
            </w:r>
          </w:p>
        </w:tc>
        <w:tc>
          <w:tcPr>
            <w:tcW w:w="1559" w:type="dxa"/>
          </w:tcPr>
          <w:p w14:paraId="2812F497" w14:textId="77777777" w:rsidR="00E01F69" w:rsidRPr="00800A2A" w:rsidRDefault="00E01F69" w:rsidP="00EF5CD2">
            <w:pPr>
              <w:ind w:left="34"/>
            </w:pPr>
            <w:r w:rsidRPr="00800A2A">
              <w:t>1.45/1.07</w:t>
            </w:r>
          </w:p>
        </w:tc>
      </w:tr>
      <w:tr w:rsidR="003E166F" w:rsidRPr="003D2F75" w14:paraId="2812F49F" w14:textId="77777777" w:rsidTr="00510CCA">
        <w:trPr>
          <w:trHeight w:val="227"/>
        </w:trPr>
        <w:tc>
          <w:tcPr>
            <w:tcW w:w="1242" w:type="dxa"/>
          </w:tcPr>
          <w:p w14:paraId="2812F499" w14:textId="77777777" w:rsidR="00E01F69" w:rsidRPr="00800A2A" w:rsidRDefault="00E01F69" w:rsidP="00EF5CD2">
            <w:pPr>
              <w:ind w:left="0"/>
            </w:pPr>
            <w:r w:rsidRPr="00800A2A">
              <w:t>Human</w:t>
            </w:r>
            <w:r w:rsidR="00800A2A" w:rsidRPr="00800A2A">
              <w:t>*</w:t>
            </w:r>
          </w:p>
        </w:tc>
        <w:tc>
          <w:tcPr>
            <w:tcW w:w="1418" w:type="dxa"/>
          </w:tcPr>
          <w:p w14:paraId="2812F49A" w14:textId="77777777" w:rsidR="00E01F69" w:rsidRPr="00800A2A" w:rsidRDefault="00E01F69" w:rsidP="00EF5CD2">
            <w:pPr>
              <w:ind w:left="0"/>
            </w:pPr>
            <w:r w:rsidRPr="00800A2A">
              <w:t xml:space="preserve">5 </w:t>
            </w:r>
            <w:r w:rsidR="00800A2A" w:rsidRPr="00800A2A">
              <w:t>m</w:t>
            </w:r>
            <w:r w:rsidRPr="00800A2A">
              <w:t>onths</w:t>
            </w:r>
          </w:p>
        </w:tc>
        <w:tc>
          <w:tcPr>
            <w:tcW w:w="1417" w:type="dxa"/>
          </w:tcPr>
          <w:p w14:paraId="2812F49B" w14:textId="77777777" w:rsidR="00E01F69" w:rsidRPr="00800A2A" w:rsidRDefault="00E01F69" w:rsidP="00EF5CD2">
            <w:pPr>
              <w:ind w:left="0"/>
            </w:pPr>
            <w:r w:rsidRPr="00800A2A">
              <w:t>400 mg</w:t>
            </w:r>
          </w:p>
        </w:tc>
        <w:tc>
          <w:tcPr>
            <w:tcW w:w="1560" w:type="dxa"/>
          </w:tcPr>
          <w:p w14:paraId="2812F49C" w14:textId="77777777" w:rsidR="00E01F69" w:rsidRPr="00800A2A" w:rsidRDefault="00E01F69" w:rsidP="00EF5CD2">
            <w:pPr>
              <w:ind w:left="34"/>
            </w:pPr>
            <w:r w:rsidRPr="00800A2A">
              <w:t>-</w:t>
            </w:r>
          </w:p>
        </w:tc>
        <w:tc>
          <w:tcPr>
            <w:tcW w:w="1417" w:type="dxa"/>
          </w:tcPr>
          <w:p w14:paraId="2812F49D" w14:textId="77777777" w:rsidR="00E01F69" w:rsidRPr="00800A2A" w:rsidRDefault="00E01F69" w:rsidP="00EF5CD2">
            <w:pPr>
              <w:ind w:left="33"/>
            </w:pPr>
            <w:r w:rsidRPr="00800A2A">
              <w:t>163</w:t>
            </w:r>
          </w:p>
        </w:tc>
        <w:tc>
          <w:tcPr>
            <w:tcW w:w="1559" w:type="dxa"/>
          </w:tcPr>
          <w:p w14:paraId="2812F49E" w14:textId="77777777" w:rsidR="00E01F69" w:rsidRPr="00800A2A" w:rsidRDefault="00E01F69" w:rsidP="00EF5CD2">
            <w:pPr>
              <w:ind w:left="34"/>
            </w:pPr>
            <w:r w:rsidRPr="00800A2A">
              <w:t>-</w:t>
            </w:r>
          </w:p>
        </w:tc>
      </w:tr>
    </w:tbl>
    <w:p w14:paraId="2812F4A0" w14:textId="77777777" w:rsidR="00E01F69" w:rsidRPr="00A610D2" w:rsidRDefault="00E01F69" w:rsidP="0012235A">
      <w:pPr>
        <w:pStyle w:val="TableDescription"/>
      </w:pPr>
      <w:r w:rsidRPr="00A610D2">
        <w:rPr>
          <w:position w:val="-2"/>
        </w:rPr>
        <w:t>*</w:t>
      </w:r>
      <w:r w:rsidRPr="00A610D2">
        <w:t xml:space="preserve">Schizophrenia patients stabilized on 10mg oral </w:t>
      </w:r>
      <w:proofErr w:type="spellStart"/>
      <w:r w:rsidRPr="00A610D2">
        <w:t>aripiprazole</w:t>
      </w:r>
      <w:proofErr w:type="spellEnd"/>
      <w:r w:rsidRPr="00A610D2">
        <w:t xml:space="preserve"> for at least two weeks before IM depot formulation administration.</w:t>
      </w:r>
      <w:r w:rsidR="00800A2A">
        <w:t xml:space="preserve"> </w:t>
      </w:r>
      <w:r w:rsidRPr="00A610D2">
        <w:t>^</w:t>
      </w:r>
      <w:r w:rsidRPr="0012235A">
        <w:t>Converted</w:t>
      </w:r>
      <w:r w:rsidRPr="00A610D2">
        <w:t xml:space="preserve"> from AUC</w:t>
      </w:r>
      <w:r w:rsidRPr="00A610D2">
        <w:rPr>
          <w:vertAlign w:val="subscript"/>
        </w:rPr>
        <w:t>0-7d</w:t>
      </w:r>
      <w:r w:rsidR="00800A2A">
        <w:rPr>
          <w:vertAlign w:val="subscript"/>
        </w:rPr>
        <w:t xml:space="preserve"> </w:t>
      </w:r>
      <w:r w:rsidRPr="00A610D2">
        <w:rPr>
          <w:position w:val="-2"/>
          <w:vertAlign w:val="superscript"/>
        </w:rPr>
        <w:t>#</w:t>
      </w:r>
      <w:r w:rsidRPr="00A610D2">
        <w:t xml:space="preserve"> animal:</w:t>
      </w:r>
      <w:r w:rsidR="00800A2A">
        <w:t xml:space="preserve"> </w:t>
      </w:r>
      <w:r w:rsidRPr="00A610D2">
        <w:t>human plasma AUC</w:t>
      </w:r>
      <w:r w:rsidRPr="00A610D2">
        <w:rPr>
          <w:vertAlign w:val="subscript"/>
        </w:rPr>
        <w:t>0–28d</w:t>
      </w:r>
    </w:p>
    <w:p w14:paraId="2812F4A2" w14:textId="77777777" w:rsidR="00E01F69" w:rsidRPr="00EF5CD2" w:rsidRDefault="00E01F69" w:rsidP="00EF5CD2">
      <w:pPr>
        <w:pStyle w:val="Heading5"/>
      </w:pPr>
      <w:r w:rsidRPr="00EF5CD2">
        <w:t>Major toxicities</w:t>
      </w:r>
    </w:p>
    <w:p w14:paraId="2812F4A3" w14:textId="77777777" w:rsidR="00E01F69" w:rsidRPr="003D2F75" w:rsidRDefault="00E01F69" w:rsidP="00EF5CD2">
      <w:r w:rsidRPr="003D2F75">
        <w:t xml:space="preserve">The nonclinical toxicity associated with </w:t>
      </w:r>
      <w:proofErr w:type="spellStart"/>
      <w:r w:rsidRPr="003D2F75">
        <w:t>aripiprazole</w:t>
      </w:r>
      <w:proofErr w:type="spellEnd"/>
      <w:r w:rsidRPr="003D2F75">
        <w:t xml:space="preserve"> IM depot formulation was largely restricted to effects observed at the injection site in rats and dogs. Other adverse effects were observed in the mammary gland, uterine cervix and vagina in rats. In monkeys treated with </w:t>
      </w:r>
      <w:proofErr w:type="spellStart"/>
      <w:r w:rsidRPr="003D2F75">
        <w:t>aripiprazole</w:t>
      </w:r>
      <w:proofErr w:type="spellEnd"/>
      <w:r w:rsidRPr="003D2F75">
        <w:t xml:space="preserve"> aqueous formulation, in addition to effects at the injection site, there was evidence of </w:t>
      </w:r>
      <w:r w:rsidR="00800A2A">
        <w:t>central nervous system (</w:t>
      </w:r>
      <w:r w:rsidRPr="003D2F75">
        <w:t>CNS</w:t>
      </w:r>
      <w:r w:rsidR="00800A2A">
        <w:t>)</w:t>
      </w:r>
      <w:r w:rsidRPr="003D2F75">
        <w:t xml:space="preserve"> effects.</w:t>
      </w:r>
    </w:p>
    <w:p w14:paraId="2812F4A4" w14:textId="3B772095" w:rsidR="00800A2A" w:rsidRDefault="00E01F69" w:rsidP="00EF5CD2">
      <w:r w:rsidRPr="003D2F75">
        <w:t>Local inflammation at the injection site was observed in all species. Changes observed included the occurrence of white or discoloured foci, which were interpreted as deposition of the drug, together with granulomatous inflammation. In rats, the number of foci was dose-related and decreased during the recovery period but foci were still present at the high dose level (100</w:t>
      </w:r>
      <w:r w:rsidR="00C66B62">
        <w:t xml:space="preserve"> </w:t>
      </w:r>
      <w:r w:rsidR="00800A2A">
        <w:t>mg/kg</w:t>
      </w:r>
      <w:r w:rsidRPr="003D2F75">
        <w:t>/week</w:t>
      </w:r>
      <w:r w:rsidR="00800A2A">
        <w:t>,</w:t>
      </w:r>
      <w:r w:rsidRPr="003D2F75">
        <w:t xml:space="preserve"> equivalent to 2.4 times the clinical exposure, based on AUC) in both males and females at the end of the recovery period. There was no</w:t>
      </w:r>
      <w:r w:rsidR="00EF5CD2">
        <w:t xml:space="preserve"> evidence of muscular necrosis.</w:t>
      </w:r>
    </w:p>
    <w:p w14:paraId="2812F4A5" w14:textId="336AADC8" w:rsidR="00E01F69" w:rsidRPr="003D2F75" w:rsidRDefault="00E01F69" w:rsidP="00EF5CD2">
      <w:r w:rsidRPr="003D2F75">
        <w:t>In dogs, there was slight granulomatous inflammation at the injection site at all dose levels in both the 26 and 52 week studies but there was significant reduction during the recovery period and no inflammation was evident in the 52</w:t>
      </w:r>
      <w:r w:rsidR="00800A2A">
        <w:t xml:space="preserve"> </w:t>
      </w:r>
      <w:r w:rsidRPr="003D2F75">
        <w:t>week study following the 26</w:t>
      </w:r>
      <w:r w:rsidR="00800A2A">
        <w:t xml:space="preserve"> </w:t>
      </w:r>
      <w:r w:rsidRPr="003D2F75">
        <w:t>week recovery period at 40</w:t>
      </w:r>
      <w:r w:rsidR="00C66B62">
        <w:t xml:space="preserve"> </w:t>
      </w:r>
      <w:r w:rsidR="00800A2A">
        <w:t>mg/kg</w:t>
      </w:r>
      <w:r w:rsidRPr="003D2F75">
        <w:t>/week (equivalent to 1.45/1.07 (m</w:t>
      </w:r>
      <w:r w:rsidR="00800A2A">
        <w:t>ale</w:t>
      </w:r>
      <w:r w:rsidRPr="003D2F75">
        <w:t>/f</w:t>
      </w:r>
      <w:r w:rsidR="00800A2A">
        <w:t>emale</w:t>
      </w:r>
      <w:r w:rsidRPr="003D2F75">
        <w:t xml:space="preserve">) times the clinical exposure based on AUC). Slight muscle necrosis was observed in one high dose female animal, possibly related to local ischemia, which reversed during the recovery period. In monkeys treated with </w:t>
      </w:r>
      <w:proofErr w:type="spellStart"/>
      <w:r w:rsidRPr="003D2F75">
        <w:t>aripiprazole</w:t>
      </w:r>
      <w:proofErr w:type="spellEnd"/>
      <w:r w:rsidRPr="003D2F75">
        <w:t xml:space="preserve"> IM aqueous formulation over 4 weeks, there was evidence of mild/moderate inflammation and muscle necrosis at all dose levels up to 7.5</w:t>
      </w:r>
      <w:r w:rsidR="00C66B62">
        <w:t xml:space="preserve"> </w:t>
      </w:r>
      <w:r w:rsidR="00800A2A">
        <w:t>mg/kg</w:t>
      </w:r>
      <w:r w:rsidRPr="003D2F75">
        <w:t xml:space="preserve">/day (exposure not compared to the clinical exposure due to use of the aqueous formulation). After recovery, there was no necrosis and significantly reduced inflammation. The local inflammatory effects at the injection site are considered to be clinically relevant. </w:t>
      </w:r>
      <w:r>
        <w:t>The animal/human systemic exposure ratios achieved were not high, although it is likely that the limitation imposed by the physical size of the muscle at the administration site in the test species would have constrained further dose escalation, and in any event the rationale for these studies was to document the local effects of the depot injection rather than re-investigate the sys</w:t>
      </w:r>
      <w:r w:rsidR="00EF5CD2">
        <w:t xml:space="preserve">temic toxicity of </w:t>
      </w:r>
      <w:proofErr w:type="spellStart"/>
      <w:r w:rsidR="00EF5CD2">
        <w:t>aripiprazole</w:t>
      </w:r>
      <w:proofErr w:type="spellEnd"/>
      <w:r w:rsidR="00EF5CD2">
        <w:t>.</w:t>
      </w:r>
    </w:p>
    <w:p w14:paraId="2812F4A6" w14:textId="1E99B2B1" w:rsidR="00E01F69" w:rsidRPr="003D2F75" w:rsidRDefault="00E01F69" w:rsidP="00EF5CD2">
      <w:r w:rsidRPr="003D2F75">
        <w:t xml:space="preserve">Mammary gland development was increased in rats at </w:t>
      </w:r>
      <w:r w:rsidR="00800A2A">
        <w:t>≥</w:t>
      </w:r>
      <w:r w:rsidRPr="003D2F75">
        <w:t>25</w:t>
      </w:r>
      <w:r w:rsidR="00C66B62">
        <w:t xml:space="preserve"> </w:t>
      </w:r>
      <w:r w:rsidR="00800A2A">
        <w:t>mg/kg</w:t>
      </w:r>
      <w:r w:rsidRPr="003D2F75">
        <w:t xml:space="preserve"> (equivalent to 0.4 times the clinical exposure based on AUC). Histopathology indicated mammary gland hyperplasia, hypertrophy of corpora </w:t>
      </w:r>
      <w:proofErr w:type="spellStart"/>
      <w:r w:rsidRPr="003D2F75">
        <w:t>lutea</w:t>
      </w:r>
      <w:proofErr w:type="spellEnd"/>
      <w:r w:rsidRPr="003D2F75">
        <w:t xml:space="preserve"> in the ovary, </w:t>
      </w:r>
      <w:proofErr w:type="spellStart"/>
      <w:r w:rsidRPr="003D2F75">
        <w:t>mucification</w:t>
      </w:r>
      <w:proofErr w:type="spellEnd"/>
      <w:r w:rsidRPr="003D2F75">
        <w:t xml:space="preserve"> of the epithelium of the uterine cervix and vagina. These changes were considered to be related to the pharmacological action of </w:t>
      </w:r>
      <w:proofErr w:type="spellStart"/>
      <w:r w:rsidRPr="003D2F75">
        <w:t>aripiprazole</w:t>
      </w:r>
      <w:proofErr w:type="spellEnd"/>
      <w:r w:rsidRPr="003D2F75">
        <w:t xml:space="preserve"> (D</w:t>
      </w:r>
      <w:r w:rsidRPr="003D2F75">
        <w:rPr>
          <w:vertAlign w:val="subscript"/>
        </w:rPr>
        <w:t>2</w:t>
      </w:r>
      <w:r w:rsidRPr="003D2F75">
        <w:t xml:space="preserve"> partial </w:t>
      </w:r>
      <w:r w:rsidRPr="00C26C7D">
        <w:t xml:space="preserve">agonistic activity), and have been extensively documented in </w:t>
      </w:r>
      <w:r w:rsidR="00800A2A">
        <w:t xml:space="preserve">previous </w:t>
      </w:r>
      <w:r w:rsidRPr="00C26C7D">
        <w:t>nonclinical studies</w:t>
      </w:r>
      <w:r w:rsidR="00800A2A">
        <w:t xml:space="preserve"> submitted to the TGA</w:t>
      </w:r>
      <w:r w:rsidRPr="00C26C7D">
        <w:t>. These effects were not observed in dogs at 40</w:t>
      </w:r>
      <w:r w:rsidR="00C66B62">
        <w:t xml:space="preserve"> </w:t>
      </w:r>
      <w:r w:rsidR="00800A2A">
        <w:t>mg/kg</w:t>
      </w:r>
      <w:r w:rsidRPr="00C26C7D">
        <w:t xml:space="preserve"> (equivalent to 1.45/1.07 (m</w:t>
      </w:r>
      <w:r w:rsidR="00800A2A">
        <w:t>ale</w:t>
      </w:r>
      <w:r w:rsidRPr="00C26C7D">
        <w:t>/f</w:t>
      </w:r>
      <w:r w:rsidR="00800A2A">
        <w:t>emale</w:t>
      </w:r>
      <w:r w:rsidRPr="00C26C7D">
        <w:t>) times the</w:t>
      </w:r>
      <w:r w:rsidRPr="003D2F75">
        <w:t xml:space="preserve"> clinical exposure based on AUC). These effects on the mammary gland may be clinically relevant.</w:t>
      </w:r>
    </w:p>
    <w:p w14:paraId="2812F4A7" w14:textId="1941AC18" w:rsidR="00E01F69" w:rsidRPr="003D2F75" w:rsidRDefault="00E01F69" w:rsidP="00EF5CD2">
      <w:r w:rsidRPr="003D2F75">
        <w:t>Organ weight decreases were noted at 50 and 100</w:t>
      </w:r>
      <w:r w:rsidR="00800A2A">
        <w:t xml:space="preserve"> mg/kg</w:t>
      </w:r>
      <w:r w:rsidRPr="003D2F75">
        <w:t xml:space="preserve"> in rats but these changes were reversed at the end of the recovery period. No organ weight changes were noted in dogs at </w:t>
      </w:r>
      <w:r w:rsidRPr="003D2F75">
        <w:lastRenderedPageBreak/>
        <w:t xml:space="preserve">clinically relevant doses. These organ weight changes were not </w:t>
      </w:r>
      <w:r w:rsidR="00EF5CD2">
        <w:t>considered clinically relevant.</w:t>
      </w:r>
    </w:p>
    <w:p w14:paraId="2812F4A8" w14:textId="78684AD5" w:rsidR="00E01F69" w:rsidRDefault="00E01F69" w:rsidP="00EF5CD2">
      <w:r w:rsidRPr="003D2F75">
        <w:t>Decreased activity and an increase in tremors, indicative of CNS effects, were observed in monkeys immediately following dosing</w:t>
      </w:r>
      <w:r w:rsidR="00800A2A">
        <w:t xml:space="preserve"> but not </w:t>
      </w:r>
      <w:r w:rsidRPr="003D2F75">
        <w:t xml:space="preserve">during the recovery period. These effects were considered to be secondary to the pharmacological activity of </w:t>
      </w:r>
      <w:proofErr w:type="spellStart"/>
      <w:r w:rsidRPr="003D2F75">
        <w:t>aripiprazole</w:t>
      </w:r>
      <w:proofErr w:type="spellEnd"/>
      <w:r w:rsidRPr="003D2F75">
        <w:t>. These effects were not observed in dogs at 40</w:t>
      </w:r>
      <w:r w:rsidR="00800A2A">
        <w:t xml:space="preserve"> mg/kg</w:t>
      </w:r>
      <w:r w:rsidRPr="003D2F75">
        <w:t xml:space="preserve"> (equivalent to 1.45/1.07 (m</w:t>
      </w:r>
      <w:r w:rsidR="00800A2A">
        <w:t>ale</w:t>
      </w:r>
      <w:r w:rsidRPr="003D2F75">
        <w:t>/f</w:t>
      </w:r>
      <w:r w:rsidR="00800A2A">
        <w:t>emal</w:t>
      </w:r>
      <w:r w:rsidR="0012163C">
        <w:t>e</w:t>
      </w:r>
      <w:r w:rsidRPr="003D2F75">
        <w:t>) times the clinical exposure based on AUC). These CNS effects may be clinically relevant.</w:t>
      </w:r>
    </w:p>
    <w:p w14:paraId="2812F4A9" w14:textId="77777777" w:rsidR="00E01F69" w:rsidRPr="003D2F75" w:rsidRDefault="00E01F69" w:rsidP="00EF5CD2">
      <w:r>
        <w:t xml:space="preserve">In summary, the nonclinical data for the current submission have not identified any new systemic toxicities of </w:t>
      </w:r>
      <w:proofErr w:type="spellStart"/>
      <w:r>
        <w:t>aripiprazole</w:t>
      </w:r>
      <w:proofErr w:type="spellEnd"/>
      <w:r>
        <w:t>, and the clinical systemic exposure is lower than for the oral products. The nonclinical observations of most relevance are the local tolerance findings.</w:t>
      </w:r>
    </w:p>
    <w:p w14:paraId="2812F4AA" w14:textId="77777777" w:rsidR="00E01F69" w:rsidRPr="003D2F75" w:rsidRDefault="00E01F69" w:rsidP="00EF5CD2">
      <w:pPr>
        <w:pStyle w:val="Heading4"/>
      </w:pPr>
      <w:bookmarkStart w:id="67" w:name="_Toc294861729"/>
      <w:proofErr w:type="spellStart"/>
      <w:r w:rsidRPr="003D2F75">
        <w:t>Genotoxicity</w:t>
      </w:r>
      <w:bookmarkStart w:id="68" w:name="_Toc294861730"/>
      <w:bookmarkEnd w:id="67"/>
      <w:proofErr w:type="spellEnd"/>
      <w:r w:rsidRPr="003D2F75">
        <w:t xml:space="preserve"> and carcinogenicity</w:t>
      </w:r>
      <w:bookmarkEnd w:id="68"/>
    </w:p>
    <w:p w14:paraId="2812F4AB" w14:textId="77777777" w:rsidR="00800A2A" w:rsidRDefault="00E01F69" w:rsidP="00EF5CD2">
      <w:r w:rsidRPr="003D2F75">
        <w:t xml:space="preserve">The </w:t>
      </w:r>
      <w:proofErr w:type="spellStart"/>
      <w:r w:rsidRPr="003D2F75">
        <w:t>genotoxic</w:t>
      </w:r>
      <w:proofErr w:type="spellEnd"/>
      <w:r w:rsidRPr="003D2F75">
        <w:t xml:space="preserve"> and carcinogenic potential</w:t>
      </w:r>
      <w:r>
        <w:t>s</w:t>
      </w:r>
      <w:r w:rsidRPr="003D2F75">
        <w:t xml:space="preserve"> of </w:t>
      </w:r>
      <w:proofErr w:type="spellStart"/>
      <w:r w:rsidRPr="003D2F75">
        <w:t>aripiprazole</w:t>
      </w:r>
      <w:proofErr w:type="spellEnd"/>
      <w:r w:rsidRPr="003D2F75">
        <w:t xml:space="preserve"> </w:t>
      </w:r>
      <w:r>
        <w:t>were</w:t>
      </w:r>
      <w:r w:rsidRPr="003D2F75">
        <w:t xml:space="preserve"> investigated during </w:t>
      </w:r>
      <w:r>
        <w:t>the nonclinical evaluation</w:t>
      </w:r>
      <w:r w:rsidRPr="003D2F75">
        <w:t xml:space="preserve"> of the </w:t>
      </w:r>
      <w:r>
        <w:t>submission</w:t>
      </w:r>
      <w:r w:rsidR="00800A2A">
        <w:t xml:space="preserve"> for oral administration</w:t>
      </w:r>
      <w:r w:rsidRPr="003D2F75">
        <w:t>.</w:t>
      </w:r>
    </w:p>
    <w:p w14:paraId="2812F4AC" w14:textId="0773E08D" w:rsidR="00E01F69" w:rsidRPr="003D2F75" w:rsidRDefault="00E01F69" w:rsidP="00EF5CD2">
      <w:proofErr w:type="spellStart"/>
      <w:r w:rsidRPr="003D2F75">
        <w:t>Aripiprazole</w:t>
      </w:r>
      <w:proofErr w:type="spellEnd"/>
      <w:r w:rsidRPr="003D2F75">
        <w:t xml:space="preserve"> was </w:t>
      </w:r>
      <w:proofErr w:type="spellStart"/>
      <w:r>
        <w:t>clastogenic</w:t>
      </w:r>
      <w:proofErr w:type="spellEnd"/>
      <w:r>
        <w:t xml:space="preserve"> in </w:t>
      </w:r>
      <w:r w:rsidRPr="00DC6DBF">
        <w:rPr>
          <w:i/>
        </w:rPr>
        <w:t>in vitro</w:t>
      </w:r>
      <w:r>
        <w:t xml:space="preserve"> assays in Chinese hamster lung cells but the overall profile from a comprehensive </w:t>
      </w:r>
      <w:proofErr w:type="spellStart"/>
      <w:r>
        <w:t>genotoxicity</w:t>
      </w:r>
      <w:proofErr w:type="spellEnd"/>
      <w:r>
        <w:t xml:space="preserve"> test battery was </w:t>
      </w:r>
      <w:r w:rsidRPr="003D2F75">
        <w:t xml:space="preserve">considered to </w:t>
      </w:r>
      <w:r>
        <w:t>be negative</w:t>
      </w:r>
      <w:r w:rsidRPr="003D2F75">
        <w:t xml:space="preserve">. </w:t>
      </w:r>
      <w:r>
        <w:t>The</w:t>
      </w:r>
      <w:r w:rsidRPr="003D2F75">
        <w:t xml:space="preserve"> recent publication </w:t>
      </w:r>
      <w:r>
        <w:t xml:space="preserve">of </w:t>
      </w:r>
      <w:proofErr w:type="spellStart"/>
      <w:r>
        <w:t>Picada</w:t>
      </w:r>
      <w:proofErr w:type="spellEnd"/>
      <w:r>
        <w:t xml:space="preserve"> </w:t>
      </w:r>
      <w:r w:rsidRPr="00DC6DBF">
        <w:rPr>
          <w:i/>
        </w:rPr>
        <w:t>et al</w:t>
      </w:r>
      <w:r>
        <w:t xml:space="preserve"> (2011)</w:t>
      </w:r>
      <w:r w:rsidR="00800A2A">
        <w:rPr>
          <w:rStyle w:val="FootnoteReference"/>
          <w:kern w:val="2"/>
          <w:szCs w:val="20"/>
        </w:rPr>
        <w:footnoteReference w:id="3"/>
      </w:r>
      <w:r>
        <w:t xml:space="preserve"> reported a positive result in a</w:t>
      </w:r>
      <w:r w:rsidRPr="003D2F75">
        <w:t xml:space="preserve"> Comet assay </w:t>
      </w:r>
      <w:r w:rsidRPr="00800A2A">
        <w:t>(</w:t>
      </w:r>
      <w:r w:rsidR="00800A2A" w:rsidRPr="00800A2A">
        <w:t>deoxyribonucleic acid (</w:t>
      </w:r>
      <w:r w:rsidRPr="00800A2A">
        <w:t>DNA</w:t>
      </w:r>
      <w:r w:rsidR="00800A2A" w:rsidRPr="00800A2A">
        <w:t>)</w:t>
      </w:r>
      <w:r>
        <w:t xml:space="preserve"> damage) and a negative result in a micronucleus test, both in mice. A</w:t>
      </w:r>
      <w:r w:rsidRPr="003D2F75">
        <w:t xml:space="preserve"> production intermediate and metabolite of </w:t>
      </w:r>
      <w:proofErr w:type="spellStart"/>
      <w:r w:rsidRPr="003D2F75">
        <w:t>aripiprazole</w:t>
      </w:r>
      <w:proofErr w:type="spellEnd"/>
      <w:r w:rsidRPr="003D2F75">
        <w:t>, 2,3-DCPP</w:t>
      </w:r>
      <w:r>
        <w:t>,</w:t>
      </w:r>
      <w:r w:rsidRPr="003D2F75">
        <w:t xml:space="preserve"> was positive in a chromosome aberration study in Chinese hamster lung cells</w:t>
      </w:r>
      <w:r>
        <w:t xml:space="preserve"> (as </w:t>
      </w:r>
      <w:proofErr w:type="spellStart"/>
      <w:r>
        <w:t>aripiprazole</w:t>
      </w:r>
      <w:proofErr w:type="spellEnd"/>
      <w:r>
        <w:t xml:space="preserve"> is), although</w:t>
      </w:r>
      <w:r w:rsidRPr="003D2F75">
        <w:t xml:space="preserve"> the result was considered </w:t>
      </w:r>
      <w:r>
        <w:t xml:space="preserve">likely to be </w:t>
      </w:r>
      <w:r w:rsidRPr="003D2F75">
        <w:t>secondary to cytotoxicity rather than to direct DNA reactivity.</w:t>
      </w:r>
      <w:r>
        <w:t xml:space="preserve"> Thus, the</w:t>
      </w:r>
      <w:r w:rsidRPr="003D2F75">
        <w:t xml:space="preserve"> </w:t>
      </w:r>
      <w:r>
        <w:t xml:space="preserve">original </w:t>
      </w:r>
      <w:r w:rsidRPr="003D2F75">
        <w:t xml:space="preserve">conclusion </w:t>
      </w:r>
      <w:r>
        <w:t>is still considered valid and no</w:t>
      </w:r>
      <w:r w:rsidRPr="003D2F75">
        <w:t xml:space="preserve"> further examination of </w:t>
      </w:r>
      <w:r>
        <w:t xml:space="preserve">the </w:t>
      </w:r>
      <w:proofErr w:type="spellStart"/>
      <w:r w:rsidRPr="003D2F75">
        <w:t>genotoxicity</w:t>
      </w:r>
      <w:proofErr w:type="spellEnd"/>
      <w:r w:rsidRPr="003D2F75">
        <w:t xml:space="preserve"> of </w:t>
      </w:r>
      <w:proofErr w:type="spellStart"/>
      <w:r w:rsidRPr="003D2F75">
        <w:t>aripiprazole</w:t>
      </w:r>
      <w:proofErr w:type="spellEnd"/>
      <w:r w:rsidRPr="003D2F75">
        <w:t xml:space="preserve"> IM depot formulation is considered necessary.</w:t>
      </w:r>
    </w:p>
    <w:p w14:paraId="2812F4AD" w14:textId="77777777" w:rsidR="00E01F69" w:rsidRPr="003D2F75" w:rsidRDefault="00E01F69" w:rsidP="00EF5CD2">
      <w:r w:rsidRPr="003D2F75">
        <w:t>In relation to carcinogenicity, a 70</w:t>
      </w:r>
      <w:r w:rsidR="00C66B62">
        <w:t xml:space="preserve"> </w:t>
      </w:r>
      <w:r w:rsidRPr="003D2F75">
        <w:t xml:space="preserve">week oral toxicity study in rats was </w:t>
      </w:r>
      <w:r>
        <w:t>provided, in which</w:t>
      </w:r>
      <w:r w:rsidRPr="003D2F75">
        <w:t xml:space="preserve"> the adrenocortical tumorigenic response observed in female rats </w:t>
      </w:r>
      <w:r>
        <w:t xml:space="preserve">treated with </w:t>
      </w:r>
      <w:proofErr w:type="spellStart"/>
      <w:r>
        <w:t>aripiprazole</w:t>
      </w:r>
      <w:proofErr w:type="spellEnd"/>
      <w:r>
        <w:t xml:space="preserve"> for up to 2 years was further investigated.</w:t>
      </w:r>
      <w:r w:rsidRPr="003D2F75">
        <w:t xml:space="preserve"> The results indicate that this tumorigenic response was a consequence of increased cell proliferation rather than due to reduced glucocorticoid output. This </w:t>
      </w:r>
      <w:r>
        <w:t>study</w:t>
      </w:r>
      <w:r w:rsidRPr="003D2F75">
        <w:t xml:space="preserve"> supports the conclusion of the previous evaluation. No further carcinogenicity studies were considered necessary with the IM depot formulation, given the lower human exposure with the IM depot formulation compared with the oral formulation.</w:t>
      </w:r>
    </w:p>
    <w:p w14:paraId="2812F4AE" w14:textId="77777777" w:rsidR="00E01F69" w:rsidRPr="003D2F75" w:rsidRDefault="00E01F69" w:rsidP="00EF5CD2">
      <w:pPr>
        <w:pStyle w:val="Heading4"/>
      </w:pPr>
      <w:r w:rsidRPr="003D2F75">
        <w:t>Reproductive toxicity</w:t>
      </w:r>
    </w:p>
    <w:p w14:paraId="2812F4AF" w14:textId="037A2DCF" w:rsidR="00E01F69" w:rsidRPr="003D2F75" w:rsidRDefault="00E01F69" w:rsidP="00EF5CD2">
      <w:r w:rsidRPr="003D2F75">
        <w:t xml:space="preserve">The reproductive and developmental toxicity potential of </w:t>
      </w:r>
      <w:proofErr w:type="spellStart"/>
      <w:r w:rsidRPr="003D2F75">
        <w:t>aripiprazole</w:t>
      </w:r>
      <w:proofErr w:type="spellEnd"/>
      <w:r w:rsidRPr="003D2F75">
        <w:t xml:space="preserve"> was investigated during </w:t>
      </w:r>
      <w:r>
        <w:t>the nonclinical evaluation</w:t>
      </w:r>
      <w:r w:rsidRPr="003D2F75">
        <w:t xml:space="preserve"> of the </w:t>
      </w:r>
      <w:r>
        <w:t>submissions</w:t>
      </w:r>
      <w:r w:rsidRPr="003D2F75">
        <w:t xml:space="preserve"> for oral and aqueous IM </w:t>
      </w:r>
      <w:r>
        <w:t>formulations</w:t>
      </w:r>
      <w:r w:rsidRPr="003D2F75">
        <w:t xml:space="preserve"> of </w:t>
      </w:r>
      <w:proofErr w:type="spellStart"/>
      <w:r w:rsidRPr="003D2F75">
        <w:t>aripiprazole</w:t>
      </w:r>
      <w:proofErr w:type="spellEnd"/>
      <w:r w:rsidRPr="003D2F75">
        <w:t xml:space="preserve">. There was </w:t>
      </w:r>
      <w:r>
        <w:t>some possible</w:t>
      </w:r>
      <w:r w:rsidRPr="003D2F75">
        <w:t xml:space="preserve"> evidence of teratogenicity at </w:t>
      </w:r>
      <w:proofErr w:type="spellStart"/>
      <w:r w:rsidRPr="003D2F75">
        <w:t>maternotoxic</w:t>
      </w:r>
      <w:proofErr w:type="spellEnd"/>
      <w:r w:rsidRPr="003D2F75">
        <w:t xml:space="preserve"> exposure levels in rats or rabbits which considerably exceeded the clinical exposure levels. </w:t>
      </w:r>
      <w:proofErr w:type="spellStart"/>
      <w:r w:rsidRPr="003D2F75">
        <w:t>Embryotoxicity</w:t>
      </w:r>
      <w:proofErr w:type="spellEnd"/>
      <w:r w:rsidRPr="003D2F75">
        <w:t xml:space="preserve"> indicative of growth retardation was evident in both species at the high exposure levels. Exposure (based on AUC) following oral or IV administration exceeded exposure following administration of IM depot formulation and exposure from all administration routes in animals exceeded the clinical exposure level. Therefore, no further reproductive studies were considered necessary with the IM depot formulation.</w:t>
      </w:r>
    </w:p>
    <w:p w14:paraId="2812F4B0" w14:textId="77777777" w:rsidR="00E01F69" w:rsidRPr="003D2F75" w:rsidRDefault="00E01F69" w:rsidP="00EF5CD2">
      <w:pPr>
        <w:pStyle w:val="Heading5"/>
      </w:pPr>
      <w:r w:rsidRPr="003D2F75">
        <w:lastRenderedPageBreak/>
        <w:t>Pregnancy classification</w:t>
      </w:r>
    </w:p>
    <w:p w14:paraId="2812F4B1" w14:textId="78EF0679" w:rsidR="00E01F69" w:rsidRPr="003D2F75" w:rsidRDefault="00E01F69" w:rsidP="00EF5CD2">
      <w:r w:rsidRPr="003D2F75">
        <w:t xml:space="preserve">The sponsor has proposed </w:t>
      </w:r>
      <w:r>
        <w:t>p</w:t>
      </w:r>
      <w:r w:rsidRPr="003D2F75">
        <w:t>regnancy Category C</w:t>
      </w:r>
      <w:r w:rsidR="00C66B62">
        <w:rPr>
          <w:rStyle w:val="FootnoteReference"/>
          <w:kern w:val="2"/>
          <w:szCs w:val="20"/>
        </w:rPr>
        <w:footnoteReference w:id="4"/>
      </w:r>
      <w:r w:rsidRPr="003D2F75">
        <w:t xml:space="preserve">. </w:t>
      </w:r>
      <w:r>
        <w:t xml:space="preserve">The nonclinical reproductive toxicity data are more supportive for </w:t>
      </w:r>
      <w:r w:rsidRPr="003D2F75">
        <w:t>Category B3</w:t>
      </w:r>
      <w:r w:rsidR="00C66B62">
        <w:rPr>
          <w:rStyle w:val="FootnoteReference"/>
          <w:kern w:val="2"/>
          <w:szCs w:val="20"/>
        </w:rPr>
        <w:footnoteReference w:id="5"/>
      </w:r>
      <w:r>
        <w:t xml:space="preserve">. However, there are </w:t>
      </w:r>
      <w:proofErr w:type="spellStart"/>
      <w:r>
        <w:t>postmarket</w:t>
      </w:r>
      <w:proofErr w:type="spellEnd"/>
      <w:r>
        <w:t xml:space="preserve"> clinical data (described in the PI) supportive of Category C, and the oral </w:t>
      </w:r>
      <w:proofErr w:type="spellStart"/>
      <w:r w:rsidR="00C66B62">
        <w:t>Abilify</w:t>
      </w:r>
      <w:proofErr w:type="spellEnd"/>
      <w:r>
        <w:t xml:space="preserve"> products are Category C, so Category C would be appropriate for </w:t>
      </w:r>
      <w:proofErr w:type="spellStart"/>
      <w:r w:rsidR="00C66B62">
        <w:t>Abilify</w:t>
      </w:r>
      <w:proofErr w:type="spellEnd"/>
      <w:r w:rsidR="00C66B62">
        <w:t xml:space="preserve"> </w:t>
      </w:r>
      <w:proofErr w:type="spellStart"/>
      <w:r w:rsidR="00C66B62">
        <w:t>Maintena</w:t>
      </w:r>
      <w:proofErr w:type="spellEnd"/>
      <w:r w:rsidR="00EF5CD2">
        <w:t>.</w:t>
      </w:r>
    </w:p>
    <w:p w14:paraId="2812F4B2" w14:textId="5B98178A" w:rsidR="00E01F69" w:rsidRPr="003D2F75" w:rsidRDefault="00E01F69" w:rsidP="00EF5CD2">
      <w:pPr>
        <w:pStyle w:val="Heading4"/>
      </w:pPr>
      <w:bookmarkStart w:id="69" w:name="_Toc383700917"/>
      <w:r w:rsidRPr="003D2F75">
        <w:t>Local tolerance</w:t>
      </w:r>
      <w:bookmarkEnd w:id="69"/>
    </w:p>
    <w:p w14:paraId="2812F4B3" w14:textId="6D7942AD" w:rsidR="00E01F69" w:rsidRPr="003D2F75" w:rsidRDefault="00E01F69" w:rsidP="00EF5CD2">
      <w:r w:rsidRPr="003D2F75">
        <w:t xml:space="preserve">A range of studies examining local tolerance to </w:t>
      </w:r>
      <w:r>
        <w:t xml:space="preserve">IM </w:t>
      </w:r>
      <w:proofErr w:type="spellStart"/>
      <w:r w:rsidRPr="003D2F75">
        <w:t>aripiprazole</w:t>
      </w:r>
      <w:proofErr w:type="spellEnd"/>
      <w:r w:rsidRPr="003D2F75">
        <w:t xml:space="preserve"> </w:t>
      </w:r>
      <w:r>
        <w:t>was</w:t>
      </w:r>
      <w:r w:rsidRPr="003D2F75">
        <w:t xml:space="preserve"> conducted in rats, rabbits, dogs and monkeys. </w:t>
      </w:r>
      <w:r>
        <w:t>The nonclinical testing was in general accord with the relevant guideline</w:t>
      </w:r>
      <w:r w:rsidR="00C66B62">
        <w:rPr>
          <w:rStyle w:val="FootnoteReference"/>
          <w:kern w:val="2"/>
          <w:szCs w:val="20"/>
        </w:rPr>
        <w:footnoteReference w:id="6"/>
      </w:r>
      <w:r>
        <w:t xml:space="preserve">. </w:t>
      </w:r>
      <w:r w:rsidRPr="003D2F75">
        <w:t xml:space="preserve">A series of exploratory studies (not reported in detail) identified </w:t>
      </w:r>
      <w:proofErr w:type="spellStart"/>
      <w:r w:rsidRPr="003D2F75">
        <w:t>aripiprazole</w:t>
      </w:r>
      <w:proofErr w:type="spellEnd"/>
      <w:r w:rsidRPr="003D2F75">
        <w:t xml:space="preserve"> formulations in </w:t>
      </w:r>
      <w:proofErr w:type="spellStart"/>
      <w:r w:rsidRPr="003D2F75">
        <w:t>carboxymethylcellulose</w:t>
      </w:r>
      <w:proofErr w:type="spellEnd"/>
      <w:r w:rsidRPr="003D2F75">
        <w:t xml:space="preserve"> (CMC), </w:t>
      </w:r>
      <w:proofErr w:type="spellStart"/>
      <w:r w:rsidRPr="003D2F75">
        <w:t>hydroxypropyl</w:t>
      </w:r>
      <w:proofErr w:type="spellEnd"/>
      <w:r w:rsidRPr="003D2F75">
        <w:t xml:space="preserve"> cellulose (HPC) or 15% </w:t>
      </w:r>
      <w:proofErr w:type="spellStart"/>
      <w:r w:rsidRPr="003D2F75">
        <w:t>Captisol</w:t>
      </w:r>
      <w:proofErr w:type="spellEnd"/>
      <w:r w:rsidRPr="003D2F75">
        <w:rPr>
          <w:vertAlign w:val="superscript"/>
        </w:rPr>
        <w:t>®</w:t>
      </w:r>
      <w:r w:rsidRPr="003D2F75">
        <w:t xml:space="preserve"> (</w:t>
      </w:r>
      <w:proofErr w:type="spellStart"/>
      <w:r w:rsidRPr="003D2F75">
        <w:t>sulfobutylether</w:t>
      </w:r>
      <w:proofErr w:type="spellEnd"/>
      <w:r w:rsidRPr="003D2F75">
        <w:t>-beta-</w:t>
      </w:r>
      <w:proofErr w:type="spellStart"/>
      <w:r w:rsidRPr="003D2F75">
        <w:t>cyclodextrin</w:t>
      </w:r>
      <w:proofErr w:type="spellEnd"/>
      <w:r w:rsidRPr="003D2F75">
        <w:t xml:space="preserve">) as </w:t>
      </w:r>
      <w:r>
        <w:t>having</w:t>
      </w:r>
      <w:r w:rsidRPr="003D2F75">
        <w:t xml:space="preserve"> better local tolerance than other </w:t>
      </w:r>
      <w:proofErr w:type="spellStart"/>
      <w:r w:rsidRPr="003D2F75">
        <w:t>formulations</w:t>
      </w:r>
      <w:r>
        <w:t>In</w:t>
      </w:r>
      <w:proofErr w:type="spellEnd"/>
      <w:r>
        <w:t xml:space="preserve"> the main studies</w:t>
      </w:r>
      <w:r w:rsidR="003954A6">
        <w:t xml:space="preserve"> (CMC formulation)</w:t>
      </w:r>
      <w:r>
        <w:t>, s</w:t>
      </w:r>
      <w:r w:rsidRPr="003D2F75">
        <w:t xml:space="preserve">welling and granulomatous inflammation was evident in all species after </w:t>
      </w:r>
      <w:r>
        <w:t>IM administration</w:t>
      </w:r>
      <w:r w:rsidRPr="003D2F75">
        <w:t xml:space="preserve">, which persisted for </w:t>
      </w:r>
      <w:r>
        <w:t>weeks: at least 45 days (rats), 57</w:t>
      </w:r>
      <w:r w:rsidRPr="003D2F75">
        <w:t xml:space="preserve"> </w:t>
      </w:r>
      <w:r>
        <w:t>days (rabbits)</w:t>
      </w:r>
      <w:r w:rsidRPr="003D2F75">
        <w:t xml:space="preserve"> </w:t>
      </w:r>
      <w:r>
        <w:t>and 29</w:t>
      </w:r>
      <w:r w:rsidRPr="003D2F75">
        <w:t xml:space="preserve"> days</w:t>
      </w:r>
      <w:r>
        <w:t xml:space="preserve"> (monkeys)</w:t>
      </w:r>
      <w:r w:rsidRPr="003D2F75">
        <w:t xml:space="preserve">, </w:t>
      </w:r>
      <w:r>
        <w:t xml:space="preserve">with some (but incomplete) recovery during the allocated </w:t>
      </w:r>
      <w:proofErr w:type="spellStart"/>
      <w:r>
        <w:t>posttreatment</w:t>
      </w:r>
      <w:proofErr w:type="spellEnd"/>
      <w:r>
        <w:t xml:space="preserve"> observation periods</w:t>
      </w:r>
      <w:r w:rsidRPr="003D2F75">
        <w:t xml:space="preserve">. </w:t>
      </w:r>
      <w:r>
        <w:t xml:space="preserve">CMC and </w:t>
      </w:r>
      <w:proofErr w:type="spellStart"/>
      <w:r w:rsidRPr="003D2F75">
        <w:t>Captisol</w:t>
      </w:r>
      <w:proofErr w:type="spellEnd"/>
      <w:r w:rsidRPr="003D2F75">
        <w:rPr>
          <w:vertAlign w:val="superscript"/>
        </w:rPr>
        <w:t>®</w:t>
      </w:r>
      <w:r w:rsidRPr="003D2F75">
        <w:t xml:space="preserve"> </w:t>
      </w:r>
      <w:r>
        <w:t>vehicles</w:t>
      </w:r>
      <w:r w:rsidRPr="003D2F75">
        <w:t xml:space="preserve"> </w:t>
      </w:r>
      <w:r>
        <w:t xml:space="preserve">gave comparable local reactions. Systemic exposure was measured in the local tolerance studies, although the local effects rather than the known systemic toxicity of </w:t>
      </w:r>
      <w:proofErr w:type="spellStart"/>
      <w:r>
        <w:t>aripiprazole</w:t>
      </w:r>
      <w:proofErr w:type="spellEnd"/>
      <w:r>
        <w:t xml:space="preserve"> were of primary relevance. </w:t>
      </w:r>
      <w:r w:rsidRPr="003D2F75">
        <w:t xml:space="preserve">The </w:t>
      </w:r>
      <w:r w:rsidRPr="00E0799B">
        <w:t>local irritation effects at the injection site in the nonclinical studies are considered clinically relevant</w:t>
      </w:r>
      <w:r w:rsidR="003954A6" w:rsidRPr="00E0799B">
        <w:t xml:space="preserve"> </w:t>
      </w:r>
      <w:r w:rsidR="008A73B5" w:rsidRPr="00E0799B">
        <w:t xml:space="preserve">and </w:t>
      </w:r>
      <w:r w:rsidR="00BE4B62" w:rsidRPr="00E0799B">
        <w:t xml:space="preserve">the nonclinical evaluator recommended </w:t>
      </w:r>
      <w:r w:rsidR="00166781" w:rsidRPr="00E0799B">
        <w:t>a thorough assessment of</w:t>
      </w:r>
      <w:r w:rsidR="00BE4B62" w:rsidRPr="00E0799B">
        <w:t xml:space="preserve"> local tolerance in the clinical data</w:t>
      </w:r>
      <w:r w:rsidR="005E5248" w:rsidRPr="00E0799B">
        <w:t>.</w:t>
      </w:r>
    </w:p>
    <w:p w14:paraId="2812F4B4" w14:textId="77777777" w:rsidR="00E01F69" w:rsidRPr="003D2F75" w:rsidRDefault="00E01F69" w:rsidP="00EF5CD2">
      <w:pPr>
        <w:pStyle w:val="Heading4"/>
      </w:pPr>
      <w:bookmarkStart w:id="70" w:name="_Toc383700918"/>
      <w:r w:rsidRPr="003D2F75">
        <w:t>Other studies</w:t>
      </w:r>
      <w:bookmarkEnd w:id="70"/>
    </w:p>
    <w:p w14:paraId="2812F4B5" w14:textId="77777777" w:rsidR="00E01F69" w:rsidRPr="00C66B62" w:rsidRDefault="00E01F69" w:rsidP="00EF5CD2">
      <w:pPr>
        <w:pStyle w:val="Heading5"/>
      </w:pPr>
      <w:r w:rsidRPr="003D2F75">
        <w:t>Dependence</w:t>
      </w:r>
    </w:p>
    <w:p w14:paraId="2812F4B6" w14:textId="4E2122DB" w:rsidR="00E01F69" w:rsidRPr="003D2F75" w:rsidRDefault="00E01F69" w:rsidP="00EF5CD2">
      <w:r w:rsidRPr="003D2F75">
        <w:t>A study in monkeys over 7 days did not produce any evidence of an increased frequency of self</w:t>
      </w:r>
      <w:r w:rsidR="000521CB">
        <w:t>-</w:t>
      </w:r>
      <w:r w:rsidR="0012163C" w:rsidRPr="003D2F75">
        <w:t>administration</w:t>
      </w:r>
      <w:r w:rsidRPr="003D2F75">
        <w:t xml:space="preserve"> of </w:t>
      </w:r>
      <w:proofErr w:type="spellStart"/>
      <w:r w:rsidRPr="003D2F75">
        <w:t>aripiprazole</w:t>
      </w:r>
      <w:proofErr w:type="spellEnd"/>
      <w:r w:rsidRPr="003D2F75">
        <w:t xml:space="preserve"> by infusion following self</w:t>
      </w:r>
      <w:r w:rsidR="00C66B62">
        <w:t xml:space="preserve"> </w:t>
      </w:r>
      <w:r w:rsidRPr="003D2F75">
        <w:t xml:space="preserve">or forced administration. </w:t>
      </w:r>
      <w:proofErr w:type="spellStart"/>
      <w:r w:rsidRPr="003D2F75">
        <w:t>Aripiprazole</w:t>
      </w:r>
      <w:proofErr w:type="spellEnd"/>
      <w:r w:rsidRPr="003D2F75">
        <w:t xml:space="preserve"> was considered to possess ‘no reinforcing effect’.</w:t>
      </w:r>
    </w:p>
    <w:p w14:paraId="2812F4B7" w14:textId="77777777" w:rsidR="00E01F69" w:rsidRPr="003D2F75" w:rsidRDefault="00E01F69" w:rsidP="00EF5CD2">
      <w:pPr>
        <w:pStyle w:val="Heading5"/>
      </w:pPr>
      <w:proofErr w:type="spellStart"/>
      <w:r w:rsidRPr="003D2F75">
        <w:t>Phototoxicity</w:t>
      </w:r>
      <w:proofErr w:type="spellEnd"/>
    </w:p>
    <w:p w14:paraId="2812F4B8" w14:textId="74F6EA6C" w:rsidR="00E01F69" w:rsidRPr="003D2F75" w:rsidRDefault="00E01F69" w:rsidP="00EF5CD2">
      <w:r w:rsidRPr="003D2F75">
        <w:t xml:space="preserve">In </w:t>
      </w:r>
      <w:proofErr w:type="spellStart"/>
      <w:r w:rsidRPr="003D2F75">
        <w:t>Balb</w:t>
      </w:r>
      <w:proofErr w:type="spellEnd"/>
      <w:r w:rsidRPr="003D2F75">
        <w:t xml:space="preserve">/c3T3 mouse cells, </w:t>
      </w:r>
      <w:proofErr w:type="spellStart"/>
      <w:r w:rsidRPr="003D2F75">
        <w:t>aripiprazole</w:t>
      </w:r>
      <w:proofErr w:type="spellEnd"/>
      <w:r w:rsidRPr="003D2F75">
        <w:t xml:space="preserve"> did not influence the uptake of neutral red dye in the presence or absence of </w:t>
      </w:r>
      <w:r w:rsidR="00C66B62">
        <w:t>ultraviolet A (</w:t>
      </w:r>
      <w:r w:rsidRPr="003D2F75">
        <w:t>UVA</w:t>
      </w:r>
      <w:r w:rsidR="00C66B62">
        <w:t>)</w:t>
      </w:r>
      <w:r w:rsidRPr="003D2F75">
        <w:t xml:space="preserve"> and was considered t</w:t>
      </w:r>
      <w:r w:rsidR="00EF5CD2">
        <w:t>o have no phototoxic potential.</w:t>
      </w:r>
    </w:p>
    <w:p w14:paraId="2812F4B9" w14:textId="77777777" w:rsidR="00E01F69" w:rsidRPr="003D2F75" w:rsidRDefault="00E01F69" w:rsidP="00EF5CD2">
      <w:pPr>
        <w:pStyle w:val="Heading5"/>
      </w:pPr>
      <w:r w:rsidRPr="00EF5CD2">
        <w:t>Juvenile</w:t>
      </w:r>
      <w:r w:rsidRPr="003D2F75">
        <w:t xml:space="preserve"> toxicity</w:t>
      </w:r>
      <w:r>
        <w:t xml:space="preserve"> and paediatric use</w:t>
      </w:r>
    </w:p>
    <w:p w14:paraId="2812F4BA" w14:textId="77777777" w:rsidR="00E01F69" w:rsidRPr="003D2F75" w:rsidRDefault="00E01F69" w:rsidP="00EF5CD2">
      <w:r>
        <w:t>Oral j</w:t>
      </w:r>
      <w:r w:rsidRPr="003D2F75">
        <w:t xml:space="preserve">uvenile toxicity studies have been performed in rats </w:t>
      </w:r>
      <w:r>
        <w:t xml:space="preserve">for </w:t>
      </w:r>
      <w:r w:rsidRPr="003D2F75">
        <w:t xml:space="preserve">up to 2 months and in dogs </w:t>
      </w:r>
      <w:r>
        <w:t xml:space="preserve">for </w:t>
      </w:r>
      <w:r w:rsidRPr="003D2F75">
        <w:t xml:space="preserve">up to 6 months. </w:t>
      </w:r>
      <w:r>
        <w:t xml:space="preserve">The changes attributed to treatment were consistent with those previously reported for adult animals. </w:t>
      </w:r>
      <w:r w:rsidRPr="003D2F75">
        <w:t>In rats, CNS</w:t>
      </w:r>
      <w:r w:rsidR="00C66B62">
        <w:t xml:space="preserve"> </w:t>
      </w:r>
      <w:r w:rsidRPr="003D2F75">
        <w:t xml:space="preserve">related effects and decreased body weight gain were observed at </w:t>
      </w:r>
      <w:r w:rsidR="00C66B62">
        <w:t>≥</w:t>
      </w:r>
      <w:r w:rsidRPr="003D2F75">
        <w:t>20</w:t>
      </w:r>
      <w:r w:rsidR="00800A2A">
        <w:t xml:space="preserve"> mg/kg</w:t>
      </w:r>
      <w:r w:rsidRPr="003D2F75">
        <w:t>/day</w:t>
      </w:r>
      <w:r>
        <w:t>,</w:t>
      </w:r>
      <w:r w:rsidRPr="003D2F75">
        <w:t xml:space="preserve"> </w:t>
      </w:r>
      <w:r>
        <w:t>attributed</w:t>
      </w:r>
      <w:r w:rsidRPr="003D2F75">
        <w:t xml:space="preserve"> to the pharmacological activity of </w:t>
      </w:r>
      <w:proofErr w:type="spellStart"/>
      <w:r w:rsidRPr="003D2F75">
        <w:t>aripiprazole</w:t>
      </w:r>
      <w:proofErr w:type="spellEnd"/>
      <w:r w:rsidRPr="003D2F75">
        <w:t>. Pathological changes were noted in various organs but were reversible and considered pharmacologically</w:t>
      </w:r>
      <w:r w:rsidR="00C66B62">
        <w:t xml:space="preserve"> </w:t>
      </w:r>
      <w:r w:rsidRPr="003D2F75">
        <w:t>mediated. Neuropathology on the brain did not indicate any treatment</w:t>
      </w:r>
      <w:r w:rsidR="00C66B62">
        <w:t xml:space="preserve"> </w:t>
      </w:r>
      <w:r w:rsidRPr="003D2F75">
        <w:t xml:space="preserve">related effects. Sexual maturation was delayed at </w:t>
      </w:r>
      <w:r w:rsidR="00C66B62">
        <w:t>≥</w:t>
      </w:r>
      <w:r w:rsidRPr="003D2F75">
        <w:t>20</w:t>
      </w:r>
      <w:r w:rsidR="00800A2A">
        <w:t xml:space="preserve"> mg/kg</w:t>
      </w:r>
      <w:r w:rsidRPr="003D2F75">
        <w:t xml:space="preserve">/day but </w:t>
      </w:r>
      <w:r w:rsidRPr="003D2F75">
        <w:lastRenderedPageBreak/>
        <w:t>subsequent sexual performance and reproductive parameters were normal. In dogs, CNS</w:t>
      </w:r>
      <w:r w:rsidR="00C66B62">
        <w:t xml:space="preserve"> </w:t>
      </w:r>
      <w:r w:rsidRPr="003D2F75">
        <w:t xml:space="preserve">related effects and decreased body weight gain were observed at </w:t>
      </w:r>
      <w:r w:rsidR="00C66B62">
        <w:t>≥</w:t>
      </w:r>
      <w:r w:rsidRPr="003D2F75">
        <w:t>10</w:t>
      </w:r>
      <w:r w:rsidR="00800A2A">
        <w:t xml:space="preserve"> mg/kg</w:t>
      </w:r>
      <w:r w:rsidRPr="003D2F75">
        <w:t>/day. These effects were reversible and no adverse pathological changes were observed in the nervous system or in other organs. There were no comparable long</w:t>
      </w:r>
      <w:r w:rsidR="00C66B62">
        <w:t xml:space="preserve"> </w:t>
      </w:r>
      <w:r w:rsidRPr="003D2F75">
        <w:t>term studies in adult dogs. The CNS</w:t>
      </w:r>
      <w:r w:rsidR="00C66B62">
        <w:t xml:space="preserve"> </w:t>
      </w:r>
      <w:r w:rsidRPr="003D2F75">
        <w:t>related effects, decreased body weight gain and pathological organ changes in juvenile animals may be clinically relevant.</w:t>
      </w:r>
    </w:p>
    <w:p w14:paraId="2812F4BB" w14:textId="77777777" w:rsidR="00E01F69" w:rsidRPr="003D2F75" w:rsidRDefault="00E01F69" w:rsidP="00EF5CD2">
      <w:r>
        <w:t xml:space="preserve">These studies are not directly relevant to this submission, as </w:t>
      </w:r>
      <w:proofErr w:type="spellStart"/>
      <w:r>
        <w:t>a</w:t>
      </w:r>
      <w:r w:rsidRPr="003D2F75">
        <w:t>ripiprazole</w:t>
      </w:r>
      <w:proofErr w:type="spellEnd"/>
      <w:r w:rsidRPr="003D2F75">
        <w:t xml:space="preserve"> is not currently </w:t>
      </w:r>
      <w:r>
        <w:t>approved</w:t>
      </w:r>
      <w:r w:rsidRPr="003D2F75">
        <w:t xml:space="preserve"> for paediatric use</w:t>
      </w:r>
      <w:r>
        <w:t xml:space="preserve"> and there is no proposal at present to extend the patient group to include patients of less than 18 years.</w:t>
      </w:r>
    </w:p>
    <w:p w14:paraId="2812F4BC" w14:textId="77777777" w:rsidR="004C67AA" w:rsidRPr="00C66B62" w:rsidRDefault="004C67AA" w:rsidP="00EF5CD2">
      <w:pPr>
        <w:pStyle w:val="Heading3"/>
      </w:pPr>
      <w:bookmarkStart w:id="71" w:name="_Toc408924918"/>
      <w:r w:rsidRPr="008C370C">
        <w:t>Nonclinical</w:t>
      </w:r>
      <w:r>
        <w:t xml:space="preserve"> summary and conclusions</w:t>
      </w:r>
      <w:bookmarkEnd w:id="63"/>
      <w:bookmarkEnd w:id="64"/>
      <w:bookmarkEnd w:id="65"/>
      <w:bookmarkEnd w:id="71"/>
    </w:p>
    <w:p w14:paraId="2812F4BD" w14:textId="7E33357D" w:rsidR="00E01F69" w:rsidRPr="00EF5CD2" w:rsidRDefault="00E01F69" w:rsidP="0012235A">
      <w:pPr>
        <w:pStyle w:val="ListBullet"/>
      </w:pPr>
      <w:bookmarkStart w:id="72" w:name="_Toc196046462"/>
      <w:bookmarkStart w:id="73" w:name="_Toc247691516"/>
      <w:bookmarkStart w:id="74" w:name="_Toc314842500"/>
      <w:bookmarkStart w:id="75" w:name="_Toc384807757"/>
      <w:bookmarkStart w:id="76" w:name="_Toc163441353"/>
      <w:bookmarkStart w:id="77" w:name="_Toc163441348"/>
      <w:r w:rsidRPr="00EF5CD2">
        <w:t xml:space="preserve">The </w:t>
      </w:r>
      <w:r w:rsidR="00C66B62" w:rsidRPr="00EF5CD2">
        <w:t xml:space="preserve">nonclinical </w:t>
      </w:r>
      <w:r w:rsidRPr="00EF5CD2">
        <w:t xml:space="preserve">data provided were adequate to analyse and assess the nonclinical pharmacological, pharmacokinetic and toxicological properties of the IM depot form of </w:t>
      </w:r>
      <w:proofErr w:type="spellStart"/>
      <w:r w:rsidRPr="00EF5CD2">
        <w:t>aripiprazole</w:t>
      </w:r>
      <w:proofErr w:type="spellEnd"/>
      <w:r w:rsidRPr="00EF5CD2">
        <w:t xml:space="preserve"> in relation to its </w:t>
      </w:r>
      <w:r w:rsidRPr="0012235A">
        <w:t>proposed</w:t>
      </w:r>
      <w:r w:rsidRPr="00EF5CD2">
        <w:t xml:space="preserve"> clinical use. The data were in general accordance with the ICH guidelines. The pivotal studies were GLP</w:t>
      </w:r>
      <w:r w:rsidR="00C66B62" w:rsidRPr="00EF5CD2">
        <w:t xml:space="preserve"> </w:t>
      </w:r>
      <w:r w:rsidRPr="00EF5CD2">
        <w:t>compliant and conducted with the proposed clinical formulation. The exposure ratios are adequate to address the clinical releva</w:t>
      </w:r>
      <w:r w:rsidR="00EF5CD2">
        <w:t>nce of the observed toxicities.</w:t>
      </w:r>
    </w:p>
    <w:p w14:paraId="2812F4BE" w14:textId="77777777" w:rsidR="00E01F69" w:rsidRPr="00EF5CD2" w:rsidRDefault="00E01F69" w:rsidP="00EF5CD2">
      <w:pPr>
        <w:pStyle w:val="ListBullet"/>
      </w:pPr>
      <w:r w:rsidRPr="00EF5CD2">
        <w:t xml:space="preserve">Previously evaluated primary pharmacology studies and two additional studies established that its antipsychotic activity is mediated through a combination of partial </w:t>
      </w:r>
      <w:proofErr w:type="spellStart"/>
      <w:r w:rsidRPr="00EF5CD2">
        <w:t>agonism</w:t>
      </w:r>
      <w:proofErr w:type="spellEnd"/>
      <w:r w:rsidRPr="00EF5CD2">
        <w:t xml:space="preserve"> at D2 and 5HT1A receptors and antagonism at 5HT2A receptors.</w:t>
      </w:r>
    </w:p>
    <w:p w14:paraId="2812F4BF" w14:textId="32823804" w:rsidR="00E01F69" w:rsidRPr="00EF5CD2" w:rsidRDefault="00E01F69" w:rsidP="00EF5CD2">
      <w:pPr>
        <w:pStyle w:val="ListBullet"/>
      </w:pPr>
      <w:r w:rsidRPr="00EF5CD2">
        <w:t xml:space="preserve">Previously evaluated studies adequately evaluated the safety pharmacology of </w:t>
      </w:r>
      <w:proofErr w:type="spellStart"/>
      <w:r w:rsidRPr="00EF5CD2">
        <w:t>aripiprazole</w:t>
      </w:r>
      <w:proofErr w:type="spellEnd"/>
      <w:r w:rsidRPr="00EF5CD2">
        <w:t xml:space="preserve">. An additional safety pharmacology study in guinea pigs demonstrated that </w:t>
      </w:r>
      <w:proofErr w:type="spellStart"/>
      <w:r w:rsidRPr="00EF5CD2">
        <w:t>aripiprazole</w:t>
      </w:r>
      <w:proofErr w:type="spellEnd"/>
      <w:r w:rsidRPr="00EF5CD2">
        <w:t xml:space="preserve"> h</w:t>
      </w:r>
      <w:r w:rsidR="00EF5CD2">
        <w:t>as no local anaesthetic action.</w:t>
      </w:r>
    </w:p>
    <w:p w14:paraId="2812F4C0" w14:textId="4A6715D0" w:rsidR="00E01F69" w:rsidRPr="00EF5CD2" w:rsidRDefault="00E01F69" w:rsidP="00EF5CD2">
      <w:pPr>
        <w:pStyle w:val="ListBullet"/>
      </w:pPr>
      <w:r w:rsidRPr="00EF5CD2">
        <w:t xml:space="preserve">The pharmacokinetic studies indicate that absorption of </w:t>
      </w:r>
      <w:proofErr w:type="spellStart"/>
      <w:r w:rsidRPr="00EF5CD2">
        <w:t>aripiprazole</w:t>
      </w:r>
      <w:proofErr w:type="spellEnd"/>
      <w:r w:rsidRPr="00EF5CD2">
        <w:t xml:space="preserve"> is slow and prolonged following administration of the IM depot formulation, with a </w:t>
      </w:r>
      <w:proofErr w:type="spellStart"/>
      <w:r w:rsidRPr="00EF5CD2">
        <w:t>Tmax</w:t>
      </w:r>
      <w:proofErr w:type="spellEnd"/>
      <w:r w:rsidRPr="00EF5CD2">
        <w:t xml:space="preserve"> of 168</w:t>
      </w:r>
      <w:r w:rsidR="00C66B62" w:rsidRPr="00EF5CD2">
        <w:t xml:space="preserve"> </w:t>
      </w:r>
      <w:r w:rsidRPr="00EF5CD2">
        <w:t>h in rats and a long plasma half-life. In repeat dose studies, absorption was dose</w:t>
      </w:r>
      <w:r w:rsidR="00C66B62" w:rsidRPr="00EF5CD2">
        <w:t xml:space="preserve"> </w:t>
      </w:r>
      <w:r w:rsidRPr="00EF5CD2">
        <w:t xml:space="preserve">proportional and similar for both sexes. There was high retention of </w:t>
      </w:r>
      <w:proofErr w:type="spellStart"/>
      <w:r w:rsidRPr="00EF5CD2">
        <w:t>aripiprazole</w:t>
      </w:r>
      <w:proofErr w:type="spellEnd"/>
      <w:r w:rsidRPr="00EF5CD2">
        <w:t xml:space="preserve"> in the injection site muscle following administration of IM depot formulation. By contrast, </w:t>
      </w:r>
      <w:proofErr w:type="spellStart"/>
      <w:r w:rsidRPr="00EF5CD2">
        <w:t>aripiprazole</w:t>
      </w:r>
      <w:proofErr w:type="spellEnd"/>
      <w:r w:rsidRPr="00EF5CD2">
        <w:t xml:space="preserve"> was rapidly absorbed and showed wide tissue distribution following administration of IM aqueous formulation. The major substance at the injection site and in plasma was unchanged </w:t>
      </w:r>
      <w:proofErr w:type="spellStart"/>
      <w:r w:rsidRPr="00EF5CD2">
        <w:t>aripiprazole</w:t>
      </w:r>
      <w:proofErr w:type="spellEnd"/>
      <w:r w:rsidRPr="00EF5CD2">
        <w:t>, with no evidence of the formation of new metabolites at the injection site following administration of the IM depot formulation. In mini-pigs, the AUC ratio of the pharmacologically</w:t>
      </w:r>
      <w:r w:rsidR="00C66B62" w:rsidRPr="00EF5CD2">
        <w:t xml:space="preserve"> </w:t>
      </w:r>
      <w:r w:rsidRPr="00EF5CD2">
        <w:t xml:space="preserve">active metabolite </w:t>
      </w:r>
      <w:proofErr w:type="spellStart"/>
      <w:r w:rsidRPr="00EF5CD2">
        <w:t>dehydro-aripiprazole</w:t>
      </w:r>
      <w:proofErr w:type="spellEnd"/>
      <w:r w:rsidRPr="00EF5CD2">
        <w:t xml:space="preserve"> (OPC-14857) to </w:t>
      </w:r>
      <w:proofErr w:type="spellStart"/>
      <w:r w:rsidRPr="00EF5CD2">
        <w:t>aripiprazole</w:t>
      </w:r>
      <w:proofErr w:type="spellEnd"/>
      <w:r w:rsidRPr="00EF5CD2">
        <w:t xml:space="preserve"> was similar following administration by IV, IM and SC routes. Excretion following IM depot formulation was not examined but following IM aqueous formulation, faeces was the major excretion route (92%), as it was following or</w:t>
      </w:r>
      <w:r w:rsidR="00EF5CD2">
        <w:t>al administration.</w:t>
      </w:r>
    </w:p>
    <w:p w14:paraId="2812F4C1" w14:textId="59517F28" w:rsidR="00E01F69" w:rsidRPr="00EF5CD2" w:rsidRDefault="00E01F69" w:rsidP="00EF5CD2">
      <w:pPr>
        <w:pStyle w:val="ListBullet"/>
      </w:pPr>
      <w:r w:rsidRPr="00EF5CD2">
        <w:t>In single dose toxicity studies in dogs with IM depot formulation up to 400</w:t>
      </w:r>
      <w:r w:rsidR="00C66B62" w:rsidRPr="00EF5CD2">
        <w:t xml:space="preserve"> </w:t>
      </w:r>
      <w:r w:rsidRPr="00EF5CD2">
        <w:t xml:space="preserve">mg/animal, there were transitory CNS effects on day one only, together with minimal to moderate granulomatous inflammation at the injection site which reduced in severity with time but was still evident after 6 weeks. There was </w:t>
      </w:r>
      <w:r w:rsidR="00EF5CD2">
        <w:t>no evidence of muscle necrosis.</w:t>
      </w:r>
    </w:p>
    <w:p w14:paraId="2812F4C2" w14:textId="78001902" w:rsidR="00E01F69" w:rsidRPr="00EF5CD2" w:rsidRDefault="00E01F69" w:rsidP="00EF5CD2">
      <w:pPr>
        <w:pStyle w:val="ListBullet"/>
      </w:pPr>
      <w:r w:rsidRPr="00EF5CD2">
        <w:t xml:space="preserve">Repeat dose studies in rats and dogs with IM depot formulation consistently produced local inflammation at the injection site. Similar effects were seen in monkey with IM aqueous formulation. Inflammation was accompanied by the occurrence of white foci, considered to be deposition of </w:t>
      </w:r>
      <w:proofErr w:type="spellStart"/>
      <w:r w:rsidRPr="00EF5CD2">
        <w:t>aripiprazole</w:t>
      </w:r>
      <w:proofErr w:type="spellEnd"/>
      <w:r w:rsidRPr="00EF5CD2">
        <w:t xml:space="preserve"> crystals. The number of foci and inflammation severity decreased during the recovery period. Systemic effects observed in rats were considered to be related to the pharmacological action of </w:t>
      </w:r>
      <w:proofErr w:type="spellStart"/>
      <w:r w:rsidRPr="00EF5CD2">
        <w:t>aripiprazole</w:t>
      </w:r>
      <w:proofErr w:type="spellEnd"/>
      <w:r w:rsidRPr="00EF5CD2">
        <w:t xml:space="preserve"> (mammary gland hyperplasia, hypertrophy of the corpora </w:t>
      </w:r>
      <w:proofErr w:type="spellStart"/>
      <w:r w:rsidRPr="00EF5CD2">
        <w:t>lutea</w:t>
      </w:r>
      <w:proofErr w:type="spellEnd"/>
      <w:r w:rsidRPr="00EF5CD2">
        <w:t xml:space="preserve">, </w:t>
      </w:r>
      <w:proofErr w:type="spellStart"/>
      <w:r w:rsidRPr="00EF5CD2">
        <w:t>mucification</w:t>
      </w:r>
      <w:proofErr w:type="spellEnd"/>
      <w:r w:rsidRPr="00EF5CD2">
        <w:t xml:space="preserve"> of the uterine cervix and vagina epithelium). These effects were observed below the clinical exposure in rats, but were not observed in dogs at the clinical </w:t>
      </w:r>
      <w:r w:rsidRPr="00EF5CD2">
        <w:lastRenderedPageBreak/>
        <w:t>exposure. In monkeys, decreased activity and an increase in tremors were observed after dosing with IM aqueous formulation, which may be clinically relevant.</w:t>
      </w:r>
    </w:p>
    <w:p w14:paraId="2812F4C3" w14:textId="6352BBEB" w:rsidR="00E01F69" w:rsidRPr="00EF5CD2" w:rsidRDefault="00E01F69" w:rsidP="00EF5CD2">
      <w:pPr>
        <w:pStyle w:val="ListBullet"/>
      </w:pPr>
      <w:r w:rsidRPr="00EF5CD2">
        <w:t>Previous studies indicated an overall non</w:t>
      </w:r>
      <w:r w:rsidR="00C66B62" w:rsidRPr="00EF5CD2">
        <w:t xml:space="preserve"> </w:t>
      </w:r>
      <w:proofErr w:type="spellStart"/>
      <w:r w:rsidRPr="00EF5CD2">
        <w:t>genotoxic</w:t>
      </w:r>
      <w:proofErr w:type="spellEnd"/>
      <w:r w:rsidRPr="00EF5CD2">
        <w:t xml:space="preserve"> profile for </w:t>
      </w:r>
      <w:proofErr w:type="spellStart"/>
      <w:r w:rsidRPr="00EF5CD2">
        <w:t>aripiprazole</w:t>
      </w:r>
      <w:proofErr w:type="spellEnd"/>
      <w:r w:rsidRPr="00EF5CD2">
        <w:t xml:space="preserve">, confirmed by recent studies (Comet assay, micronucleus test). No further examination of </w:t>
      </w:r>
      <w:proofErr w:type="spellStart"/>
      <w:r w:rsidRPr="00EF5CD2">
        <w:t>genotoxicity</w:t>
      </w:r>
      <w:proofErr w:type="spellEnd"/>
      <w:r w:rsidRPr="00EF5CD2">
        <w:t xml:space="preserve"> of the </w:t>
      </w:r>
      <w:proofErr w:type="spellStart"/>
      <w:r w:rsidRPr="00EF5CD2">
        <w:t>aripiprazole</w:t>
      </w:r>
      <w:proofErr w:type="spellEnd"/>
      <w:r w:rsidRPr="00EF5CD2">
        <w:t xml:space="preserve"> IM depot formulation was</w:t>
      </w:r>
      <w:r w:rsidR="00EF5CD2">
        <w:t xml:space="preserve"> considered necessary.</w:t>
      </w:r>
    </w:p>
    <w:p w14:paraId="2812F4C4" w14:textId="551EEEA9" w:rsidR="00E01F69" w:rsidRPr="00EF5CD2" w:rsidRDefault="00E01F69" w:rsidP="00EF5CD2">
      <w:pPr>
        <w:pStyle w:val="ListBullet"/>
      </w:pPr>
      <w:r w:rsidRPr="00EF5CD2">
        <w:t>A 70</w:t>
      </w:r>
      <w:r w:rsidR="00C66B62" w:rsidRPr="00EF5CD2">
        <w:t xml:space="preserve"> </w:t>
      </w:r>
      <w:r w:rsidRPr="00EF5CD2">
        <w:t>week oral study confirmed that the adrenocortical tumorigenic response observed in a previous rat carcinogenicity study was a consequence of increased cell proliferation rather than to a reduced glucocorticoid output. No further carcinogenicity studies were considered necessary with the IM depot formulation, given the lower human exposure with the IM depot formulation co</w:t>
      </w:r>
      <w:r w:rsidR="00EF5CD2">
        <w:t>mpared to the oral formulation.</w:t>
      </w:r>
    </w:p>
    <w:p w14:paraId="2812F4C5" w14:textId="77777777" w:rsidR="00E01F69" w:rsidRPr="00EF5CD2" w:rsidRDefault="00E01F69" w:rsidP="00EF5CD2">
      <w:pPr>
        <w:pStyle w:val="ListBullet"/>
      </w:pPr>
      <w:r w:rsidRPr="00EF5CD2">
        <w:t xml:space="preserve">Previous reproductive and developmental toxicity studies found some possible evidence of teratogenicity, although growth retardation was evident at exposures well in excess of the clinical exposure. As exposure following IM depot formulation was lower than exposure following oral administration, no further reproductive studies were considered necessary with the IM depot formulation. The sponsor has proposed pregnancy Category C, consistent with the oral </w:t>
      </w:r>
      <w:proofErr w:type="spellStart"/>
      <w:r w:rsidRPr="00EF5CD2">
        <w:t>Abilify</w:t>
      </w:r>
      <w:proofErr w:type="spellEnd"/>
      <w:r w:rsidRPr="00EF5CD2">
        <w:t xml:space="preserve">® products and </w:t>
      </w:r>
      <w:proofErr w:type="spellStart"/>
      <w:r w:rsidRPr="00EF5CD2">
        <w:t>postmarket</w:t>
      </w:r>
      <w:proofErr w:type="spellEnd"/>
      <w:r w:rsidRPr="00EF5CD2">
        <w:t xml:space="preserve"> reports and this is supported.</w:t>
      </w:r>
    </w:p>
    <w:p w14:paraId="02121225" w14:textId="05EEF78C" w:rsidR="0091768E" w:rsidRPr="00EF5CD2" w:rsidRDefault="00E01F69" w:rsidP="00EF5CD2">
      <w:pPr>
        <w:pStyle w:val="ListBullet"/>
      </w:pPr>
      <w:r w:rsidRPr="00EF5CD2">
        <w:t xml:space="preserve">Local tolerance studies in rats, rabbits, dogs and monkeys confirmed that </w:t>
      </w:r>
      <w:proofErr w:type="spellStart"/>
      <w:r w:rsidRPr="00EF5CD2">
        <w:t>aripiprazole</w:t>
      </w:r>
      <w:proofErr w:type="spellEnd"/>
      <w:r w:rsidRPr="00EF5CD2">
        <w:t xml:space="preserve"> IM depot formulation produced swelling and granulomatous inflammation in all species. These effects may be clinically relevant and local tolerance in patients will require assessment.</w:t>
      </w:r>
    </w:p>
    <w:p w14:paraId="2812F4C7" w14:textId="3F8C1BEF" w:rsidR="00E01F69" w:rsidRPr="00EF5CD2" w:rsidRDefault="00E01F69" w:rsidP="00EF5CD2">
      <w:pPr>
        <w:pStyle w:val="ListBullet"/>
      </w:pPr>
      <w:proofErr w:type="spellStart"/>
      <w:r w:rsidRPr="00EF5CD2">
        <w:t>Aripiprazole</w:t>
      </w:r>
      <w:proofErr w:type="spellEnd"/>
      <w:r w:rsidRPr="00EF5CD2">
        <w:t xml:space="preserve"> is not approved for paediatric use. Juvenile toxicity studies in rats and dogs produced a range of toxicities related to its pharmacological activity. These toxicities have been previously observed in adult animals, and may be clinically relevant.</w:t>
      </w:r>
    </w:p>
    <w:p w14:paraId="2812F4C8" w14:textId="69B6ADF5" w:rsidR="00E01F69" w:rsidRPr="003D2F75" w:rsidRDefault="008C370C" w:rsidP="00EF5CD2">
      <w:pPr>
        <w:pStyle w:val="Heading3"/>
      </w:pPr>
      <w:bookmarkStart w:id="78" w:name="_Toc294861479"/>
      <w:bookmarkStart w:id="79" w:name="_Toc295290862"/>
      <w:bookmarkStart w:id="80" w:name="_Toc383700910"/>
      <w:bookmarkStart w:id="81" w:name="_Toc408924919"/>
      <w:r>
        <w:t xml:space="preserve">Nonclinical </w:t>
      </w:r>
      <w:r w:rsidR="00EF5CD2">
        <w:t>c</w:t>
      </w:r>
      <w:r w:rsidRPr="003D2F75">
        <w:t xml:space="preserve">onclusions </w:t>
      </w:r>
      <w:r>
        <w:t>a</w:t>
      </w:r>
      <w:r w:rsidRPr="003D2F75">
        <w:t xml:space="preserve">nd </w:t>
      </w:r>
      <w:r w:rsidR="00EF5CD2">
        <w:t>r</w:t>
      </w:r>
      <w:r w:rsidRPr="003D2F75">
        <w:t>ecommendation</w:t>
      </w:r>
      <w:bookmarkEnd w:id="78"/>
      <w:bookmarkEnd w:id="79"/>
      <w:bookmarkEnd w:id="80"/>
      <w:bookmarkEnd w:id="81"/>
    </w:p>
    <w:p w14:paraId="2812F4C9" w14:textId="7374914B" w:rsidR="00E01F69" w:rsidRPr="003D2F75" w:rsidRDefault="00E01F69" w:rsidP="00EF5CD2">
      <w:pPr>
        <w:pStyle w:val="ListBullet"/>
      </w:pPr>
      <w:r w:rsidRPr="003D2F75">
        <w:t xml:space="preserve">There were no major deficiencies in the nonclinical </w:t>
      </w:r>
      <w:r>
        <w:t>dossier</w:t>
      </w:r>
      <w:r w:rsidR="00EF5CD2">
        <w:t>.</w:t>
      </w:r>
    </w:p>
    <w:p w14:paraId="2812F4CA" w14:textId="6C5811D7" w:rsidR="00E01F69" w:rsidRPr="003D2F75" w:rsidRDefault="00E01F69" w:rsidP="00EF5CD2">
      <w:pPr>
        <w:pStyle w:val="ListBullet"/>
      </w:pPr>
      <w:r w:rsidRPr="003D2F75">
        <w:t xml:space="preserve">The </w:t>
      </w:r>
      <w:r>
        <w:t xml:space="preserve">new </w:t>
      </w:r>
      <w:r w:rsidRPr="003D2F75">
        <w:t xml:space="preserve">primary pharmacology data </w:t>
      </w:r>
      <w:r>
        <w:t xml:space="preserve">were consistent with previous studies attributing </w:t>
      </w:r>
      <w:r w:rsidRPr="003D2F75">
        <w:t xml:space="preserve">the antipsychotic activity </w:t>
      </w:r>
      <w:r>
        <w:t>to actions at various receptor subtypes. S</w:t>
      </w:r>
      <w:r w:rsidRPr="003D2F75">
        <w:t xml:space="preserve">afety pharmacology data on </w:t>
      </w:r>
      <w:proofErr w:type="spellStart"/>
      <w:r w:rsidRPr="003D2F75">
        <w:t>aripiprazole</w:t>
      </w:r>
      <w:proofErr w:type="spellEnd"/>
      <w:r w:rsidRPr="003D2F75">
        <w:t xml:space="preserve"> </w:t>
      </w:r>
      <w:r>
        <w:t>were</w:t>
      </w:r>
      <w:r w:rsidRPr="003D2F75">
        <w:t xml:space="preserve"> adequately evaluated previously</w:t>
      </w:r>
      <w:r>
        <w:t>. N</w:t>
      </w:r>
      <w:r w:rsidRPr="003D2F75">
        <w:t xml:space="preserve">o additional </w:t>
      </w:r>
      <w:r>
        <w:t xml:space="preserve">pharmacology </w:t>
      </w:r>
      <w:r w:rsidRPr="003D2F75">
        <w:t>data specifically using the IM d</w:t>
      </w:r>
      <w:r w:rsidR="00EF5CD2">
        <w:t>epot formulation are necessary.</w:t>
      </w:r>
    </w:p>
    <w:p w14:paraId="2812F4CB" w14:textId="5043E55D" w:rsidR="00E01F69" w:rsidRPr="003D2F75" w:rsidRDefault="00E01F69" w:rsidP="00EF5CD2">
      <w:pPr>
        <w:pStyle w:val="ListBullet"/>
      </w:pPr>
      <w:r w:rsidRPr="003D2F75">
        <w:t>The pharmacokinetics of the IM depot formulation indicated high retention in the injection site muscle</w:t>
      </w:r>
      <w:r>
        <w:t>,</w:t>
      </w:r>
      <w:r w:rsidRPr="003D2F75">
        <w:t xml:space="preserve"> with no evidence o</w:t>
      </w:r>
      <w:r w:rsidR="00EF5CD2">
        <w:t>f formation of new metabolites.</w:t>
      </w:r>
    </w:p>
    <w:p w14:paraId="2812F4CC" w14:textId="2BE60F15" w:rsidR="00E01F69" w:rsidRPr="003D2F75" w:rsidRDefault="00E01F69" w:rsidP="00EF5CD2">
      <w:pPr>
        <w:pStyle w:val="ListBullet"/>
      </w:pPr>
      <w:r>
        <w:t>R</w:t>
      </w:r>
      <w:r w:rsidRPr="003D2F75">
        <w:t xml:space="preserve">epeat dose </w:t>
      </w:r>
      <w:r>
        <w:t>and local tolerance studies with the</w:t>
      </w:r>
      <w:r w:rsidRPr="003D2F75">
        <w:t xml:space="preserve"> IM depot formulation </w:t>
      </w:r>
      <w:r>
        <w:t>reported</w:t>
      </w:r>
      <w:r w:rsidRPr="003D2F75">
        <w:t xml:space="preserve"> </w:t>
      </w:r>
      <w:r>
        <w:t>inflammatory</w:t>
      </w:r>
      <w:r w:rsidRPr="003D2F75">
        <w:t xml:space="preserve"> effects at the injection site, </w:t>
      </w:r>
      <w:r>
        <w:t xml:space="preserve">with some evidence of </w:t>
      </w:r>
      <w:proofErr w:type="spellStart"/>
      <w:r>
        <w:t>posttreatment</w:t>
      </w:r>
      <w:proofErr w:type="spellEnd"/>
      <w:r>
        <w:t xml:space="preserve"> recovery. The known systemic effects of </w:t>
      </w:r>
      <w:proofErr w:type="spellStart"/>
      <w:r>
        <w:t>aripiprazole</w:t>
      </w:r>
      <w:proofErr w:type="spellEnd"/>
      <w:r>
        <w:t xml:space="preserve"> were also confirmed</w:t>
      </w:r>
      <w:r w:rsidR="00EF5CD2">
        <w:t>.</w:t>
      </w:r>
    </w:p>
    <w:p w14:paraId="2812F4CD" w14:textId="7D6AE15C" w:rsidR="00E01F69" w:rsidRPr="003D2F75" w:rsidRDefault="00E01F69" w:rsidP="00EF5CD2">
      <w:pPr>
        <w:pStyle w:val="ListBullet"/>
      </w:pPr>
      <w:r>
        <w:t xml:space="preserve">There are no changes to the previously documented </w:t>
      </w:r>
      <w:proofErr w:type="spellStart"/>
      <w:r>
        <w:t>genotoxicity</w:t>
      </w:r>
      <w:proofErr w:type="spellEnd"/>
      <w:r>
        <w:t xml:space="preserve"> and carcinogenicity profiles and no</w:t>
      </w:r>
      <w:r w:rsidRPr="003D2F75">
        <w:t xml:space="preserve"> additional </w:t>
      </w:r>
      <w:proofErr w:type="spellStart"/>
      <w:r w:rsidRPr="003D2F75">
        <w:t>genotoxicity</w:t>
      </w:r>
      <w:proofErr w:type="spellEnd"/>
      <w:r w:rsidRPr="003D2F75">
        <w:t xml:space="preserve"> or carcinogenicity data specifically using the IM d</w:t>
      </w:r>
      <w:r w:rsidR="00EF5CD2">
        <w:t>epot formulation are necessary.</w:t>
      </w:r>
    </w:p>
    <w:p w14:paraId="2812F4CE" w14:textId="302331ED" w:rsidR="00E01F69" w:rsidRPr="003D2F75" w:rsidRDefault="00E01F69" w:rsidP="00EF5CD2">
      <w:pPr>
        <w:pStyle w:val="ListBullet"/>
      </w:pPr>
      <w:r w:rsidRPr="003D2F75">
        <w:t xml:space="preserve">The reproductive and developmental toxicity of </w:t>
      </w:r>
      <w:proofErr w:type="spellStart"/>
      <w:r w:rsidRPr="003D2F75">
        <w:t>aripiprazole</w:t>
      </w:r>
      <w:proofErr w:type="spellEnd"/>
      <w:r w:rsidRPr="003D2F75">
        <w:t xml:space="preserve"> was adequately evaluated previously. Given the lower exposure from the IM depot formulation, no additional studies using the IM depot formulation are necessary. Pregnancy Category </w:t>
      </w:r>
      <w:r>
        <w:t>C</w:t>
      </w:r>
      <w:r w:rsidRPr="003D2F75">
        <w:t xml:space="preserve"> is </w:t>
      </w:r>
      <w:r>
        <w:t>appropriate</w:t>
      </w:r>
      <w:r w:rsidR="00EF5CD2">
        <w:t>.</w:t>
      </w:r>
    </w:p>
    <w:p w14:paraId="2812F4CF" w14:textId="77777777" w:rsidR="00E01F69" w:rsidRPr="003D2F75" w:rsidRDefault="00E01F69" w:rsidP="00EF5CD2">
      <w:pPr>
        <w:pStyle w:val="ListBullet"/>
        <w:rPr>
          <w:kern w:val="2"/>
        </w:rPr>
      </w:pPr>
      <w:r w:rsidRPr="003D2F75">
        <w:rPr>
          <w:kern w:val="2"/>
        </w:rPr>
        <w:lastRenderedPageBreak/>
        <w:t xml:space="preserve">Based on the nonclinical data evaluated </w:t>
      </w:r>
      <w:r>
        <w:rPr>
          <w:kern w:val="2"/>
        </w:rPr>
        <w:t>herein</w:t>
      </w:r>
      <w:r w:rsidRPr="003D2F75">
        <w:rPr>
          <w:kern w:val="2"/>
        </w:rPr>
        <w:t xml:space="preserve">, </w:t>
      </w:r>
      <w:r>
        <w:rPr>
          <w:kern w:val="2"/>
        </w:rPr>
        <w:t xml:space="preserve">there are no nonclinical objections to the </w:t>
      </w:r>
      <w:r w:rsidRPr="003D2F75">
        <w:rPr>
          <w:kern w:val="2"/>
        </w:rPr>
        <w:t xml:space="preserve">registration of </w:t>
      </w:r>
      <w:proofErr w:type="spellStart"/>
      <w:r w:rsidRPr="003D2F75">
        <w:rPr>
          <w:kern w:val="2"/>
        </w:rPr>
        <w:t>aripiprazole</w:t>
      </w:r>
      <w:proofErr w:type="spellEnd"/>
      <w:r w:rsidRPr="003D2F75">
        <w:rPr>
          <w:kern w:val="2"/>
        </w:rPr>
        <w:t xml:space="preserve"> IM depot formulation </w:t>
      </w:r>
      <w:r>
        <w:rPr>
          <w:kern w:val="2"/>
        </w:rPr>
        <w:t>as proposed</w:t>
      </w:r>
      <w:r w:rsidRPr="003D2F75">
        <w:rPr>
          <w:kern w:val="2"/>
        </w:rPr>
        <w:t>.</w:t>
      </w:r>
    </w:p>
    <w:p w14:paraId="2812F4D0" w14:textId="25DEF1E9" w:rsidR="00E01F69" w:rsidRPr="003D2F75" w:rsidRDefault="00E01F69" w:rsidP="00EF5CD2">
      <w:pPr>
        <w:pStyle w:val="ListBullet"/>
        <w:rPr>
          <w:kern w:val="2"/>
        </w:rPr>
      </w:pPr>
      <w:r w:rsidRPr="003D2F75">
        <w:rPr>
          <w:kern w:val="2"/>
        </w:rPr>
        <w:t xml:space="preserve">The </w:t>
      </w:r>
      <w:r w:rsidR="008C370C">
        <w:rPr>
          <w:kern w:val="2"/>
        </w:rPr>
        <w:t xml:space="preserve">nonclinical evaluator recommended </w:t>
      </w:r>
      <w:r w:rsidR="008C370C" w:rsidRPr="003D2F75">
        <w:rPr>
          <w:kern w:val="2"/>
        </w:rPr>
        <w:t>amend</w:t>
      </w:r>
      <w:r w:rsidR="008C370C">
        <w:rPr>
          <w:kern w:val="2"/>
        </w:rPr>
        <w:t>ments to the</w:t>
      </w:r>
      <w:r w:rsidR="008C370C" w:rsidRPr="003D2F75">
        <w:rPr>
          <w:kern w:val="2"/>
        </w:rPr>
        <w:t xml:space="preserve"> </w:t>
      </w:r>
      <w:r w:rsidRPr="003D2F75">
        <w:rPr>
          <w:kern w:val="2"/>
        </w:rPr>
        <w:t xml:space="preserve">draft Product Information </w:t>
      </w:r>
      <w:r>
        <w:rPr>
          <w:kern w:val="2"/>
        </w:rPr>
        <w:t xml:space="preserve">document </w:t>
      </w:r>
      <w:r w:rsidR="008C370C">
        <w:rPr>
          <w:kern w:val="2"/>
        </w:rPr>
        <w:t>but the details of these</w:t>
      </w:r>
      <w:r w:rsidR="00E51E69">
        <w:rPr>
          <w:kern w:val="2"/>
        </w:rPr>
        <w:t xml:space="preserve"> are</w:t>
      </w:r>
      <w:r w:rsidR="008C370C">
        <w:rPr>
          <w:kern w:val="2"/>
        </w:rPr>
        <w:t xml:space="preserve"> beyond the scope of this </w:t>
      </w:r>
      <w:proofErr w:type="spellStart"/>
      <w:r w:rsidR="008C370C">
        <w:rPr>
          <w:kern w:val="2"/>
        </w:rPr>
        <w:t>AusPAR</w:t>
      </w:r>
      <w:proofErr w:type="spellEnd"/>
      <w:r w:rsidR="00EF5CD2">
        <w:rPr>
          <w:kern w:val="2"/>
        </w:rPr>
        <w:t>.</w:t>
      </w:r>
    </w:p>
    <w:p w14:paraId="2812F4D1" w14:textId="77777777" w:rsidR="004C67AA" w:rsidRPr="00254787" w:rsidRDefault="004C67AA" w:rsidP="00AF1D35">
      <w:pPr>
        <w:pStyle w:val="Heading2"/>
      </w:pPr>
      <w:bookmarkStart w:id="82" w:name="_Toc408924920"/>
      <w:r>
        <w:t xml:space="preserve">IV. </w:t>
      </w:r>
      <w:r w:rsidRPr="00254787">
        <w:t>Clinical</w:t>
      </w:r>
      <w:bookmarkEnd w:id="72"/>
      <w:r>
        <w:t xml:space="preserve"> findings</w:t>
      </w:r>
      <w:bookmarkEnd w:id="73"/>
      <w:bookmarkEnd w:id="74"/>
      <w:bookmarkEnd w:id="75"/>
      <w:bookmarkEnd w:id="82"/>
    </w:p>
    <w:p w14:paraId="2812F4D2" w14:textId="77777777" w:rsidR="004C67AA" w:rsidRDefault="004C67AA" w:rsidP="00707670">
      <w:bookmarkStart w:id="83"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2812F4D3" w14:textId="77777777" w:rsidR="004C67AA" w:rsidRPr="008C370C" w:rsidRDefault="004C67AA" w:rsidP="00707670">
      <w:pPr>
        <w:pStyle w:val="Heading3"/>
      </w:pPr>
      <w:bookmarkStart w:id="84" w:name="_Toc247691517"/>
      <w:bookmarkStart w:id="85" w:name="_Toc314842501"/>
      <w:bookmarkStart w:id="86" w:name="_Toc384807758"/>
      <w:bookmarkStart w:id="87" w:name="_Toc408924921"/>
      <w:r w:rsidRPr="00254787">
        <w:t>Introduction</w:t>
      </w:r>
      <w:bookmarkEnd w:id="83"/>
      <w:bookmarkEnd w:id="84"/>
      <w:bookmarkEnd w:id="85"/>
      <w:bookmarkEnd w:id="86"/>
      <w:bookmarkEnd w:id="87"/>
    </w:p>
    <w:p w14:paraId="2812F4D4" w14:textId="2A3662D0" w:rsidR="004C67AA" w:rsidRDefault="004C67AA" w:rsidP="00707670">
      <w:pPr>
        <w:pStyle w:val="Heading4"/>
      </w:pPr>
      <w:bookmarkStart w:id="88" w:name="_Toc196046464"/>
      <w:bookmarkStart w:id="89" w:name="_Toc247691518"/>
      <w:bookmarkStart w:id="90" w:name="_Toc314842502"/>
      <w:r w:rsidRPr="00605AD4">
        <w:t xml:space="preserve">Clinical </w:t>
      </w:r>
      <w:r w:rsidR="00707670">
        <w:t>r</w:t>
      </w:r>
      <w:r w:rsidRPr="00605AD4">
        <w:t>ationale</w:t>
      </w:r>
    </w:p>
    <w:p w14:paraId="2812F4D5" w14:textId="68430D56" w:rsidR="00E01F69" w:rsidRDefault="00E01F69" w:rsidP="00707670">
      <w:r>
        <w:t>Non-adherence to treatment has been identified as a major risk factor for relapse in schizophrenia;</w:t>
      </w:r>
      <w:r w:rsidRPr="00B54632">
        <w:t xml:space="preserve"> </w:t>
      </w:r>
      <w:r>
        <w:t>it is estimated that approximately 50% of patients miss taking 30% or more of their medications for schizophrenia.</w:t>
      </w:r>
      <w:r w:rsidRPr="00B54632">
        <w:t xml:space="preserve"> Limited data comparing oral and depot </w:t>
      </w:r>
      <w:r>
        <w:t>formulations suggest that depot formulations may have an advantage over oral antipsychotics for relapse prevention and rates of hospitali</w:t>
      </w:r>
      <w:r w:rsidR="0012163C">
        <w:t>s</w:t>
      </w:r>
      <w:r>
        <w:t>ation.</w:t>
      </w:r>
      <w:r>
        <w:rPr>
          <w:rStyle w:val="FootnoteReference"/>
        </w:rPr>
        <w:footnoteReference w:id="7"/>
      </w:r>
    </w:p>
    <w:p w14:paraId="2812F4D6" w14:textId="77777777" w:rsidR="004C67AA" w:rsidRDefault="004C67AA" w:rsidP="00707670">
      <w:pPr>
        <w:pStyle w:val="Heading4"/>
      </w:pPr>
      <w:r w:rsidRPr="00605AD4">
        <w:t>Guidance</w:t>
      </w:r>
    </w:p>
    <w:p w14:paraId="2812F4D7" w14:textId="77777777" w:rsidR="00E01F69" w:rsidRDefault="00E01F69" w:rsidP="00707670">
      <w:pPr>
        <w:pStyle w:val="ListBullet"/>
      </w:pPr>
      <w:r w:rsidRPr="00DF04FF">
        <w:t xml:space="preserve">pp. 127 - 132 of Rules 1998 (3C) - 3CC6a </w:t>
      </w:r>
      <w:r w:rsidRPr="00AC588E">
        <w:t>Clinical Investigation of Medicinal Products for Long-Term Use</w:t>
      </w:r>
    </w:p>
    <w:p w14:paraId="2812F4D8" w14:textId="77777777" w:rsidR="00E01F69" w:rsidRPr="00AC588E" w:rsidRDefault="00E01F69" w:rsidP="00707670">
      <w:pPr>
        <w:pStyle w:val="ListBullet"/>
      </w:pPr>
      <w:bookmarkStart w:id="91" w:name="vol3cc5a"/>
      <w:bookmarkEnd w:id="91"/>
      <w:r w:rsidRPr="00DF04FF">
        <w:t xml:space="preserve">pp. 121 - </w:t>
      </w:r>
      <w:r>
        <w:t xml:space="preserve">125 of Rules 1998 (3C) - 3CC5a </w:t>
      </w:r>
      <w:r w:rsidRPr="00AC588E">
        <w:t>The Extent of Population Exposure to Assess Clinical Safety for Medicines Intended for Long-Term Treatment of Non-Life-Threatening Conditions</w:t>
      </w:r>
      <w:r w:rsidRPr="00AC588E">
        <w:br/>
        <w:t>Adopted by the TGA with the following conditions:</w:t>
      </w:r>
    </w:p>
    <w:p w14:paraId="2812F4D9" w14:textId="77777777" w:rsidR="00E01F69" w:rsidRPr="00AC588E" w:rsidRDefault="00E01F69" w:rsidP="00707670">
      <w:r w:rsidRPr="00AC588E">
        <w:t>Attention is drawn to:</w:t>
      </w:r>
    </w:p>
    <w:p w14:paraId="2812F4DA" w14:textId="6C2FC0BA" w:rsidR="00E01F69" w:rsidRPr="008C370C" w:rsidRDefault="00E01F69" w:rsidP="00707670">
      <w:pPr>
        <w:pStyle w:val="ListBullet2"/>
      </w:pPr>
      <w:r w:rsidRPr="008C370C">
        <w:t>Applicability, Section 7, which states that circumstances exist in which the Guidelines may not be applicable. It should be noted that the listing of exceptional circumstances is not exhaustive. Sponsors should give careful attention to whether, in any particular instance, the clinical safety of the product would be adequately supported by the nu</w:t>
      </w:r>
      <w:r w:rsidR="00707670">
        <w:t>mbers of subjects proposed, and</w:t>
      </w:r>
    </w:p>
    <w:p w14:paraId="2812F4DB" w14:textId="77BAF5F5" w:rsidR="00E01F69" w:rsidRPr="008C370C" w:rsidRDefault="00E01F69" w:rsidP="00707670">
      <w:pPr>
        <w:pStyle w:val="ListBullet2"/>
      </w:pPr>
      <w:r w:rsidRPr="008C370C">
        <w:t>Supplementary data, Section 8 is NOT ADOPTED. To permit decisions within legislated timeframes, the sponsor should include in the initial submission all clinical safety data necessary to su</w:t>
      </w:r>
      <w:r w:rsidR="00707670">
        <w:t>pport registration</w:t>
      </w:r>
    </w:p>
    <w:p w14:paraId="2812F4DC" w14:textId="77777777" w:rsidR="00E01F69" w:rsidRPr="008C370C" w:rsidRDefault="00E01F69" w:rsidP="00707670">
      <w:pPr>
        <w:pStyle w:val="ListBullet2"/>
      </w:pPr>
      <w:r w:rsidRPr="008C370C">
        <w:t>CPMP/EWP/559/95 Note for Guidance on the Clinical Investigation of Medicinal Products in the Treatment of Schizophrenia.</w:t>
      </w:r>
    </w:p>
    <w:p w14:paraId="2812F4DD" w14:textId="77777777" w:rsidR="00E01F69" w:rsidRDefault="00E01F69" w:rsidP="00707670">
      <w:pPr>
        <w:pStyle w:val="ListBullet"/>
      </w:pPr>
      <w:r w:rsidRPr="007D32E6">
        <w:t xml:space="preserve">CPMP/EWP/49/01 Appendix to the Note for Guidance on the Clinical Investigation of Medicinal Products in </w:t>
      </w:r>
      <w:r>
        <w:t>the Treatment of Schizophrenia -</w:t>
      </w:r>
      <w:r w:rsidRPr="007D32E6">
        <w:t xml:space="preserve"> Methodology of Clinical Trials Concerning the Development of Depot Preparations of Approved Medicinal Products in Schizophrenia</w:t>
      </w:r>
      <w:r>
        <w:t>.</w:t>
      </w:r>
    </w:p>
    <w:p w14:paraId="2812F4DE" w14:textId="77777777" w:rsidR="004C67AA" w:rsidRDefault="004C67AA" w:rsidP="00707670">
      <w:pPr>
        <w:pStyle w:val="Heading4"/>
      </w:pPr>
      <w:r w:rsidRPr="00605AD4">
        <w:lastRenderedPageBreak/>
        <w:t>Contents of the clinical dossier</w:t>
      </w:r>
    </w:p>
    <w:p w14:paraId="2812F4DF" w14:textId="77777777" w:rsidR="00E01F69" w:rsidRDefault="00E01F69" w:rsidP="00707670">
      <w:pPr>
        <w:pStyle w:val="Heading5"/>
      </w:pPr>
      <w:bookmarkStart w:id="92" w:name="_Toc290846234"/>
      <w:bookmarkStart w:id="93" w:name="_Toc381104171"/>
      <w:r>
        <w:t>Scope of the clinical dossier</w:t>
      </w:r>
      <w:bookmarkEnd w:id="92"/>
      <w:bookmarkEnd w:id="93"/>
    </w:p>
    <w:p w14:paraId="2812F4E0" w14:textId="77777777" w:rsidR="00E01F69" w:rsidRDefault="00E01F69" w:rsidP="00707670">
      <w:r>
        <w:t>There were 34 studies referred to in the submission that had been previously submitted</w:t>
      </w:r>
      <w:r>
        <w:rPr>
          <w:rStyle w:val="FootnoteReference"/>
        </w:rPr>
        <w:footnoteReference w:id="8"/>
      </w:r>
      <w:r>
        <w:t xml:space="preserve"> but were not included with this submission:</w:t>
      </w:r>
    </w:p>
    <w:p w14:paraId="2812F4E1" w14:textId="77777777" w:rsidR="00E01F69" w:rsidRDefault="00E01F69" w:rsidP="00707670">
      <w:r>
        <w:t>The submission contained the following clinical information:</w:t>
      </w:r>
    </w:p>
    <w:p w14:paraId="2812F4E2" w14:textId="77777777" w:rsidR="00E01F69" w:rsidRPr="008C370C" w:rsidRDefault="00E01F69" w:rsidP="00707670">
      <w:pPr>
        <w:pStyle w:val="Heading6"/>
      </w:pPr>
      <w:r w:rsidRPr="008C370C">
        <w:t>Clinical pharmacology studies:</w:t>
      </w:r>
    </w:p>
    <w:p w14:paraId="2812F4E3" w14:textId="2DB240C4" w:rsidR="00E01F69" w:rsidRPr="00707670" w:rsidRDefault="00E01F69" w:rsidP="00707670">
      <w:pPr>
        <w:pStyle w:val="ListBullet"/>
      </w:pPr>
      <w:r w:rsidRPr="00707670">
        <w:t xml:space="preserve">CN138-020 - Assessment Of The In Vivo Release Characteristics And Safety Of An Intramuscular Depot Formulation Of </w:t>
      </w:r>
      <w:proofErr w:type="spellStart"/>
      <w:r w:rsidRPr="00707670">
        <w:t>Aripiprazole</w:t>
      </w:r>
      <w:proofErr w:type="spellEnd"/>
      <w:r w:rsidRPr="00707670">
        <w:t xml:space="preserve"> In Subjects With Schizophre</w:t>
      </w:r>
      <w:r w:rsidR="00707670">
        <w:t>nia Or Schizoaffective Disorder</w:t>
      </w:r>
    </w:p>
    <w:p w14:paraId="2812F4E4" w14:textId="77777777" w:rsidR="00E01F69" w:rsidRPr="00707670" w:rsidRDefault="00E01F69" w:rsidP="00707670">
      <w:pPr>
        <w:pStyle w:val="ListBullet"/>
      </w:pPr>
      <w:r w:rsidRPr="00707670">
        <w:t xml:space="preserve">31-07-002 - Assessment of the Safety, Tolerability, and Pharmacokinetics of </w:t>
      </w:r>
      <w:proofErr w:type="spellStart"/>
      <w:r w:rsidRPr="00707670">
        <w:t>Aripiprazole</w:t>
      </w:r>
      <w:proofErr w:type="spellEnd"/>
      <w:r w:rsidRPr="00707670">
        <w:t xml:space="preserve"> IM Depot Formulation by Single Administration in Patients with Schizophrenia - A </w:t>
      </w:r>
      <w:proofErr w:type="spellStart"/>
      <w:r w:rsidRPr="00707670">
        <w:t>multicenter</w:t>
      </w:r>
      <w:proofErr w:type="spellEnd"/>
      <w:r w:rsidRPr="00707670">
        <w:t>, uncontrolled, open-label, single-dose trial of OPC-14597 IMD</w:t>
      </w:r>
    </w:p>
    <w:p w14:paraId="2812F4E5" w14:textId="77777777" w:rsidR="00E01F69" w:rsidRPr="00707670" w:rsidRDefault="00E01F69" w:rsidP="00707670">
      <w:pPr>
        <w:pStyle w:val="ListBullet"/>
      </w:pPr>
      <w:r w:rsidRPr="00707670">
        <w:t xml:space="preserve">31-05-244 - An Open-label, Parallel Arm, Multiple Dose Tolerability, Pharmacokinetics and Safety Study in Adult Patients with Schizophrenia Following Administration of </w:t>
      </w:r>
      <w:proofErr w:type="spellStart"/>
      <w:r w:rsidRPr="00707670">
        <w:t>Aripiprazole</w:t>
      </w:r>
      <w:proofErr w:type="spellEnd"/>
      <w:r w:rsidRPr="00707670">
        <w:t xml:space="preserve"> Intramuscular Depot Formulation Once Every Four Weeks</w:t>
      </w:r>
    </w:p>
    <w:p w14:paraId="2812F4E6" w14:textId="77777777" w:rsidR="00E01F69" w:rsidRPr="00707670" w:rsidRDefault="00E01F69" w:rsidP="00707670">
      <w:pPr>
        <w:pStyle w:val="ListBullet"/>
      </w:pPr>
      <w:r w:rsidRPr="00707670">
        <w:t xml:space="preserve">31-11-289 - An Open-label, Safety and Tolerability Trial of </w:t>
      </w:r>
      <w:proofErr w:type="spellStart"/>
      <w:r w:rsidRPr="00707670">
        <w:t>Aripiprazole</w:t>
      </w:r>
      <w:proofErr w:type="spellEnd"/>
      <w:r w:rsidRPr="00707670">
        <w:t xml:space="preserve"> IM Depot Treatment Initiation in Adult Subjects With Schizophrenia Stabilized on Atypical Oral Antipsychotics Other Than </w:t>
      </w:r>
      <w:proofErr w:type="spellStart"/>
      <w:r w:rsidRPr="00707670">
        <w:t>Aripiprazole</w:t>
      </w:r>
      <w:proofErr w:type="spellEnd"/>
    </w:p>
    <w:p w14:paraId="2812F4E7" w14:textId="77777777" w:rsidR="00E01F69" w:rsidRPr="00707670" w:rsidRDefault="00E01F69" w:rsidP="00707670">
      <w:pPr>
        <w:pStyle w:val="ListBullet"/>
      </w:pPr>
      <w:r w:rsidRPr="00707670">
        <w:t xml:space="preserve">031-10-002 - Open-label, </w:t>
      </w:r>
      <w:proofErr w:type="spellStart"/>
      <w:r w:rsidRPr="00707670">
        <w:t>multicenter</w:t>
      </w:r>
      <w:proofErr w:type="spellEnd"/>
      <w:r w:rsidRPr="00707670">
        <w:t xml:space="preserve">, multiple-dose trial to investigate the pharmacokinetics of </w:t>
      </w:r>
      <w:proofErr w:type="spellStart"/>
      <w:r w:rsidRPr="00707670">
        <w:t>aripiprazole</w:t>
      </w:r>
      <w:proofErr w:type="spellEnd"/>
      <w:r w:rsidRPr="00707670">
        <w:t xml:space="preserve"> IM depot (OPC-14597IMD) in patients with schizophrenia</w:t>
      </w:r>
      <w:r w:rsidRPr="00707670">
        <w:rPr>
          <w:rStyle w:val="FootnoteReference"/>
        </w:rPr>
        <w:footnoteReference w:id="9"/>
      </w:r>
    </w:p>
    <w:p w14:paraId="2812F4E8" w14:textId="77777777" w:rsidR="00E01F69" w:rsidRPr="00707670" w:rsidRDefault="00E01F69" w:rsidP="00707670">
      <w:pPr>
        <w:pStyle w:val="ListBullet"/>
      </w:pPr>
      <w:r w:rsidRPr="00707670">
        <w:t xml:space="preserve">CN138-402 - Effects of </w:t>
      </w:r>
      <w:proofErr w:type="spellStart"/>
      <w:r w:rsidRPr="00707670">
        <w:t>Aripiprazole</w:t>
      </w:r>
      <w:proofErr w:type="spellEnd"/>
      <w:r w:rsidRPr="00707670">
        <w:t xml:space="preserve"> On the Steady-State Pharmacokinetics of </w:t>
      </w:r>
      <w:proofErr w:type="spellStart"/>
      <w:r w:rsidRPr="00707670">
        <w:t>Lamotrigine</w:t>
      </w:r>
      <w:proofErr w:type="spellEnd"/>
      <w:r w:rsidRPr="00707670">
        <w:t xml:space="preserve"> In Subjects with Bipolar I Disorder</w:t>
      </w:r>
      <w:r w:rsidRPr="00707670">
        <w:rPr>
          <w:rStyle w:val="FootnoteReference"/>
        </w:rPr>
        <w:footnoteReference w:id="10"/>
      </w:r>
    </w:p>
    <w:p w14:paraId="2812F4E9" w14:textId="77777777" w:rsidR="00E01F69" w:rsidRPr="00707670" w:rsidRDefault="00E01F69" w:rsidP="00707670">
      <w:pPr>
        <w:pStyle w:val="ListBullet"/>
      </w:pPr>
      <w:r w:rsidRPr="00707670">
        <w:t xml:space="preserve">CN138-139: Assessment of the potential for drug-drug interactions between </w:t>
      </w:r>
      <w:proofErr w:type="spellStart"/>
      <w:r w:rsidRPr="00707670">
        <w:t>aripiprazole</w:t>
      </w:r>
      <w:proofErr w:type="spellEnd"/>
      <w:r w:rsidRPr="00707670">
        <w:t xml:space="preserve"> and five antidepressants in a </w:t>
      </w:r>
      <w:proofErr w:type="spellStart"/>
      <w:r w:rsidRPr="00707670">
        <w:t>multicenter</w:t>
      </w:r>
      <w:proofErr w:type="spellEnd"/>
      <w:r w:rsidRPr="00707670">
        <w:t xml:space="preserve">, randomized, double-blind, placebo-controlled study of the safety and efficacy of </w:t>
      </w:r>
      <w:proofErr w:type="spellStart"/>
      <w:r w:rsidRPr="00707670">
        <w:t>aripiprazole</w:t>
      </w:r>
      <w:proofErr w:type="spellEnd"/>
      <w:r w:rsidRPr="00707670">
        <w:t xml:space="preserve"> as adjunctive therapy in the treatment of patients with MDD</w:t>
      </w:r>
      <w:r w:rsidRPr="00707670">
        <w:rPr>
          <w:rStyle w:val="FootnoteReference"/>
        </w:rPr>
        <w:footnoteReference w:id="11"/>
      </w:r>
    </w:p>
    <w:p w14:paraId="2812F4EA" w14:textId="77777777" w:rsidR="00E01F69" w:rsidRPr="008C370C" w:rsidRDefault="00E01F69" w:rsidP="00707670">
      <w:pPr>
        <w:pStyle w:val="Heading6"/>
      </w:pPr>
      <w:r w:rsidRPr="008C370C">
        <w:t>Population pharmacokinetic analyses:</w:t>
      </w:r>
    </w:p>
    <w:p w14:paraId="2812F4EB" w14:textId="77777777" w:rsidR="00E01F69" w:rsidRDefault="00E01F69" w:rsidP="00707670">
      <w:pPr>
        <w:pStyle w:val="ListBullet"/>
      </w:pPr>
      <w:r>
        <w:t xml:space="preserve">31-11-287 - Population pharmacokinetic modelling for the </w:t>
      </w:r>
      <w:proofErr w:type="spellStart"/>
      <w:r>
        <w:t>aripiprazole</w:t>
      </w:r>
      <w:proofErr w:type="spellEnd"/>
      <w:r>
        <w:t xml:space="preserve"> IM depot formulation as maintenance treatment in subjects with schizophrenia</w:t>
      </w:r>
    </w:p>
    <w:p w14:paraId="2812F4EC" w14:textId="77777777" w:rsidR="00E01F69" w:rsidRPr="006A08A1" w:rsidRDefault="00E01F69" w:rsidP="00707670">
      <w:pPr>
        <w:pStyle w:val="ListBullet"/>
      </w:pPr>
      <w:r>
        <w:t xml:space="preserve">31-12-292 - </w:t>
      </w:r>
      <w:proofErr w:type="spellStart"/>
      <w:r>
        <w:t>Aripiprazole</w:t>
      </w:r>
      <w:proofErr w:type="spellEnd"/>
      <w:r>
        <w:t xml:space="preserve"> Validation of a Previously Developed Population Pharmacokinetic Model for </w:t>
      </w:r>
      <w:proofErr w:type="spellStart"/>
      <w:r>
        <w:t>Aripiprazole</w:t>
      </w:r>
      <w:proofErr w:type="spellEnd"/>
      <w:r>
        <w:t xml:space="preserve"> IM Depot Formulation as Maintenance Treatment in Subjects With Schizophrenia Using Data From Protocol 31-07-247</w:t>
      </w:r>
    </w:p>
    <w:p w14:paraId="2812F4ED" w14:textId="77777777" w:rsidR="00E01F69" w:rsidRPr="008C370C" w:rsidRDefault="00E01F69" w:rsidP="00707670">
      <w:pPr>
        <w:pStyle w:val="Heading6"/>
      </w:pPr>
      <w:r w:rsidRPr="008C370C">
        <w:t>Pivotal efficacy/safety studies:</w:t>
      </w:r>
    </w:p>
    <w:p w14:paraId="2812F4EE" w14:textId="77777777" w:rsidR="00E01F69" w:rsidRDefault="00E01F69" w:rsidP="00707670">
      <w:pPr>
        <w:pStyle w:val="ListBullet"/>
      </w:pPr>
      <w:r>
        <w:t xml:space="preserve">31-07-246 - A 52-week, </w:t>
      </w:r>
      <w:proofErr w:type="spellStart"/>
      <w:r>
        <w:t>Multicenter</w:t>
      </w:r>
      <w:proofErr w:type="spellEnd"/>
      <w:r>
        <w:t xml:space="preserve">, Randomized, Double-blind, Placebo-controlled Study to Evaluate the Efficacy, Safety, and Tolerability of an Intramuscular Depot </w:t>
      </w:r>
      <w:r>
        <w:lastRenderedPageBreak/>
        <w:t xml:space="preserve">Formulation of </w:t>
      </w:r>
      <w:proofErr w:type="spellStart"/>
      <w:r>
        <w:t>Aripiprazole</w:t>
      </w:r>
      <w:proofErr w:type="spellEnd"/>
      <w:r>
        <w:t xml:space="preserve"> as Maintenance Treatment in Patients with Schizophrenia ˝ASPIRE US</w:t>
      </w:r>
      <w:r w:rsidR="004F5EC1">
        <w:t>’</w:t>
      </w:r>
    </w:p>
    <w:p w14:paraId="2812F4EF" w14:textId="77777777" w:rsidR="00E01F69" w:rsidRDefault="00E01F69" w:rsidP="00707670">
      <w:pPr>
        <w:pStyle w:val="ListBullet"/>
      </w:pPr>
      <w:r>
        <w:t xml:space="preserve">31-07-247 - 38-week, </w:t>
      </w:r>
      <w:proofErr w:type="spellStart"/>
      <w:r>
        <w:t>Multicenter</w:t>
      </w:r>
      <w:proofErr w:type="spellEnd"/>
      <w:r>
        <w:t xml:space="preserve">, Randomized, Double-blind, Active-controlled Study to Evaluate the Efficacy, Safety, and Tolerability of an Intramuscular Depot Formulation of </w:t>
      </w:r>
      <w:proofErr w:type="spellStart"/>
      <w:r>
        <w:t>Aripiprazole</w:t>
      </w:r>
      <w:proofErr w:type="spellEnd"/>
      <w:r>
        <w:t xml:space="preserve"> as Maintenance Treatment in Patients with Schizophrenia</w:t>
      </w:r>
      <w:r>
        <w:rPr>
          <w:rStyle w:val="FootnoteReference"/>
        </w:rPr>
        <w:footnoteReference w:id="12"/>
      </w:r>
      <w:r>
        <w:t xml:space="preserve"> ˝ASPIRE EU</w:t>
      </w:r>
      <w:r w:rsidR="004F5EC1">
        <w:t>’</w:t>
      </w:r>
    </w:p>
    <w:p w14:paraId="2812F4F0" w14:textId="74CBE7D7" w:rsidR="00E01F69" w:rsidRPr="008C370C" w:rsidRDefault="00E01F69" w:rsidP="00707670">
      <w:pPr>
        <w:pStyle w:val="Heading6"/>
      </w:pPr>
      <w:r w:rsidRPr="008C370C">
        <w:t>Other efficacy/safety studies.</w:t>
      </w:r>
      <w:r w:rsidRPr="008C370C">
        <w:rPr>
          <w:rStyle w:val="FootnoteReference"/>
        </w:rPr>
        <w:footnoteReference w:id="13"/>
      </w:r>
    </w:p>
    <w:p w14:paraId="2812F4F1" w14:textId="77777777" w:rsidR="00E01F69" w:rsidRPr="00150721" w:rsidRDefault="00E01F69" w:rsidP="00707670">
      <w:pPr>
        <w:pStyle w:val="ListBullet"/>
      </w:pPr>
      <w:r w:rsidRPr="00150721">
        <w:t xml:space="preserve">31-08-003 - A </w:t>
      </w:r>
      <w:proofErr w:type="spellStart"/>
      <w:r w:rsidRPr="00150721">
        <w:t>Multicenter</w:t>
      </w:r>
      <w:proofErr w:type="spellEnd"/>
      <w:r w:rsidRPr="00150721">
        <w:t xml:space="preserve">, Active-controlled Double-blind, Parallel Group-comparison Trial to Investigate the Efficacy and Safety of </w:t>
      </w:r>
      <w:proofErr w:type="spellStart"/>
      <w:r w:rsidRPr="00150721">
        <w:t>Aripiprazole</w:t>
      </w:r>
      <w:proofErr w:type="spellEnd"/>
      <w:r w:rsidRPr="00150721">
        <w:t xml:space="preserve"> IM Depot (OPC-14597IMD) Compared with </w:t>
      </w:r>
      <w:proofErr w:type="spellStart"/>
      <w:r w:rsidRPr="00150721">
        <w:t>Aripiprazole</w:t>
      </w:r>
      <w:proofErr w:type="spellEnd"/>
      <w:r w:rsidRPr="00150721">
        <w:t xml:space="preserve"> Tablets in Patients with Schizophrenia</w:t>
      </w:r>
    </w:p>
    <w:p w14:paraId="2812F4F2" w14:textId="5A6C03D7" w:rsidR="00E01F69" w:rsidRPr="00150721" w:rsidRDefault="00E01F69" w:rsidP="00707670">
      <w:pPr>
        <w:pStyle w:val="ListBullet"/>
      </w:pPr>
      <w:r w:rsidRPr="00150721">
        <w:t xml:space="preserve">31-08-248 - A 52-week, </w:t>
      </w:r>
      <w:proofErr w:type="spellStart"/>
      <w:r w:rsidRPr="00150721">
        <w:t>Multicenter</w:t>
      </w:r>
      <w:proofErr w:type="spellEnd"/>
      <w:r w:rsidRPr="00150721">
        <w:t xml:space="preserve">, Open-label Study to Evaluate the Effectiveness of </w:t>
      </w:r>
      <w:proofErr w:type="spellStart"/>
      <w:r w:rsidRPr="00150721">
        <w:t>Aripiprazole</w:t>
      </w:r>
      <w:proofErr w:type="spellEnd"/>
      <w:r w:rsidRPr="00150721">
        <w:t xml:space="preserve"> Intramuscular Depot as Maintenance Treatment in Patients with Schizophrenia ˝ASPIRE OPEN-LABEL˛ (</w:t>
      </w:r>
      <w:proofErr w:type="spellStart"/>
      <w:r w:rsidRPr="00150721">
        <w:t>Aripiprazole</w:t>
      </w:r>
      <w:proofErr w:type="spellEnd"/>
      <w:r w:rsidRPr="00150721">
        <w:t xml:space="preserve"> Intramuscular </w:t>
      </w:r>
      <w:r w:rsidR="001853D7">
        <w:t>Depot Program in Schizophrenia)</w:t>
      </w:r>
    </w:p>
    <w:p w14:paraId="2812F4F3" w14:textId="77777777" w:rsidR="00E01F69" w:rsidRPr="00150721" w:rsidRDefault="00E01F69" w:rsidP="00707670">
      <w:pPr>
        <w:pStyle w:val="ListBullet"/>
      </w:pPr>
      <w:r w:rsidRPr="00150721">
        <w:t xml:space="preserve">31-11-283 - A </w:t>
      </w:r>
      <w:proofErr w:type="spellStart"/>
      <w:r w:rsidRPr="00150721">
        <w:t>Multicenter</w:t>
      </w:r>
      <w:proofErr w:type="spellEnd"/>
      <w:r w:rsidRPr="00150721">
        <w:t xml:space="preserve">, Open-label Study to Assess Hospitalization Rates in Adult Subjects with Schizophrenia Treated Prospectively for 6 Months with </w:t>
      </w:r>
      <w:proofErr w:type="spellStart"/>
      <w:r w:rsidRPr="00150721">
        <w:t>Aripiprazole</w:t>
      </w:r>
      <w:proofErr w:type="spellEnd"/>
      <w:r w:rsidRPr="00150721">
        <w:t xml:space="preserve"> IM Depot Compared with 6-month Retrospective Treatment with Oral Antipsychotics in a Naturalistic Community Setting in the US</w:t>
      </w:r>
    </w:p>
    <w:p w14:paraId="2812F4F4" w14:textId="77777777" w:rsidR="00E01F69" w:rsidRPr="00150721" w:rsidRDefault="00E01F69" w:rsidP="00707670">
      <w:pPr>
        <w:pStyle w:val="ListBullet"/>
      </w:pPr>
      <w:r w:rsidRPr="00150721">
        <w:t xml:space="preserve">31-10-270 - An Open-Label, </w:t>
      </w:r>
      <w:proofErr w:type="spellStart"/>
      <w:r w:rsidRPr="00150721">
        <w:t>Multicenter</w:t>
      </w:r>
      <w:proofErr w:type="spellEnd"/>
      <w:r w:rsidRPr="00150721">
        <w:t xml:space="preserve">, Rollover, Long-term Study of </w:t>
      </w:r>
      <w:proofErr w:type="spellStart"/>
      <w:r w:rsidRPr="00150721">
        <w:t>Aripiprazole</w:t>
      </w:r>
      <w:proofErr w:type="spellEnd"/>
      <w:r w:rsidRPr="00150721">
        <w:t xml:space="preserve"> Intramuscular Depot in Patients with Schizophrenia</w:t>
      </w:r>
    </w:p>
    <w:p w14:paraId="2812F4F5" w14:textId="77777777" w:rsidR="00E01F69" w:rsidRDefault="00E01F69" w:rsidP="00707670">
      <w:pPr>
        <w:pStyle w:val="ListBullet"/>
      </w:pPr>
      <w:r w:rsidRPr="00150721">
        <w:t xml:space="preserve">31-11-284 - A </w:t>
      </w:r>
      <w:proofErr w:type="spellStart"/>
      <w:r w:rsidRPr="00150721">
        <w:t>Multicenter</w:t>
      </w:r>
      <w:proofErr w:type="spellEnd"/>
      <w:r w:rsidRPr="00150721">
        <w:t>, Open-label Study to Assess Hospitalization Rates in Adult Subjects</w:t>
      </w:r>
      <w:r>
        <w:t xml:space="preserve"> with Schizophrenia</w:t>
      </w:r>
    </w:p>
    <w:p w14:paraId="2812F4F6" w14:textId="77777777" w:rsidR="00E01F69" w:rsidRPr="00707670" w:rsidRDefault="009C7295" w:rsidP="00707670">
      <w:pPr>
        <w:rPr>
          <w:i/>
        </w:rPr>
      </w:pPr>
      <w:r w:rsidRPr="00707670">
        <w:rPr>
          <w:i/>
        </w:rPr>
        <w:t>Periodic Safety Update Reports (</w:t>
      </w:r>
      <w:r w:rsidR="00E01F69" w:rsidRPr="00707670">
        <w:rPr>
          <w:i/>
        </w:rPr>
        <w:t>PSURs</w:t>
      </w:r>
      <w:r w:rsidRPr="00707670">
        <w:rPr>
          <w:i/>
        </w:rPr>
        <w:t xml:space="preserve">) </w:t>
      </w:r>
      <w:r w:rsidR="00E01F69" w:rsidRPr="00707670">
        <w:rPr>
          <w:i/>
        </w:rPr>
        <w:t>17 Jul 2002 to 16 Jul 2012, Integrated Summary of Efficacy, Integrated Summary of Safety.</w:t>
      </w:r>
    </w:p>
    <w:p w14:paraId="2812F4F7" w14:textId="77777777" w:rsidR="004C67AA" w:rsidRDefault="004C67AA" w:rsidP="00707670">
      <w:pPr>
        <w:pStyle w:val="Heading4"/>
      </w:pPr>
      <w:r w:rsidRPr="00605AD4">
        <w:t>Paediatric data</w:t>
      </w:r>
    </w:p>
    <w:p w14:paraId="2812F4F8" w14:textId="75662B51" w:rsidR="00E01F69" w:rsidRPr="006A08A1" w:rsidRDefault="00E01F69" w:rsidP="00707670">
      <w:r>
        <w:t>The submission included EU approval of a paediatric investigation plan deferral</w:t>
      </w:r>
      <w:r w:rsidR="000E7A60">
        <w:t xml:space="preserve"> (for tablets, </w:t>
      </w:r>
      <w:proofErr w:type="spellStart"/>
      <w:r w:rsidR="000E7A60">
        <w:t>orodispersable</w:t>
      </w:r>
      <w:proofErr w:type="spellEnd"/>
      <w:r w:rsidR="000E7A60">
        <w:t xml:space="preserve"> tablets, and oral solution for oral use)and a </w:t>
      </w:r>
      <w:r>
        <w:t>waiver</w:t>
      </w:r>
      <w:r w:rsidR="000E7A60">
        <w:t xml:space="preserve"> (for solution for injection, and powder for suspension for injection for intramuscular use [</w:t>
      </w:r>
      <w:proofErr w:type="spellStart"/>
      <w:r w:rsidR="000E7A60">
        <w:t>Abilify</w:t>
      </w:r>
      <w:proofErr w:type="spellEnd"/>
      <w:r w:rsidR="000E7A60">
        <w:t xml:space="preserve"> </w:t>
      </w:r>
      <w:proofErr w:type="spellStart"/>
      <w:r w:rsidR="000E7A60">
        <w:t>Maintena</w:t>
      </w:r>
      <w:proofErr w:type="spellEnd"/>
      <w:r w:rsidR="000E7A60">
        <w:t>])</w:t>
      </w:r>
      <w:r>
        <w:t>. The submission d</w:t>
      </w:r>
      <w:r w:rsidR="00707670">
        <w:t>id not include paediatric data.</w:t>
      </w:r>
    </w:p>
    <w:p w14:paraId="2812F4F9" w14:textId="77777777" w:rsidR="004C67AA" w:rsidRDefault="004C67AA" w:rsidP="00707670">
      <w:pPr>
        <w:pStyle w:val="Heading4"/>
      </w:pPr>
      <w:r w:rsidRPr="00605AD4">
        <w:t>Good clinical practice</w:t>
      </w:r>
    </w:p>
    <w:p w14:paraId="2812F4FA" w14:textId="77777777" w:rsidR="00E01F69" w:rsidRDefault="00E01F69" w:rsidP="00707670">
      <w:r>
        <w:t xml:space="preserve">All trials in the clinical program for </w:t>
      </w:r>
      <w:proofErr w:type="spellStart"/>
      <w:r>
        <w:t>aripiprazole</w:t>
      </w:r>
      <w:proofErr w:type="spellEnd"/>
      <w:r>
        <w:t xml:space="preserve"> IM depot were conducted in compliance with Good Clinical Practice (GCP).</w:t>
      </w:r>
      <w:r>
        <w:rPr>
          <w:rStyle w:val="FootnoteReference"/>
        </w:rPr>
        <w:footnoteReference w:id="14"/>
      </w:r>
    </w:p>
    <w:p w14:paraId="2812F4FB" w14:textId="77777777" w:rsidR="004C67AA" w:rsidRPr="008C370C" w:rsidRDefault="004C67AA" w:rsidP="00707670">
      <w:pPr>
        <w:pStyle w:val="Heading3"/>
      </w:pPr>
      <w:bookmarkStart w:id="94" w:name="_Toc384807759"/>
      <w:bookmarkStart w:id="95" w:name="_Toc408924922"/>
      <w:r w:rsidRPr="00254787">
        <w:t>Pharmacokinetics</w:t>
      </w:r>
      <w:bookmarkEnd w:id="76"/>
      <w:bookmarkEnd w:id="88"/>
      <w:bookmarkEnd w:id="89"/>
      <w:bookmarkEnd w:id="90"/>
      <w:bookmarkEnd w:id="94"/>
      <w:bookmarkEnd w:id="95"/>
    </w:p>
    <w:p w14:paraId="2812F4FC" w14:textId="77777777" w:rsidR="004C67AA" w:rsidRPr="008C370C" w:rsidRDefault="004C67AA" w:rsidP="00707670">
      <w:pPr>
        <w:pStyle w:val="Heading4"/>
      </w:pPr>
      <w:r>
        <w:t xml:space="preserve">Studies providing pharmacokinetic data </w:t>
      </w:r>
    </w:p>
    <w:p w14:paraId="2812F4FD" w14:textId="77777777" w:rsidR="00E01F69" w:rsidRDefault="00E01F69" w:rsidP="00707670">
      <w:r>
        <w:t>New studies in healthy adults were not undertaken</w:t>
      </w:r>
      <w:r w:rsidRPr="00566664">
        <w:t xml:space="preserve"> </w:t>
      </w:r>
      <w:r>
        <w:t xml:space="preserve">which, </w:t>
      </w:r>
      <w:r w:rsidR="007403C6">
        <w:t>considering</w:t>
      </w:r>
      <w:r>
        <w:t xml:space="preserve"> the long half</w:t>
      </w:r>
      <w:r w:rsidR="008C370C">
        <w:t>-</w:t>
      </w:r>
      <w:r>
        <w:t>life of the formulation, is not unreasonable.</w:t>
      </w:r>
    </w:p>
    <w:p w14:paraId="2812F4FE" w14:textId="1990073C" w:rsidR="00E01F69" w:rsidRDefault="007403C6" w:rsidP="00E01F69">
      <w:r>
        <w:lastRenderedPageBreak/>
        <w:t xml:space="preserve">Table </w:t>
      </w:r>
      <w:r w:rsidR="00975B41">
        <w:t>2</w:t>
      </w:r>
      <w:r>
        <w:t xml:space="preserve"> </w:t>
      </w:r>
      <w:r w:rsidR="00E01F69">
        <w:t xml:space="preserve">shows the studies relating to each pharmacokinetic </w:t>
      </w:r>
      <w:r w:rsidR="00CB36DF">
        <w:t xml:space="preserve">(PK) </w:t>
      </w:r>
      <w:r w:rsidR="00E01F69">
        <w:t>topic and the location of each study summary.</w:t>
      </w:r>
    </w:p>
    <w:p w14:paraId="2812F4FF" w14:textId="4D64B9BC" w:rsidR="00E01F69" w:rsidRPr="00795FFE" w:rsidRDefault="00E01F69" w:rsidP="00975B41">
      <w:pPr>
        <w:pStyle w:val="TableTitle"/>
      </w:pPr>
      <w:bookmarkStart w:id="96" w:name="_Ref272426277"/>
      <w:bookmarkStart w:id="97" w:name="_Toc381104177"/>
      <w:bookmarkStart w:id="98" w:name="_Toc381104320"/>
      <w:r w:rsidRPr="00795FFE">
        <w:t>Table</w:t>
      </w:r>
      <w:bookmarkEnd w:id="96"/>
      <w:r w:rsidR="007403C6">
        <w:t xml:space="preserve"> </w:t>
      </w:r>
      <w:r w:rsidR="00975B41">
        <w:t>2</w:t>
      </w:r>
      <w:r w:rsidRPr="00795FFE">
        <w:t>. Submitted pharmacokinetic studies.</w:t>
      </w:r>
      <w:bookmarkEnd w:id="97"/>
      <w:bookmarkEnd w:id="98"/>
    </w:p>
    <w:tbl>
      <w:tblPr>
        <w:tblStyle w:val="TableTGAblue"/>
        <w:tblW w:w="8755" w:type="dxa"/>
        <w:tblLayout w:type="fixed"/>
        <w:tblLook w:val="04A0" w:firstRow="1" w:lastRow="0" w:firstColumn="1" w:lastColumn="0" w:noHBand="0" w:noVBand="1"/>
      </w:tblPr>
      <w:tblGrid>
        <w:gridCol w:w="2235"/>
        <w:gridCol w:w="3827"/>
        <w:gridCol w:w="1701"/>
        <w:gridCol w:w="992"/>
      </w:tblGrid>
      <w:tr w:rsidR="007403C6" w14:paraId="2812F504" w14:textId="77777777" w:rsidTr="007403C6">
        <w:trPr>
          <w:cnfStyle w:val="100000000000" w:firstRow="1" w:lastRow="0" w:firstColumn="0" w:lastColumn="0" w:oddVBand="0" w:evenVBand="0" w:oddHBand="0" w:evenHBand="0" w:firstRowFirstColumn="0" w:firstRowLastColumn="0" w:lastRowFirstColumn="0" w:lastRowLastColumn="0"/>
        </w:trPr>
        <w:tc>
          <w:tcPr>
            <w:tcW w:w="2235" w:type="dxa"/>
          </w:tcPr>
          <w:p w14:paraId="2812F500" w14:textId="77777777" w:rsidR="007403C6" w:rsidRPr="007403C6" w:rsidRDefault="007403C6" w:rsidP="00975B41">
            <w:r w:rsidRPr="007403C6">
              <w:t>PK topic</w:t>
            </w:r>
          </w:p>
        </w:tc>
        <w:tc>
          <w:tcPr>
            <w:tcW w:w="3827" w:type="dxa"/>
          </w:tcPr>
          <w:p w14:paraId="2812F501" w14:textId="77777777" w:rsidR="007403C6" w:rsidRPr="007403C6" w:rsidRDefault="007403C6" w:rsidP="00975B41">
            <w:r w:rsidRPr="007403C6">
              <w:t>Subtopic</w:t>
            </w:r>
          </w:p>
        </w:tc>
        <w:tc>
          <w:tcPr>
            <w:tcW w:w="1701" w:type="dxa"/>
          </w:tcPr>
          <w:p w14:paraId="2812F502" w14:textId="77777777" w:rsidR="007403C6" w:rsidRPr="007403C6" w:rsidRDefault="007403C6" w:rsidP="00975B41">
            <w:r w:rsidRPr="007403C6">
              <w:t>Study ID</w:t>
            </w:r>
          </w:p>
        </w:tc>
        <w:tc>
          <w:tcPr>
            <w:tcW w:w="992" w:type="dxa"/>
          </w:tcPr>
          <w:p w14:paraId="2812F503" w14:textId="77777777" w:rsidR="007403C6" w:rsidRPr="007403C6" w:rsidRDefault="007403C6" w:rsidP="00975B41">
            <w:r w:rsidRPr="007403C6">
              <w:t>*</w:t>
            </w:r>
          </w:p>
        </w:tc>
      </w:tr>
      <w:tr w:rsidR="007403C6" w14:paraId="2812F509" w14:textId="77777777" w:rsidTr="007403C6">
        <w:tc>
          <w:tcPr>
            <w:tcW w:w="2235" w:type="dxa"/>
          </w:tcPr>
          <w:p w14:paraId="2812F505" w14:textId="77777777" w:rsidR="007403C6" w:rsidRPr="008625DD" w:rsidRDefault="007403C6" w:rsidP="00975B41">
            <w:r w:rsidRPr="008625DD">
              <w:t>PK in healthy adults</w:t>
            </w:r>
          </w:p>
        </w:tc>
        <w:tc>
          <w:tcPr>
            <w:tcW w:w="3827" w:type="dxa"/>
          </w:tcPr>
          <w:p w14:paraId="2812F506" w14:textId="77777777" w:rsidR="007403C6" w:rsidRPr="000800CC" w:rsidRDefault="007403C6" w:rsidP="00975B41">
            <w:r>
              <w:t xml:space="preserve">There were no new studies submitted </w:t>
            </w:r>
          </w:p>
        </w:tc>
        <w:tc>
          <w:tcPr>
            <w:tcW w:w="1701" w:type="dxa"/>
          </w:tcPr>
          <w:p w14:paraId="2812F507" w14:textId="77777777" w:rsidR="007403C6" w:rsidRPr="000800CC" w:rsidRDefault="007403C6" w:rsidP="00975B41"/>
        </w:tc>
        <w:tc>
          <w:tcPr>
            <w:tcW w:w="992" w:type="dxa"/>
          </w:tcPr>
          <w:p w14:paraId="2812F508" w14:textId="77777777" w:rsidR="007403C6" w:rsidRPr="000800CC" w:rsidRDefault="007403C6" w:rsidP="00975B41"/>
        </w:tc>
      </w:tr>
      <w:tr w:rsidR="007403C6" w14:paraId="2812F50E" w14:textId="77777777" w:rsidTr="007403C6">
        <w:tc>
          <w:tcPr>
            <w:tcW w:w="2235" w:type="dxa"/>
            <w:vMerge w:val="restart"/>
          </w:tcPr>
          <w:p w14:paraId="2812F50A" w14:textId="77777777" w:rsidR="007403C6" w:rsidRPr="008625DD" w:rsidRDefault="007403C6" w:rsidP="00975B41">
            <w:r>
              <w:t>PK in schizophrenic patients</w:t>
            </w:r>
          </w:p>
        </w:tc>
        <w:tc>
          <w:tcPr>
            <w:tcW w:w="3827" w:type="dxa"/>
            <w:vMerge w:val="restart"/>
          </w:tcPr>
          <w:p w14:paraId="2812F50B" w14:textId="77777777" w:rsidR="007403C6" w:rsidRPr="000800CC" w:rsidRDefault="007403C6" w:rsidP="00975B41">
            <w:r w:rsidRPr="000800CC">
              <w:t>General PK</w:t>
            </w:r>
            <w:r w:rsidRPr="000800CC">
              <w:tab/>
              <w:t>- Single dose</w:t>
            </w:r>
          </w:p>
        </w:tc>
        <w:tc>
          <w:tcPr>
            <w:tcW w:w="1701" w:type="dxa"/>
          </w:tcPr>
          <w:p w14:paraId="2812F50C" w14:textId="77777777" w:rsidR="007403C6" w:rsidRPr="000800CC" w:rsidRDefault="007403C6" w:rsidP="00975B41">
            <w:r>
              <w:t>CN138-020</w:t>
            </w:r>
          </w:p>
        </w:tc>
        <w:tc>
          <w:tcPr>
            <w:tcW w:w="992" w:type="dxa"/>
          </w:tcPr>
          <w:p w14:paraId="2812F50D" w14:textId="77777777" w:rsidR="007403C6" w:rsidRPr="000800CC" w:rsidRDefault="007403C6" w:rsidP="00975B41"/>
        </w:tc>
      </w:tr>
      <w:tr w:rsidR="007403C6" w14:paraId="2812F513" w14:textId="77777777" w:rsidTr="007403C6">
        <w:tc>
          <w:tcPr>
            <w:tcW w:w="2235" w:type="dxa"/>
            <w:vMerge/>
          </w:tcPr>
          <w:p w14:paraId="2812F50F" w14:textId="77777777" w:rsidR="007403C6" w:rsidRPr="000800CC" w:rsidRDefault="007403C6" w:rsidP="00975B41"/>
        </w:tc>
        <w:tc>
          <w:tcPr>
            <w:tcW w:w="3827" w:type="dxa"/>
            <w:vMerge/>
          </w:tcPr>
          <w:p w14:paraId="2812F510" w14:textId="77777777" w:rsidR="007403C6" w:rsidRPr="000800CC" w:rsidRDefault="007403C6" w:rsidP="00975B41"/>
        </w:tc>
        <w:tc>
          <w:tcPr>
            <w:tcW w:w="1701" w:type="dxa"/>
          </w:tcPr>
          <w:p w14:paraId="2812F511" w14:textId="77777777" w:rsidR="007403C6" w:rsidRPr="000800CC" w:rsidRDefault="007403C6" w:rsidP="00975B41">
            <w:r>
              <w:t>31-07-002</w:t>
            </w:r>
          </w:p>
        </w:tc>
        <w:tc>
          <w:tcPr>
            <w:tcW w:w="992" w:type="dxa"/>
          </w:tcPr>
          <w:p w14:paraId="2812F512" w14:textId="77777777" w:rsidR="007403C6" w:rsidRPr="000800CC" w:rsidRDefault="007403C6" w:rsidP="00975B41">
            <w:r>
              <w:t>*</w:t>
            </w:r>
          </w:p>
        </w:tc>
      </w:tr>
      <w:tr w:rsidR="007403C6" w14:paraId="2812F518" w14:textId="77777777" w:rsidTr="00E116B4">
        <w:tc>
          <w:tcPr>
            <w:tcW w:w="2235" w:type="dxa"/>
            <w:vMerge/>
          </w:tcPr>
          <w:p w14:paraId="2812F514" w14:textId="77777777" w:rsidR="007403C6" w:rsidRPr="000800CC" w:rsidRDefault="007403C6" w:rsidP="00975B41"/>
        </w:tc>
        <w:tc>
          <w:tcPr>
            <w:tcW w:w="3827" w:type="dxa"/>
            <w:vMerge/>
            <w:tcBorders>
              <w:bottom w:val="single" w:sz="8" w:space="0" w:color="000000" w:themeColor="text1"/>
            </w:tcBorders>
          </w:tcPr>
          <w:p w14:paraId="2812F515" w14:textId="77777777" w:rsidR="007403C6" w:rsidRPr="000800CC" w:rsidRDefault="007403C6" w:rsidP="00975B41"/>
        </w:tc>
        <w:tc>
          <w:tcPr>
            <w:tcW w:w="1701" w:type="dxa"/>
          </w:tcPr>
          <w:p w14:paraId="2812F516" w14:textId="77777777" w:rsidR="007403C6" w:rsidRPr="000800CC" w:rsidRDefault="007403C6" w:rsidP="00975B41">
            <w:r>
              <w:t>31-11-289</w:t>
            </w:r>
          </w:p>
        </w:tc>
        <w:tc>
          <w:tcPr>
            <w:tcW w:w="992" w:type="dxa"/>
          </w:tcPr>
          <w:p w14:paraId="2812F517" w14:textId="77777777" w:rsidR="007403C6" w:rsidRPr="000800CC" w:rsidRDefault="007403C6" w:rsidP="00975B41">
            <w:r>
              <w:t>*</w:t>
            </w:r>
          </w:p>
        </w:tc>
      </w:tr>
      <w:tr w:rsidR="00AD348F" w14:paraId="7FC524D5" w14:textId="77777777" w:rsidTr="00E116B4">
        <w:tc>
          <w:tcPr>
            <w:tcW w:w="2235" w:type="dxa"/>
            <w:vMerge/>
          </w:tcPr>
          <w:p w14:paraId="6851BFCC" w14:textId="77777777" w:rsidR="00AD348F" w:rsidRPr="000800CC" w:rsidRDefault="00AD348F" w:rsidP="00975B41"/>
        </w:tc>
        <w:tc>
          <w:tcPr>
            <w:tcW w:w="3827" w:type="dxa"/>
            <w:tcBorders>
              <w:bottom w:val="nil"/>
            </w:tcBorders>
          </w:tcPr>
          <w:p w14:paraId="2337D159" w14:textId="77777777" w:rsidR="00AD348F" w:rsidRPr="000800CC" w:rsidRDefault="00AD348F" w:rsidP="00975B41"/>
        </w:tc>
        <w:tc>
          <w:tcPr>
            <w:tcW w:w="1701" w:type="dxa"/>
          </w:tcPr>
          <w:p w14:paraId="2F670DD0" w14:textId="7A57A27F" w:rsidR="00AD348F" w:rsidRPr="00B44949" w:rsidRDefault="00AD348F" w:rsidP="00975B41">
            <w:r>
              <w:t>31-05-244</w:t>
            </w:r>
          </w:p>
        </w:tc>
        <w:tc>
          <w:tcPr>
            <w:tcW w:w="992" w:type="dxa"/>
          </w:tcPr>
          <w:p w14:paraId="1F89AD2C" w14:textId="0F01CFFC" w:rsidR="00AD348F" w:rsidRPr="000800CC" w:rsidRDefault="00AD348F" w:rsidP="00975B41">
            <w:r>
              <w:t>*</w:t>
            </w:r>
          </w:p>
        </w:tc>
      </w:tr>
      <w:tr w:rsidR="007403C6" w14:paraId="2812F51D" w14:textId="77777777" w:rsidTr="00E116B4">
        <w:tc>
          <w:tcPr>
            <w:tcW w:w="2235" w:type="dxa"/>
            <w:vMerge/>
          </w:tcPr>
          <w:p w14:paraId="2812F519" w14:textId="77777777" w:rsidR="007403C6" w:rsidRPr="000800CC" w:rsidRDefault="007403C6" w:rsidP="00975B41"/>
        </w:tc>
        <w:tc>
          <w:tcPr>
            <w:tcW w:w="3827" w:type="dxa"/>
            <w:vMerge w:val="restart"/>
            <w:tcBorders>
              <w:top w:val="nil"/>
            </w:tcBorders>
          </w:tcPr>
          <w:p w14:paraId="2812F51A" w14:textId="4BB4FF4F" w:rsidR="007403C6" w:rsidRPr="000800CC" w:rsidRDefault="007403C6" w:rsidP="00975B41">
            <w:r w:rsidRPr="000800CC">
              <w:t>Multi-dose</w:t>
            </w:r>
          </w:p>
        </w:tc>
        <w:tc>
          <w:tcPr>
            <w:tcW w:w="1701" w:type="dxa"/>
          </w:tcPr>
          <w:p w14:paraId="2812F51B" w14:textId="77777777" w:rsidR="007403C6" w:rsidRPr="000800CC" w:rsidRDefault="007403C6" w:rsidP="00975B41">
            <w:r w:rsidRPr="00B44949">
              <w:t>31-07-246</w:t>
            </w:r>
          </w:p>
        </w:tc>
        <w:tc>
          <w:tcPr>
            <w:tcW w:w="992" w:type="dxa"/>
          </w:tcPr>
          <w:p w14:paraId="2812F51C" w14:textId="77777777" w:rsidR="007403C6" w:rsidRPr="000800CC" w:rsidRDefault="007403C6" w:rsidP="00975B41"/>
        </w:tc>
      </w:tr>
      <w:tr w:rsidR="007403C6" w14:paraId="2812F522" w14:textId="77777777" w:rsidTr="007403C6">
        <w:tc>
          <w:tcPr>
            <w:tcW w:w="2235" w:type="dxa"/>
            <w:vMerge/>
          </w:tcPr>
          <w:p w14:paraId="2812F51E" w14:textId="77777777" w:rsidR="007403C6" w:rsidRPr="000800CC" w:rsidRDefault="007403C6" w:rsidP="00975B41"/>
        </w:tc>
        <w:tc>
          <w:tcPr>
            <w:tcW w:w="3827" w:type="dxa"/>
            <w:vMerge/>
          </w:tcPr>
          <w:p w14:paraId="2812F51F" w14:textId="77777777" w:rsidR="007403C6" w:rsidRPr="000800CC" w:rsidRDefault="007403C6" w:rsidP="00975B41"/>
        </w:tc>
        <w:tc>
          <w:tcPr>
            <w:tcW w:w="1701" w:type="dxa"/>
          </w:tcPr>
          <w:p w14:paraId="2812F520" w14:textId="77777777" w:rsidR="007403C6" w:rsidRPr="000800CC" w:rsidRDefault="007403C6" w:rsidP="00975B41">
            <w:r w:rsidRPr="00B44949">
              <w:t>31-07-247.</w:t>
            </w:r>
          </w:p>
        </w:tc>
        <w:tc>
          <w:tcPr>
            <w:tcW w:w="992" w:type="dxa"/>
          </w:tcPr>
          <w:p w14:paraId="2812F521" w14:textId="77777777" w:rsidR="007403C6" w:rsidRPr="000800CC" w:rsidRDefault="007403C6" w:rsidP="00975B41"/>
        </w:tc>
      </w:tr>
      <w:tr w:rsidR="007403C6" w14:paraId="2812F527" w14:textId="77777777" w:rsidTr="007403C6">
        <w:tc>
          <w:tcPr>
            <w:tcW w:w="2235" w:type="dxa"/>
            <w:vMerge/>
          </w:tcPr>
          <w:p w14:paraId="2812F523" w14:textId="77777777" w:rsidR="007403C6" w:rsidRPr="000800CC" w:rsidRDefault="007403C6" w:rsidP="00975B41"/>
        </w:tc>
        <w:tc>
          <w:tcPr>
            <w:tcW w:w="3827" w:type="dxa"/>
          </w:tcPr>
          <w:p w14:paraId="2812F524" w14:textId="77777777" w:rsidR="007403C6" w:rsidRPr="000800CC" w:rsidRDefault="007403C6" w:rsidP="00975B41">
            <w:r w:rsidRPr="000800CC">
              <w:t>Bioequivalence† - Single dose</w:t>
            </w:r>
          </w:p>
        </w:tc>
        <w:tc>
          <w:tcPr>
            <w:tcW w:w="1701" w:type="dxa"/>
          </w:tcPr>
          <w:p w14:paraId="2812F525" w14:textId="77777777" w:rsidR="007403C6" w:rsidRPr="000800CC" w:rsidRDefault="007403C6" w:rsidP="00975B41">
            <w:r>
              <w:t>CN138-020</w:t>
            </w:r>
          </w:p>
        </w:tc>
        <w:tc>
          <w:tcPr>
            <w:tcW w:w="992" w:type="dxa"/>
          </w:tcPr>
          <w:p w14:paraId="2812F526" w14:textId="77777777" w:rsidR="007403C6" w:rsidRPr="000800CC" w:rsidRDefault="007403C6" w:rsidP="00975B41">
            <w:r>
              <w:t>*</w:t>
            </w:r>
          </w:p>
        </w:tc>
      </w:tr>
      <w:tr w:rsidR="007403C6" w14:paraId="2812F52C" w14:textId="77777777" w:rsidTr="007403C6">
        <w:tc>
          <w:tcPr>
            <w:tcW w:w="2235" w:type="dxa"/>
          </w:tcPr>
          <w:p w14:paraId="2812F528" w14:textId="77777777" w:rsidR="007403C6" w:rsidRPr="003C1E70" w:rsidRDefault="007403C6" w:rsidP="00975B41">
            <w:r w:rsidRPr="008625DD">
              <w:t>PK in special populations</w:t>
            </w:r>
          </w:p>
        </w:tc>
        <w:tc>
          <w:tcPr>
            <w:tcW w:w="3827" w:type="dxa"/>
          </w:tcPr>
          <w:p w14:paraId="2812F529" w14:textId="1BE6D5CB" w:rsidR="007403C6" w:rsidRPr="000800CC" w:rsidRDefault="007403C6" w:rsidP="00975B41">
            <w:r w:rsidRPr="000800CC">
              <w:t>Renal impairment</w:t>
            </w:r>
            <w:r>
              <w:t xml:space="preserve"> </w:t>
            </w:r>
            <w:r w:rsidR="00385C7E">
              <w:t>–</w:t>
            </w:r>
            <w:r>
              <w:t xml:space="preserve"> oral</w:t>
            </w:r>
          </w:p>
        </w:tc>
        <w:tc>
          <w:tcPr>
            <w:tcW w:w="1701" w:type="dxa"/>
          </w:tcPr>
          <w:p w14:paraId="2812F52A" w14:textId="77777777" w:rsidR="007403C6" w:rsidRPr="000800CC" w:rsidRDefault="007403C6" w:rsidP="00975B41">
            <w:r>
              <w:t>31-98-208</w:t>
            </w:r>
          </w:p>
        </w:tc>
        <w:tc>
          <w:tcPr>
            <w:tcW w:w="992" w:type="dxa"/>
          </w:tcPr>
          <w:p w14:paraId="2812F52B" w14:textId="77777777" w:rsidR="007403C6" w:rsidRPr="000800CC" w:rsidRDefault="007403C6" w:rsidP="00975B41">
            <w:r>
              <w:t>*</w:t>
            </w:r>
          </w:p>
        </w:tc>
      </w:tr>
      <w:tr w:rsidR="007403C6" w14:paraId="2812F531" w14:textId="77777777" w:rsidTr="007403C6">
        <w:tc>
          <w:tcPr>
            <w:tcW w:w="2235" w:type="dxa"/>
            <w:vMerge w:val="restart"/>
          </w:tcPr>
          <w:p w14:paraId="2812F52D" w14:textId="77777777" w:rsidR="007403C6" w:rsidRPr="008625DD" w:rsidRDefault="007403C6" w:rsidP="00975B41">
            <w:r w:rsidRPr="008625DD">
              <w:t>Population PK analyses</w:t>
            </w:r>
          </w:p>
        </w:tc>
        <w:tc>
          <w:tcPr>
            <w:tcW w:w="3827" w:type="dxa"/>
          </w:tcPr>
          <w:p w14:paraId="2812F52E" w14:textId="77777777" w:rsidR="007403C6" w:rsidRPr="000800CC" w:rsidRDefault="007403C6" w:rsidP="00975B41">
            <w:r w:rsidRPr="000800CC">
              <w:t>Healthy subjects</w:t>
            </w:r>
            <w:r>
              <w:t xml:space="preserve"> and </w:t>
            </w:r>
            <w:r w:rsidRPr="000800CC">
              <w:t>Target population</w:t>
            </w:r>
          </w:p>
        </w:tc>
        <w:tc>
          <w:tcPr>
            <w:tcW w:w="1701" w:type="dxa"/>
          </w:tcPr>
          <w:p w14:paraId="2812F52F" w14:textId="77777777" w:rsidR="007403C6" w:rsidRPr="000800CC" w:rsidRDefault="007403C6" w:rsidP="00975B41">
            <w:r>
              <w:t>31-11-287</w:t>
            </w:r>
          </w:p>
        </w:tc>
        <w:tc>
          <w:tcPr>
            <w:tcW w:w="992" w:type="dxa"/>
          </w:tcPr>
          <w:p w14:paraId="2812F530" w14:textId="77777777" w:rsidR="007403C6" w:rsidRPr="000800CC" w:rsidRDefault="007403C6" w:rsidP="00975B41">
            <w:r>
              <w:t>*</w:t>
            </w:r>
          </w:p>
        </w:tc>
      </w:tr>
      <w:tr w:rsidR="007403C6" w14:paraId="2812F536" w14:textId="77777777" w:rsidTr="007403C6">
        <w:tc>
          <w:tcPr>
            <w:tcW w:w="2235" w:type="dxa"/>
            <w:vMerge/>
          </w:tcPr>
          <w:p w14:paraId="2812F532" w14:textId="77777777" w:rsidR="007403C6" w:rsidRPr="000800CC" w:rsidRDefault="007403C6" w:rsidP="00975B41"/>
        </w:tc>
        <w:tc>
          <w:tcPr>
            <w:tcW w:w="3827" w:type="dxa"/>
          </w:tcPr>
          <w:p w14:paraId="2812F533" w14:textId="77777777" w:rsidR="007403C6" w:rsidRPr="000800CC" w:rsidRDefault="007403C6" w:rsidP="00975B41">
            <w:r w:rsidRPr="000800CC">
              <w:t>Target population</w:t>
            </w:r>
          </w:p>
        </w:tc>
        <w:tc>
          <w:tcPr>
            <w:tcW w:w="1701" w:type="dxa"/>
          </w:tcPr>
          <w:p w14:paraId="2812F534" w14:textId="77777777" w:rsidR="007403C6" w:rsidRPr="000800CC" w:rsidRDefault="007403C6" w:rsidP="00975B41">
            <w:r>
              <w:t>31-12-292</w:t>
            </w:r>
          </w:p>
        </w:tc>
        <w:tc>
          <w:tcPr>
            <w:tcW w:w="992" w:type="dxa"/>
          </w:tcPr>
          <w:p w14:paraId="2812F535" w14:textId="77777777" w:rsidR="007403C6" w:rsidRPr="000800CC" w:rsidRDefault="007403C6" w:rsidP="00975B41">
            <w:r>
              <w:t>*</w:t>
            </w:r>
          </w:p>
        </w:tc>
      </w:tr>
    </w:tbl>
    <w:p w14:paraId="2812F537" w14:textId="6A8C7F53" w:rsidR="00E01F69" w:rsidRDefault="00E01F69" w:rsidP="00975B41">
      <w:pPr>
        <w:pStyle w:val="TableDescription"/>
      </w:pPr>
      <w:r w:rsidRPr="00795FFE">
        <w:t>* Indicates the primary aim of the study.</w:t>
      </w:r>
      <w:r w:rsidR="0049082D">
        <w:br/>
        <w:t>†Bioequivalence of different formulations.</w:t>
      </w:r>
    </w:p>
    <w:p w14:paraId="2812F538" w14:textId="6FB56582" w:rsidR="00E01F69" w:rsidRDefault="007403C6" w:rsidP="00975B41">
      <w:r>
        <w:t xml:space="preserve">Table </w:t>
      </w:r>
      <w:r w:rsidR="00975B41">
        <w:t>3</w:t>
      </w:r>
      <w:r w:rsidR="00E01F69">
        <w:t xml:space="preserve"> lists </w:t>
      </w:r>
      <w:r w:rsidR="00A8453E">
        <w:t xml:space="preserve">PK </w:t>
      </w:r>
      <w:r w:rsidR="00E01F69">
        <w:t>studies that were excluded from consideration due to study deficiencies.</w:t>
      </w:r>
      <w:r w:rsidR="00A8453E">
        <w:t xml:space="preserve"> Further details of PK and Population PK can be found in Attachment 2</w:t>
      </w:r>
      <w:r w:rsidR="00E01F69">
        <w:t>.</w:t>
      </w:r>
    </w:p>
    <w:p w14:paraId="2812F539" w14:textId="43AACF66" w:rsidR="00E01F69" w:rsidRPr="00795FFE" w:rsidRDefault="00E01F69" w:rsidP="00975B41">
      <w:pPr>
        <w:pStyle w:val="TableTitle"/>
      </w:pPr>
      <w:bookmarkStart w:id="99" w:name="_Ref271031346"/>
      <w:bookmarkStart w:id="100" w:name="_Toc381104178"/>
      <w:bookmarkStart w:id="101" w:name="_Toc381104321"/>
      <w:r w:rsidRPr="00795FFE">
        <w:t>Table</w:t>
      </w:r>
      <w:r w:rsidR="007403C6">
        <w:t xml:space="preserve"> </w:t>
      </w:r>
      <w:bookmarkEnd w:id="99"/>
      <w:r w:rsidR="00975B41">
        <w:t>3</w:t>
      </w:r>
      <w:r w:rsidRPr="00795FFE">
        <w:t>. Pharmacokinetic studies excluded from consideration.</w:t>
      </w:r>
      <w:bookmarkEnd w:id="100"/>
      <w:bookmarkEnd w:id="101"/>
    </w:p>
    <w:tbl>
      <w:tblPr>
        <w:tblStyle w:val="TableTGAblue"/>
        <w:tblW w:w="6771" w:type="dxa"/>
        <w:tblLayout w:type="fixed"/>
        <w:tblLook w:val="04A0" w:firstRow="1" w:lastRow="0" w:firstColumn="1" w:lastColumn="0" w:noHBand="0" w:noVBand="1"/>
      </w:tblPr>
      <w:tblGrid>
        <w:gridCol w:w="1809"/>
        <w:gridCol w:w="2410"/>
        <w:gridCol w:w="2552"/>
      </w:tblGrid>
      <w:tr w:rsidR="007403C6" w14:paraId="2812F53D" w14:textId="77A5276D" w:rsidTr="007403C6">
        <w:trPr>
          <w:cnfStyle w:val="100000000000" w:firstRow="1" w:lastRow="0" w:firstColumn="0" w:lastColumn="0" w:oddVBand="0" w:evenVBand="0" w:oddHBand="0" w:evenHBand="0" w:firstRowFirstColumn="0" w:firstRowLastColumn="0" w:lastRowFirstColumn="0" w:lastRowLastColumn="0"/>
        </w:trPr>
        <w:tc>
          <w:tcPr>
            <w:tcW w:w="1809" w:type="dxa"/>
          </w:tcPr>
          <w:p w14:paraId="2812F53A" w14:textId="73D45B0E" w:rsidR="007403C6" w:rsidRPr="007403C6" w:rsidRDefault="007403C6" w:rsidP="00975B41">
            <w:r w:rsidRPr="007403C6">
              <w:t>Study ID</w:t>
            </w:r>
          </w:p>
        </w:tc>
        <w:tc>
          <w:tcPr>
            <w:tcW w:w="2410" w:type="dxa"/>
          </w:tcPr>
          <w:p w14:paraId="2812F53B" w14:textId="590B89C5" w:rsidR="007403C6" w:rsidRPr="007403C6" w:rsidRDefault="001853D7" w:rsidP="00975B41">
            <w:r>
              <w:t>Indication</w:t>
            </w:r>
          </w:p>
        </w:tc>
        <w:tc>
          <w:tcPr>
            <w:tcW w:w="2552" w:type="dxa"/>
          </w:tcPr>
          <w:p w14:paraId="2812F53C" w14:textId="6A21AC31" w:rsidR="007403C6" w:rsidRPr="007403C6" w:rsidRDefault="001853D7" w:rsidP="00975B41">
            <w:r>
              <w:t>Formulation</w:t>
            </w:r>
          </w:p>
        </w:tc>
      </w:tr>
      <w:tr w:rsidR="007403C6" w14:paraId="2812F541" w14:textId="7EAD5047" w:rsidTr="007403C6">
        <w:tc>
          <w:tcPr>
            <w:tcW w:w="1809" w:type="dxa"/>
          </w:tcPr>
          <w:p w14:paraId="2812F53E" w14:textId="44A92416" w:rsidR="007403C6" w:rsidRPr="000800CC" w:rsidRDefault="007403C6" w:rsidP="00975B41">
            <w:r>
              <w:t>31-10-002</w:t>
            </w:r>
          </w:p>
        </w:tc>
        <w:tc>
          <w:tcPr>
            <w:tcW w:w="2410" w:type="dxa"/>
          </w:tcPr>
          <w:p w14:paraId="2812F53F" w14:textId="77ECA8F0" w:rsidR="007403C6" w:rsidRPr="000800CC" w:rsidRDefault="007403C6" w:rsidP="00975B41">
            <w:r w:rsidRPr="00B44949">
              <w:t>schizophrenia</w:t>
            </w:r>
          </w:p>
        </w:tc>
        <w:tc>
          <w:tcPr>
            <w:tcW w:w="2552" w:type="dxa"/>
          </w:tcPr>
          <w:p w14:paraId="2812F540" w14:textId="796A50DE" w:rsidR="007403C6" w:rsidRPr="000800CC" w:rsidRDefault="007403C6" w:rsidP="00975B41">
            <w:r>
              <w:t>IM depot</w:t>
            </w:r>
          </w:p>
        </w:tc>
      </w:tr>
      <w:tr w:rsidR="007403C6" w14:paraId="2812F545" w14:textId="780177E2" w:rsidTr="007403C6">
        <w:tc>
          <w:tcPr>
            <w:tcW w:w="1809" w:type="dxa"/>
          </w:tcPr>
          <w:p w14:paraId="2812F542" w14:textId="0D6FE2C9" w:rsidR="007403C6" w:rsidRPr="000800CC" w:rsidRDefault="007403C6" w:rsidP="00975B41">
            <w:r>
              <w:t>CN138-139</w:t>
            </w:r>
          </w:p>
        </w:tc>
        <w:tc>
          <w:tcPr>
            <w:tcW w:w="2410" w:type="dxa"/>
          </w:tcPr>
          <w:p w14:paraId="2812F543" w14:textId="1B2D630F" w:rsidR="007403C6" w:rsidRPr="000800CC" w:rsidRDefault="007403C6" w:rsidP="00975B41">
            <w:r w:rsidRPr="00B44949">
              <w:t>MDD</w:t>
            </w:r>
          </w:p>
        </w:tc>
        <w:tc>
          <w:tcPr>
            <w:tcW w:w="2552" w:type="dxa"/>
          </w:tcPr>
          <w:p w14:paraId="2812F544" w14:textId="5FA27F7B" w:rsidR="007403C6" w:rsidRPr="000800CC" w:rsidRDefault="007403C6" w:rsidP="00975B41">
            <w:r>
              <w:t>oral</w:t>
            </w:r>
          </w:p>
        </w:tc>
      </w:tr>
      <w:tr w:rsidR="007403C6" w14:paraId="2812F549" w14:textId="0B5DE7FD" w:rsidTr="007403C6">
        <w:tc>
          <w:tcPr>
            <w:tcW w:w="1809" w:type="dxa"/>
          </w:tcPr>
          <w:p w14:paraId="2812F546" w14:textId="05B0271F" w:rsidR="007403C6" w:rsidRPr="000800CC" w:rsidRDefault="007403C6" w:rsidP="00975B41">
            <w:r>
              <w:t>CN138-402</w:t>
            </w:r>
          </w:p>
        </w:tc>
        <w:tc>
          <w:tcPr>
            <w:tcW w:w="2410" w:type="dxa"/>
          </w:tcPr>
          <w:p w14:paraId="2812F547" w14:textId="23741ABE" w:rsidR="007403C6" w:rsidRPr="000800CC" w:rsidRDefault="007403C6" w:rsidP="00975B41">
            <w:r w:rsidRPr="00B44949">
              <w:t>Bipolar I Disorder</w:t>
            </w:r>
          </w:p>
        </w:tc>
        <w:tc>
          <w:tcPr>
            <w:tcW w:w="2552" w:type="dxa"/>
          </w:tcPr>
          <w:p w14:paraId="2812F548" w14:textId="0E3E6964" w:rsidR="007403C6" w:rsidRPr="000800CC" w:rsidRDefault="007403C6" w:rsidP="00975B41">
            <w:r>
              <w:t>oral</w:t>
            </w:r>
          </w:p>
        </w:tc>
      </w:tr>
    </w:tbl>
    <w:p w14:paraId="2812F54A" w14:textId="77777777" w:rsidR="004C67AA" w:rsidRPr="007403C6" w:rsidRDefault="004C67AA" w:rsidP="00975B41">
      <w:pPr>
        <w:pStyle w:val="Heading4"/>
      </w:pPr>
      <w:r>
        <w:t>Evaluator’s conclusions on pharmacokinetics</w:t>
      </w:r>
    </w:p>
    <w:p w14:paraId="2812F54B" w14:textId="28D7B9A1" w:rsidR="00E01F69" w:rsidRDefault="00E01F69" w:rsidP="00975B41">
      <w:pPr>
        <w:pStyle w:val="Heading5"/>
      </w:pPr>
      <w:bookmarkStart w:id="102" w:name="_Toc381104194"/>
      <w:r>
        <w:t>Guidance</w:t>
      </w:r>
      <w:bookmarkEnd w:id="102"/>
    </w:p>
    <w:p w14:paraId="2812F54C" w14:textId="77777777" w:rsidR="00E01F69" w:rsidRPr="00001AC0" w:rsidRDefault="00E01F69" w:rsidP="00E84A4E">
      <w:r w:rsidRPr="00001AC0">
        <w:t>CPMP/EWP/49/01 Appendix to the Note for Guidance on the Clinical Investigation of Medicinal Products in the Treatment of Schizophrenia - Methodology of Clinical Trials Concerning the Development of Depot Preparations of Approved Medicinal Products in Schizophrenia.</w:t>
      </w:r>
    </w:p>
    <w:p w14:paraId="2812F54D" w14:textId="77777777" w:rsidR="00E01F69" w:rsidRPr="00975B41" w:rsidRDefault="00E01F69" w:rsidP="00975B41">
      <w:pPr>
        <w:pStyle w:val="ListBullet"/>
      </w:pPr>
      <w:r w:rsidRPr="00975B41">
        <w:lastRenderedPageBreak/>
        <w:t>Of specific interest is the comparison of the concentration time curves after administration of the oral formulation and the depot formulation over the dosing range. This comparison should be used for an adequate dose and dose interval selection of the depot formulation.</w:t>
      </w:r>
    </w:p>
    <w:p w14:paraId="2812F54E" w14:textId="77777777" w:rsidR="00E01F69" w:rsidRPr="00975B41" w:rsidRDefault="00E01F69" w:rsidP="00975B41">
      <w:pPr>
        <w:pStyle w:val="ListBullet"/>
      </w:pPr>
      <w:r w:rsidRPr="00975B41">
        <w:t>Depending on the type of formulation, the influence of volume, amount and concentrations injected (dose proportionality), or other circumstances (like exercise), on the release characteristics should be discussed or investigated especially with respect to the possibility of dose dumping.</w:t>
      </w:r>
    </w:p>
    <w:p w14:paraId="2812F54F" w14:textId="77777777" w:rsidR="00E01F69" w:rsidRPr="00975B41" w:rsidRDefault="00E01F69" w:rsidP="00C5733F">
      <w:pPr>
        <w:pStyle w:val="ListBullet"/>
      </w:pPr>
      <w:r w:rsidRPr="00975B41">
        <w:t xml:space="preserve">As the parenteral administration of a depot formulation will release the drug slowly compared to oral </w:t>
      </w:r>
      <w:r w:rsidRPr="00C5733F">
        <w:t>formulation</w:t>
      </w:r>
      <w:r w:rsidRPr="00975B41">
        <w:t>, the time to achieve steady state concentration after switching from oral to parenteral treatment should be taken into consideration especially with respect to the efficacy.</w:t>
      </w:r>
    </w:p>
    <w:p w14:paraId="2812F550" w14:textId="77777777" w:rsidR="00E01F69" w:rsidRPr="00975B41" w:rsidRDefault="00E01F69" w:rsidP="00975B41">
      <w:pPr>
        <w:pStyle w:val="ListBullet"/>
      </w:pPr>
      <w:r w:rsidRPr="00975B41">
        <w:t>Special attention should be paid to the first pass elimination of the active substance as this may be substantially different between the two routes of administration.</w:t>
      </w:r>
    </w:p>
    <w:p w14:paraId="2812F551" w14:textId="4DCAAAB8" w:rsidR="00E01F69" w:rsidRPr="007403C6" w:rsidRDefault="007403C6" w:rsidP="00975B41">
      <w:pPr>
        <w:pStyle w:val="Heading5"/>
      </w:pPr>
      <w:bookmarkStart w:id="103" w:name="_Toc381104195"/>
      <w:r w:rsidRPr="007403C6">
        <w:t xml:space="preserve">Evaluator’s </w:t>
      </w:r>
      <w:r w:rsidR="00975B41">
        <w:t>c</w:t>
      </w:r>
      <w:r w:rsidRPr="007403C6">
        <w:t>onclusions</w:t>
      </w:r>
      <w:bookmarkEnd w:id="103"/>
    </w:p>
    <w:p w14:paraId="23EE00DE" w14:textId="00AB3655" w:rsidR="00656392" w:rsidRDefault="00E01F69" w:rsidP="00975B41">
      <w:r>
        <w:t>The PKs raise a number of concerns in regard to under and overdosing in poor and extensive metabolisers</w:t>
      </w:r>
      <w:r w:rsidR="007403C6">
        <w:t xml:space="preserve"> (see Figure </w:t>
      </w:r>
      <w:r w:rsidR="00975B41">
        <w:t>2</w:t>
      </w:r>
      <w:r w:rsidR="007403C6">
        <w:t>).</w:t>
      </w:r>
    </w:p>
    <w:p w14:paraId="2812F553" w14:textId="6E63ABD6" w:rsidR="007403C6" w:rsidDel="0049082D" w:rsidRDefault="007403C6" w:rsidP="00C5733F">
      <w:pPr>
        <w:pStyle w:val="FigureTitle"/>
      </w:pPr>
      <w:r w:rsidDel="0049082D">
        <w:t xml:space="preserve">Figure </w:t>
      </w:r>
      <w:r w:rsidR="00975B41">
        <w:t>2</w:t>
      </w:r>
      <w:r w:rsidDel="0049082D">
        <w:t xml:space="preserve">. Comparison of </w:t>
      </w:r>
      <w:r w:rsidRPr="00C5733F" w:rsidDel="0049082D">
        <w:t>Steady</w:t>
      </w:r>
      <w:r w:rsidDel="0049082D">
        <w:t>-State Exposure Measures for Poor Metabolisers, Stratified by IM Depot Dose</w:t>
      </w:r>
    </w:p>
    <w:p w14:paraId="2812F554" w14:textId="3A344028" w:rsidR="007403C6" w:rsidDel="0049082D" w:rsidRDefault="007403C6" w:rsidP="00975B41">
      <w:r w:rsidDel="0049082D">
        <w:rPr>
          <w:noProof/>
          <w:lang w:eastAsia="en-AU"/>
        </w:rPr>
        <w:drawing>
          <wp:inline distT="0" distB="0" distL="0" distR="0" wp14:anchorId="2812F716" wp14:editId="005D33B0">
            <wp:extent cx="2844742" cy="2271932"/>
            <wp:effectExtent l="0" t="0" r="0" b="0"/>
            <wp:docPr id="16" name="Picture 16" descr="Figure 2 Comparison of Steady-State Exposure Measures for Poor Metabolisers, Stratified by IM Depot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44866" cy="2272031"/>
                    </a:xfrm>
                    <a:prstGeom prst="rect">
                      <a:avLst/>
                    </a:prstGeom>
                  </pic:spPr>
                </pic:pic>
              </a:graphicData>
            </a:graphic>
          </wp:inline>
        </w:drawing>
      </w:r>
    </w:p>
    <w:p w14:paraId="2812F555" w14:textId="77777777" w:rsidR="00E01F69" w:rsidRDefault="00E01F69" w:rsidP="00975B41">
      <w:r>
        <w:t>Steady state is reached by the fourth cycle at which stage even on 400</w:t>
      </w:r>
      <w:r w:rsidR="007403C6">
        <w:t xml:space="preserve"> </w:t>
      </w:r>
      <w:r>
        <w:t>mg some extensive metabolisers will be at sub-therapeutic levels towards the end of the cycle, with presumably a greater number and for some a greater duration in the preceding months.</w:t>
      </w:r>
    </w:p>
    <w:p w14:paraId="2812F556" w14:textId="77777777" w:rsidR="00E01F69" w:rsidRDefault="00E01F69" w:rsidP="00975B41">
      <w:r>
        <w:t>When steady state is reached even on 300</w:t>
      </w:r>
      <w:r w:rsidR="007403C6">
        <w:t xml:space="preserve"> </w:t>
      </w:r>
      <w:r>
        <w:t xml:space="preserve">mg some poor metabolisers will be at above therapeutic levels throughout the cycle, while the likelihood of increased </w:t>
      </w:r>
      <w:r w:rsidR="007403C6">
        <w:t>adverse events (</w:t>
      </w:r>
      <w:r>
        <w:t>AEs</w:t>
      </w:r>
      <w:r w:rsidR="007403C6">
        <w:t>)</w:t>
      </w:r>
      <w:r>
        <w:t xml:space="preserve"> does not directly affect therapy, the increased risk of discontinuation due to AEs does.</w:t>
      </w:r>
    </w:p>
    <w:p w14:paraId="2812F557" w14:textId="683725B9" w:rsidR="00E01F69" w:rsidRDefault="00E01F69" w:rsidP="00975B41">
      <w:r>
        <w:t>A single 400</w:t>
      </w:r>
      <w:r w:rsidR="007403C6">
        <w:t xml:space="preserve"> </w:t>
      </w:r>
      <w:r>
        <w:t>mg IM depot dose is shown to achieve mean sub-therapeutic levels for the first and last 3 days of the initial treatment cycle, presumably extensive metabolisers will fare worse</w:t>
      </w:r>
      <w:r w:rsidR="007403C6">
        <w:t xml:space="preserve"> (s</w:t>
      </w:r>
      <w:r>
        <w:t xml:space="preserve">ee </w:t>
      </w:r>
      <w:r w:rsidR="007403C6">
        <w:t xml:space="preserve">Figure </w:t>
      </w:r>
      <w:r w:rsidR="00975B41">
        <w:t>3</w:t>
      </w:r>
      <w:r>
        <w:t>).</w:t>
      </w:r>
    </w:p>
    <w:p w14:paraId="2812F558" w14:textId="2615312F" w:rsidR="007403C6" w:rsidDel="0049082D" w:rsidRDefault="007403C6" w:rsidP="00393B90">
      <w:pPr>
        <w:pStyle w:val="FigureTitle"/>
        <w:keepLines/>
      </w:pPr>
      <w:bookmarkStart w:id="104" w:name="_Ref363813831"/>
      <w:bookmarkStart w:id="105" w:name="_Toc381104415"/>
      <w:r w:rsidDel="0049082D">
        <w:lastRenderedPageBreak/>
        <w:t xml:space="preserve">Figure </w:t>
      </w:r>
      <w:bookmarkEnd w:id="104"/>
      <w:r w:rsidR="00975B41">
        <w:t>3</w:t>
      </w:r>
      <w:r w:rsidDel="0049082D">
        <w:t>. Median Concentration versus Day for First 2 Doses, Stratified by Dosing Initiation Scheme</w:t>
      </w:r>
      <w:bookmarkEnd w:id="105"/>
    </w:p>
    <w:p w14:paraId="2812F559" w14:textId="257FC63C" w:rsidR="007403C6" w:rsidRPr="007403C6" w:rsidDel="0049082D" w:rsidRDefault="007403C6" w:rsidP="00393B90">
      <w:pPr>
        <w:pStyle w:val="FigureDescription"/>
        <w:keepNext/>
        <w:keepLines/>
      </w:pPr>
      <w:r w:rsidRPr="007403C6" w:rsidDel="0049082D">
        <w:t>Horizontal dashed lines represent the therapeutic range.</w:t>
      </w:r>
    </w:p>
    <w:p w14:paraId="2812F55A" w14:textId="305F3150" w:rsidR="007403C6" w:rsidDel="0049082D" w:rsidRDefault="007403C6" w:rsidP="00C5733F">
      <w:r w:rsidDel="0049082D">
        <w:rPr>
          <w:noProof/>
          <w:lang w:eastAsia="en-AU"/>
        </w:rPr>
        <w:drawing>
          <wp:inline distT="0" distB="0" distL="0" distR="0" wp14:anchorId="2812F718" wp14:editId="4AAA143C">
            <wp:extent cx="2759336" cy="2138289"/>
            <wp:effectExtent l="0" t="0" r="3175" b="0"/>
            <wp:docPr id="26" name="Picture 26" descr="Figure 3. Median Concentration versus Day for First 2 Doses, Stratified by Dosing Initiation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srcRect l="1681"/>
                    <a:stretch>
                      <a:fillRect/>
                    </a:stretch>
                  </pic:blipFill>
                  <pic:spPr bwMode="auto">
                    <a:xfrm>
                      <a:off x="0" y="0"/>
                      <a:ext cx="2762838" cy="2141003"/>
                    </a:xfrm>
                    <a:prstGeom prst="rect">
                      <a:avLst/>
                    </a:prstGeom>
                    <a:noFill/>
                    <a:ln w="9525">
                      <a:noFill/>
                      <a:miter lim="800000"/>
                      <a:headEnd/>
                      <a:tailEnd/>
                    </a:ln>
                  </pic:spPr>
                </pic:pic>
              </a:graphicData>
            </a:graphic>
          </wp:inline>
        </w:drawing>
      </w:r>
    </w:p>
    <w:p w14:paraId="2812F55B" w14:textId="1D691C49" w:rsidR="00E01F69" w:rsidRDefault="00E01F69" w:rsidP="00393B90">
      <w:r>
        <w:t xml:space="preserve">Bioequivalence was not shown. Relative bioavailability based on AUC ranged from 0.90 to 1.44 with the smallest CV 19.85%. While relative exposure based on </w:t>
      </w:r>
      <w:proofErr w:type="spellStart"/>
      <w:r>
        <w:t>C</w:t>
      </w:r>
      <w:r w:rsidRPr="00AD5E68">
        <w:rPr>
          <w:vertAlign w:val="subscript"/>
        </w:rPr>
        <w:t>max</w:t>
      </w:r>
      <w:proofErr w:type="spellEnd"/>
      <w:r>
        <w:t xml:space="preserve"> was only 0.04-0.07.</w:t>
      </w:r>
    </w:p>
    <w:p w14:paraId="2812F55C" w14:textId="02D5B24E" w:rsidR="004C67AA" w:rsidRDefault="004C67AA" w:rsidP="00393B90">
      <w:pPr>
        <w:pStyle w:val="Heading3"/>
      </w:pPr>
      <w:bookmarkStart w:id="106" w:name="_Toc196046481"/>
      <w:bookmarkStart w:id="107" w:name="_Toc247691520"/>
      <w:bookmarkStart w:id="108" w:name="_Toc314842503"/>
      <w:bookmarkStart w:id="109" w:name="_Toc384807760"/>
      <w:bookmarkStart w:id="110" w:name="_Toc408924923"/>
      <w:r w:rsidRPr="00254787">
        <w:t>Pharmacodynamics</w:t>
      </w:r>
      <w:bookmarkEnd w:id="77"/>
      <w:bookmarkEnd w:id="106"/>
      <w:bookmarkEnd w:id="107"/>
      <w:bookmarkEnd w:id="108"/>
      <w:bookmarkEnd w:id="109"/>
      <w:bookmarkEnd w:id="110"/>
    </w:p>
    <w:p w14:paraId="2812F55D" w14:textId="77777777" w:rsidR="00E01F69" w:rsidRDefault="00E01F69" w:rsidP="00393B90">
      <w:r>
        <w:t xml:space="preserve">There were no new </w:t>
      </w:r>
      <w:proofErr w:type="spellStart"/>
      <w:r w:rsidR="00110516">
        <w:t>pharmacodynamic</w:t>
      </w:r>
      <w:proofErr w:type="spellEnd"/>
      <w:r w:rsidR="00110516">
        <w:t xml:space="preserve"> (</w:t>
      </w:r>
      <w:r>
        <w:t>PD</w:t>
      </w:r>
      <w:r w:rsidR="00110516">
        <w:t>)</w:t>
      </w:r>
      <w:r>
        <w:t xml:space="preserve"> studies </w:t>
      </w:r>
      <w:r w:rsidR="007403C6">
        <w:t xml:space="preserve">included with </w:t>
      </w:r>
      <w:r>
        <w:t>this submission.</w:t>
      </w:r>
    </w:p>
    <w:p w14:paraId="2812F55E" w14:textId="77777777" w:rsidR="004C67AA" w:rsidRPr="007403C6" w:rsidRDefault="004C67AA" w:rsidP="00393B90">
      <w:pPr>
        <w:pStyle w:val="Heading3"/>
      </w:pPr>
      <w:bookmarkStart w:id="111" w:name="_Toc384807761"/>
      <w:bookmarkStart w:id="112" w:name="_Toc408924924"/>
      <w:r>
        <w:t>Dosage selection for the pivotal studies</w:t>
      </w:r>
      <w:bookmarkEnd w:id="111"/>
      <w:bookmarkEnd w:id="112"/>
    </w:p>
    <w:p w14:paraId="2812F55F" w14:textId="77777777" w:rsidR="00E01F69" w:rsidRDefault="00E01F69" w:rsidP="00393B90">
      <w:bookmarkStart w:id="113" w:name="_Toc184439992"/>
      <w:bookmarkStart w:id="114" w:name="_Toc184440279"/>
      <w:bookmarkStart w:id="115" w:name="_Toc184444657"/>
      <w:bookmarkStart w:id="116" w:name="_Toc196046487"/>
      <w:r>
        <w:t>Based on the assessed pharmacokinetic (PK) parameters from Trial CN138-020 and from previous oral steady state studies</w:t>
      </w:r>
      <w:r w:rsidRPr="00BE67A0">
        <w:t xml:space="preserve"> </w:t>
      </w:r>
      <w:proofErr w:type="spellStart"/>
      <w:r>
        <w:t>aripiprazole</w:t>
      </w:r>
      <w:proofErr w:type="spellEnd"/>
      <w:r>
        <w:t xml:space="preserve"> plasma concentration-time profiles were simulated. These simulations included a proposed switching regimen in which oral dosing was tapered off with concomitant administration of 100, 200, 300, and 400</w:t>
      </w:r>
      <w:r w:rsidR="007403C6">
        <w:t xml:space="preserve"> </w:t>
      </w:r>
      <w:r>
        <w:t xml:space="preserve">mg </w:t>
      </w:r>
      <w:proofErr w:type="spellStart"/>
      <w:r>
        <w:t>aripiprazole</w:t>
      </w:r>
      <w:proofErr w:type="spellEnd"/>
      <w:r>
        <w:t xml:space="preserve"> IM depot monthly (</w:t>
      </w:r>
      <w:r w:rsidR="007403C6">
        <w:t>that is,</w:t>
      </w:r>
      <w:r>
        <w:t xml:space="preserve"> every 28 days). Data from these simulations indicated that the lower 95% </w:t>
      </w:r>
      <w:r w:rsidR="007403C6">
        <w:t>confidence interval (</w:t>
      </w:r>
      <w:r>
        <w:t>CI</w:t>
      </w:r>
      <w:r w:rsidR="007403C6">
        <w:t>)</w:t>
      </w:r>
      <w:r>
        <w:t xml:space="preserve"> for minimum plasma concentration (</w:t>
      </w:r>
      <w:proofErr w:type="spellStart"/>
      <w:r>
        <w:t>C</w:t>
      </w:r>
      <w:r w:rsidRPr="00323D03">
        <w:rPr>
          <w:vertAlign w:val="subscript"/>
        </w:rPr>
        <w:t>min</w:t>
      </w:r>
      <w:proofErr w:type="spellEnd"/>
      <w:r>
        <w:t>) for 400</w:t>
      </w:r>
      <w:r w:rsidR="007403C6">
        <w:t xml:space="preserve"> </w:t>
      </w:r>
      <w:r>
        <w:t>mg/300</w:t>
      </w:r>
      <w:r w:rsidR="007403C6">
        <w:t xml:space="preserve"> </w:t>
      </w:r>
      <w:r>
        <w:t xml:space="preserve">mg </w:t>
      </w:r>
      <w:proofErr w:type="spellStart"/>
      <w:r>
        <w:t>aripiprazole</w:t>
      </w:r>
      <w:proofErr w:type="spellEnd"/>
      <w:r>
        <w:t xml:space="preserve"> IM depot would be expected to be above (or very close to) the steady-state </w:t>
      </w:r>
      <w:proofErr w:type="spellStart"/>
      <w:r>
        <w:t>C</w:t>
      </w:r>
      <w:r w:rsidRPr="00323D03">
        <w:rPr>
          <w:vertAlign w:val="subscript"/>
        </w:rPr>
        <w:t>min</w:t>
      </w:r>
      <w:proofErr w:type="spellEnd"/>
      <w:r>
        <w:t xml:space="preserve"> of daily dosing with </w:t>
      </w:r>
      <w:proofErr w:type="spellStart"/>
      <w:r>
        <w:t>aripiprazole</w:t>
      </w:r>
      <w:proofErr w:type="spellEnd"/>
      <w:r>
        <w:t xml:space="preserve"> 10</w:t>
      </w:r>
      <w:r w:rsidR="007403C6">
        <w:t xml:space="preserve"> </w:t>
      </w:r>
      <w:r>
        <w:t>mg and below the mean steady-state maximum plasma concentration (</w:t>
      </w:r>
      <w:proofErr w:type="spellStart"/>
      <w:r>
        <w:t>C</w:t>
      </w:r>
      <w:r w:rsidRPr="00323D03">
        <w:rPr>
          <w:vertAlign w:val="subscript"/>
        </w:rPr>
        <w:t>max</w:t>
      </w:r>
      <w:proofErr w:type="spellEnd"/>
      <w:r>
        <w:t xml:space="preserve">) of daily dosing with </w:t>
      </w:r>
      <w:proofErr w:type="spellStart"/>
      <w:r>
        <w:t>aripiprazole</w:t>
      </w:r>
      <w:proofErr w:type="spellEnd"/>
      <w:r>
        <w:t xml:space="preserve"> 30</w:t>
      </w:r>
      <w:r w:rsidR="007403C6">
        <w:t xml:space="preserve"> </w:t>
      </w:r>
      <w:r>
        <w:t>mg at all times, including tapering off oral dosing.</w:t>
      </w:r>
    </w:p>
    <w:p w14:paraId="2812F560" w14:textId="00D4968D" w:rsidR="00E01F69" w:rsidRDefault="00E01F69" w:rsidP="00393B90">
      <w:r w:rsidRPr="00BE67A0">
        <w:t>Trial 31-05-244</w:t>
      </w:r>
      <w:r>
        <w:t xml:space="preserve"> showed </w:t>
      </w:r>
      <w:r w:rsidR="007403C6">
        <w:t xml:space="preserve">that </w:t>
      </w:r>
      <w:r>
        <w:t>once</w:t>
      </w:r>
      <w:r w:rsidR="007403C6">
        <w:t xml:space="preserve"> </w:t>
      </w:r>
      <w:r>
        <w:t>monthly administration of the 200</w:t>
      </w:r>
      <w:r w:rsidR="007403C6">
        <w:t xml:space="preserve"> </w:t>
      </w:r>
      <w:r>
        <w:t xml:space="preserve">mg IM depot injections did not result in mean </w:t>
      </w:r>
      <w:proofErr w:type="spellStart"/>
      <w:r>
        <w:t>aripiprazole</w:t>
      </w:r>
      <w:proofErr w:type="spellEnd"/>
      <w:r>
        <w:t xml:space="preserve"> trough plasma concentrations that were comparable to the therapeutic concentrations of 10</w:t>
      </w:r>
      <w:r w:rsidR="007403C6">
        <w:t xml:space="preserve"> </w:t>
      </w:r>
      <w:r>
        <w:t>mg to 30</w:t>
      </w:r>
      <w:r w:rsidR="007403C6">
        <w:t xml:space="preserve"> </w:t>
      </w:r>
      <w:r>
        <w:t xml:space="preserve">mg oral </w:t>
      </w:r>
      <w:proofErr w:type="spellStart"/>
      <w:r>
        <w:t>aripiprazole</w:t>
      </w:r>
      <w:proofErr w:type="spellEnd"/>
      <w:r>
        <w:t xml:space="preserve"> administered daily to schizophrenic subjects. In this multiple</w:t>
      </w:r>
      <w:r w:rsidR="007403C6">
        <w:t xml:space="preserve"> </w:t>
      </w:r>
      <w:r>
        <w:t>dose trial and in another single</w:t>
      </w:r>
      <w:r w:rsidR="007403C6">
        <w:t xml:space="preserve"> </w:t>
      </w:r>
      <w:r>
        <w:t xml:space="preserve">dose trial (Trial CN138-020), the PK profiles and clinical data for </w:t>
      </w:r>
      <w:proofErr w:type="spellStart"/>
      <w:r>
        <w:t>aripiprazole</w:t>
      </w:r>
      <w:proofErr w:type="spellEnd"/>
      <w:r>
        <w:t xml:space="preserve"> IM depot 400</w:t>
      </w:r>
      <w:r w:rsidR="007403C6">
        <w:t xml:space="preserve"> </w:t>
      </w:r>
      <w:r>
        <w:t>mg/300</w:t>
      </w:r>
      <w:r w:rsidR="007403C6">
        <w:t xml:space="preserve"> </w:t>
      </w:r>
      <w:r>
        <w:t xml:space="preserve">mg suggested that these doses would be efficacious and tolerable, and thus, both were further investigated in the </w:t>
      </w:r>
      <w:r w:rsidR="007403C6">
        <w:t>P</w:t>
      </w:r>
      <w:r>
        <w:t xml:space="preserve">hase </w:t>
      </w:r>
      <w:r w:rsidR="007403C6">
        <w:t>III</w:t>
      </w:r>
      <w:r>
        <w:t xml:space="preserve"> trials.</w:t>
      </w:r>
    </w:p>
    <w:p w14:paraId="2812F561" w14:textId="77777777" w:rsidR="00E01F69" w:rsidRPr="00CB36DF" w:rsidRDefault="00E01F69" w:rsidP="00393B90">
      <w:pPr>
        <w:pStyle w:val="Heading3"/>
      </w:pPr>
      <w:bookmarkStart w:id="117" w:name="_Toc163441372"/>
      <w:bookmarkStart w:id="118" w:name="_Toc196046485"/>
      <w:bookmarkStart w:id="119" w:name="_Toc247691521"/>
      <w:bookmarkStart w:id="120" w:name="_Toc314842504"/>
      <w:bookmarkStart w:id="121" w:name="_Toc384807762"/>
      <w:bookmarkStart w:id="122" w:name="_Toc408924925"/>
      <w:r w:rsidRPr="00254787">
        <w:t>Efficacy</w:t>
      </w:r>
      <w:bookmarkEnd w:id="117"/>
      <w:bookmarkEnd w:id="118"/>
      <w:bookmarkEnd w:id="119"/>
      <w:bookmarkEnd w:id="120"/>
      <w:bookmarkEnd w:id="121"/>
      <w:bookmarkEnd w:id="122"/>
    </w:p>
    <w:p w14:paraId="2812F562" w14:textId="77777777" w:rsidR="00E01F69" w:rsidRDefault="00E01F69" w:rsidP="00393B90">
      <w:pPr>
        <w:pStyle w:val="Heading4"/>
      </w:pPr>
      <w:r>
        <w:t>Studies providing efficacy data</w:t>
      </w:r>
    </w:p>
    <w:p w14:paraId="2812F563" w14:textId="77777777" w:rsidR="00CB36DF" w:rsidRDefault="00CB36DF" w:rsidP="00393B90">
      <w:r>
        <w:t>Pivotal efficacy/safety studies submitted included:</w:t>
      </w:r>
    </w:p>
    <w:p w14:paraId="2812F564" w14:textId="77777777" w:rsidR="00CB36DF" w:rsidRDefault="00B277C4" w:rsidP="00393B90">
      <w:pPr>
        <w:pStyle w:val="ListBullet"/>
        <w:numPr>
          <w:ilvl w:val="0"/>
          <w:numId w:val="9"/>
        </w:numPr>
      </w:pPr>
      <w:r>
        <w:t xml:space="preserve">Trial </w:t>
      </w:r>
      <w:r w:rsidR="00CB36DF">
        <w:t>31-07-246 - A 52-week, Multi</w:t>
      </w:r>
      <w:r>
        <w:t>-</w:t>
      </w:r>
      <w:r w:rsidR="00CB36DF">
        <w:t>cent</w:t>
      </w:r>
      <w:r>
        <w:t>re</w:t>
      </w:r>
      <w:r w:rsidR="00CB36DF">
        <w:t xml:space="preserve">, Randomized, Double-blind, Placebo-controlled Study to Evaluate the Efficacy, Safety, and Tolerability of an Intramuscular </w:t>
      </w:r>
      <w:r w:rsidR="00CB36DF">
        <w:lastRenderedPageBreak/>
        <w:t xml:space="preserve">Depot Formulation of </w:t>
      </w:r>
      <w:proofErr w:type="spellStart"/>
      <w:r w:rsidR="00CB36DF">
        <w:t>Aripiprazole</w:t>
      </w:r>
      <w:proofErr w:type="spellEnd"/>
      <w:r w:rsidR="00CB36DF">
        <w:t xml:space="preserve"> as Maintenance Treatment in Patients with Schizophrenia ˝ASPIRE US’</w:t>
      </w:r>
    </w:p>
    <w:p w14:paraId="2812F565" w14:textId="77777777" w:rsidR="00CB36DF" w:rsidRDefault="00B277C4" w:rsidP="00393B90">
      <w:pPr>
        <w:pStyle w:val="ListBullet"/>
        <w:numPr>
          <w:ilvl w:val="0"/>
          <w:numId w:val="9"/>
        </w:numPr>
      </w:pPr>
      <w:r>
        <w:t xml:space="preserve">Trial </w:t>
      </w:r>
      <w:r w:rsidR="00CB36DF">
        <w:t>31-07-247 - 38-week, Multi</w:t>
      </w:r>
      <w:r>
        <w:t>-</w:t>
      </w:r>
      <w:r w:rsidR="00CB36DF">
        <w:t>cent</w:t>
      </w:r>
      <w:r>
        <w:t>re</w:t>
      </w:r>
      <w:r w:rsidR="00CB36DF">
        <w:t xml:space="preserve">, Randomized, Double-blind, Active-controlled Study to Evaluate the Efficacy, Safety, and Tolerability of an Intramuscular Depot Formulation of </w:t>
      </w:r>
      <w:proofErr w:type="spellStart"/>
      <w:r w:rsidR="00CB36DF">
        <w:t>Aripiprazole</w:t>
      </w:r>
      <w:proofErr w:type="spellEnd"/>
      <w:r w:rsidR="00CB36DF">
        <w:t xml:space="preserve"> as Maintenance Treatment in Patients with Schizophrenia</w:t>
      </w:r>
      <w:r w:rsidR="00CB36DF">
        <w:rPr>
          <w:rStyle w:val="FootnoteReference"/>
        </w:rPr>
        <w:footnoteReference w:id="15"/>
      </w:r>
      <w:r w:rsidR="00CB36DF">
        <w:t xml:space="preserve"> ˝ASPIRE EU’</w:t>
      </w:r>
    </w:p>
    <w:p w14:paraId="2812F566" w14:textId="77777777" w:rsidR="00CB36DF" w:rsidRPr="00CB36DF" w:rsidRDefault="00CB36DF" w:rsidP="00393B90">
      <w:r>
        <w:t xml:space="preserve">Other efficacy data were also included (see </w:t>
      </w:r>
      <w:r w:rsidRPr="00CB36DF">
        <w:rPr>
          <w:i/>
        </w:rPr>
        <w:t>Scope of the clinical dossier</w:t>
      </w:r>
      <w:r>
        <w:t xml:space="preserve"> above).</w:t>
      </w:r>
    </w:p>
    <w:p w14:paraId="2812F567" w14:textId="2B342660" w:rsidR="00E01F69" w:rsidRPr="003C0A48" w:rsidRDefault="004C67AA" w:rsidP="00C5733F">
      <w:pPr>
        <w:pStyle w:val="Heading4"/>
      </w:pPr>
      <w:r>
        <w:t xml:space="preserve">Evaluator’s </w:t>
      </w:r>
      <w:r w:rsidR="00CB36DF">
        <w:t>summary of the</w:t>
      </w:r>
      <w:r>
        <w:t xml:space="preserve"> </w:t>
      </w:r>
      <w:r w:rsidR="00CB36DF" w:rsidRPr="003C0A48">
        <w:t xml:space="preserve">clinical </w:t>
      </w:r>
      <w:r>
        <w:t>efficacy</w:t>
      </w:r>
      <w:bookmarkStart w:id="123" w:name="_Ref271126605"/>
      <w:bookmarkStart w:id="124" w:name="_Toc272414657"/>
      <w:bookmarkStart w:id="125" w:name="_Toc290846282"/>
      <w:bookmarkStart w:id="126" w:name="_Ref366236899"/>
      <w:bookmarkStart w:id="127" w:name="_Toc381104205"/>
      <w:r w:rsidR="00CB36DF">
        <w:t xml:space="preserve"> </w:t>
      </w:r>
      <w:r w:rsidR="00E01F69" w:rsidRPr="003C0A48">
        <w:t>for</w:t>
      </w:r>
      <w:r w:rsidR="00E01F69">
        <w:t xml:space="preserve"> </w:t>
      </w:r>
      <w:bookmarkEnd w:id="123"/>
      <w:bookmarkEnd w:id="124"/>
      <w:bookmarkEnd w:id="125"/>
      <w:r w:rsidR="00E01F69" w:rsidRPr="00C86842">
        <w:t>the treatment of schizophrenia</w:t>
      </w:r>
      <w:bookmarkEnd w:id="126"/>
      <w:bookmarkEnd w:id="127"/>
    </w:p>
    <w:p w14:paraId="2812F568" w14:textId="7E916748" w:rsidR="00E01F69" w:rsidRDefault="00E01F69" w:rsidP="00393B90">
      <w:pPr>
        <w:pStyle w:val="Heading5"/>
      </w:pPr>
      <w:bookmarkStart w:id="128" w:name="_Toc381104206"/>
      <w:r>
        <w:t>Guidance</w:t>
      </w:r>
      <w:bookmarkEnd w:id="128"/>
    </w:p>
    <w:p w14:paraId="2812F569" w14:textId="77777777" w:rsidR="00E01F69" w:rsidRDefault="00E01F69" w:rsidP="00393B90">
      <w:pPr>
        <w:pStyle w:val="Heading6"/>
      </w:pPr>
      <w:r w:rsidRPr="00001AC0">
        <w:t>CPMP/EWP/49/01 Appendix to the Note for Guidance on the Clinical Investigation of Medicinal Products in the Treatment of Schizophrenia - Methodology of Clinical Trials Concerning the Development of Depot Preparations of Approved Medicinal Products in Schizophrenia.</w:t>
      </w:r>
    </w:p>
    <w:p w14:paraId="2812F56A" w14:textId="77777777" w:rsidR="00E01F69" w:rsidRDefault="00E01F69" w:rsidP="00393B90">
      <w:pPr>
        <w:pStyle w:val="ListBullet"/>
      </w:pPr>
      <w:r>
        <w:t>The efficacy and safety of the compound are known and it is not necessary to show this in itself for the depot formulation, provided no specific claims are made.</w:t>
      </w:r>
    </w:p>
    <w:p w14:paraId="2812F56B" w14:textId="77777777" w:rsidR="00E01F69" w:rsidRDefault="00E01F69" w:rsidP="00393B90">
      <w:pPr>
        <w:pStyle w:val="ListBullet"/>
      </w:pPr>
      <w:r>
        <w:t>It is of importance to know whether the new formulation affects efficacy or safety in comparison to the oral formulation.</w:t>
      </w:r>
    </w:p>
    <w:p w14:paraId="2812F56C" w14:textId="77777777" w:rsidR="00E01F69" w:rsidRDefault="00E01F69" w:rsidP="00393B90">
      <w:pPr>
        <w:pStyle w:val="ListBullet"/>
      </w:pPr>
      <w:r>
        <w:t xml:space="preserve">The purpose of the study is to show non-inferiority of the depot formulation versus the oral formulation. This can be done in various ways, </w:t>
      </w:r>
      <w:r w:rsidR="00CB36DF">
        <w:t>for example,</w:t>
      </w:r>
      <w:r>
        <w:t xml:space="preserve"> by showing that the situation at baseline is maintained or improved to the same extent or by using relapse/deterioration as endpoint.</w:t>
      </w:r>
    </w:p>
    <w:p w14:paraId="2812F56D" w14:textId="77777777" w:rsidR="00E01F69" w:rsidRDefault="00E01F69" w:rsidP="00393B90">
      <w:pPr>
        <w:pStyle w:val="ListBullet"/>
      </w:pPr>
      <w:r>
        <w:t>The results should demonstrate non-inferiority. The non-inferiority margin should be defined in advance and justified, taking into account among others, the available efficacy data and the patient population, the duration of the trial and the endpoint.</w:t>
      </w:r>
    </w:p>
    <w:p w14:paraId="2812F56E" w14:textId="77777777" w:rsidR="00E01F69" w:rsidRDefault="00E01F69" w:rsidP="00393B90">
      <w:pPr>
        <w:pStyle w:val="ListBullet"/>
      </w:pPr>
      <w:r>
        <w:t>Assay sensitivity needs to be addressed. One way to address this could be to include a placebo arm. Alternatively the trial could include various dose arms.</w:t>
      </w:r>
    </w:p>
    <w:p w14:paraId="2812F56F" w14:textId="77777777" w:rsidR="00E01F69" w:rsidRDefault="00E01F69" w:rsidP="00393B90">
      <w:pPr>
        <w:pStyle w:val="ListBullet"/>
      </w:pPr>
      <w:r>
        <w:t>Placebo, as an additional arm would ensure assay sensitivity but might be less feasible in this setting.</w:t>
      </w:r>
    </w:p>
    <w:p w14:paraId="2812F570" w14:textId="77777777" w:rsidR="00E01F69" w:rsidRDefault="00E01F69" w:rsidP="00393B90">
      <w:pPr>
        <w:pStyle w:val="ListBullet"/>
      </w:pPr>
      <w:r>
        <w:t>Efficacy should be scored by using appropriate scales, the choice of which should be justified. Maintenance of effect can be assessed by comparing scores at baseline and end of the trial. Relapse/deterioration, expressed as number of patients relapsing and/or time to relapse is another option and might be a more sensitive.</w:t>
      </w:r>
    </w:p>
    <w:p w14:paraId="2812F571" w14:textId="77777777" w:rsidR="00E01F69" w:rsidRDefault="00E01F69" w:rsidP="00393B90">
      <w:pPr>
        <w:pStyle w:val="ListBullet"/>
      </w:pPr>
      <w:r>
        <w:t>Duration of 3 months of the double blind maintenance period will be acceptable, depending on the inter-injection interval, but a longer duration (</w:t>
      </w:r>
      <w:r w:rsidR="00CB36DF">
        <w:t>for example,</w:t>
      </w:r>
      <w:r>
        <w:t xml:space="preserve"> 6 months) might increase the assurance that the study indeed has sufficient assay sensitivity.</w:t>
      </w:r>
    </w:p>
    <w:p w14:paraId="2812F572" w14:textId="77777777" w:rsidR="00E01F69" w:rsidRDefault="00E01F69" w:rsidP="00393B90">
      <w:pPr>
        <w:pStyle w:val="Heading6"/>
      </w:pPr>
      <w:r w:rsidRPr="00C92443">
        <w:t>CPMP/EWP/2330/99 Points to Consider on Application with</w:t>
      </w:r>
      <w:r>
        <w:t xml:space="preserve"> </w:t>
      </w:r>
      <w:r w:rsidRPr="00C92443">
        <w:t>1. Meta-Analyses;</w:t>
      </w:r>
      <w:r>
        <w:t xml:space="preserve"> </w:t>
      </w:r>
      <w:r w:rsidRPr="00C92443">
        <w:t>2. One Pivotal Study</w:t>
      </w:r>
    </w:p>
    <w:p w14:paraId="2812F573" w14:textId="77777777" w:rsidR="00E01F69" w:rsidRDefault="00E01F69" w:rsidP="00393B90">
      <w:r>
        <w:t xml:space="preserve">The fundamental requirement on the </w:t>
      </w:r>
      <w:r w:rsidR="00CB36DF">
        <w:t>P</w:t>
      </w:r>
      <w:r>
        <w:t xml:space="preserve">hase III documentation is that it consists of adequate and well-controlled data of good quality from a sufficient number of patients, with a sufficient variety of symptoms and disease conditions, collected by a sufficient </w:t>
      </w:r>
      <w:r>
        <w:lastRenderedPageBreak/>
        <w:t>number of investigators, demonstrating a positive benefit/risk in the intended population at the intended dose and manner of use.</w:t>
      </w:r>
    </w:p>
    <w:p w14:paraId="2812F574" w14:textId="77777777" w:rsidR="00E01F69" w:rsidRDefault="00E01F69" w:rsidP="00393B90">
      <w:r>
        <w:t>The minimum requirement is generally one controlled study with statistically compelling and clinically relevant results.</w:t>
      </w:r>
    </w:p>
    <w:p w14:paraId="2812F575" w14:textId="77777777" w:rsidR="00E01F69" w:rsidRDefault="00E01F69" w:rsidP="00393B90">
      <w:r>
        <w:t>Special attention will be paid to:</w:t>
      </w:r>
    </w:p>
    <w:p w14:paraId="2812F576" w14:textId="77777777" w:rsidR="00E01F69" w:rsidRDefault="00E01F69" w:rsidP="00C5733F">
      <w:pPr>
        <w:pStyle w:val="ListBullet"/>
      </w:pPr>
      <w:r>
        <w:t xml:space="preserve">The internal validity. </w:t>
      </w:r>
      <w:r w:rsidRPr="00C5733F">
        <w:t>There</w:t>
      </w:r>
      <w:r>
        <w:t xml:space="preserve"> should be no indications of a potential bias.</w:t>
      </w:r>
    </w:p>
    <w:p w14:paraId="2812F577" w14:textId="77777777" w:rsidR="00E01F69" w:rsidRDefault="00E01F69" w:rsidP="00393B90">
      <w:pPr>
        <w:pStyle w:val="ListBullet"/>
      </w:pPr>
      <w:r>
        <w:t>The external validity. The study population should be suitable for extrapolation to the population to be treated.</w:t>
      </w:r>
    </w:p>
    <w:p w14:paraId="2812F578" w14:textId="77777777" w:rsidR="00E01F69" w:rsidRDefault="00E01F69" w:rsidP="00393B90">
      <w:pPr>
        <w:pStyle w:val="ListBullet"/>
      </w:pPr>
      <w:r>
        <w:t>Clinical relevance. The estimated size of treatment benefit must be large enough to be clinically valuable.</w:t>
      </w:r>
    </w:p>
    <w:p w14:paraId="2812F579" w14:textId="77777777" w:rsidR="00E01F69" w:rsidRDefault="00E01F69" w:rsidP="00393B90">
      <w:pPr>
        <w:pStyle w:val="ListBullet"/>
      </w:pPr>
      <w:r>
        <w:t xml:space="preserve">The degree of statistical significance. Statistical evidence considerably stronger than p &lt; 0.05 is usually required, accompanied by precise estimates of treatment effects, </w:t>
      </w:r>
      <w:r w:rsidR="00CB36DF">
        <w:t>that is,</w:t>
      </w:r>
      <w:r>
        <w:t xml:space="preserve"> narrow confidence intervals. The required degree of significance will depend on factors such as the therapeutic indication the primary endpoint, the amount of supportive data and whether the alternative analyses demonstrating consistency are pre-specified. When the aim is to demonstrate non-inferiority, one study is more likely to be accepted if the lower 95% confidence bound is well away from the non-inferiority margin.</w:t>
      </w:r>
    </w:p>
    <w:p w14:paraId="2812F57A" w14:textId="77777777" w:rsidR="00E01F69" w:rsidRDefault="00E01F69" w:rsidP="00393B90">
      <w:pPr>
        <w:pStyle w:val="ListBullet"/>
      </w:pPr>
      <w:r>
        <w:t>Data quality.</w:t>
      </w:r>
    </w:p>
    <w:p w14:paraId="2812F57B" w14:textId="77777777" w:rsidR="00E01F69" w:rsidRDefault="00E01F69" w:rsidP="00393B90">
      <w:pPr>
        <w:pStyle w:val="ListBullet"/>
      </w:pPr>
      <w:r>
        <w:t>Internal consistency. Similar effects demonstrated in different pre</w:t>
      </w:r>
      <w:r w:rsidR="00CB36DF">
        <w:t xml:space="preserve"> </w:t>
      </w:r>
      <w:r>
        <w:t>specified sub-populations. All-important endpoints showing similar findings.</w:t>
      </w:r>
    </w:p>
    <w:p w14:paraId="2812F57C" w14:textId="77777777" w:rsidR="00E01F69" w:rsidRDefault="00E01F69" w:rsidP="00393B90">
      <w:pPr>
        <w:pStyle w:val="ListBullet"/>
      </w:pPr>
      <w:r>
        <w:t>Centre effects. None of the study centres should dominate the overall result, neither in terms of number of subjects nor in terms of magnitude of effect.</w:t>
      </w:r>
    </w:p>
    <w:p w14:paraId="2812F57D" w14:textId="77777777" w:rsidR="00E01F69" w:rsidRDefault="00E01F69" w:rsidP="00393B90">
      <w:pPr>
        <w:pStyle w:val="ListBullet"/>
      </w:pPr>
      <w:r>
        <w:t>The plausibility of the hypothesis tested.</w:t>
      </w:r>
    </w:p>
    <w:p w14:paraId="5E8258F2" w14:textId="7EEFD1A7" w:rsidR="00A8453E" w:rsidRDefault="00A8453E" w:rsidP="00393B90">
      <w:r>
        <w:t xml:space="preserve">Details of </w:t>
      </w:r>
      <w:r w:rsidRPr="00B12A79">
        <w:t>Study 31-07-246</w:t>
      </w:r>
      <w:r>
        <w:t xml:space="preserve"> Aspire US and Study 31-07-247 </w:t>
      </w:r>
      <w:r w:rsidR="000F503D">
        <w:t>Aspire EU</w:t>
      </w:r>
      <w:r>
        <w:t xml:space="preserve"> can be found in Attachment 2.</w:t>
      </w:r>
    </w:p>
    <w:p w14:paraId="2812F57E" w14:textId="7CAEEF40" w:rsidR="00E01F69" w:rsidRDefault="00CB36DF" w:rsidP="00393B90">
      <w:pPr>
        <w:pStyle w:val="Heading5"/>
      </w:pPr>
      <w:bookmarkStart w:id="129" w:name="_Toc381104207"/>
      <w:r w:rsidRPr="003C0A48">
        <w:t xml:space="preserve">Evaluator’s </w:t>
      </w:r>
      <w:r w:rsidR="00393B90">
        <w:t>c</w:t>
      </w:r>
      <w:r w:rsidRPr="003C0A48">
        <w:t>onclusions</w:t>
      </w:r>
      <w:bookmarkEnd w:id="129"/>
    </w:p>
    <w:p w14:paraId="2812F57F" w14:textId="77777777" w:rsidR="00E01F69" w:rsidRDefault="00E01F69" w:rsidP="00393B90">
      <w:r>
        <w:t>The submission rests for efficacy on 2 studies.</w:t>
      </w:r>
    </w:p>
    <w:p w14:paraId="2812F580" w14:textId="77777777" w:rsidR="00E01F69" w:rsidRDefault="00E01F69" w:rsidP="00393B90">
      <w:r w:rsidRPr="003C0A48">
        <w:t>S</w:t>
      </w:r>
      <w:r>
        <w:t xml:space="preserve">tudy </w:t>
      </w:r>
      <w:r w:rsidRPr="00C86842">
        <w:t>31-07-246</w:t>
      </w:r>
      <w:r>
        <w:t xml:space="preserve"> was a comparison with placebo that by its interim analysis was able to show efficacy and in order to minimise exposure of participants to placebo was terminated after the interim analysis. Thus the sponsor says the requirements of efficacy for FDA registration were met.</w:t>
      </w:r>
    </w:p>
    <w:p w14:paraId="2812F581" w14:textId="25087ABD" w:rsidR="00E01F69" w:rsidRDefault="00E01F69" w:rsidP="00393B90">
      <w:r>
        <w:t>At 3</w:t>
      </w:r>
      <w:r w:rsidR="00CB36DF">
        <w:t xml:space="preserve"> </w:t>
      </w:r>
      <w:r>
        <w:t xml:space="preserve">months there were 123 patients on </w:t>
      </w:r>
      <w:proofErr w:type="spellStart"/>
      <w:r>
        <w:t>aripiprazole</w:t>
      </w:r>
      <w:proofErr w:type="spellEnd"/>
      <w:r>
        <w:t xml:space="preserve"> IM depot and 47 on placebo. PK data suggests steady state is reached by the </w:t>
      </w:r>
      <w:r w:rsidR="00CB36DF">
        <w:t>fourth</w:t>
      </w:r>
      <w:r>
        <w:t xml:space="preserve"> injection (</w:t>
      </w:r>
      <w:r w:rsidR="00CB36DF">
        <w:t>that is,</w:t>
      </w:r>
      <w:r>
        <w:t xml:space="preserve"> at the end of 3 months after the initial injection).</w:t>
      </w:r>
    </w:p>
    <w:p w14:paraId="4AC81604" w14:textId="77777777" w:rsidR="00897ACE" w:rsidRPr="00892573" w:rsidRDefault="00897ACE" w:rsidP="00393B90">
      <w:r w:rsidRPr="00892573">
        <w:t>The interim analysis of efficacy data (which included 344 randomized subjects and 64 events of</w:t>
      </w:r>
      <w:r>
        <w:t xml:space="preserve"> </w:t>
      </w:r>
      <w:r w:rsidRPr="00892573">
        <w:t xml:space="preserve">impending relapse </w:t>
      </w:r>
      <w:r w:rsidRPr="00892573">
        <w:rPr>
          <w:rFonts w:cs="Cambria Math"/>
        </w:rPr>
        <w:t>‐</w:t>
      </w:r>
      <w:r w:rsidRPr="00892573">
        <w:t xml:space="preserve"> 50% of the projected total of 125 events), showed that time to impending</w:t>
      </w:r>
      <w:r>
        <w:t xml:space="preserve"> </w:t>
      </w:r>
      <w:r w:rsidRPr="00892573">
        <w:t xml:space="preserve">relapse was significantly shorter for subjects on placebo compared to </w:t>
      </w:r>
      <w:proofErr w:type="spellStart"/>
      <w:r w:rsidRPr="00892573">
        <w:t>aripiprazole</w:t>
      </w:r>
      <w:proofErr w:type="spellEnd"/>
      <w:r w:rsidRPr="00892573">
        <w:t xml:space="preserve"> IM depot (p &lt;</w:t>
      </w:r>
      <w:r>
        <w:t xml:space="preserve"> </w:t>
      </w:r>
      <w:r w:rsidRPr="00892573">
        <w:t>0.0001; log</w:t>
      </w:r>
      <w:r w:rsidRPr="00892573">
        <w:rPr>
          <w:rFonts w:cs="Cambria Math"/>
        </w:rPr>
        <w:t>‐</w:t>
      </w:r>
      <w:r w:rsidRPr="00892573">
        <w:t>rank test). Accordingly the study was terminated, during the process of which an</w:t>
      </w:r>
      <w:r>
        <w:t xml:space="preserve"> </w:t>
      </w:r>
      <w:r w:rsidRPr="00892573">
        <w:t>additional 16 impending relapse events occurred, thus the final efficacy analysis included 403</w:t>
      </w:r>
      <w:r>
        <w:t xml:space="preserve"> </w:t>
      </w:r>
      <w:r w:rsidRPr="00892573">
        <w:t xml:space="preserve">randomized subjects and 80 impending relapse events, 27/269 (10.0%) on </w:t>
      </w:r>
      <w:proofErr w:type="spellStart"/>
      <w:r w:rsidRPr="00892573">
        <w:t>aripiprazole</w:t>
      </w:r>
      <w:proofErr w:type="spellEnd"/>
      <w:r w:rsidRPr="00892573">
        <w:t xml:space="preserve"> IM depot</w:t>
      </w:r>
      <w:r>
        <w:t xml:space="preserve"> </w:t>
      </w:r>
      <w:r w:rsidRPr="00892573">
        <w:t>and 53/134 (39.6%) on placebo.</w:t>
      </w:r>
    </w:p>
    <w:p w14:paraId="5649790D" w14:textId="77777777" w:rsidR="00383EA8" w:rsidRDefault="00383EA8" w:rsidP="00393B90">
      <w:r w:rsidRPr="00892573">
        <w:t>The final analysis showed that the time to impending relapse was significantly shorter for subjects</w:t>
      </w:r>
      <w:r>
        <w:t xml:space="preserve"> </w:t>
      </w:r>
      <w:r w:rsidRPr="00892573">
        <w:t xml:space="preserve">on placebo compared with subjects on </w:t>
      </w:r>
      <w:proofErr w:type="spellStart"/>
      <w:r w:rsidRPr="00892573">
        <w:t>aripiprazole</w:t>
      </w:r>
      <w:proofErr w:type="spellEnd"/>
      <w:r w:rsidRPr="00892573">
        <w:t xml:space="preserve"> IM depot (p &lt; 0.0001; log</w:t>
      </w:r>
      <w:r w:rsidRPr="00892573">
        <w:rPr>
          <w:rFonts w:cs="Cambria Math"/>
        </w:rPr>
        <w:t>‐</w:t>
      </w:r>
      <w:r w:rsidRPr="00892573">
        <w:t>rank test). The hazard</w:t>
      </w:r>
      <w:r>
        <w:t xml:space="preserve"> </w:t>
      </w:r>
      <w:r w:rsidRPr="00892573">
        <w:t xml:space="preserve">ratio from the Cox proportional hazard model for the placebo to </w:t>
      </w:r>
      <w:proofErr w:type="spellStart"/>
      <w:r w:rsidRPr="00892573">
        <w:t>aripiprazole</w:t>
      </w:r>
      <w:proofErr w:type="spellEnd"/>
      <w:r w:rsidRPr="00892573">
        <w:t xml:space="preserve"> IM depot comparison</w:t>
      </w:r>
      <w:r>
        <w:t xml:space="preserve"> </w:t>
      </w:r>
      <w:r w:rsidRPr="00892573">
        <w:t>was 5.029 (95% CI = 3.154, 8.018).</w:t>
      </w:r>
    </w:p>
    <w:p w14:paraId="2812F582" w14:textId="77777777" w:rsidR="00E01F69" w:rsidRPr="00503B8E" w:rsidRDefault="00E01F69" w:rsidP="00393B90">
      <w:r w:rsidRPr="003C0A48">
        <w:lastRenderedPageBreak/>
        <w:t>S</w:t>
      </w:r>
      <w:r>
        <w:t>tudy 31-07-247 was intended to compare efficacy of the IM depot with the oral formulation and ensure assay sensitivity by using various dose arms. However despite there not being provision for an interim analysis, some analysis was undertaken because, almost 3</w:t>
      </w:r>
      <w:r w:rsidR="00CB36DF">
        <w:t xml:space="preserve"> </w:t>
      </w:r>
      <w:r>
        <w:t xml:space="preserve">years into the trial, </w:t>
      </w:r>
      <w:r w:rsidRPr="006A300A">
        <w:t>the primary efficacy endpoint was changed because of a lower than anticipated relapse rate.</w:t>
      </w:r>
      <w:r>
        <w:t xml:space="preserve"> As a result </w:t>
      </w:r>
      <w:r w:rsidRPr="00503B8E">
        <w:t xml:space="preserve">the primary efficacy endpoint was changed from </w:t>
      </w:r>
      <w:r w:rsidR="004F5EC1">
        <w:t>‘</w:t>
      </w:r>
      <w:r w:rsidRPr="00CB36DF">
        <w:rPr>
          <w:i/>
        </w:rPr>
        <w:t>time from randomization to exacerbation of psychotic symptoms/impending relapse in Phase 3</w:t>
      </w:r>
      <w:r w:rsidR="004F5EC1" w:rsidRPr="00CB36DF">
        <w:rPr>
          <w:i/>
        </w:rPr>
        <w:t>’</w:t>
      </w:r>
      <w:r w:rsidRPr="00503B8E">
        <w:t xml:space="preserve"> to </w:t>
      </w:r>
      <w:r w:rsidR="004F5EC1">
        <w:t>‘</w:t>
      </w:r>
      <w:r w:rsidRPr="00CB36DF">
        <w:rPr>
          <w:i/>
        </w:rPr>
        <w:t xml:space="preserve">the proportion of subjects experiencing exacerbation of psychotic symptoms/impending relapse by end of 26 weeks of treatment from the date of randomization in Phase 3, in schizophrenic subjects who have maintained stability on oral </w:t>
      </w:r>
      <w:proofErr w:type="spellStart"/>
      <w:r w:rsidRPr="00CB36DF">
        <w:rPr>
          <w:i/>
        </w:rPr>
        <w:t>aripiprazole</w:t>
      </w:r>
      <w:proofErr w:type="spellEnd"/>
      <w:r w:rsidRPr="00CB36DF">
        <w:rPr>
          <w:i/>
        </w:rPr>
        <w:t xml:space="preserve"> for at least 8 consecutive weeks in Phase 2 of the study</w:t>
      </w:r>
      <w:r w:rsidRPr="00503B8E">
        <w:t>.</w:t>
      </w:r>
      <w:r w:rsidR="004F5EC1">
        <w:t>’</w:t>
      </w:r>
      <w:r w:rsidRPr="00503B8E">
        <w:t xml:space="preserve"> </w:t>
      </w:r>
      <w:r>
        <w:t>Although not submitted there must have been a change to the primary objective too since it refers to the primary endpoint in specific terms. This also means that the non-inferiority margin was no longer predefined. The original primary endpoint failed to meet the non-inferiority margins.</w:t>
      </w:r>
    </w:p>
    <w:p w14:paraId="2812F583" w14:textId="77777777" w:rsidR="00E01F69" w:rsidRDefault="00E01F69" w:rsidP="00393B90">
      <w:r>
        <w:t xml:space="preserve">The options this evaluator sees for </w:t>
      </w:r>
      <w:r w:rsidR="00CB36DF">
        <w:t>S</w:t>
      </w:r>
      <w:r>
        <w:t>tudy 31-07-247are</w:t>
      </w:r>
    </w:p>
    <w:p w14:paraId="2812F584" w14:textId="496732AA" w:rsidR="00E01F69" w:rsidRDefault="00E01F69" w:rsidP="00393B90">
      <w:pPr>
        <w:pStyle w:val="ListBullet"/>
      </w:pPr>
      <w:r>
        <w:t>To reject it on the basis that it has flawed methodology from changing the primary endpoint (and hence th</w:t>
      </w:r>
      <w:r w:rsidR="00393B90">
        <w:t>e primary objective) mid-study.</w:t>
      </w:r>
    </w:p>
    <w:p w14:paraId="2812F585" w14:textId="77777777" w:rsidR="00E01F69" w:rsidRDefault="00E01F69" w:rsidP="00393B90">
      <w:pPr>
        <w:pStyle w:val="ListBullet"/>
      </w:pPr>
      <w:r>
        <w:t>To accept the methodology as constituting a new trial started mid study. This leaves the original study abandoned as a failure (it failed to achieve its primary endpoint anyway). It also requires a new population since one of the exclusion criteria precluded the use of the original trial participants in the new trial.</w:t>
      </w:r>
      <w:r>
        <w:rPr>
          <w:rStyle w:val="FootnoteReference"/>
        </w:rPr>
        <w:footnoteReference w:id="16"/>
      </w:r>
      <w:r>
        <w:t xml:space="preserve"> Even if this is overlooked, and the new trial is accepted as incorporating the original population as well, the 2 results (from the first part of the trial v</w:t>
      </w:r>
      <w:r w:rsidR="00CB36DF">
        <w:t>ersus</w:t>
      </w:r>
      <w:r>
        <w:t xml:space="preserve"> the second part of the trial) cancel each other for efficacy.</w:t>
      </w:r>
    </w:p>
    <w:p w14:paraId="2812F586" w14:textId="246260FB" w:rsidR="00E01F69" w:rsidRDefault="00E01F69" w:rsidP="00393B90">
      <w:r>
        <w:t>This evaluator believes the former</w:t>
      </w:r>
      <w:r w:rsidR="00CB36DF">
        <w:t>, that is, that</w:t>
      </w:r>
      <w:r>
        <w:t xml:space="preserve"> rejection on the basis of flawed methodolo</w:t>
      </w:r>
      <w:r w:rsidR="00393B90">
        <w:t>gy is the appropriate approach.</w:t>
      </w:r>
    </w:p>
    <w:p w14:paraId="2812F587" w14:textId="3CECDBBB" w:rsidR="00CB36DF" w:rsidRDefault="00E01F69" w:rsidP="00393B90">
      <w:r>
        <w:t xml:space="preserve">The other studies looking at various aspects of efficacy were incomplete at the time of submission and were submitted for evidence of safety. The PK comparison of oral and IM formulations while showing comparability of AUC, show very different </w:t>
      </w:r>
      <w:proofErr w:type="spellStart"/>
      <w:r>
        <w:t>C</w:t>
      </w:r>
      <w:r w:rsidRPr="00683C46">
        <w:rPr>
          <w:vertAlign w:val="subscript"/>
        </w:rPr>
        <w:t>max</w:t>
      </w:r>
      <w:proofErr w:type="spellEnd"/>
      <w:r>
        <w:t xml:space="preserve"> results as well as there being concerns of sub therapeutic concentrations</w:t>
      </w:r>
      <w:r w:rsidR="00393B90">
        <w:t>.</w:t>
      </w:r>
    </w:p>
    <w:p w14:paraId="2812F588" w14:textId="5EB3629B" w:rsidR="00E01F69" w:rsidRPr="00CB36DF" w:rsidRDefault="00E01F69" w:rsidP="00393B90">
      <w:r w:rsidRPr="00CB36DF">
        <w:t xml:space="preserve">The evidence of efficacy of the IM depot formulation thus rests on the single </w:t>
      </w:r>
      <w:r w:rsidR="00CB36DF" w:rsidRPr="00CB36DF">
        <w:t>S</w:t>
      </w:r>
      <w:r w:rsidRPr="00CB36DF">
        <w:t>tudy 31-07-</w:t>
      </w:r>
      <w:r w:rsidR="00393B90">
        <w:t>246.</w:t>
      </w:r>
    </w:p>
    <w:p w14:paraId="2812F589" w14:textId="77777777" w:rsidR="004C67AA" w:rsidRPr="002E238E" w:rsidRDefault="004C67AA" w:rsidP="00393B90">
      <w:pPr>
        <w:pStyle w:val="Heading3"/>
      </w:pPr>
      <w:bookmarkStart w:id="130" w:name="_Toc163441378"/>
      <w:bookmarkStart w:id="131" w:name="_Toc196046495"/>
      <w:bookmarkStart w:id="132" w:name="_Toc247691522"/>
      <w:bookmarkStart w:id="133" w:name="_Toc314842505"/>
      <w:bookmarkStart w:id="134" w:name="_Toc384807763"/>
      <w:bookmarkStart w:id="135" w:name="_Toc408924926"/>
      <w:bookmarkEnd w:id="113"/>
      <w:bookmarkEnd w:id="114"/>
      <w:bookmarkEnd w:id="115"/>
      <w:bookmarkEnd w:id="116"/>
      <w:r w:rsidRPr="002E238E">
        <w:t>Safety</w:t>
      </w:r>
      <w:bookmarkEnd w:id="130"/>
      <w:bookmarkEnd w:id="131"/>
      <w:bookmarkEnd w:id="132"/>
      <w:bookmarkEnd w:id="133"/>
      <w:bookmarkEnd w:id="134"/>
      <w:bookmarkEnd w:id="135"/>
    </w:p>
    <w:p w14:paraId="2812F58A" w14:textId="77777777" w:rsidR="004C67AA" w:rsidRDefault="004C67AA" w:rsidP="00393B90">
      <w:pPr>
        <w:pStyle w:val="Heading4"/>
      </w:pPr>
      <w:bookmarkStart w:id="136" w:name="_Toc247691524"/>
      <w:bookmarkStart w:id="137" w:name="_Toc314842508"/>
      <w:bookmarkStart w:id="138" w:name="_Toc196046504"/>
      <w:bookmarkStart w:id="139" w:name="_Toc163441390"/>
      <w:r w:rsidRPr="00605AD4">
        <w:t>Studies providing safety data</w:t>
      </w:r>
    </w:p>
    <w:p w14:paraId="2812F58B" w14:textId="4AB38CD6" w:rsidR="00E01F69" w:rsidRDefault="00E01F69" w:rsidP="00393B90">
      <w:r>
        <w:t xml:space="preserve">The main safety data set was from pooling data from the double-blind phases of the 2 completed </w:t>
      </w:r>
      <w:r w:rsidR="00CB36DF">
        <w:t>P</w:t>
      </w:r>
      <w:r>
        <w:t xml:space="preserve">hase </w:t>
      </w:r>
      <w:r w:rsidR="00CB36DF">
        <w:t>III</w:t>
      </w:r>
      <w:r w:rsidR="00393B90">
        <w:t xml:space="preserve"> trials (Controlled Trials).</w:t>
      </w:r>
    </w:p>
    <w:p w14:paraId="2812F58C" w14:textId="77777777" w:rsidR="00E01F69" w:rsidRDefault="00E01F69" w:rsidP="00393B90">
      <w:r>
        <w:t xml:space="preserve">Pooled data from any of the </w:t>
      </w:r>
      <w:proofErr w:type="spellStart"/>
      <w:r>
        <w:t>aripiprazole</w:t>
      </w:r>
      <w:proofErr w:type="spellEnd"/>
      <w:r>
        <w:t xml:space="preserve"> IM depot schizophrenia trials (except Trial 031-08-003) was used to allow detection of rare events, (All Trials).</w:t>
      </w:r>
    </w:p>
    <w:p w14:paraId="2812F58D" w14:textId="77777777" w:rsidR="004C67AA" w:rsidRDefault="004C67AA" w:rsidP="00393B90">
      <w:pPr>
        <w:pStyle w:val="Heading4"/>
      </w:pPr>
      <w:r w:rsidRPr="00605AD4">
        <w:t>Patient exposure</w:t>
      </w:r>
    </w:p>
    <w:p w14:paraId="2812F58E" w14:textId="77777777" w:rsidR="00E01F69" w:rsidRDefault="00E01F69" w:rsidP="00393B90">
      <w:r>
        <w:t>At the time of cut-off (</w:t>
      </w:r>
      <w:r w:rsidRPr="00B56934">
        <w:t>2 April 2012</w:t>
      </w:r>
      <w:r>
        <w:t>):</w:t>
      </w:r>
    </w:p>
    <w:p w14:paraId="2812F58F" w14:textId="6D92A196" w:rsidR="00E01F69" w:rsidRPr="00393B90" w:rsidRDefault="00E01F69" w:rsidP="00393B90">
      <w:pPr>
        <w:pStyle w:val="ListBullet"/>
      </w:pPr>
      <w:r w:rsidRPr="00393B90">
        <w:lastRenderedPageBreak/>
        <w:t xml:space="preserve">Overall, 1,624 adult subjects with schizophrenia had received </w:t>
      </w:r>
      <w:proofErr w:type="spellStart"/>
      <w:r w:rsidRPr="00393B90">
        <w:t>aripiprazole</w:t>
      </w:r>
      <w:proofErr w:type="spellEnd"/>
      <w:r w:rsidRPr="00393B90">
        <w:t xml:space="preserve"> IM depot (15</w:t>
      </w:r>
      <w:r w:rsidR="00CB36DF" w:rsidRPr="00393B90">
        <w:t xml:space="preserve"> to </w:t>
      </w:r>
      <w:r w:rsidRPr="00393B90">
        <w:t>400</w:t>
      </w:r>
      <w:r w:rsidR="00CB36DF" w:rsidRPr="00393B90">
        <w:t xml:space="preserve"> </w:t>
      </w:r>
      <w:r w:rsidR="00393B90">
        <w:t>mg)</w:t>
      </w:r>
    </w:p>
    <w:p w14:paraId="2812F590" w14:textId="2355869E" w:rsidR="00E01F69" w:rsidRPr="00393B90" w:rsidRDefault="00E01F69" w:rsidP="00393B90">
      <w:pPr>
        <w:pStyle w:val="ListBullet"/>
      </w:pPr>
      <w:r w:rsidRPr="00393B90">
        <w:t xml:space="preserve">1,539 subjects had received </w:t>
      </w:r>
      <w:proofErr w:type="spellStart"/>
      <w:r w:rsidRPr="00393B90">
        <w:t>aripiprazole</w:t>
      </w:r>
      <w:proofErr w:type="spellEnd"/>
      <w:r w:rsidRPr="00393B90">
        <w:t xml:space="preserve"> IM depot 400/300</w:t>
      </w:r>
      <w:r w:rsidR="00CB36DF" w:rsidRPr="00393B90">
        <w:t xml:space="preserve"> </w:t>
      </w:r>
      <w:r w:rsidR="00393B90">
        <w:t>mg</w:t>
      </w:r>
    </w:p>
    <w:p w14:paraId="2812F591" w14:textId="7E99D53E" w:rsidR="00E01F69" w:rsidRPr="00393B90" w:rsidRDefault="00E01F69" w:rsidP="00393B90">
      <w:pPr>
        <w:pStyle w:val="ListBullet"/>
      </w:pPr>
      <w:r w:rsidRPr="00393B90">
        <w:t xml:space="preserve">995 subjects have received </w:t>
      </w:r>
      <w:r w:rsidR="00CB36DF" w:rsidRPr="00393B90">
        <w:t>≥</w:t>
      </w:r>
      <w:r w:rsidRPr="00393B90">
        <w:t xml:space="preserve"> 7 </w:t>
      </w:r>
      <w:proofErr w:type="spellStart"/>
      <w:r w:rsidRPr="00393B90">
        <w:t>aripiprazole</w:t>
      </w:r>
      <w:proofErr w:type="spellEnd"/>
      <w:r w:rsidRPr="00393B90">
        <w:t xml:space="preserve"> IM depot 400/300mg injections (</w:t>
      </w:r>
      <w:r w:rsidR="00CB36DF" w:rsidRPr="00393B90">
        <w:t>that is,</w:t>
      </w:r>
      <w:r w:rsidRPr="00393B90">
        <w:t xml:space="preserve"> had been treated for </w:t>
      </w:r>
      <w:r w:rsidR="00CB36DF" w:rsidRPr="00393B90">
        <w:t>≥</w:t>
      </w:r>
      <w:r w:rsidR="00393B90">
        <w:t xml:space="preserve"> 6 months)</w:t>
      </w:r>
    </w:p>
    <w:p w14:paraId="2812F592" w14:textId="429CFFD1" w:rsidR="00E01F69" w:rsidRPr="00393B90" w:rsidRDefault="00E01F69" w:rsidP="00393B90">
      <w:pPr>
        <w:pStyle w:val="ListBullet"/>
      </w:pPr>
      <w:r w:rsidRPr="00393B90">
        <w:t xml:space="preserve">784 subjects had received </w:t>
      </w:r>
      <w:r w:rsidR="00CB36DF" w:rsidRPr="00393B90">
        <w:t>≥</w:t>
      </w:r>
      <w:r w:rsidRPr="00393B90">
        <w:t xml:space="preserve"> 13 injections (</w:t>
      </w:r>
      <w:r w:rsidR="00CB36DF" w:rsidRPr="00393B90">
        <w:t>that is,</w:t>
      </w:r>
      <w:r w:rsidRPr="00393B90">
        <w:t xml:space="preserve"> have been treated for </w:t>
      </w:r>
      <w:r w:rsidR="00CB36DF" w:rsidRPr="00393B90">
        <w:t>≥</w:t>
      </w:r>
      <w:r w:rsidR="00393B90">
        <w:t xml:space="preserve"> 12 months)</w:t>
      </w:r>
    </w:p>
    <w:p w14:paraId="2812F593" w14:textId="77777777" w:rsidR="00E01F69" w:rsidRPr="00393B90" w:rsidRDefault="00E01F69" w:rsidP="00393B90">
      <w:pPr>
        <w:pStyle w:val="ListBullet"/>
      </w:pPr>
      <w:r w:rsidRPr="00393B90">
        <w:t xml:space="preserve">244 subjects have received </w:t>
      </w:r>
      <w:r w:rsidR="00CB36DF" w:rsidRPr="00393B90">
        <w:t>≥</w:t>
      </w:r>
      <w:r w:rsidRPr="00393B90">
        <w:t xml:space="preserve"> 26 injections (</w:t>
      </w:r>
      <w:r w:rsidR="00CB36DF" w:rsidRPr="00393B90">
        <w:t>that is,</w:t>
      </w:r>
      <w:r w:rsidRPr="00393B90">
        <w:t xml:space="preserve"> have been treated for </w:t>
      </w:r>
      <w:r w:rsidR="00CB36DF" w:rsidRPr="00393B90">
        <w:t>≥</w:t>
      </w:r>
      <w:r w:rsidRPr="00393B90">
        <w:t xml:space="preserve"> 24 months).</w:t>
      </w:r>
    </w:p>
    <w:p w14:paraId="2812F594" w14:textId="37F18711" w:rsidR="009B7633" w:rsidRDefault="009B7633" w:rsidP="009B7633">
      <w:bookmarkStart w:id="140" w:name="_Toc381104336"/>
      <w:r>
        <w:t xml:space="preserve">See Tables </w:t>
      </w:r>
      <w:r w:rsidR="00393B90">
        <w:t>4</w:t>
      </w:r>
      <w:r>
        <w:t xml:space="preserve"> and </w:t>
      </w:r>
      <w:r w:rsidR="00393B90">
        <w:t>5</w:t>
      </w:r>
      <w:r>
        <w:t xml:space="preserve"> for summaries of patient exposure by number of consecutive injections and subjects having ≥1 injection, respectively. </w:t>
      </w:r>
    </w:p>
    <w:p w14:paraId="2812F595" w14:textId="2B5A4331" w:rsidR="00E01F69" w:rsidRDefault="00E01F69" w:rsidP="00393B90">
      <w:pPr>
        <w:pStyle w:val="TableTitle"/>
      </w:pPr>
      <w:r>
        <w:t xml:space="preserve">Table </w:t>
      </w:r>
      <w:r w:rsidR="00393B90">
        <w:t>4</w:t>
      </w:r>
      <w:r w:rsidR="00CB36DF">
        <w:t>.</w:t>
      </w:r>
      <w:r>
        <w:t xml:space="preserve"> Exposure to </w:t>
      </w:r>
      <w:proofErr w:type="spellStart"/>
      <w:r>
        <w:t>Aripiprazole</w:t>
      </w:r>
      <w:proofErr w:type="spellEnd"/>
      <w:r>
        <w:t xml:space="preserve"> IM Depot by Number of Consecutive Injections (Controlled Trials)</w:t>
      </w:r>
      <w:bookmarkEnd w:id="140"/>
    </w:p>
    <w:p w14:paraId="2812F596" w14:textId="77777777" w:rsidR="00E01F69" w:rsidRDefault="00E01F69" w:rsidP="00E01F69">
      <w:r>
        <w:rPr>
          <w:noProof/>
          <w:lang w:eastAsia="en-AU"/>
        </w:rPr>
        <w:drawing>
          <wp:inline distT="0" distB="0" distL="0" distR="0" wp14:anchorId="2812F71A" wp14:editId="08C65E35">
            <wp:extent cx="4914604" cy="2447779"/>
            <wp:effectExtent l="19050" t="19050" r="19685" b="10160"/>
            <wp:docPr id="139" name="Picture 10" descr="Table 4. Exposure to Aripiprazole IM Depot by Number of Consecutive Injections (Controlled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cstate="print"/>
                    <a:srcRect l="849" t="1658" b="1940"/>
                    <a:stretch/>
                  </pic:blipFill>
                  <pic:spPr bwMode="auto">
                    <a:xfrm>
                      <a:off x="0" y="0"/>
                      <a:ext cx="4931133" cy="2456011"/>
                    </a:xfrm>
                    <a:prstGeom prst="rect">
                      <a:avLst/>
                    </a:prstGeom>
                    <a:noFill/>
                    <a:ln w="19050"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14:paraId="2812F597" w14:textId="77777777" w:rsidR="00E01F69" w:rsidRPr="0089197D" w:rsidRDefault="00E01F69" w:rsidP="00C5733F">
      <w:pPr>
        <w:pStyle w:val="TableDescription"/>
      </w:pPr>
      <w:r w:rsidRPr="00393B90">
        <w:t xml:space="preserve">a </w:t>
      </w:r>
      <w:r w:rsidRPr="0089197D">
        <w:t>Matching placebo injection. NA = not applicable.</w:t>
      </w:r>
      <w:r w:rsidR="00CB36DF">
        <w:t xml:space="preserve"> </w:t>
      </w:r>
      <w:r>
        <w:t xml:space="preserve"> </w:t>
      </w:r>
      <w:r w:rsidRPr="0089197D">
        <w:t>Up to 10 injections in Trial 31-07-247 and up to 13 injections in Trial 31-07-246.</w:t>
      </w:r>
    </w:p>
    <w:p w14:paraId="2812F598" w14:textId="79714D43" w:rsidR="00E01F69" w:rsidRPr="0089197D" w:rsidRDefault="00E01F69" w:rsidP="00393B90">
      <w:pPr>
        <w:pStyle w:val="TableTitle"/>
      </w:pPr>
      <w:bookmarkStart w:id="141" w:name="_Toc381104337"/>
      <w:r>
        <w:t xml:space="preserve">Table </w:t>
      </w:r>
      <w:r w:rsidR="00393B90">
        <w:t>5</w:t>
      </w:r>
      <w:r w:rsidR="009B7633">
        <w:t>.</w:t>
      </w:r>
      <w:r>
        <w:t xml:space="preserve"> </w:t>
      </w:r>
      <w:r w:rsidRPr="0089197D">
        <w:t xml:space="preserve">Extent of Exposure to </w:t>
      </w:r>
      <w:proofErr w:type="spellStart"/>
      <w:r w:rsidRPr="0089197D">
        <w:t>Aripiprazole</w:t>
      </w:r>
      <w:proofErr w:type="spellEnd"/>
      <w:r w:rsidRPr="0089197D">
        <w:t xml:space="preserve"> IM Depot: Subjects Having </w:t>
      </w:r>
      <w:r w:rsidR="009B7633">
        <w:t>≥</w:t>
      </w:r>
      <w:r w:rsidRPr="0089197D">
        <w:t xml:space="preserve"> 1 </w:t>
      </w:r>
      <w:proofErr w:type="spellStart"/>
      <w:r w:rsidRPr="0089197D">
        <w:t>Aripiprazole</w:t>
      </w:r>
      <w:proofErr w:type="spellEnd"/>
      <w:r w:rsidRPr="0089197D">
        <w:t xml:space="preserve"> IM Depot Injection (All Trials)</w:t>
      </w:r>
      <w:bookmarkEnd w:id="141"/>
    </w:p>
    <w:tbl>
      <w:tblPr>
        <w:tblStyle w:val="TableTGAblue"/>
        <w:tblW w:w="0" w:type="auto"/>
        <w:tblInd w:w="108" w:type="dxa"/>
        <w:tblLook w:val="04A0" w:firstRow="1" w:lastRow="0" w:firstColumn="1" w:lastColumn="0" w:noHBand="0" w:noVBand="1"/>
      </w:tblPr>
      <w:tblGrid>
        <w:gridCol w:w="4536"/>
        <w:gridCol w:w="1258"/>
        <w:gridCol w:w="1287"/>
        <w:gridCol w:w="1287"/>
      </w:tblGrid>
      <w:tr w:rsidR="00E01F69" w:rsidRPr="0089197D" w14:paraId="2812F59D" w14:textId="77777777" w:rsidTr="00B277C4">
        <w:trPr>
          <w:cnfStyle w:val="100000000000" w:firstRow="1" w:lastRow="0" w:firstColumn="0" w:lastColumn="0" w:oddVBand="0" w:evenVBand="0" w:oddHBand="0" w:evenHBand="0" w:firstRowFirstColumn="0" w:firstRowLastColumn="0" w:lastRowFirstColumn="0" w:lastRowLastColumn="0"/>
        </w:trPr>
        <w:tc>
          <w:tcPr>
            <w:tcW w:w="4536" w:type="dxa"/>
            <w:hideMark/>
          </w:tcPr>
          <w:p w14:paraId="2812F599" w14:textId="77777777" w:rsidR="00E01F69" w:rsidRPr="0089197D" w:rsidRDefault="00E01F69" w:rsidP="00393B90">
            <w:r w:rsidRPr="0089197D">
              <w:t>Number of subjects</w:t>
            </w:r>
          </w:p>
        </w:tc>
        <w:tc>
          <w:tcPr>
            <w:tcW w:w="1194" w:type="dxa"/>
            <w:hideMark/>
          </w:tcPr>
          <w:p w14:paraId="2812F59A" w14:textId="77777777" w:rsidR="00E01F69" w:rsidRPr="0089197D" w:rsidRDefault="00E01F69" w:rsidP="00393B90">
            <w:r w:rsidRPr="0089197D">
              <w:t xml:space="preserve">ARIP-IMD &lt; 300mg </w:t>
            </w:r>
          </w:p>
        </w:tc>
        <w:tc>
          <w:tcPr>
            <w:tcW w:w="1285" w:type="dxa"/>
            <w:hideMark/>
          </w:tcPr>
          <w:p w14:paraId="2812F59B" w14:textId="41DB83D9" w:rsidR="00E01F69" w:rsidRPr="0089197D" w:rsidRDefault="00C5733F" w:rsidP="00393B90">
            <w:r>
              <w:t>ARIP-IMD 300-400mg</w:t>
            </w:r>
          </w:p>
        </w:tc>
        <w:tc>
          <w:tcPr>
            <w:tcW w:w="1221" w:type="dxa"/>
            <w:hideMark/>
          </w:tcPr>
          <w:p w14:paraId="2812F59C" w14:textId="77777777" w:rsidR="00E01F69" w:rsidRPr="0089197D" w:rsidRDefault="00E01F69" w:rsidP="00393B90">
            <w:r w:rsidRPr="0089197D">
              <w:t>ARIP-IMD 15-400mg</w:t>
            </w:r>
          </w:p>
        </w:tc>
      </w:tr>
      <w:tr w:rsidR="00E01F69" w:rsidRPr="0089197D" w14:paraId="2812F5A2" w14:textId="77777777" w:rsidTr="00B277C4">
        <w:tc>
          <w:tcPr>
            <w:tcW w:w="4536" w:type="dxa"/>
            <w:hideMark/>
          </w:tcPr>
          <w:p w14:paraId="2812F59E" w14:textId="77777777" w:rsidR="00E01F69" w:rsidRPr="0089197D" w:rsidRDefault="00E01F69" w:rsidP="00393B90">
            <w:r w:rsidRPr="0089197D">
              <w:t>Treated</w:t>
            </w:r>
          </w:p>
        </w:tc>
        <w:tc>
          <w:tcPr>
            <w:tcW w:w="1194" w:type="dxa"/>
            <w:hideMark/>
          </w:tcPr>
          <w:p w14:paraId="2812F59F" w14:textId="77777777" w:rsidR="00E01F69" w:rsidRPr="0089197D" w:rsidRDefault="00E01F69" w:rsidP="00393B90">
            <w:r w:rsidRPr="0089197D">
              <w:t>168</w:t>
            </w:r>
          </w:p>
        </w:tc>
        <w:tc>
          <w:tcPr>
            <w:tcW w:w="1285" w:type="dxa"/>
            <w:hideMark/>
          </w:tcPr>
          <w:p w14:paraId="2812F5A0" w14:textId="77777777" w:rsidR="00E01F69" w:rsidRPr="0089197D" w:rsidRDefault="00E01F69" w:rsidP="00393B90">
            <w:r w:rsidRPr="0089197D">
              <w:t>1539</w:t>
            </w:r>
          </w:p>
        </w:tc>
        <w:tc>
          <w:tcPr>
            <w:tcW w:w="1221" w:type="dxa"/>
            <w:hideMark/>
          </w:tcPr>
          <w:p w14:paraId="2812F5A1" w14:textId="77777777" w:rsidR="00E01F69" w:rsidRPr="0089197D" w:rsidRDefault="00E01F69" w:rsidP="00393B90">
            <w:r w:rsidRPr="0089197D">
              <w:t>1624</w:t>
            </w:r>
          </w:p>
        </w:tc>
      </w:tr>
      <w:tr w:rsidR="00E01F69" w:rsidRPr="0089197D" w14:paraId="2812F5A7" w14:textId="77777777" w:rsidTr="00B277C4">
        <w:tc>
          <w:tcPr>
            <w:tcW w:w="4536" w:type="dxa"/>
            <w:hideMark/>
          </w:tcPr>
          <w:p w14:paraId="2812F5A3" w14:textId="77777777" w:rsidR="00E01F69" w:rsidRPr="0089197D" w:rsidRDefault="00E01F69" w:rsidP="00393B90">
            <w:r w:rsidRPr="0089197D">
              <w:t xml:space="preserve">Total </w:t>
            </w:r>
            <w:proofErr w:type="spellStart"/>
            <w:r w:rsidRPr="0089197D">
              <w:t>aripiprazole</w:t>
            </w:r>
            <w:proofErr w:type="spellEnd"/>
            <w:r w:rsidRPr="0089197D">
              <w:t xml:space="preserve"> IMD injections</w:t>
            </w:r>
          </w:p>
        </w:tc>
        <w:tc>
          <w:tcPr>
            <w:tcW w:w="1194" w:type="dxa"/>
            <w:hideMark/>
          </w:tcPr>
          <w:p w14:paraId="2812F5A4" w14:textId="77777777" w:rsidR="00E01F69" w:rsidRPr="0089197D" w:rsidRDefault="00E01F69" w:rsidP="00393B90">
            <w:r w:rsidRPr="0089197D">
              <w:t>948</w:t>
            </w:r>
          </w:p>
        </w:tc>
        <w:tc>
          <w:tcPr>
            <w:tcW w:w="1285" w:type="dxa"/>
            <w:hideMark/>
          </w:tcPr>
          <w:p w14:paraId="2812F5A5" w14:textId="77777777" w:rsidR="00E01F69" w:rsidRPr="0089197D" w:rsidRDefault="00E01F69" w:rsidP="00393B90">
            <w:r w:rsidRPr="0089197D">
              <w:t>21030</w:t>
            </w:r>
          </w:p>
        </w:tc>
        <w:tc>
          <w:tcPr>
            <w:tcW w:w="1221" w:type="dxa"/>
            <w:hideMark/>
          </w:tcPr>
          <w:p w14:paraId="2812F5A6" w14:textId="77777777" w:rsidR="00E01F69" w:rsidRPr="0089197D" w:rsidRDefault="00E01F69" w:rsidP="00393B90">
            <w:r w:rsidRPr="0089197D">
              <w:t>21978</w:t>
            </w:r>
          </w:p>
        </w:tc>
      </w:tr>
      <w:tr w:rsidR="00E01F69" w:rsidRPr="0089197D" w14:paraId="2812F5AC" w14:textId="77777777" w:rsidTr="00B277C4">
        <w:tc>
          <w:tcPr>
            <w:tcW w:w="4536" w:type="dxa"/>
            <w:hideMark/>
          </w:tcPr>
          <w:p w14:paraId="2812F5A8" w14:textId="77777777" w:rsidR="00E01F69" w:rsidRPr="0089197D" w:rsidRDefault="00E01F69" w:rsidP="00393B90">
            <w:r w:rsidRPr="0089197D">
              <w:t xml:space="preserve">Total days of exposure to </w:t>
            </w:r>
            <w:proofErr w:type="spellStart"/>
            <w:r w:rsidRPr="0089197D">
              <w:t>aripiprazole</w:t>
            </w:r>
            <w:proofErr w:type="spellEnd"/>
            <w:r w:rsidRPr="0089197D">
              <w:t xml:space="preserve"> IMD</w:t>
            </w:r>
          </w:p>
        </w:tc>
        <w:tc>
          <w:tcPr>
            <w:tcW w:w="1194" w:type="dxa"/>
            <w:hideMark/>
          </w:tcPr>
          <w:p w14:paraId="2812F5A9" w14:textId="77777777" w:rsidR="00E01F69" w:rsidRPr="0089197D" w:rsidRDefault="00E01F69" w:rsidP="00393B90">
            <w:r w:rsidRPr="0089197D">
              <w:t>26428</w:t>
            </w:r>
          </w:p>
        </w:tc>
        <w:tc>
          <w:tcPr>
            <w:tcW w:w="1285" w:type="dxa"/>
            <w:hideMark/>
          </w:tcPr>
          <w:p w14:paraId="2812F5AA" w14:textId="77777777" w:rsidR="00E01F69" w:rsidRPr="0089197D" w:rsidRDefault="00E01F69" w:rsidP="00393B90">
            <w:r w:rsidRPr="0089197D">
              <w:t>590702</w:t>
            </w:r>
          </w:p>
        </w:tc>
        <w:tc>
          <w:tcPr>
            <w:tcW w:w="1221" w:type="dxa"/>
            <w:hideMark/>
          </w:tcPr>
          <w:p w14:paraId="2812F5AB" w14:textId="77777777" w:rsidR="00E01F69" w:rsidRPr="0089197D" w:rsidRDefault="00E01F69" w:rsidP="00393B90">
            <w:r w:rsidRPr="0089197D">
              <w:t>617130</w:t>
            </w:r>
          </w:p>
        </w:tc>
      </w:tr>
      <w:tr w:rsidR="00E01F69" w:rsidRPr="0089197D" w14:paraId="2812F5B1" w14:textId="77777777" w:rsidTr="00B277C4">
        <w:tc>
          <w:tcPr>
            <w:tcW w:w="4536" w:type="dxa"/>
            <w:hideMark/>
          </w:tcPr>
          <w:p w14:paraId="2812F5AD" w14:textId="77777777" w:rsidR="00E01F69" w:rsidRPr="0089197D" w:rsidRDefault="00E01F69" w:rsidP="00393B90">
            <w:r w:rsidRPr="0089197D">
              <w:t xml:space="preserve">Total years of exposure to </w:t>
            </w:r>
            <w:proofErr w:type="spellStart"/>
            <w:r w:rsidRPr="0089197D">
              <w:t>aripiprazole</w:t>
            </w:r>
            <w:proofErr w:type="spellEnd"/>
            <w:r w:rsidRPr="0089197D">
              <w:t xml:space="preserve"> IMD (PEY)¹</w:t>
            </w:r>
          </w:p>
        </w:tc>
        <w:tc>
          <w:tcPr>
            <w:tcW w:w="1194" w:type="dxa"/>
            <w:hideMark/>
          </w:tcPr>
          <w:p w14:paraId="2812F5AE" w14:textId="77777777" w:rsidR="00E01F69" w:rsidRPr="0089197D" w:rsidRDefault="00E01F69" w:rsidP="00393B90">
            <w:r w:rsidRPr="0089197D">
              <w:t>72.4</w:t>
            </w:r>
          </w:p>
        </w:tc>
        <w:tc>
          <w:tcPr>
            <w:tcW w:w="1285" w:type="dxa"/>
            <w:hideMark/>
          </w:tcPr>
          <w:p w14:paraId="2812F5AF" w14:textId="77777777" w:rsidR="00E01F69" w:rsidRPr="0089197D" w:rsidRDefault="00E01F69" w:rsidP="00393B90">
            <w:r w:rsidRPr="0089197D">
              <w:t>1617.3</w:t>
            </w:r>
          </w:p>
        </w:tc>
        <w:tc>
          <w:tcPr>
            <w:tcW w:w="1221" w:type="dxa"/>
            <w:hideMark/>
          </w:tcPr>
          <w:p w14:paraId="2812F5B0" w14:textId="77777777" w:rsidR="00E01F69" w:rsidRPr="0089197D" w:rsidRDefault="00E01F69" w:rsidP="00393B90">
            <w:r w:rsidRPr="0089197D">
              <w:t>1689.6</w:t>
            </w:r>
          </w:p>
        </w:tc>
      </w:tr>
    </w:tbl>
    <w:p w14:paraId="2812F5B2" w14:textId="48860E26" w:rsidR="00E01F69" w:rsidRPr="0089197D" w:rsidRDefault="00E01F69" w:rsidP="00393B90">
      <w:pPr>
        <w:pStyle w:val="TableDescription"/>
      </w:pPr>
      <w:r w:rsidRPr="0089197D">
        <w:t xml:space="preserve">¹PEY = Subjects total days of exposure to </w:t>
      </w:r>
      <w:proofErr w:type="spellStart"/>
      <w:r w:rsidRPr="0089197D">
        <w:t>Aripiprazole</w:t>
      </w:r>
      <w:proofErr w:type="spellEnd"/>
      <w:r w:rsidRPr="0089197D">
        <w:t xml:space="preserve"> IMD / 365.25</w:t>
      </w:r>
    </w:p>
    <w:p w14:paraId="2812F5B3" w14:textId="77777777" w:rsidR="004C67AA" w:rsidRDefault="004C67AA" w:rsidP="00393B90">
      <w:pPr>
        <w:pStyle w:val="Heading4"/>
      </w:pPr>
      <w:r w:rsidRPr="00605AD4">
        <w:lastRenderedPageBreak/>
        <w:t>Safety issues with the potential for major regulatory impact</w:t>
      </w:r>
    </w:p>
    <w:p w14:paraId="2812F5B4" w14:textId="77777777" w:rsidR="00E01F69" w:rsidRPr="006304A1" w:rsidRDefault="00E01F69" w:rsidP="00393B90">
      <w:pPr>
        <w:pStyle w:val="Heading5"/>
      </w:pPr>
      <w:bookmarkStart w:id="142" w:name="_Toc272414683"/>
      <w:bookmarkStart w:id="143" w:name="_Toc290846321"/>
      <w:bookmarkStart w:id="144" w:name="_Toc381104228"/>
      <w:r>
        <w:t xml:space="preserve">Injection </w:t>
      </w:r>
      <w:r w:rsidR="009B7633">
        <w:t>s</w:t>
      </w:r>
      <w:r>
        <w:t>ite</w:t>
      </w:r>
      <w:r w:rsidRPr="006304A1">
        <w:t xml:space="preserve"> reactions</w:t>
      </w:r>
      <w:bookmarkEnd w:id="142"/>
      <w:bookmarkEnd w:id="143"/>
      <w:bookmarkEnd w:id="144"/>
    </w:p>
    <w:p w14:paraId="2812F5B5" w14:textId="77777777" w:rsidR="00E01F69" w:rsidRPr="009B7633" w:rsidRDefault="00E01F69" w:rsidP="00393B90">
      <w:pPr>
        <w:rPr>
          <w:rFonts w:asciiTheme="minorHAnsi" w:hAnsiTheme="minorHAnsi"/>
        </w:rPr>
      </w:pPr>
      <w:r w:rsidRPr="009B7633">
        <w:rPr>
          <w:rStyle w:val="Heading6Char"/>
          <w:rFonts w:eastAsia="Cambria"/>
        </w:rPr>
        <w:t>Controlled Trials</w:t>
      </w:r>
      <w:r w:rsidRPr="00AE6E25">
        <w:t>: 37/534 (6.9%) subjects on IM depot 400/300</w:t>
      </w:r>
      <w:r w:rsidR="009B7633">
        <w:t xml:space="preserve"> </w:t>
      </w:r>
      <w:r w:rsidRPr="00AE6E25">
        <w:t>mg, 7/266 (2.6%) subjects on tablets, 1/131 (0.8%) subjects on IM depot 50/25</w:t>
      </w:r>
      <w:r w:rsidR="009B7633">
        <w:t xml:space="preserve"> </w:t>
      </w:r>
      <w:r w:rsidRPr="00AE6E25">
        <w:t xml:space="preserve">mg and 5/134 (3.7%) placebo subjects experienced AEs related to the injection </w:t>
      </w:r>
      <w:r w:rsidRPr="009B7633">
        <w:rPr>
          <w:rFonts w:asciiTheme="minorHAnsi" w:hAnsiTheme="minorHAnsi"/>
        </w:rPr>
        <w:t>site.</w:t>
      </w:r>
      <w:r w:rsidRPr="009B7633">
        <w:rPr>
          <w:rStyle w:val="FootnoteReference"/>
          <w:rFonts w:asciiTheme="minorHAnsi" w:hAnsiTheme="minorHAnsi"/>
        </w:rPr>
        <w:footnoteReference w:id="17"/>
      </w:r>
      <w:r w:rsidRPr="009B7633">
        <w:rPr>
          <w:rFonts w:asciiTheme="minorHAnsi" w:hAnsiTheme="minorHAnsi"/>
        </w:rPr>
        <w:t xml:space="preserve"> Injection site reactions reported by subjects on tablets included injection site pain (6/266, 2.3%), injection site erythema (3/266, 1.1%), and injection site induration and injection site swelling (each in 2/266, 0.8%). In the placebo group, injection site-related </w:t>
      </w:r>
      <w:r w:rsidR="009B7633" w:rsidRPr="009B7633">
        <w:rPr>
          <w:rFonts w:asciiTheme="minorHAnsi" w:hAnsiTheme="minorHAnsi"/>
        </w:rPr>
        <w:t>treatment emergent AEs (</w:t>
      </w:r>
      <w:r w:rsidRPr="009B7633">
        <w:rPr>
          <w:rFonts w:asciiTheme="minorHAnsi" w:hAnsiTheme="minorHAnsi"/>
        </w:rPr>
        <w:t>TEAEs</w:t>
      </w:r>
      <w:r w:rsidR="009B7633" w:rsidRPr="009B7633">
        <w:rPr>
          <w:rFonts w:asciiTheme="minorHAnsi" w:hAnsiTheme="minorHAnsi"/>
        </w:rPr>
        <w:t>)</w:t>
      </w:r>
      <w:r w:rsidRPr="009B7633">
        <w:rPr>
          <w:rFonts w:asciiTheme="minorHAnsi" w:hAnsiTheme="minorHAnsi"/>
        </w:rPr>
        <w:t xml:space="preserve"> included injection site pain (5/134, 3.7%) and injection site erythema (1/134, 0.7%).</w:t>
      </w:r>
    </w:p>
    <w:p w14:paraId="2812F5B6" w14:textId="77777777" w:rsidR="00E01F69" w:rsidRPr="009B7633" w:rsidRDefault="00E01F69" w:rsidP="00393B90">
      <w:r w:rsidRPr="009B7633">
        <w:t>In the IM depot 50/25</w:t>
      </w:r>
      <w:r w:rsidR="009B7633" w:rsidRPr="009B7633">
        <w:t xml:space="preserve"> </w:t>
      </w:r>
      <w:r w:rsidRPr="009B7633">
        <w:t xml:space="preserve">mg group, injection site-related AEs included injection site pain (1/131, 0.8%). In the </w:t>
      </w:r>
      <w:proofErr w:type="spellStart"/>
      <w:r w:rsidRPr="009B7633">
        <w:t>aripiprazole</w:t>
      </w:r>
      <w:proofErr w:type="spellEnd"/>
      <w:r w:rsidRPr="009B7633">
        <w:t xml:space="preserve"> IM depot 400/300</w:t>
      </w:r>
      <w:r w:rsidR="009B7633" w:rsidRPr="009B7633">
        <w:t xml:space="preserve"> </w:t>
      </w:r>
      <w:r w:rsidRPr="009B7633">
        <w:t xml:space="preserve">mg group, injection site-related AEs included injection site pain (28/534 subjects, 5.2%), injection site induration (8/534, 1.5%), injection site swelling (3/534, 0.6%), injection site erythema (3/534, 0.6%), and injection site discomfort, injection site </w:t>
      </w:r>
      <w:proofErr w:type="spellStart"/>
      <w:r w:rsidRPr="009B7633">
        <w:t>pruritis</w:t>
      </w:r>
      <w:proofErr w:type="spellEnd"/>
      <w:r w:rsidRPr="009B7633">
        <w:t>, injection site reaction and vessel puncture site pain (each in 1/534, 0.2%).</w:t>
      </w:r>
    </w:p>
    <w:p w14:paraId="2812F5B7" w14:textId="368FF136" w:rsidR="00E01F69" w:rsidRPr="009B7633" w:rsidRDefault="00E01F69" w:rsidP="00393B90">
      <w:pPr>
        <w:pStyle w:val="Heading6"/>
      </w:pPr>
      <w:r w:rsidRPr="009B7633">
        <w:t xml:space="preserve">VAS </w:t>
      </w:r>
      <w:r w:rsidR="00C5733F">
        <w:t>s</w:t>
      </w:r>
      <w:r w:rsidRPr="009B7633">
        <w:t xml:space="preserve">cores and </w:t>
      </w:r>
      <w:r w:rsidR="00393B90">
        <w:t>i</w:t>
      </w:r>
      <w:r w:rsidRPr="009B7633">
        <w:t xml:space="preserve">nvestigator </w:t>
      </w:r>
      <w:r w:rsidR="00393B90">
        <w:t>a</w:t>
      </w:r>
      <w:r w:rsidRPr="009B7633">
        <w:t>ssessments</w:t>
      </w:r>
      <w:r w:rsidRPr="009B7633">
        <w:rPr>
          <w:rStyle w:val="FootnoteReference"/>
          <w:rFonts w:asciiTheme="minorHAnsi" w:hAnsiTheme="minorHAnsi"/>
        </w:rPr>
        <w:footnoteReference w:id="18"/>
      </w:r>
    </w:p>
    <w:p w14:paraId="2812F5B8" w14:textId="77777777" w:rsidR="00E01F69" w:rsidRPr="00AE6E25" w:rsidRDefault="00E01F69" w:rsidP="00393B90">
      <w:r w:rsidRPr="00AE6E25">
        <w:t xml:space="preserve">Trial 31-07-247 Double-blind, Active-controlled Phase, the subjects mean VAS pain score on IM </w:t>
      </w:r>
      <w:r w:rsidRPr="009B7633">
        <w:t>depot 400/300</w:t>
      </w:r>
      <w:r w:rsidR="009B7633" w:rsidRPr="009B7633">
        <w:t xml:space="preserve"> </w:t>
      </w:r>
      <w:r w:rsidRPr="009B7633">
        <w:t>mg was 5.6 after the first injection and 3.7 after the last, for subjects on tablets</w:t>
      </w:r>
      <w:r w:rsidRPr="009B7633">
        <w:rPr>
          <w:rStyle w:val="FootnoteReference"/>
          <w:rFonts w:asciiTheme="minorHAnsi" w:hAnsiTheme="minorHAnsi"/>
        </w:rPr>
        <w:footnoteReference w:id="19"/>
      </w:r>
      <w:r w:rsidRPr="009B7633">
        <w:t xml:space="preserve"> mean VAS was 4.9 (first injection) and 3.5 (last injection), for IM depot 50/25</w:t>
      </w:r>
      <w:r w:rsidR="009B7633" w:rsidRPr="009B7633">
        <w:t xml:space="preserve"> </w:t>
      </w:r>
      <w:r w:rsidRPr="009B7633">
        <w:t>mg mean VAS was 3.3 (first injection) and 2</w:t>
      </w:r>
      <w:r w:rsidRPr="00AE6E25">
        <w:t>.4 (last injection).</w:t>
      </w:r>
    </w:p>
    <w:p w14:paraId="2812F5B9" w14:textId="0E17FD3C" w:rsidR="00E01F69" w:rsidRPr="00AE6E25" w:rsidRDefault="00E01F69" w:rsidP="00393B90">
      <w:r w:rsidRPr="00AE6E25">
        <w:t>Investigators rated pain, redness, swelling, and induration with IM depot 400/300</w:t>
      </w:r>
      <w:r w:rsidR="009B7633">
        <w:t xml:space="preserve"> </w:t>
      </w:r>
      <w:r w:rsidRPr="00AE6E25">
        <w:t>mg as absent in 81.4% to 98.1% of subjects after the first injection and absent in 88.3% to 98.9% after the last injection, for subjects on tablets pain, redness, swelling and induration were absent in 83.3% to 98.5% (first injection) and 9</w:t>
      </w:r>
      <w:r w:rsidR="00393B90">
        <w:t>0.2% to 99.6% (last injection).</w:t>
      </w:r>
    </w:p>
    <w:p w14:paraId="2812F5BA" w14:textId="77777777" w:rsidR="00E01F69" w:rsidRPr="00AE6E25" w:rsidRDefault="00E01F69" w:rsidP="00393B90">
      <w:r w:rsidRPr="00AE6E25">
        <w:t>For IM depot 50/25mg they were absent in 90.7% to 99.2% (first injection) and 90.0% to 99.2% (last injection).</w:t>
      </w:r>
    </w:p>
    <w:p w14:paraId="2812F5BB" w14:textId="77777777" w:rsidR="00E01F69" w:rsidRPr="00AE6E25" w:rsidRDefault="00E01F69" w:rsidP="00393B90">
      <w:r w:rsidRPr="00AE6E25">
        <w:t>Trial 31-07-246 Double-blind, Placebo-controlled Phase, the subjects mean VAS pain score on IM depot 400/300mg was 5.1 after the first injection and 4.0 after the last, for placebo subjects mean VAS were 5.1 (first injection) and 4.9 (last injection).</w:t>
      </w:r>
    </w:p>
    <w:p w14:paraId="2812F5BC" w14:textId="77777777" w:rsidR="00E01F69" w:rsidRPr="00AE6E25" w:rsidRDefault="00E01F69" w:rsidP="00393B90">
      <w:r w:rsidRPr="00AE6E25">
        <w:t>Investigators rated pain, redness, swelling, and induration for subjects on IM depot 400/300mg, as absent in 80.1% to 98.1% of subjects after the first injection, and as absent in 84.4% to 98.5% of subjects after the last injection, for subjects on placebo was absent in 72.2% to 97.7% of (first injection) and 77.3% to 97.7% (last injection).</w:t>
      </w:r>
    </w:p>
    <w:p w14:paraId="2812F5BD" w14:textId="77777777" w:rsidR="00E01F69" w:rsidRPr="00AE6E25" w:rsidRDefault="00E01F69" w:rsidP="00393B90">
      <w:r w:rsidRPr="009B7633">
        <w:rPr>
          <w:rStyle w:val="Heading6Char"/>
          <w:rFonts w:eastAsia="Cambria"/>
        </w:rPr>
        <w:t>All Trials:</w:t>
      </w:r>
      <w:r w:rsidRPr="00AE6E25">
        <w:t xml:space="preserve"> 121/1539 (7.9%) </w:t>
      </w:r>
      <w:proofErr w:type="spellStart"/>
      <w:r w:rsidRPr="00AE6E25">
        <w:t>aripiprazole</w:t>
      </w:r>
      <w:proofErr w:type="spellEnd"/>
      <w:r w:rsidRPr="00AE6E25">
        <w:t xml:space="preserve"> IM depot 400</w:t>
      </w:r>
      <w:r>
        <w:t>/300</w:t>
      </w:r>
      <w:r w:rsidRPr="00AE6E25">
        <w:t>mg subjects had AEs related to the injection site.</w:t>
      </w:r>
    </w:p>
    <w:p w14:paraId="2812F5BE" w14:textId="77777777" w:rsidR="00E01F69" w:rsidRPr="00AE6E25" w:rsidRDefault="00E01F69" w:rsidP="00393B90">
      <w:r w:rsidRPr="00AE6E25">
        <w:t xml:space="preserve">The overall incidence of AEs related to the injection site in subjects treated with </w:t>
      </w:r>
      <w:proofErr w:type="spellStart"/>
      <w:r w:rsidRPr="00AE6E25">
        <w:t>aripiprazole</w:t>
      </w:r>
      <w:proofErr w:type="spellEnd"/>
      <w:r w:rsidRPr="00AE6E25">
        <w:t xml:space="preserve"> IM depot 400</w:t>
      </w:r>
      <w:r>
        <w:t>/300</w:t>
      </w:r>
      <w:r w:rsidR="009B7633">
        <w:t xml:space="preserve"> </w:t>
      </w:r>
      <w:r w:rsidRPr="00AE6E25">
        <w:t xml:space="preserve">mg was 9.3% (108/1160) for subjects treated </w:t>
      </w:r>
      <w:r w:rsidR="009B7633">
        <w:t>≥</w:t>
      </w:r>
      <w:r w:rsidRPr="00AE6E25">
        <w:t xml:space="preserve"> 3 months and 11.3% (25/221) for subjects treated </w:t>
      </w:r>
      <w:r w:rsidR="009B7633">
        <w:t>≥</w:t>
      </w:r>
      <w:r w:rsidRPr="00AE6E25">
        <w:t xml:space="preserve"> 24 months.</w:t>
      </w:r>
    </w:p>
    <w:p w14:paraId="2812F5BF" w14:textId="77777777" w:rsidR="00E01F69" w:rsidRPr="00AE6E25" w:rsidRDefault="00E01F69" w:rsidP="00393B90">
      <w:r w:rsidRPr="00AE6E25">
        <w:t xml:space="preserve">There were increases in the incidence of the following injection site-related AEs in subjects with longer exposure to </w:t>
      </w:r>
      <w:proofErr w:type="spellStart"/>
      <w:r w:rsidRPr="00AE6E25">
        <w:t>aripiprazole</w:t>
      </w:r>
      <w:proofErr w:type="spellEnd"/>
      <w:r w:rsidRPr="00AE6E25">
        <w:t xml:space="preserve"> IM depot 400</w:t>
      </w:r>
      <w:r>
        <w:t>/300</w:t>
      </w:r>
      <w:r w:rsidR="009B7633">
        <w:t xml:space="preserve"> </w:t>
      </w:r>
      <w:r w:rsidRPr="00AE6E25">
        <w:t xml:space="preserve">mg injection site pain (95/1160 [8.2%] for subjects treated </w:t>
      </w:r>
      <w:r w:rsidR="009B7633">
        <w:t>≥</w:t>
      </w:r>
      <w:r w:rsidRPr="00AE6E25">
        <w:t xml:space="preserve"> 3 months and 20/221 [9.0%] subjects treated for </w:t>
      </w:r>
      <w:r w:rsidR="009B7633">
        <w:lastRenderedPageBreak/>
        <w:t>≥ </w:t>
      </w:r>
      <w:r w:rsidRPr="00AE6E25">
        <w:t>24 months) and injection site induration (12/1160 [1.0%] and 6/221 [2.7%], respectively).</w:t>
      </w:r>
    </w:p>
    <w:p w14:paraId="2812F5C0" w14:textId="1A5E18B8" w:rsidR="00E01F69" w:rsidRPr="00F56FB9" w:rsidRDefault="00E01F69" w:rsidP="00393B90">
      <w:pPr>
        <w:pStyle w:val="Heading5"/>
      </w:pPr>
      <w:bookmarkStart w:id="145" w:name="_Toc272414681"/>
      <w:bookmarkStart w:id="146" w:name="_Toc290846319"/>
      <w:bookmarkStart w:id="147" w:name="_Toc381104229"/>
      <w:r w:rsidRPr="00F56FB9">
        <w:t>Liver toxicity</w:t>
      </w:r>
      <w:bookmarkEnd w:id="145"/>
      <w:bookmarkEnd w:id="146"/>
      <w:bookmarkEnd w:id="147"/>
    </w:p>
    <w:p w14:paraId="2812F5C1" w14:textId="05FE7D03" w:rsidR="00E01F69" w:rsidRPr="009B7633" w:rsidRDefault="00E01F69" w:rsidP="00393B90">
      <w:r w:rsidRPr="00393B90">
        <w:rPr>
          <w:i/>
        </w:rPr>
        <w:t>Controlled Trial</w:t>
      </w:r>
      <w:r w:rsidR="009B7633">
        <w:t xml:space="preserve">: </w:t>
      </w:r>
      <w:r w:rsidR="00393B90">
        <w:t>n</w:t>
      </w:r>
      <w:r w:rsidRPr="009B7633">
        <w:t xml:space="preserve">o potential </w:t>
      </w:r>
      <w:proofErr w:type="spellStart"/>
      <w:r w:rsidRPr="009B7633">
        <w:t>Hy’s</w:t>
      </w:r>
      <w:proofErr w:type="spellEnd"/>
      <w:r w:rsidRPr="009B7633">
        <w:t xml:space="preserve"> Law cases were identified during the </w:t>
      </w:r>
      <w:r w:rsidR="00393B90">
        <w:t>d</w:t>
      </w:r>
      <w:r w:rsidRPr="009B7633">
        <w:t xml:space="preserve">ouble-blind </w:t>
      </w:r>
      <w:r w:rsidR="00393B90">
        <w:t>p</w:t>
      </w:r>
      <w:r w:rsidRPr="009B7633">
        <w:t>hase of either study.</w:t>
      </w:r>
    </w:p>
    <w:p w14:paraId="2812F5C2" w14:textId="77777777" w:rsidR="00E01F69" w:rsidRPr="00F56FB9" w:rsidRDefault="009B7633" w:rsidP="00393B90">
      <w:r>
        <w:t>One subject in S</w:t>
      </w:r>
      <w:r w:rsidR="00E01F69">
        <w:t xml:space="preserve">tudy 31-07-247 had laboratory results meeting the criteria for </w:t>
      </w:r>
      <w:proofErr w:type="spellStart"/>
      <w:r w:rsidR="00E01F69">
        <w:t>Hy’s</w:t>
      </w:r>
      <w:proofErr w:type="spellEnd"/>
      <w:r w:rsidR="00E01F69">
        <w:t xml:space="preserve"> Law during the Oral Stabilization Phase, 2 days later, during the Double-blind, Active-controlled Treatment Phase, abnormal hepatic function was reported as a TEAE for this subject. This event resolved and was considered mild in severity and unrelated to trial medication. No action was taken regarding trial medication due to this event.</w:t>
      </w:r>
    </w:p>
    <w:p w14:paraId="2812F5C3" w14:textId="3796EA26" w:rsidR="00E01F69" w:rsidRDefault="00E01F69" w:rsidP="00393B90">
      <w:pPr>
        <w:pStyle w:val="Heading5"/>
      </w:pPr>
      <w:bookmarkStart w:id="148" w:name="_Toc381104230"/>
      <w:r>
        <w:t>Suicide</w:t>
      </w:r>
      <w:bookmarkEnd w:id="148"/>
    </w:p>
    <w:p w14:paraId="2812F5C4" w14:textId="77777777" w:rsidR="00E01F69" w:rsidRDefault="00E01F69" w:rsidP="00393B90">
      <w:r w:rsidRPr="009B7633">
        <w:rPr>
          <w:rStyle w:val="Heading6Char"/>
          <w:rFonts w:eastAsia="Cambria"/>
        </w:rPr>
        <w:t>Controlled Trials</w:t>
      </w:r>
      <w:r>
        <w:t>:</w:t>
      </w:r>
      <w:r w:rsidRPr="00621E30">
        <w:t xml:space="preserve"> </w:t>
      </w:r>
      <w:r>
        <w:t>6/534 (1.1%) subjects on IM depot 400/300</w:t>
      </w:r>
      <w:r w:rsidR="009B7633">
        <w:t xml:space="preserve"> </w:t>
      </w:r>
      <w:r>
        <w:t xml:space="preserve">mg, 1/266 (0.4%) subjects on tablets, </w:t>
      </w:r>
      <w:r w:rsidRPr="002D38B0">
        <w:t xml:space="preserve">3/131 (2.3%) </w:t>
      </w:r>
      <w:r>
        <w:t>on IM depot 50/25</w:t>
      </w:r>
      <w:r w:rsidR="009B7633">
        <w:t xml:space="preserve"> </w:t>
      </w:r>
      <w:r w:rsidRPr="002D38B0">
        <w:t>mg</w:t>
      </w:r>
      <w:r>
        <w:t xml:space="preserve"> and no placebo subjects had an AE that was considered related to suicidal ideation/suicide.</w:t>
      </w:r>
    </w:p>
    <w:p w14:paraId="2812F5C5" w14:textId="77777777" w:rsidR="00E01F69" w:rsidRPr="006304A1" w:rsidRDefault="00E01F69" w:rsidP="00A62120">
      <w:pPr>
        <w:pStyle w:val="Heading5"/>
      </w:pPr>
      <w:bookmarkStart w:id="149" w:name="_Ref366561286"/>
      <w:bookmarkStart w:id="150" w:name="_Toc381104231"/>
      <w:r>
        <w:t>Increased weight</w:t>
      </w:r>
      <w:bookmarkEnd w:id="149"/>
      <w:bookmarkEnd w:id="150"/>
    </w:p>
    <w:p w14:paraId="2812F5C6" w14:textId="77777777" w:rsidR="00E01F69" w:rsidRDefault="00E01F69" w:rsidP="00A62120">
      <w:r w:rsidRPr="009B7633">
        <w:rPr>
          <w:rStyle w:val="Heading6Char"/>
          <w:rFonts w:eastAsia="Cambria"/>
        </w:rPr>
        <w:t>Controlled Trials</w:t>
      </w:r>
      <w:r w:rsidR="009B7633">
        <w:rPr>
          <w:rStyle w:val="Heading6Char"/>
          <w:rFonts w:eastAsia="Cambria"/>
        </w:rPr>
        <w:t xml:space="preserve"> </w:t>
      </w:r>
      <w:r w:rsidR="009B7633" w:rsidRPr="00DF2574">
        <w:rPr>
          <w:rStyle w:val="Heading6Char"/>
          <w:rFonts w:eastAsia="Cambria"/>
          <w:i w:val="0"/>
        </w:rPr>
        <w:t>(see Table 7)</w:t>
      </w:r>
      <w:r w:rsidRPr="00DF2574">
        <w:rPr>
          <w:rStyle w:val="Heading6Char"/>
          <w:rFonts w:eastAsia="Cambria"/>
          <w:i w:val="0"/>
        </w:rPr>
        <w:t>:</w:t>
      </w:r>
      <w:r>
        <w:t xml:space="preserve"> Increased weight was a reported AE for 50/534 (9.4%) subjects on IM depot 400/300</w:t>
      </w:r>
      <w:r w:rsidR="009B7633">
        <w:t xml:space="preserve"> </w:t>
      </w:r>
      <w:r>
        <w:t>mg, 35/266 (13.2%) subjects on tablets and 13/134 (9.7%) placebo subjects. Decreased weight was reported for 35/534 (6.6%) subjects on IM depot 400/300</w:t>
      </w:r>
      <w:r w:rsidR="009B7633">
        <w:t xml:space="preserve"> </w:t>
      </w:r>
      <w:r>
        <w:t>mg, 16/266 (6.0%) subjects on tablets, and 4/134 (3.0%) placebo subjects.</w:t>
      </w:r>
      <w:bookmarkStart w:id="151" w:name="_Toc272414682"/>
      <w:bookmarkStart w:id="152" w:name="_Toc290846320"/>
    </w:p>
    <w:p w14:paraId="2812F5C7" w14:textId="781D77DF" w:rsidR="00E01F69" w:rsidRDefault="00E01F69" w:rsidP="00A62120">
      <w:pPr>
        <w:pStyle w:val="TableTitle"/>
      </w:pPr>
      <w:bookmarkStart w:id="153" w:name="_Toc381104341"/>
      <w:r>
        <w:t>Table</w:t>
      </w:r>
      <w:r w:rsidR="009B7633">
        <w:t xml:space="preserve"> </w:t>
      </w:r>
      <w:r w:rsidR="00A62120">
        <w:t>6</w:t>
      </w:r>
      <w:r w:rsidR="009B7633">
        <w:t>.</w:t>
      </w:r>
      <w:r>
        <w:t xml:space="preserve"> Incidence of </w:t>
      </w:r>
      <w:r w:rsidR="00A62120">
        <w:t>p</w:t>
      </w:r>
      <w:r>
        <w:t xml:space="preserve">otentially </w:t>
      </w:r>
      <w:r w:rsidR="00A62120">
        <w:t>c</w:t>
      </w:r>
      <w:r>
        <w:t xml:space="preserve">linically </w:t>
      </w:r>
      <w:r w:rsidR="00A62120">
        <w:t>r</w:t>
      </w:r>
      <w:r>
        <w:t xml:space="preserve">elevant </w:t>
      </w:r>
      <w:r w:rsidR="00A62120">
        <w:t>w</w:t>
      </w:r>
      <w:r>
        <w:t xml:space="preserve">eight </w:t>
      </w:r>
      <w:r w:rsidR="00A62120">
        <w:t>g</w:t>
      </w:r>
      <w:r>
        <w:t xml:space="preserve">ain and </w:t>
      </w:r>
      <w:r w:rsidR="00A62120">
        <w:t>w</w:t>
      </w:r>
      <w:r>
        <w:t xml:space="preserve">eight </w:t>
      </w:r>
      <w:r w:rsidR="00A62120">
        <w:t>l</w:t>
      </w:r>
      <w:r>
        <w:t xml:space="preserve">oss in </w:t>
      </w:r>
      <w:r w:rsidR="00A62120">
        <w:t>d</w:t>
      </w:r>
      <w:r>
        <w:t xml:space="preserve">ouble-blind, </w:t>
      </w:r>
      <w:r w:rsidR="00A62120">
        <w:t>a</w:t>
      </w:r>
      <w:r>
        <w:t xml:space="preserve">ctive-controlled </w:t>
      </w:r>
      <w:r w:rsidR="00A62120">
        <w:t>p</w:t>
      </w:r>
      <w:r>
        <w:t>hase (</w:t>
      </w:r>
      <w:r w:rsidR="00A62120">
        <w:t>s</w:t>
      </w:r>
      <w:r>
        <w:t xml:space="preserve">ubjects </w:t>
      </w:r>
      <w:r w:rsidR="00A62120">
        <w:t>t</w:t>
      </w:r>
      <w:r>
        <w:t xml:space="preserve">reated in </w:t>
      </w:r>
      <w:r w:rsidR="00A62120">
        <w:t>d</w:t>
      </w:r>
      <w:r>
        <w:t xml:space="preserve">ouble-blind </w:t>
      </w:r>
      <w:r w:rsidR="00A62120">
        <w:t>p</w:t>
      </w:r>
      <w:r>
        <w:t>hase of Trial 31-07-247)</w:t>
      </w:r>
      <w:bookmarkEnd w:id="153"/>
    </w:p>
    <w:p w14:paraId="5CAA47EA" w14:textId="77777777" w:rsidR="00AE0D26" w:rsidRDefault="00E01F69" w:rsidP="00A62120">
      <w:pPr>
        <w:rPr>
          <w:sz w:val="16"/>
          <w:vertAlign w:val="superscript"/>
        </w:rPr>
      </w:pPr>
      <w:r>
        <w:rPr>
          <w:noProof/>
          <w:lang w:eastAsia="en-AU"/>
        </w:rPr>
        <w:drawing>
          <wp:inline distT="0" distB="0" distL="0" distR="0" wp14:anchorId="2812F71C" wp14:editId="1D8CA4A5">
            <wp:extent cx="3726312" cy="1328892"/>
            <wp:effectExtent l="0" t="0" r="7620" b="5080"/>
            <wp:docPr id="138" name="Picture 1" descr="Table 6. Incidence of Potentially Clinically Relevant Weight Gain and Weight Loss in Double-blind, Active-controlled Phase (Subjects Treated in Double-blind Phase of Trial 31-0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3779253" cy="1347772"/>
                    </a:xfrm>
                    <a:prstGeom prst="rect">
                      <a:avLst/>
                    </a:prstGeom>
                    <a:noFill/>
                    <a:ln w="9525">
                      <a:noFill/>
                      <a:miter lim="800000"/>
                      <a:headEnd/>
                      <a:tailEnd/>
                    </a:ln>
                  </pic:spPr>
                </pic:pic>
              </a:graphicData>
            </a:graphic>
          </wp:inline>
        </w:drawing>
      </w:r>
    </w:p>
    <w:p w14:paraId="2812F5C9" w14:textId="0B95B2DA" w:rsidR="00E01F69" w:rsidRPr="00C61F67" w:rsidRDefault="00E01F69" w:rsidP="0004632E">
      <w:pPr>
        <w:pStyle w:val="TableDescription"/>
      </w:pPr>
      <w:r w:rsidRPr="00C61F67">
        <w:rPr>
          <w:vertAlign w:val="superscript"/>
        </w:rPr>
        <w:t>a</w:t>
      </w:r>
      <w:r w:rsidRPr="00C61F67">
        <w:t xml:space="preserve"> Ne is the total number of subjects with a post-baseline weight result at the visit.</w:t>
      </w:r>
      <w:r w:rsidR="009B7633">
        <w:t xml:space="preserve"> </w:t>
      </w:r>
      <w:r w:rsidRPr="00C61F67">
        <w:rPr>
          <w:vertAlign w:val="superscript"/>
        </w:rPr>
        <w:t>b</w:t>
      </w:r>
      <w:r w:rsidRPr="00C61F67">
        <w:t xml:space="preserve"> n is the number of subjects meeting the </w:t>
      </w:r>
      <w:r w:rsidRPr="0004632E">
        <w:t>criteria</w:t>
      </w:r>
      <w:r w:rsidRPr="00C61F67">
        <w:t xml:space="preserve"> for potential clinical relevance.</w:t>
      </w:r>
      <w:r w:rsidR="009B7633">
        <w:t xml:space="preserve"> </w:t>
      </w:r>
      <w:r w:rsidRPr="00C61F67">
        <w:rPr>
          <w:vertAlign w:val="superscript"/>
        </w:rPr>
        <w:t>c</w:t>
      </w:r>
      <w:r w:rsidRPr="00C61F67">
        <w:t xml:space="preserve"> Change from Double-blind, Active-controlled Phase baseline.</w:t>
      </w:r>
    </w:p>
    <w:p w14:paraId="2812F5CA" w14:textId="77777777" w:rsidR="00E01F69" w:rsidRDefault="00E01F69" w:rsidP="00A62120">
      <w:pPr>
        <w:pStyle w:val="Heading5"/>
      </w:pPr>
      <w:bookmarkStart w:id="154" w:name="_Toc381104232"/>
      <w:bookmarkStart w:id="155" w:name="_Toc272414684"/>
      <w:bookmarkStart w:id="156" w:name="_Toc290846322"/>
      <w:bookmarkEnd w:id="151"/>
      <w:bookmarkEnd w:id="152"/>
      <w:r w:rsidRPr="006304A1">
        <w:t>C</w:t>
      </w:r>
      <w:r>
        <w:t>onvulsions</w:t>
      </w:r>
      <w:bookmarkEnd w:id="154"/>
    </w:p>
    <w:p w14:paraId="2812F5CB" w14:textId="77777777" w:rsidR="00E01F69" w:rsidRDefault="00E01F69" w:rsidP="00A62120">
      <w:r w:rsidRPr="009B7633">
        <w:rPr>
          <w:rStyle w:val="Heading6Char"/>
          <w:rFonts w:eastAsia="Cambria"/>
        </w:rPr>
        <w:t>Controlled Trials</w:t>
      </w:r>
      <w:r w:rsidRPr="00243415">
        <w:t>:</w:t>
      </w:r>
      <w:r>
        <w:t xml:space="preserve"> </w:t>
      </w:r>
      <w:r w:rsidRPr="00243415">
        <w:t xml:space="preserve">1/131 (0.8%) subjects </w:t>
      </w:r>
      <w:r>
        <w:t>on</w:t>
      </w:r>
      <w:r w:rsidRPr="00243415">
        <w:t xml:space="preserve"> IM depot</w:t>
      </w:r>
      <w:r>
        <w:t xml:space="preserve"> 50</w:t>
      </w:r>
      <w:r w:rsidRPr="00243415">
        <w:t>/25</w:t>
      </w:r>
      <w:r w:rsidR="009B7633">
        <w:t xml:space="preserve"> </w:t>
      </w:r>
      <w:r>
        <w:t>mg</w:t>
      </w:r>
      <w:r w:rsidRPr="00243415">
        <w:t xml:space="preserve"> and 1/13</w:t>
      </w:r>
      <w:r>
        <w:t xml:space="preserve">4 (0.7%) placebo subjects had </w:t>
      </w:r>
      <w:r w:rsidRPr="00243415">
        <w:t>AEs of</w:t>
      </w:r>
      <w:r>
        <w:t xml:space="preserve"> </w:t>
      </w:r>
      <w:r w:rsidRPr="00243415">
        <w:t>convulsions/seizures</w:t>
      </w:r>
      <w:r>
        <w:t xml:space="preserve">. No </w:t>
      </w:r>
      <w:proofErr w:type="spellStart"/>
      <w:r>
        <w:t>aripiprazole</w:t>
      </w:r>
      <w:proofErr w:type="spellEnd"/>
      <w:r>
        <w:t xml:space="preserve"> IM depot 400/300</w:t>
      </w:r>
      <w:r w:rsidR="009B7633">
        <w:t xml:space="preserve"> </w:t>
      </w:r>
      <w:r w:rsidRPr="00243415">
        <w:t xml:space="preserve">mg subjects or tablets </w:t>
      </w:r>
      <w:r>
        <w:t xml:space="preserve">subjects had </w:t>
      </w:r>
      <w:r w:rsidRPr="00243415">
        <w:t>AEs of convulsions/seizures.</w:t>
      </w:r>
    </w:p>
    <w:p w14:paraId="2812F5CC" w14:textId="77777777" w:rsidR="00E01F69" w:rsidRPr="009B7633" w:rsidRDefault="00E01F69" w:rsidP="00A62120">
      <w:r w:rsidRPr="009B7633">
        <w:rPr>
          <w:rStyle w:val="Heading6Char"/>
          <w:rFonts w:eastAsia="Cambria"/>
        </w:rPr>
        <w:t>All Trials</w:t>
      </w:r>
      <w:r w:rsidRPr="00243415">
        <w:t xml:space="preserve">: </w:t>
      </w:r>
      <w:r>
        <w:t xml:space="preserve">2/1539 (0.1%) </w:t>
      </w:r>
      <w:proofErr w:type="spellStart"/>
      <w:r>
        <w:t>aripiprazole</w:t>
      </w:r>
      <w:proofErr w:type="spellEnd"/>
      <w:r>
        <w:t xml:space="preserve"> </w:t>
      </w:r>
      <w:r w:rsidRPr="009B7633">
        <w:t>IM depot 400/300</w:t>
      </w:r>
      <w:r w:rsidR="009B7633" w:rsidRPr="009B7633">
        <w:t xml:space="preserve"> </w:t>
      </w:r>
      <w:r w:rsidRPr="009B7633">
        <w:t xml:space="preserve">mg subjects had AEs related to convulsions/seizures within </w:t>
      </w:r>
      <w:r w:rsidR="009B7633">
        <w:t>≤</w:t>
      </w:r>
      <w:r w:rsidRPr="009B7633">
        <w:t xml:space="preserve"> 3 months.</w:t>
      </w:r>
    </w:p>
    <w:p w14:paraId="2812F5CD" w14:textId="6A3BF95A" w:rsidR="00E01F69" w:rsidRDefault="00E01F69" w:rsidP="00A62120">
      <w:pPr>
        <w:pStyle w:val="Heading5"/>
      </w:pPr>
      <w:bookmarkStart w:id="157" w:name="_Toc381104233"/>
      <w:r>
        <w:t xml:space="preserve">Hepatic </w:t>
      </w:r>
      <w:r w:rsidR="00A62120">
        <w:t>i</w:t>
      </w:r>
      <w:r>
        <w:t>mpairment</w:t>
      </w:r>
      <w:bookmarkEnd w:id="157"/>
    </w:p>
    <w:p w14:paraId="2812F5CE" w14:textId="05FF3B93" w:rsidR="00E01F69" w:rsidRPr="009B7633" w:rsidRDefault="00E01F69" w:rsidP="009B7633">
      <w:r w:rsidRPr="009B7633">
        <w:t xml:space="preserve">This had previously been studied with a single oral dose. No new studies with </w:t>
      </w:r>
      <w:r w:rsidR="009B7633">
        <w:t xml:space="preserve">the </w:t>
      </w:r>
      <w:r w:rsidRPr="009B7633">
        <w:t>IM depot</w:t>
      </w:r>
      <w:r w:rsidR="009B7633">
        <w:t xml:space="preserve"> were submitted</w:t>
      </w:r>
      <w:r w:rsidRPr="009B7633">
        <w:t xml:space="preserve">. The sponsor </w:t>
      </w:r>
      <w:r w:rsidRPr="009B7633">
        <w:rPr>
          <w:i/>
        </w:rPr>
        <w:t xml:space="preserve">comments </w:t>
      </w:r>
      <w:r w:rsidR="009B7633">
        <w:rPr>
          <w:i/>
        </w:rPr>
        <w:t>‘</w:t>
      </w:r>
      <w:r w:rsidR="009B7633" w:rsidRPr="009B7633">
        <w:rPr>
          <w:i/>
        </w:rPr>
        <w:t>O</w:t>
      </w:r>
      <w:r w:rsidRPr="009B7633">
        <w:rPr>
          <w:i/>
        </w:rPr>
        <w:t xml:space="preserve">f note, in patients with severe hepatic impairment, the data available may be insufficient to establish recommendations. In these patients dosing should be managed cautiously; use of oral </w:t>
      </w:r>
      <w:proofErr w:type="spellStart"/>
      <w:r w:rsidRPr="009B7633">
        <w:rPr>
          <w:i/>
        </w:rPr>
        <w:t>aripiprazole</w:t>
      </w:r>
      <w:proofErr w:type="spellEnd"/>
      <w:r w:rsidRPr="009B7633">
        <w:rPr>
          <w:i/>
        </w:rPr>
        <w:t xml:space="preserve"> should be considered</w:t>
      </w:r>
      <w:r w:rsidRPr="009B7633">
        <w:t>.</w:t>
      </w:r>
      <w:r w:rsidR="009B7633">
        <w:t>’</w:t>
      </w:r>
    </w:p>
    <w:p w14:paraId="2812F5CF" w14:textId="77777777" w:rsidR="00E01F69" w:rsidRPr="006304A1" w:rsidRDefault="00E01F69" w:rsidP="00A62120">
      <w:pPr>
        <w:pStyle w:val="Heading5"/>
      </w:pPr>
      <w:bookmarkStart w:id="158" w:name="_Toc381104234"/>
      <w:r>
        <w:t>Renal</w:t>
      </w:r>
      <w:r w:rsidRPr="006304A1">
        <w:t xml:space="preserve"> </w:t>
      </w:r>
      <w:bookmarkEnd w:id="155"/>
      <w:bookmarkEnd w:id="156"/>
      <w:r>
        <w:t>impairment</w:t>
      </w:r>
      <w:bookmarkEnd w:id="158"/>
    </w:p>
    <w:p w14:paraId="2812F5D0" w14:textId="77777777" w:rsidR="00E01F69" w:rsidRPr="009B7633" w:rsidRDefault="00E01F69" w:rsidP="00A62120">
      <w:r w:rsidRPr="009B7633">
        <w:t xml:space="preserve">This had previously been studied with a single oral dose. No new studies with </w:t>
      </w:r>
      <w:r w:rsidR="009B7633">
        <w:t xml:space="preserve">the </w:t>
      </w:r>
      <w:r w:rsidRPr="009B7633">
        <w:t>IM depot</w:t>
      </w:r>
      <w:r w:rsidR="009B7633">
        <w:t xml:space="preserve"> were submitted</w:t>
      </w:r>
      <w:r w:rsidRPr="009B7633">
        <w:t xml:space="preserve">. The </w:t>
      </w:r>
      <w:proofErr w:type="spellStart"/>
      <w:r w:rsidRPr="009B7633">
        <w:t>Abilify</w:t>
      </w:r>
      <w:proofErr w:type="spellEnd"/>
      <w:r w:rsidRPr="009B7633">
        <w:t xml:space="preserve"> PI states </w:t>
      </w:r>
      <w:r w:rsidR="009B7633">
        <w:t>‘</w:t>
      </w:r>
      <w:r w:rsidRPr="009B7633">
        <w:rPr>
          <w:i/>
        </w:rPr>
        <w:t xml:space="preserve">In patients with severe renal impairment (creatinine clearance &lt; 30 mL/min), </w:t>
      </w:r>
      <w:proofErr w:type="spellStart"/>
      <w:r w:rsidRPr="009B7633">
        <w:rPr>
          <w:i/>
        </w:rPr>
        <w:t>C</w:t>
      </w:r>
      <w:r w:rsidRPr="009B7633">
        <w:rPr>
          <w:i/>
          <w:vertAlign w:val="subscript"/>
        </w:rPr>
        <w:t>max</w:t>
      </w:r>
      <w:proofErr w:type="spellEnd"/>
      <w:r w:rsidRPr="009B7633">
        <w:rPr>
          <w:i/>
        </w:rPr>
        <w:t xml:space="preserve"> of </w:t>
      </w:r>
      <w:proofErr w:type="spellStart"/>
      <w:r w:rsidRPr="009B7633">
        <w:rPr>
          <w:i/>
        </w:rPr>
        <w:t>aripiprazole</w:t>
      </w:r>
      <w:proofErr w:type="spellEnd"/>
      <w:r w:rsidRPr="009B7633">
        <w:rPr>
          <w:i/>
        </w:rPr>
        <w:t xml:space="preserve"> (given in a single dose of 15mg) and </w:t>
      </w:r>
      <w:proofErr w:type="spellStart"/>
      <w:r w:rsidRPr="009B7633">
        <w:rPr>
          <w:i/>
        </w:rPr>
        <w:lastRenderedPageBreak/>
        <w:t>dehydro-aripiprazole</w:t>
      </w:r>
      <w:proofErr w:type="spellEnd"/>
      <w:r w:rsidRPr="009B7633">
        <w:rPr>
          <w:i/>
        </w:rPr>
        <w:t xml:space="preserve"> increased by 36% and 53%, respectively, but AUC was 15% lower for </w:t>
      </w:r>
      <w:proofErr w:type="spellStart"/>
      <w:r w:rsidRPr="009B7633">
        <w:rPr>
          <w:i/>
        </w:rPr>
        <w:t>aripiprazole</w:t>
      </w:r>
      <w:proofErr w:type="spellEnd"/>
      <w:r w:rsidRPr="009B7633">
        <w:rPr>
          <w:i/>
        </w:rPr>
        <w:t xml:space="preserve"> and 7% higher for </w:t>
      </w:r>
      <w:proofErr w:type="spellStart"/>
      <w:r w:rsidRPr="009B7633">
        <w:rPr>
          <w:i/>
        </w:rPr>
        <w:t>dehydro-aripiprazole</w:t>
      </w:r>
      <w:proofErr w:type="spellEnd"/>
      <w:r w:rsidRPr="009B7633">
        <w:rPr>
          <w:i/>
        </w:rPr>
        <w:t xml:space="preserve">. Renal excretion of both unchanged </w:t>
      </w:r>
      <w:proofErr w:type="spellStart"/>
      <w:r w:rsidRPr="009B7633">
        <w:rPr>
          <w:i/>
        </w:rPr>
        <w:t>aripiprazole</w:t>
      </w:r>
      <w:proofErr w:type="spellEnd"/>
      <w:r w:rsidRPr="009B7633">
        <w:rPr>
          <w:i/>
        </w:rPr>
        <w:t xml:space="preserve"> and </w:t>
      </w:r>
      <w:proofErr w:type="spellStart"/>
      <w:r w:rsidRPr="009B7633">
        <w:rPr>
          <w:i/>
        </w:rPr>
        <w:t>dehydro-aripiprazole</w:t>
      </w:r>
      <w:proofErr w:type="spellEnd"/>
      <w:r w:rsidRPr="009B7633">
        <w:rPr>
          <w:i/>
        </w:rPr>
        <w:t xml:space="preserve"> is less than 1% of the dose. No dosage adjustment is required in subjects with renal impairment</w:t>
      </w:r>
      <w:r w:rsidRPr="009B7633">
        <w:t>.</w:t>
      </w:r>
      <w:r w:rsidR="009B7633">
        <w:t>’</w:t>
      </w:r>
    </w:p>
    <w:p w14:paraId="2812F5D1" w14:textId="77777777" w:rsidR="004C67AA" w:rsidRDefault="004C67AA" w:rsidP="00A62120">
      <w:pPr>
        <w:pStyle w:val="Heading4"/>
      </w:pPr>
      <w:r w:rsidRPr="00605AD4">
        <w:t>Evaluator’s conclusions on safety</w:t>
      </w:r>
    </w:p>
    <w:p w14:paraId="2812F5D2" w14:textId="2B9D2AC7" w:rsidR="00E01F69" w:rsidRDefault="00E01F69" w:rsidP="00A62120">
      <w:pPr>
        <w:pStyle w:val="Heading5"/>
      </w:pPr>
      <w:bookmarkStart w:id="159" w:name="_Toc381104244"/>
      <w:r w:rsidRPr="00A13003">
        <w:t>Guidanc</w:t>
      </w:r>
      <w:r>
        <w:t>e</w:t>
      </w:r>
      <w:bookmarkEnd w:id="159"/>
    </w:p>
    <w:p w14:paraId="2812F5D3" w14:textId="77777777" w:rsidR="00E01F69" w:rsidRDefault="00E01F69" w:rsidP="002B79C2">
      <w:r w:rsidRPr="00001AC0">
        <w:t>CPMP/EWP/49/01 Appendix to the Note for Guidance on the Clinical Investigation of Medicinal Products in the Treatment of Schizophrenia - Methodology of Clinical Trials Concerning the Development of Depot Preparations of Approved Medicinal Products in Schizophrenia.</w:t>
      </w:r>
    </w:p>
    <w:p w14:paraId="2812F5D4" w14:textId="56370157" w:rsidR="00E01F69" w:rsidRPr="002B79C2" w:rsidRDefault="00E01F69" w:rsidP="002B79C2">
      <w:pPr>
        <w:pStyle w:val="ListBullet"/>
      </w:pPr>
      <w:r w:rsidRPr="002B79C2">
        <w:t>It is of importance to know whether the new formulation affects efficacy or safety in comparison to the oral formulation</w:t>
      </w:r>
      <w:r w:rsidR="002B79C2">
        <w:t>.</w:t>
      </w:r>
    </w:p>
    <w:p w14:paraId="2812F5D5" w14:textId="173B47DD" w:rsidR="00E01F69" w:rsidRPr="002B79C2" w:rsidRDefault="00E01F69" w:rsidP="002B79C2">
      <w:pPr>
        <w:pStyle w:val="ListBullet"/>
      </w:pPr>
      <w:r w:rsidRPr="002B79C2">
        <w:t>Product</w:t>
      </w:r>
      <w:r w:rsidR="00110516" w:rsidRPr="002B79C2">
        <w:t xml:space="preserve"> </w:t>
      </w:r>
      <w:r w:rsidRPr="002B79C2">
        <w:t>related and dose</w:t>
      </w:r>
      <w:r w:rsidR="00110516" w:rsidRPr="002B79C2">
        <w:t xml:space="preserve"> </w:t>
      </w:r>
      <w:r w:rsidRPr="002B79C2">
        <w:t>related adverse effects are known from the oral formulation but the database of the depot formulation should be checked for comparability and unexpected adverse effects.</w:t>
      </w:r>
    </w:p>
    <w:p w14:paraId="2812F5D6" w14:textId="77777777" w:rsidR="00E01F69" w:rsidRPr="002B79C2" w:rsidRDefault="00E01F69" w:rsidP="002B79C2">
      <w:pPr>
        <w:pStyle w:val="ListBullet"/>
      </w:pPr>
      <w:r w:rsidRPr="002B79C2">
        <w:t>In addition local adverse effects should be assessed specifically.</w:t>
      </w:r>
    </w:p>
    <w:p w14:paraId="2812F5D7" w14:textId="77777777" w:rsidR="00E01F69" w:rsidRPr="002B79C2" w:rsidRDefault="00E01F69" w:rsidP="002B79C2">
      <w:pPr>
        <w:pStyle w:val="ListBullet"/>
      </w:pPr>
      <w:r w:rsidRPr="002B79C2">
        <w:t>Timing of scoring of adverse effects should be justified, especially in case the plasma levels from each injection should exceed the corresponding levels from oral administration for a substantial part of the inter-injection interval.</w:t>
      </w:r>
    </w:p>
    <w:p w14:paraId="2812F5D8" w14:textId="77777777" w:rsidR="00E01F69" w:rsidRPr="002B79C2" w:rsidRDefault="00E01F69" w:rsidP="002B79C2">
      <w:pPr>
        <w:pStyle w:val="ListBullet"/>
      </w:pPr>
      <w:r w:rsidRPr="002B79C2">
        <w:t>Depending on the type of formulation the possibility of a sudden increase in absorption and subsequently in side effects should be addressed.</w:t>
      </w:r>
      <w:r w:rsidRPr="002B79C2">
        <w:rPr>
          <w:rStyle w:val="FootnoteReference"/>
        </w:rPr>
        <w:footnoteReference w:id="20"/>
      </w:r>
    </w:p>
    <w:p w14:paraId="2812F5D9" w14:textId="77777777" w:rsidR="00E01F69" w:rsidRPr="002B79C2" w:rsidRDefault="00E01F69" w:rsidP="002B79C2">
      <w:pPr>
        <w:pStyle w:val="ListBullet"/>
      </w:pPr>
      <w:r w:rsidRPr="002B79C2">
        <w:t>Data over a 6</w:t>
      </w:r>
      <w:r w:rsidR="00110516" w:rsidRPr="002B79C2">
        <w:t xml:space="preserve"> </w:t>
      </w:r>
      <w:r w:rsidRPr="002B79C2">
        <w:t>month period will usually be sufficient but this might depend on the length of the inter-injection interval.</w:t>
      </w:r>
    </w:p>
    <w:p w14:paraId="2812F5DA" w14:textId="77777777" w:rsidR="00E01F69" w:rsidRDefault="00110516" w:rsidP="002B79C2">
      <w:pPr>
        <w:pStyle w:val="Heading5"/>
      </w:pPr>
      <w:bookmarkStart w:id="160" w:name="_Toc381104245"/>
      <w:r>
        <w:t>Evaluator’s conclusions</w:t>
      </w:r>
      <w:bookmarkEnd w:id="160"/>
    </w:p>
    <w:p w14:paraId="2812F5DB" w14:textId="77777777" w:rsidR="00E01F69" w:rsidRDefault="00E01F69" w:rsidP="002B79C2">
      <w:r>
        <w:t>In the controlled studies injection site reactions were greater (6.9%) with IM depot 300/400</w:t>
      </w:r>
      <w:r w:rsidR="00110516">
        <w:t xml:space="preserve"> </w:t>
      </w:r>
      <w:r>
        <w:t>mg than with the placebo used with (2.6%) or without (3.7%) oral tablets and they appeared to be dose related (0.8% on 25/50mg IM depot).</w:t>
      </w:r>
    </w:p>
    <w:p w14:paraId="2812F5DC" w14:textId="77777777" w:rsidR="00E01F69" w:rsidRDefault="00E01F69" w:rsidP="002B79C2">
      <w:r>
        <w:t>In the controlled trials suicidal ideation/suicide appeared greater (1.1%) with IM depot 400/300</w:t>
      </w:r>
      <w:r w:rsidR="00110516">
        <w:t xml:space="preserve"> </w:t>
      </w:r>
      <w:r>
        <w:t>mg than on tablets</w:t>
      </w:r>
      <w:r w:rsidRPr="00DE0144">
        <w:t xml:space="preserve"> </w:t>
      </w:r>
      <w:r>
        <w:t>(0.4%).</w:t>
      </w:r>
    </w:p>
    <w:p w14:paraId="2812F5DD" w14:textId="77777777" w:rsidR="00E01F69" w:rsidRDefault="00E01F69" w:rsidP="002B79C2">
      <w:r>
        <w:t>Otherwise the AEs were comparable.</w:t>
      </w:r>
    </w:p>
    <w:p w14:paraId="2812F5DE" w14:textId="77777777" w:rsidR="00E01F69" w:rsidRDefault="00E01F69" w:rsidP="002B79C2">
      <w:r>
        <w:t>The dosing gap appears to be appropriate in terms of incidence of AEs.</w:t>
      </w:r>
    </w:p>
    <w:p w14:paraId="2812F5DF" w14:textId="77777777" w:rsidR="00E01F69" w:rsidRDefault="00E01F69" w:rsidP="002B79C2">
      <w:r>
        <w:t>There is sufficient duration of safety exposure.</w:t>
      </w:r>
    </w:p>
    <w:p w14:paraId="2812F5E0" w14:textId="77777777" w:rsidR="00E01F69" w:rsidRPr="00E01F69" w:rsidRDefault="00E01F69" w:rsidP="002B79C2">
      <w:r>
        <w:t xml:space="preserve">The lack of safety data in the elderly is of concern, particularly as </w:t>
      </w:r>
      <w:r w:rsidRPr="00150721">
        <w:t xml:space="preserve">the number of subjects with </w:t>
      </w:r>
      <w:r w:rsidR="00110516">
        <w:t>serious AEs (</w:t>
      </w:r>
      <w:r w:rsidRPr="00150721">
        <w:t>SAEs</w:t>
      </w:r>
      <w:r w:rsidR="00110516">
        <w:t>)</w:t>
      </w:r>
      <w:r w:rsidRPr="00150721">
        <w:t xml:space="preserve"> were greater with increased age</w:t>
      </w:r>
      <w:r>
        <w:t xml:space="preserve"> &gt; 45</w:t>
      </w:r>
      <w:r w:rsidR="00110516">
        <w:t xml:space="preserve"> </w:t>
      </w:r>
      <w:r>
        <w:t>y</w:t>
      </w:r>
      <w:r w:rsidR="00110516">
        <w:t>ears</w:t>
      </w:r>
      <w:r>
        <w:t xml:space="preserve"> and </w:t>
      </w:r>
      <w:r w:rsidRPr="00150721">
        <w:t>discontinuations d</w:t>
      </w:r>
      <w:r>
        <w:t>ue to AEs were likewise doubled. However the effect of age &gt;45</w:t>
      </w:r>
      <w:r w:rsidR="00110516">
        <w:t xml:space="preserve"> </w:t>
      </w:r>
      <w:r>
        <w:t>y</w:t>
      </w:r>
      <w:r w:rsidR="00110516">
        <w:t>ears</w:t>
      </w:r>
      <w:r>
        <w:t xml:space="preserve"> on SAEs and discontinuations appears to also apply to the oral formulation.</w:t>
      </w:r>
    </w:p>
    <w:p w14:paraId="2812F5E1" w14:textId="1883C400" w:rsidR="004C67AA" w:rsidRPr="00110516" w:rsidRDefault="004C67AA" w:rsidP="002B79C2">
      <w:pPr>
        <w:pStyle w:val="Heading3"/>
        <w:rPr>
          <w:rFonts w:eastAsia="Cambria"/>
        </w:rPr>
      </w:pPr>
      <w:bookmarkStart w:id="161" w:name="_Toc384807764"/>
      <w:bookmarkStart w:id="162" w:name="_Toc408924927"/>
      <w:r w:rsidRPr="00605AD4">
        <w:rPr>
          <w:rFonts w:eastAsia="Cambria"/>
        </w:rPr>
        <w:t xml:space="preserve">First </w:t>
      </w:r>
      <w:r w:rsidR="002B79C2">
        <w:rPr>
          <w:rFonts w:eastAsia="Cambria"/>
        </w:rPr>
        <w:t>r</w:t>
      </w:r>
      <w:r w:rsidRPr="00605AD4">
        <w:rPr>
          <w:rFonts w:eastAsia="Cambria"/>
        </w:rPr>
        <w:t xml:space="preserve">ound </w:t>
      </w:r>
      <w:r w:rsidR="002B79C2">
        <w:rPr>
          <w:rFonts w:eastAsia="Cambria"/>
        </w:rPr>
        <w:t>b</w:t>
      </w:r>
      <w:r w:rsidRPr="00605AD4">
        <w:rPr>
          <w:rFonts w:eastAsia="Cambria"/>
        </w:rPr>
        <w:t>enefit-</w:t>
      </w:r>
      <w:r w:rsidR="002B79C2">
        <w:rPr>
          <w:rFonts w:eastAsia="Cambria"/>
        </w:rPr>
        <w:t>r</w:t>
      </w:r>
      <w:r w:rsidRPr="00605AD4">
        <w:rPr>
          <w:rFonts w:eastAsia="Cambria"/>
        </w:rPr>
        <w:t xml:space="preserve">isk </w:t>
      </w:r>
      <w:r w:rsidR="002B79C2">
        <w:rPr>
          <w:rFonts w:eastAsia="Cambria"/>
        </w:rPr>
        <w:t>a</w:t>
      </w:r>
      <w:r w:rsidRPr="00605AD4">
        <w:rPr>
          <w:rFonts w:eastAsia="Cambria"/>
        </w:rPr>
        <w:t>ssessment</w:t>
      </w:r>
      <w:bookmarkEnd w:id="161"/>
      <w:bookmarkEnd w:id="162"/>
    </w:p>
    <w:p w14:paraId="2812F5E2" w14:textId="77777777" w:rsidR="004C67AA" w:rsidRPr="00110516" w:rsidRDefault="004C67AA" w:rsidP="002B79C2">
      <w:pPr>
        <w:pStyle w:val="Heading4"/>
      </w:pPr>
      <w:r w:rsidRPr="00605AD4">
        <w:t>First round assessment of benefits</w:t>
      </w:r>
    </w:p>
    <w:p w14:paraId="2812F5E3" w14:textId="77777777" w:rsidR="00E01F69" w:rsidRDefault="00E01F69" w:rsidP="002B79C2">
      <w:r>
        <w:t xml:space="preserve">The benefits of </w:t>
      </w:r>
      <w:proofErr w:type="spellStart"/>
      <w:r>
        <w:t>Abilify</w:t>
      </w:r>
      <w:proofErr w:type="spellEnd"/>
      <w:r>
        <w:t xml:space="preserve"> </w:t>
      </w:r>
      <w:proofErr w:type="spellStart"/>
      <w:r>
        <w:t>Maintena</w:t>
      </w:r>
      <w:proofErr w:type="spellEnd"/>
      <w:r>
        <w:t xml:space="preserve"> in the proposed usage are:</w:t>
      </w:r>
    </w:p>
    <w:p w14:paraId="2812F5E4" w14:textId="77777777" w:rsidR="00E01F69" w:rsidRDefault="00E01F69" w:rsidP="002B79C2">
      <w:r>
        <w:lastRenderedPageBreak/>
        <w:t xml:space="preserve">Study </w:t>
      </w:r>
      <w:r w:rsidRPr="00FA76A3">
        <w:t>31-07-246</w:t>
      </w:r>
      <w:r>
        <w:t xml:space="preserve"> </w:t>
      </w:r>
      <w:r w:rsidRPr="00FA76A3">
        <w:t>showed that time to impending relapse was significantly shorter for</w:t>
      </w:r>
      <w:r>
        <w:t xml:space="preserve"> </w:t>
      </w:r>
      <w:r w:rsidRPr="00FA76A3">
        <w:t xml:space="preserve">subjects </w:t>
      </w:r>
      <w:r>
        <w:t xml:space="preserve">on </w:t>
      </w:r>
      <w:r w:rsidRPr="00FA76A3">
        <w:t xml:space="preserve">placebo compared with subjects </w:t>
      </w:r>
      <w:r>
        <w:t>on</w:t>
      </w:r>
      <w:r w:rsidRPr="00FA76A3">
        <w:t xml:space="preserve"> </w:t>
      </w:r>
      <w:proofErr w:type="spellStart"/>
      <w:r w:rsidRPr="00FA76A3">
        <w:t>aripiprazole</w:t>
      </w:r>
      <w:proofErr w:type="spellEnd"/>
      <w:r w:rsidRPr="00FA76A3">
        <w:t xml:space="preserve"> IM</w:t>
      </w:r>
      <w:r>
        <w:t xml:space="preserve"> depot 400/300</w:t>
      </w:r>
      <w:r w:rsidR="00110516">
        <w:t xml:space="preserve"> </w:t>
      </w:r>
      <w:r w:rsidRPr="00FA76A3">
        <w:t xml:space="preserve">mg in the </w:t>
      </w:r>
      <w:r w:rsidR="00110516">
        <w:t>d</w:t>
      </w:r>
      <w:r w:rsidRPr="00FA76A3">
        <w:t xml:space="preserve">ouble-blind, </w:t>
      </w:r>
      <w:r w:rsidR="00110516">
        <w:t>p</w:t>
      </w:r>
      <w:r w:rsidRPr="00FA76A3">
        <w:t>lace</w:t>
      </w:r>
      <w:r>
        <w:t xml:space="preserve">bo-controlled Phase (p &lt; 0.0001 </w:t>
      </w:r>
      <w:r w:rsidRPr="00FA76A3">
        <w:t>log-rank test). The hazard ratio from the Cox proportional hazard model for the placebo</w:t>
      </w:r>
      <w:r>
        <w:t xml:space="preserve"> </w:t>
      </w:r>
      <w:r w:rsidRPr="00FA76A3">
        <w:t xml:space="preserve">to </w:t>
      </w:r>
      <w:proofErr w:type="spellStart"/>
      <w:r w:rsidRPr="00FA76A3">
        <w:t>aripiprazole</w:t>
      </w:r>
      <w:proofErr w:type="spellEnd"/>
      <w:r w:rsidRPr="00FA76A3">
        <w:t xml:space="preserve"> IM depot comparison was 5.029 (95% CI = 3.154, 8.018)</w:t>
      </w:r>
      <w:r>
        <w:t>.</w:t>
      </w:r>
    </w:p>
    <w:p w14:paraId="2812F5E5" w14:textId="77777777" w:rsidR="00E01F69" w:rsidRDefault="00E01F69" w:rsidP="002B79C2">
      <w:r>
        <w:t xml:space="preserve">The provision of a depot formulation for those patients who respond to </w:t>
      </w:r>
      <w:proofErr w:type="spellStart"/>
      <w:r>
        <w:t>aripiprazole</w:t>
      </w:r>
      <w:proofErr w:type="spellEnd"/>
      <w:r>
        <w:t xml:space="preserve"> means:</w:t>
      </w:r>
    </w:p>
    <w:p w14:paraId="2812F5E6" w14:textId="77777777" w:rsidR="00E01F69" w:rsidRDefault="00E01F69" w:rsidP="002B79C2">
      <w:pPr>
        <w:pStyle w:val="ListBullet"/>
      </w:pPr>
      <w:r>
        <w:t>The possibility of better adherence/oversight of compliance compared to oral medication.</w:t>
      </w:r>
    </w:p>
    <w:p w14:paraId="2812F5E7" w14:textId="77777777" w:rsidR="00E01F69" w:rsidRPr="00E01F69" w:rsidRDefault="00E01F69" w:rsidP="002B79C2">
      <w:pPr>
        <w:pStyle w:val="ListBullet"/>
      </w:pPr>
      <w:r>
        <w:t>A decreased demand on health care providers compared with administration of the IM regimen.</w:t>
      </w:r>
    </w:p>
    <w:p w14:paraId="2812F5E8" w14:textId="77777777" w:rsidR="004C67AA" w:rsidRPr="00110516" w:rsidRDefault="004C67AA" w:rsidP="002B79C2">
      <w:pPr>
        <w:pStyle w:val="Heading4"/>
      </w:pPr>
      <w:r w:rsidRPr="00605AD4">
        <w:t>First round assessment of risks</w:t>
      </w:r>
    </w:p>
    <w:p w14:paraId="2812F5E9" w14:textId="77777777" w:rsidR="00E01F69" w:rsidRDefault="00E01F69" w:rsidP="002B79C2">
      <w:r>
        <w:t xml:space="preserve">The risks of </w:t>
      </w:r>
      <w:proofErr w:type="spellStart"/>
      <w:r>
        <w:t>Abilify</w:t>
      </w:r>
      <w:proofErr w:type="spellEnd"/>
      <w:r>
        <w:t xml:space="preserve"> </w:t>
      </w:r>
      <w:proofErr w:type="spellStart"/>
      <w:r>
        <w:t>Maintena</w:t>
      </w:r>
      <w:proofErr w:type="spellEnd"/>
      <w:r>
        <w:t xml:space="preserve"> in the proposed usage are:</w:t>
      </w:r>
    </w:p>
    <w:p w14:paraId="2812F5EA" w14:textId="77777777" w:rsidR="00E01F69" w:rsidRDefault="00E01F69" w:rsidP="002B79C2">
      <w:pPr>
        <w:pStyle w:val="ListBullet"/>
      </w:pPr>
      <w:r>
        <w:t xml:space="preserve">An increased risk of </w:t>
      </w:r>
      <w:r w:rsidRPr="00BD0387">
        <w:t>suicidal ideation/suicide</w:t>
      </w:r>
      <w:r>
        <w:t>.</w:t>
      </w:r>
    </w:p>
    <w:p w14:paraId="2812F5EB" w14:textId="77777777" w:rsidR="00E01F69" w:rsidRDefault="00E01F69" w:rsidP="002B79C2">
      <w:pPr>
        <w:pStyle w:val="ListBullet"/>
      </w:pPr>
      <w:r>
        <w:t>The risk of injection site reactions.</w:t>
      </w:r>
    </w:p>
    <w:p w14:paraId="2812F5EC" w14:textId="315A03FA" w:rsidR="00E01F69" w:rsidRDefault="00E01F69" w:rsidP="002B79C2">
      <w:pPr>
        <w:pStyle w:val="ListBullet"/>
      </w:pPr>
      <w:r>
        <w:t>The lack o</w:t>
      </w:r>
      <w:r w:rsidR="004C56E8">
        <w:t>f adequate data in the elderly.</w:t>
      </w:r>
    </w:p>
    <w:p w14:paraId="2812F5ED" w14:textId="77777777" w:rsidR="00E01F69" w:rsidRPr="00110516" w:rsidRDefault="00E01F69" w:rsidP="002B79C2">
      <w:pPr>
        <w:pStyle w:val="ListBullet"/>
      </w:pPr>
      <w:r w:rsidRPr="00110516">
        <w:t xml:space="preserve">While oral formulation study in patients with severe renal impairment showed AUC was 15% lower for </w:t>
      </w:r>
      <w:proofErr w:type="spellStart"/>
      <w:r w:rsidRPr="00110516">
        <w:t>aripiprazole</w:t>
      </w:r>
      <w:proofErr w:type="spellEnd"/>
      <w:r w:rsidRPr="00110516">
        <w:t xml:space="preserve">, </w:t>
      </w:r>
      <w:proofErr w:type="spellStart"/>
      <w:r w:rsidRPr="00110516">
        <w:t>C</w:t>
      </w:r>
      <w:r w:rsidRPr="00110516">
        <w:rPr>
          <w:vertAlign w:val="subscript"/>
        </w:rPr>
        <w:t>max</w:t>
      </w:r>
      <w:proofErr w:type="spellEnd"/>
      <w:r w:rsidRPr="00110516">
        <w:t xml:space="preserve"> was 36% higher, suggesting the possibility of mean sub-therapeutic levels towards the end of the cycle.</w:t>
      </w:r>
    </w:p>
    <w:p w14:paraId="2812F5EE" w14:textId="77777777" w:rsidR="00E01F69" w:rsidRDefault="00E01F69" w:rsidP="002B79C2">
      <w:pPr>
        <w:pStyle w:val="ListBullet"/>
      </w:pPr>
      <w:r>
        <w:t xml:space="preserve">Most of the existing risks associated with </w:t>
      </w:r>
      <w:proofErr w:type="spellStart"/>
      <w:r>
        <w:t>Abilify</w:t>
      </w:r>
      <w:proofErr w:type="spellEnd"/>
      <w:r>
        <w:t xml:space="preserve"> oral or IM formulations.</w:t>
      </w:r>
    </w:p>
    <w:p w14:paraId="2812F5EF" w14:textId="77777777" w:rsidR="004C67AA" w:rsidRPr="00605AD4" w:rsidRDefault="004C67AA" w:rsidP="002B79C2">
      <w:pPr>
        <w:pStyle w:val="Heading4"/>
      </w:pPr>
      <w:r w:rsidRPr="00605AD4">
        <w:t>First round assessment of benefit-risk balance</w:t>
      </w:r>
    </w:p>
    <w:p w14:paraId="2812F5F0" w14:textId="77777777" w:rsidR="00E01F69" w:rsidRDefault="00E01F69" w:rsidP="002B79C2">
      <w:r>
        <w:t xml:space="preserve">The benefit-risk balance of </w:t>
      </w:r>
      <w:proofErr w:type="spellStart"/>
      <w:r>
        <w:t>Abilify</w:t>
      </w:r>
      <w:proofErr w:type="spellEnd"/>
      <w:r w:rsidRPr="0011190D">
        <w:t xml:space="preserve"> </w:t>
      </w:r>
      <w:proofErr w:type="spellStart"/>
      <w:r w:rsidRPr="0011190D">
        <w:t>Maintena</w:t>
      </w:r>
      <w:proofErr w:type="spellEnd"/>
      <w:r>
        <w:t xml:space="preserve"> is unfavourable given the proposed usage but would become favourable if the changes recommended </w:t>
      </w:r>
      <w:r w:rsidR="00110516">
        <w:t>below</w:t>
      </w:r>
      <w:r>
        <w:t xml:space="preserve"> are adopted.</w:t>
      </w:r>
    </w:p>
    <w:p w14:paraId="2812F5F1" w14:textId="30374821" w:rsidR="004C67AA" w:rsidRPr="00110516" w:rsidRDefault="004C67AA" w:rsidP="002B79C2">
      <w:pPr>
        <w:pStyle w:val="Heading3"/>
        <w:rPr>
          <w:rFonts w:eastAsia="Cambria"/>
        </w:rPr>
      </w:pPr>
      <w:bookmarkStart w:id="163" w:name="_Toc384807765"/>
      <w:bookmarkStart w:id="164" w:name="_Toc408924928"/>
      <w:r w:rsidRPr="00605AD4">
        <w:rPr>
          <w:rFonts w:eastAsia="Cambria"/>
        </w:rPr>
        <w:t xml:space="preserve">First </w:t>
      </w:r>
      <w:r w:rsidR="002B79C2">
        <w:rPr>
          <w:rFonts w:eastAsia="Cambria"/>
        </w:rPr>
        <w:t>r</w:t>
      </w:r>
      <w:r w:rsidRPr="00605AD4">
        <w:rPr>
          <w:rFonts w:eastAsia="Cambria"/>
        </w:rPr>
        <w:t xml:space="preserve">ound </w:t>
      </w:r>
      <w:r w:rsidR="002B79C2">
        <w:rPr>
          <w:rFonts w:eastAsia="Cambria"/>
        </w:rPr>
        <w:t>r</w:t>
      </w:r>
      <w:r w:rsidRPr="00605AD4">
        <w:rPr>
          <w:rFonts w:eastAsia="Cambria"/>
        </w:rPr>
        <w:t xml:space="preserve">ecommendation </w:t>
      </w:r>
      <w:r w:rsidR="002B79C2">
        <w:rPr>
          <w:rFonts w:eastAsia="Cambria"/>
        </w:rPr>
        <w:t>r</w:t>
      </w:r>
      <w:r w:rsidRPr="00605AD4">
        <w:rPr>
          <w:rFonts w:eastAsia="Cambria"/>
        </w:rPr>
        <w:t xml:space="preserve">egarding </w:t>
      </w:r>
      <w:r w:rsidR="002B79C2">
        <w:rPr>
          <w:rFonts w:eastAsia="Cambria"/>
        </w:rPr>
        <w:t>a</w:t>
      </w:r>
      <w:r w:rsidRPr="00605AD4">
        <w:rPr>
          <w:rFonts w:eastAsia="Cambria"/>
        </w:rPr>
        <w:t>uthorisation</w:t>
      </w:r>
      <w:bookmarkEnd w:id="163"/>
      <w:bookmarkEnd w:id="164"/>
    </w:p>
    <w:p w14:paraId="2812F5F2" w14:textId="77777777" w:rsidR="00E01F69" w:rsidRDefault="00E01F69" w:rsidP="002B79C2">
      <w:r>
        <w:t>The sponsors propose</w:t>
      </w:r>
      <w:r w:rsidR="00110516">
        <w:t>s</w:t>
      </w:r>
      <w:r>
        <w:t xml:space="preserve"> the </w:t>
      </w:r>
      <w:r w:rsidR="00110516">
        <w:t>i</w:t>
      </w:r>
      <w:r>
        <w:t>ndication:</w:t>
      </w:r>
    </w:p>
    <w:p w14:paraId="2812F5F3" w14:textId="792C73FC" w:rsidR="00E01F69" w:rsidRPr="00AF004E" w:rsidRDefault="00E01F69" w:rsidP="002B79C2">
      <w:pPr>
        <w:rPr>
          <w:rFonts w:ascii="Arial" w:hAnsi="Arial" w:cs="Arial"/>
          <w:strike/>
        </w:rPr>
      </w:pPr>
      <w:r w:rsidRPr="002B79C2">
        <w:rPr>
          <w:i/>
        </w:rPr>
        <w:t>For the treatment of schizophrenia</w:t>
      </w:r>
    </w:p>
    <w:p w14:paraId="2812F5F4" w14:textId="396A8821" w:rsidR="00E01F69" w:rsidRPr="0011190D" w:rsidRDefault="00E01F69" w:rsidP="002B79C2">
      <w:r>
        <w:t>It is not recommended that the submitted proposed Indication be approved.</w:t>
      </w:r>
    </w:p>
    <w:p w14:paraId="2812F5F5" w14:textId="77777777" w:rsidR="00E01F69" w:rsidRDefault="00E01F69" w:rsidP="002B79C2">
      <w:r>
        <w:t xml:space="preserve">In both </w:t>
      </w:r>
      <w:r w:rsidR="00110516">
        <w:t>s</w:t>
      </w:r>
      <w:r>
        <w:t>tudies submitted (</w:t>
      </w:r>
      <w:r w:rsidRPr="0011190D">
        <w:t>31-07-</w:t>
      </w:r>
      <w:r>
        <w:t xml:space="preserve">246 </w:t>
      </w:r>
      <w:r w:rsidR="00110516">
        <w:t>and</w:t>
      </w:r>
      <w:r>
        <w:t xml:space="preserve"> </w:t>
      </w:r>
      <w:r w:rsidRPr="0011190D">
        <w:t>31-07-247</w:t>
      </w:r>
      <w:r>
        <w:t>) initial treatment with IM depot was associated with oral treatment for the first 14 days. The sponsors support for the use of a sole injection of 400</w:t>
      </w:r>
      <w:r w:rsidR="00110516">
        <w:t xml:space="preserve"> </w:t>
      </w:r>
      <w:r>
        <w:t xml:space="preserve">mg </w:t>
      </w:r>
      <w:proofErr w:type="spellStart"/>
      <w:r>
        <w:t>Abilify</w:t>
      </w:r>
      <w:proofErr w:type="spellEnd"/>
      <w:r w:rsidRPr="0011190D">
        <w:t xml:space="preserve"> </w:t>
      </w:r>
      <w:proofErr w:type="spellStart"/>
      <w:r w:rsidRPr="0011190D">
        <w:t>Maintena</w:t>
      </w:r>
      <w:proofErr w:type="spellEnd"/>
      <w:r>
        <w:t xml:space="preserve"> is based on a </w:t>
      </w:r>
      <w:proofErr w:type="spellStart"/>
      <w:r>
        <w:t>PopPK</w:t>
      </w:r>
      <w:proofErr w:type="spellEnd"/>
      <w:r>
        <w:t xml:space="preserve"> analysis with no clinical or PK/PD studies.</w:t>
      </w:r>
    </w:p>
    <w:p w14:paraId="2812F5F6" w14:textId="514CFD7A" w:rsidR="00E01F69" w:rsidRDefault="00E01F69" w:rsidP="002B79C2">
      <w:r>
        <w:t xml:space="preserve">Analysis of a single 400mg IM depot dose is shown to achieve mean sub-therapeutic levels for the first and last 3 days of the initial treatment cycle, presumably extensive metabolisers will fare worse. (See </w:t>
      </w:r>
      <w:r>
        <w:fldChar w:fldCharType="begin"/>
      </w:r>
      <w:r>
        <w:instrText xml:space="preserve"> REF _Ref363813831 \h </w:instrText>
      </w:r>
      <w:r>
        <w:fldChar w:fldCharType="separate"/>
      </w:r>
      <w:r w:rsidR="00510CCA" w:rsidDel="0049082D">
        <w:t>Figure 2</w:t>
      </w:r>
      <w:r>
        <w:fldChar w:fldCharType="end"/>
      </w:r>
      <w:r>
        <w:t>).</w:t>
      </w:r>
    </w:p>
    <w:p w14:paraId="2812F5F7" w14:textId="77777777" w:rsidR="00E01F69" w:rsidRDefault="00E01F69" w:rsidP="002B79C2">
      <w:r>
        <w:t xml:space="preserve">It is recommended that </w:t>
      </w:r>
      <w:proofErr w:type="spellStart"/>
      <w:r>
        <w:t>Abilify</w:t>
      </w:r>
      <w:proofErr w:type="spellEnd"/>
      <w:r w:rsidRPr="00AF004E">
        <w:t xml:space="preserve"> </w:t>
      </w:r>
      <w:proofErr w:type="spellStart"/>
      <w:r w:rsidRPr="00AF004E">
        <w:t>Maintena</w:t>
      </w:r>
      <w:proofErr w:type="spellEnd"/>
      <w:r>
        <w:t xml:space="preserve"> be approved for the added </w:t>
      </w:r>
      <w:r w:rsidR="00110516">
        <w:t>i</w:t>
      </w:r>
      <w:r>
        <w:t>ndication of:</w:t>
      </w:r>
      <w:r>
        <w:rPr>
          <w:rStyle w:val="FootnoteReference"/>
        </w:rPr>
        <w:footnoteReference w:id="21"/>
      </w:r>
    </w:p>
    <w:p w14:paraId="2812F5F8" w14:textId="448AC373" w:rsidR="00E01F69" w:rsidRPr="002B79C2" w:rsidRDefault="00E01F69" w:rsidP="002B79C2">
      <w:pPr>
        <w:rPr>
          <w:i/>
        </w:rPr>
      </w:pPr>
      <w:r w:rsidRPr="002B79C2">
        <w:rPr>
          <w:i/>
        </w:rPr>
        <w:lastRenderedPageBreak/>
        <w:t>For the maintenance of clinical improvement in the treatment of schizophrenia</w:t>
      </w:r>
    </w:p>
    <w:p w14:paraId="2812F5F9" w14:textId="2E256389" w:rsidR="004C67AA" w:rsidRDefault="004C67AA" w:rsidP="002B79C2">
      <w:pPr>
        <w:pStyle w:val="Heading3"/>
        <w:rPr>
          <w:rFonts w:eastAsia="Cambria"/>
        </w:rPr>
      </w:pPr>
      <w:bookmarkStart w:id="165" w:name="_Toc384807766"/>
      <w:bookmarkStart w:id="166" w:name="_Toc408924929"/>
      <w:r w:rsidRPr="00605AD4">
        <w:rPr>
          <w:rFonts w:eastAsia="Cambria"/>
        </w:rPr>
        <w:t xml:space="preserve">Clinical </w:t>
      </w:r>
      <w:r w:rsidR="002B79C2">
        <w:rPr>
          <w:rFonts w:eastAsia="Cambria"/>
        </w:rPr>
        <w:t>q</w:t>
      </w:r>
      <w:r w:rsidRPr="00605AD4">
        <w:rPr>
          <w:rFonts w:eastAsia="Cambria"/>
        </w:rPr>
        <w:t>uestions</w:t>
      </w:r>
      <w:bookmarkEnd w:id="165"/>
      <w:bookmarkEnd w:id="166"/>
    </w:p>
    <w:p w14:paraId="2812F5FA" w14:textId="77777777" w:rsidR="00B33028" w:rsidRPr="00B33028" w:rsidRDefault="00B33028" w:rsidP="002B79C2">
      <w:r>
        <w:t xml:space="preserve">All questions were in relation to the PI and Consumer Medicine Information </w:t>
      </w:r>
      <w:r w:rsidR="00986865">
        <w:t xml:space="preserve">(CMI) </w:t>
      </w:r>
      <w:r>
        <w:t xml:space="preserve">documents and are </w:t>
      </w:r>
      <w:r w:rsidR="00110516">
        <w:t xml:space="preserve">therefore </w:t>
      </w:r>
      <w:r>
        <w:t xml:space="preserve">beyond the scope of this </w:t>
      </w:r>
      <w:proofErr w:type="spellStart"/>
      <w:r>
        <w:t>AusPAR</w:t>
      </w:r>
      <w:proofErr w:type="spellEnd"/>
      <w:r>
        <w:t>.</w:t>
      </w:r>
    </w:p>
    <w:p w14:paraId="2812F5FB" w14:textId="35350C5A" w:rsidR="004C67AA" w:rsidRPr="00605AD4" w:rsidRDefault="004C67AA" w:rsidP="002B79C2">
      <w:pPr>
        <w:pStyle w:val="Heading3"/>
        <w:rPr>
          <w:rFonts w:eastAsia="Cambria"/>
        </w:rPr>
      </w:pPr>
      <w:bookmarkStart w:id="167" w:name="_Toc384807768"/>
      <w:bookmarkStart w:id="168" w:name="_Toc408924930"/>
      <w:r w:rsidRPr="00605AD4">
        <w:rPr>
          <w:rFonts w:eastAsia="Cambria"/>
        </w:rPr>
        <w:t xml:space="preserve">Second </w:t>
      </w:r>
      <w:r w:rsidR="002B79C2">
        <w:rPr>
          <w:rFonts w:eastAsia="Cambria"/>
        </w:rPr>
        <w:t>r</w:t>
      </w:r>
      <w:r w:rsidRPr="00605AD4">
        <w:rPr>
          <w:rFonts w:eastAsia="Cambria"/>
        </w:rPr>
        <w:t xml:space="preserve">ound </w:t>
      </w:r>
      <w:r w:rsidR="002B79C2">
        <w:rPr>
          <w:rFonts w:eastAsia="Cambria"/>
        </w:rPr>
        <w:t>b</w:t>
      </w:r>
      <w:r w:rsidRPr="00605AD4">
        <w:rPr>
          <w:rFonts w:eastAsia="Cambria"/>
        </w:rPr>
        <w:t>enefit-</w:t>
      </w:r>
      <w:r w:rsidR="002B79C2">
        <w:rPr>
          <w:rFonts w:eastAsia="Cambria"/>
        </w:rPr>
        <w:t>r</w:t>
      </w:r>
      <w:r w:rsidRPr="00605AD4">
        <w:rPr>
          <w:rFonts w:eastAsia="Cambria"/>
        </w:rPr>
        <w:t xml:space="preserve">isk </w:t>
      </w:r>
      <w:r w:rsidR="002B79C2">
        <w:rPr>
          <w:rFonts w:eastAsia="Cambria"/>
        </w:rPr>
        <w:t>a</w:t>
      </w:r>
      <w:r w:rsidRPr="00605AD4">
        <w:rPr>
          <w:rFonts w:eastAsia="Cambria"/>
        </w:rPr>
        <w:t>ssessment</w:t>
      </w:r>
      <w:bookmarkEnd w:id="167"/>
      <w:bookmarkEnd w:id="168"/>
    </w:p>
    <w:p w14:paraId="2812F5FC" w14:textId="77777777" w:rsidR="00B33028" w:rsidRDefault="00F22E56" w:rsidP="002B79C2">
      <w:r>
        <w:t xml:space="preserve">The benefit-risk assessment has not changed from that expressed in the </w:t>
      </w:r>
      <w:r w:rsidR="00B33028">
        <w:t>first round assessment.</w:t>
      </w:r>
    </w:p>
    <w:p w14:paraId="2812F5FD" w14:textId="70B9BC18" w:rsidR="00B33028" w:rsidRPr="00F22E56" w:rsidRDefault="00F22E56" w:rsidP="002B79C2">
      <w:pPr>
        <w:pStyle w:val="Heading3"/>
      </w:pPr>
      <w:bookmarkStart w:id="169" w:name="_Ref272160677"/>
      <w:bookmarkStart w:id="170" w:name="_Toc272414713"/>
      <w:bookmarkStart w:id="171" w:name="_Toc290846352"/>
      <w:bookmarkStart w:id="172" w:name="_Toc381104262"/>
      <w:bookmarkStart w:id="173" w:name="_Toc408924931"/>
      <w:r w:rsidRPr="00F22E56">
        <w:t xml:space="preserve">Second </w:t>
      </w:r>
      <w:r w:rsidR="002B79C2">
        <w:t>r</w:t>
      </w:r>
      <w:r w:rsidRPr="00F22E56">
        <w:t xml:space="preserve">ound </w:t>
      </w:r>
      <w:r w:rsidR="002B79C2">
        <w:t>r</w:t>
      </w:r>
      <w:r w:rsidRPr="00F22E56">
        <w:t xml:space="preserve">ecommendation </w:t>
      </w:r>
      <w:r w:rsidR="002B79C2">
        <w:t>r</w:t>
      </w:r>
      <w:r w:rsidRPr="00F22E56">
        <w:t xml:space="preserve">egarding </w:t>
      </w:r>
      <w:r w:rsidR="002B79C2">
        <w:t>a</w:t>
      </w:r>
      <w:r w:rsidRPr="00F22E56">
        <w:t>uthorisation</w:t>
      </w:r>
      <w:bookmarkEnd w:id="169"/>
      <w:bookmarkEnd w:id="170"/>
      <w:bookmarkEnd w:id="171"/>
      <w:bookmarkEnd w:id="172"/>
      <w:bookmarkEnd w:id="173"/>
      <w:r w:rsidRPr="00F22E56">
        <w:t xml:space="preserve"> </w:t>
      </w:r>
    </w:p>
    <w:p w14:paraId="2812F5FE" w14:textId="77777777" w:rsidR="00B33028" w:rsidRDefault="00986865" w:rsidP="002B79C2">
      <w:r>
        <w:t>The recommendation was the s</w:t>
      </w:r>
      <w:r w:rsidR="00F22E56">
        <w:t xml:space="preserve">ame as </w:t>
      </w:r>
      <w:r w:rsidR="00B33028">
        <w:t xml:space="preserve">in the </w:t>
      </w:r>
      <w:r>
        <w:t>F</w:t>
      </w:r>
      <w:r w:rsidR="00B33028">
        <w:t>irst round assessment.</w:t>
      </w:r>
    </w:p>
    <w:p w14:paraId="2812F5FF" w14:textId="77777777" w:rsidR="004C67AA" w:rsidRPr="00E41208" w:rsidRDefault="004C67AA" w:rsidP="002B79C2">
      <w:pPr>
        <w:pStyle w:val="Heading2"/>
      </w:pPr>
      <w:bookmarkStart w:id="174" w:name="_Toc384807769"/>
      <w:bookmarkStart w:id="175" w:name="_Toc408924932"/>
      <w:r w:rsidRPr="00E41208">
        <w:t xml:space="preserve">V. </w:t>
      </w:r>
      <w:proofErr w:type="spellStart"/>
      <w:r w:rsidRPr="00E41208">
        <w:t>Pharmacovigilance</w:t>
      </w:r>
      <w:proofErr w:type="spellEnd"/>
      <w:r w:rsidRPr="00E41208">
        <w:t xml:space="preserve"> </w:t>
      </w:r>
      <w:r>
        <w:t>f</w:t>
      </w:r>
      <w:r w:rsidRPr="00E41208">
        <w:t>indings</w:t>
      </w:r>
      <w:bookmarkEnd w:id="136"/>
      <w:bookmarkEnd w:id="137"/>
      <w:bookmarkEnd w:id="174"/>
      <w:bookmarkEnd w:id="175"/>
    </w:p>
    <w:p w14:paraId="2812F600" w14:textId="77777777" w:rsidR="004C67AA" w:rsidRDefault="004C67AA" w:rsidP="002B79C2">
      <w:pPr>
        <w:pStyle w:val="Heading3"/>
        <w:rPr>
          <w:lang w:eastAsia="en-AU"/>
        </w:rPr>
      </w:pPr>
      <w:bookmarkStart w:id="176" w:name="_Toc247691526"/>
      <w:bookmarkStart w:id="177" w:name="_Toc314842509"/>
      <w:bookmarkStart w:id="178" w:name="_Toc384807770"/>
      <w:bookmarkStart w:id="179" w:name="_Toc408924933"/>
      <w:r>
        <w:rPr>
          <w:lang w:eastAsia="en-AU"/>
        </w:rPr>
        <w:t>Risk management plan</w:t>
      </w:r>
      <w:bookmarkEnd w:id="176"/>
      <w:bookmarkEnd w:id="177"/>
      <w:bookmarkEnd w:id="178"/>
      <w:bookmarkEnd w:id="179"/>
    </w:p>
    <w:p w14:paraId="2812F601" w14:textId="77777777" w:rsidR="004C67AA" w:rsidRDefault="004C67AA" w:rsidP="002B79C2">
      <w:pPr>
        <w:rPr>
          <w:lang w:eastAsia="en-AU"/>
        </w:rPr>
      </w:pPr>
      <w:r>
        <w:rPr>
          <w:lang w:eastAsia="en-AU"/>
        </w:rPr>
        <w:t xml:space="preserve">The sponsor submitted a Risk Management Plan </w:t>
      </w:r>
      <w:proofErr w:type="spellStart"/>
      <w:r w:rsidR="00B33028" w:rsidRPr="005D3D9F">
        <w:t>Aripiprazole</w:t>
      </w:r>
      <w:proofErr w:type="spellEnd"/>
      <w:r w:rsidR="00B33028" w:rsidRPr="005D3D9F">
        <w:t xml:space="preserve"> EU-RMP version 8.3 dated 19 September 2013 (data lock point 1 April 2013) </w:t>
      </w:r>
      <w:r w:rsidR="00F22E56">
        <w:t>and</w:t>
      </w:r>
      <w:r w:rsidR="00B33028" w:rsidRPr="005D3D9F">
        <w:t xml:space="preserve"> </w:t>
      </w:r>
      <w:proofErr w:type="spellStart"/>
      <w:r w:rsidR="00B33028" w:rsidRPr="005D3D9F">
        <w:t>Abilify</w:t>
      </w:r>
      <w:proofErr w:type="spellEnd"/>
      <w:r w:rsidR="00B33028" w:rsidRPr="005D3D9F">
        <w:t xml:space="preserve"> </w:t>
      </w:r>
      <w:proofErr w:type="spellStart"/>
      <w:r w:rsidR="00B33028" w:rsidRPr="005D3D9F">
        <w:t>Maintena</w:t>
      </w:r>
      <w:proofErr w:type="spellEnd"/>
      <w:r w:rsidR="00B33028" w:rsidRPr="005D3D9F">
        <w:t xml:space="preserve"> Australian</w:t>
      </w:r>
      <w:r w:rsidR="00F22E56">
        <w:t xml:space="preserve"> S</w:t>
      </w:r>
      <w:r w:rsidR="00B33028" w:rsidRPr="005D3D9F">
        <w:t xml:space="preserve">pecific Annex </w:t>
      </w:r>
      <w:r w:rsidR="00F22E56">
        <w:t xml:space="preserve">(ASA) </w:t>
      </w:r>
      <w:r w:rsidR="00B33028" w:rsidRPr="005D3D9F">
        <w:t>version 1.0 dated 27 September 2013</w:t>
      </w:r>
      <w:r w:rsidR="00B33028">
        <w:t xml:space="preserve">; </w:t>
      </w:r>
      <w:r w:rsidR="00F22E56">
        <w:t>ASA</w:t>
      </w:r>
      <w:r w:rsidR="00B33028">
        <w:t xml:space="preserve"> version 2.0 dated 21 January 2014 </w:t>
      </w:r>
      <w:r>
        <w:rPr>
          <w:lang w:eastAsia="en-AU"/>
        </w:rPr>
        <w:t>which was reviewed by the TGA’s Office of Product Review (OPR).</w:t>
      </w:r>
    </w:p>
    <w:p w14:paraId="2812F602" w14:textId="77777777" w:rsidR="004C67AA" w:rsidRDefault="004C67AA" w:rsidP="002B79C2">
      <w:pPr>
        <w:pStyle w:val="Heading4"/>
        <w:rPr>
          <w:lang w:eastAsia="en-AU"/>
        </w:rPr>
      </w:pPr>
      <w:r>
        <w:rPr>
          <w:lang w:eastAsia="en-AU"/>
        </w:rPr>
        <w:t>Safety specification</w:t>
      </w:r>
    </w:p>
    <w:p w14:paraId="2812F603" w14:textId="451C60E7" w:rsidR="004C67AA" w:rsidRDefault="004C67AA" w:rsidP="002B79C2">
      <w:pPr>
        <w:rPr>
          <w:lang w:eastAsia="en-AU"/>
        </w:rPr>
      </w:pPr>
      <w:r>
        <w:rPr>
          <w:lang w:eastAsia="en-AU"/>
        </w:rPr>
        <w:t xml:space="preserve">The sponsor provided a summary of ongoing safety concerns which are shown at Table </w:t>
      </w:r>
      <w:r w:rsidR="002B79C2">
        <w:rPr>
          <w:lang w:eastAsia="en-AU"/>
        </w:rPr>
        <w:t>7</w:t>
      </w:r>
      <w:r>
        <w:rPr>
          <w:lang w:eastAsia="en-AU"/>
        </w:rPr>
        <w:t>.</w:t>
      </w:r>
    </w:p>
    <w:p w14:paraId="2812F604" w14:textId="4ACA161B" w:rsidR="00F22E56" w:rsidRDefault="00F22E56" w:rsidP="00F22E56">
      <w:pPr>
        <w:pStyle w:val="TableTitle"/>
        <w:rPr>
          <w:lang w:eastAsia="en-AU"/>
        </w:rPr>
      </w:pPr>
      <w:r>
        <w:rPr>
          <w:lang w:eastAsia="en-AU"/>
        </w:rPr>
        <w:t xml:space="preserve">Table </w:t>
      </w:r>
      <w:r w:rsidR="002B79C2">
        <w:rPr>
          <w:lang w:eastAsia="en-AU"/>
        </w:rPr>
        <w:t>7</w:t>
      </w:r>
      <w:r>
        <w:rPr>
          <w:lang w:eastAsia="en-AU"/>
        </w:rPr>
        <w:t>. Summary of safety concerns</w:t>
      </w:r>
    </w:p>
    <w:p w14:paraId="2812F605" w14:textId="77777777" w:rsidR="00B33028" w:rsidRDefault="00B33028" w:rsidP="00B33028">
      <w:r>
        <w:rPr>
          <w:noProof/>
          <w:lang w:eastAsia="en-AU"/>
        </w:rPr>
        <w:drawing>
          <wp:inline distT="0" distB="0" distL="0" distR="0" wp14:anchorId="2812F71E" wp14:editId="6CBE526F">
            <wp:extent cx="3953591" cy="1568607"/>
            <wp:effectExtent l="19050" t="19050" r="27940" b="12700"/>
            <wp:docPr id="93" name="Picture 93" descr="Table 7. Summary of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rotWithShape="1">
                    <a:blip r:embed="rId24" cstate="print"/>
                    <a:srcRect l="920" t="15069" r="21149" b="3862"/>
                    <a:stretch/>
                  </pic:blipFill>
                  <pic:spPr bwMode="auto">
                    <a:xfrm>
                      <a:off x="0" y="0"/>
                      <a:ext cx="3970553" cy="1575337"/>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812F606" w14:textId="2D3323DD" w:rsidR="00B33028" w:rsidRDefault="00B33028" w:rsidP="002B79C2">
      <w:r w:rsidRPr="00B234F4">
        <w:t>Not</w:t>
      </w:r>
      <w:r w:rsidR="002B79C2">
        <w:t xml:space="preserve"> </w:t>
      </w:r>
      <w:r w:rsidRPr="00B234F4">
        <w:t>withstanding</w:t>
      </w:r>
      <w:r>
        <w:t xml:space="preserve"> the evaluation of the nonclinical and clinical aspects of the </w:t>
      </w:r>
      <w:r w:rsidR="00F22E56">
        <w:t>safety specifications (</w:t>
      </w:r>
      <w:r>
        <w:t>SS</w:t>
      </w:r>
      <w:r w:rsidR="00F22E56">
        <w:t>)</w:t>
      </w:r>
      <w:r>
        <w:t xml:space="preserve">, it is noted that a list of identified safety concerns associated with </w:t>
      </w:r>
      <w:proofErr w:type="spellStart"/>
      <w:r>
        <w:t>aripiprazole</w:t>
      </w:r>
      <w:proofErr w:type="spellEnd"/>
      <w:r>
        <w:t xml:space="preserve"> oral and immediate</w:t>
      </w:r>
      <w:r w:rsidR="00F22E56">
        <w:t xml:space="preserve"> </w:t>
      </w:r>
      <w:r>
        <w:t xml:space="preserve">release IM formulations are not included the above list for </w:t>
      </w:r>
      <w:proofErr w:type="spellStart"/>
      <w:r>
        <w:t>aripiprazole</w:t>
      </w:r>
      <w:proofErr w:type="spellEnd"/>
      <w:r>
        <w:t xml:space="preserve"> IM depot</w:t>
      </w:r>
      <w:r w:rsidR="002B79C2">
        <w:t xml:space="preserve"> formulation as follows:</w:t>
      </w:r>
    </w:p>
    <w:p w14:paraId="2812F607" w14:textId="28D16D74" w:rsidR="00B33028" w:rsidRPr="00B65693" w:rsidRDefault="002B79C2" w:rsidP="002B79C2">
      <w:pPr>
        <w:pStyle w:val="Heading5"/>
      </w:pPr>
      <w:r>
        <w:t>Potential risks:</w:t>
      </w:r>
    </w:p>
    <w:p w14:paraId="2812F608" w14:textId="77777777" w:rsidR="00B33028" w:rsidRPr="002B79C2" w:rsidRDefault="00B33028" w:rsidP="002B79C2">
      <w:pPr>
        <w:pStyle w:val="ListBullet"/>
      </w:pPr>
      <w:r w:rsidRPr="002B79C2">
        <w:t>Weight gain</w:t>
      </w:r>
    </w:p>
    <w:p w14:paraId="2812F609" w14:textId="77777777" w:rsidR="00B33028" w:rsidRPr="002B79C2" w:rsidRDefault="00B33028" w:rsidP="002B79C2">
      <w:pPr>
        <w:pStyle w:val="ListBullet"/>
      </w:pPr>
      <w:r w:rsidRPr="002B79C2">
        <w:t>Somnolence/fatigue</w:t>
      </w:r>
    </w:p>
    <w:p w14:paraId="2812F60A" w14:textId="77777777" w:rsidR="00B33028" w:rsidRPr="002B79C2" w:rsidRDefault="00B33028" w:rsidP="002B79C2">
      <w:pPr>
        <w:pStyle w:val="ListBullet"/>
      </w:pPr>
      <w:r w:rsidRPr="002B79C2">
        <w:t>Cardiovascular-related disorders</w:t>
      </w:r>
    </w:p>
    <w:p w14:paraId="2812F60B" w14:textId="77777777" w:rsidR="00B33028" w:rsidRPr="002B79C2" w:rsidRDefault="00B33028" w:rsidP="002B79C2">
      <w:pPr>
        <w:pStyle w:val="ListBullet"/>
      </w:pPr>
      <w:r w:rsidRPr="002B79C2">
        <w:t>Conduction abnormalities</w:t>
      </w:r>
    </w:p>
    <w:p w14:paraId="2812F60C" w14:textId="77777777" w:rsidR="00B33028" w:rsidRPr="002B79C2" w:rsidRDefault="00B33028" w:rsidP="002B79C2">
      <w:pPr>
        <w:pStyle w:val="ListBullet"/>
      </w:pPr>
      <w:r w:rsidRPr="002B79C2">
        <w:lastRenderedPageBreak/>
        <w:t>Growth</w:t>
      </w:r>
    </w:p>
    <w:p w14:paraId="2812F60D" w14:textId="17E43B4A" w:rsidR="00B33028" w:rsidRPr="002B79C2" w:rsidRDefault="00BC04CD" w:rsidP="002B79C2">
      <w:pPr>
        <w:pStyle w:val="ListBullet"/>
      </w:pPr>
      <w:r w:rsidRPr="002B79C2">
        <w:t xml:space="preserve">Low </w:t>
      </w:r>
      <w:r w:rsidR="00B33028" w:rsidRPr="002B79C2">
        <w:t>prolactin</w:t>
      </w:r>
      <w:r w:rsidRPr="002B79C2">
        <w:t xml:space="preserve"> in paediatric patients</w:t>
      </w:r>
    </w:p>
    <w:p w14:paraId="2812F60E" w14:textId="77777777" w:rsidR="00B33028" w:rsidRPr="002B79C2" w:rsidRDefault="00B33028" w:rsidP="002B79C2">
      <w:pPr>
        <w:pStyle w:val="ListBullet"/>
      </w:pPr>
      <w:r w:rsidRPr="002B79C2">
        <w:t>Dysphagia</w:t>
      </w:r>
    </w:p>
    <w:p w14:paraId="2812F60F" w14:textId="77777777" w:rsidR="00B33028" w:rsidRPr="002B79C2" w:rsidRDefault="00B33028" w:rsidP="002B79C2">
      <w:pPr>
        <w:pStyle w:val="ListBullet"/>
      </w:pPr>
      <w:r w:rsidRPr="002B79C2">
        <w:t>ADHD</w:t>
      </w:r>
      <w:r w:rsidR="00F22E56" w:rsidRPr="002B79C2">
        <w:rPr>
          <w:rStyle w:val="FootnoteReference"/>
        </w:rPr>
        <w:footnoteReference w:id="22"/>
      </w:r>
      <w:r w:rsidRPr="002B79C2">
        <w:t xml:space="preserve"> co-morbidity</w:t>
      </w:r>
    </w:p>
    <w:p w14:paraId="2812F610" w14:textId="77777777" w:rsidR="00B33028" w:rsidRPr="002B79C2" w:rsidRDefault="00B33028" w:rsidP="002B79C2">
      <w:pPr>
        <w:pStyle w:val="ListBullet"/>
      </w:pPr>
      <w:r w:rsidRPr="002B79C2">
        <w:t>Drug interactions</w:t>
      </w:r>
    </w:p>
    <w:p w14:paraId="2812F611" w14:textId="77777777" w:rsidR="00B33028" w:rsidRPr="002B79C2" w:rsidRDefault="00B33028" w:rsidP="002B79C2">
      <w:pPr>
        <w:pStyle w:val="ListBullet"/>
      </w:pPr>
      <w:r w:rsidRPr="002B79C2">
        <w:t>Increased mortality and CVA</w:t>
      </w:r>
      <w:r w:rsidR="00F22E56" w:rsidRPr="002B79C2">
        <w:rPr>
          <w:rStyle w:val="FootnoteReference"/>
        </w:rPr>
        <w:footnoteReference w:id="23"/>
      </w:r>
      <w:r w:rsidRPr="002B79C2">
        <w:rPr>
          <w:vertAlign w:val="superscript"/>
        </w:rPr>
        <w:t xml:space="preserve"> </w:t>
      </w:r>
      <w:r w:rsidRPr="002B79C2">
        <w:t>in elderly patients with dementia</w:t>
      </w:r>
    </w:p>
    <w:p w14:paraId="2812F612" w14:textId="6CAF8BAF" w:rsidR="00B33028" w:rsidRPr="002B79C2" w:rsidRDefault="00B33028" w:rsidP="002B79C2">
      <w:pPr>
        <w:pStyle w:val="ListBullet"/>
      </w:pPr>
      <w:r w:rsidRPr="002B79C2">
        <w:t>S</w:t>
      </w:r>
      <w:r w:rsidR="002B79C2">
        <w:t>erious injection site reactions</w:t>
      </w:r>
    </w:p>
    <w:p w14:paraId="2812F613" w14:textId="77777777" w:rsidR="00B33028" w:rsidRPr="002B79C2" w:rsidRDefault="00B33028" w:rsidP="002B79C2">
      <w:pPr>
        <w:pStyle w:val="ListBullet"/>
      </w:pPr>
      <w:r w:rsidRPr="002B79C2">
        <w:t>Serious hypersensitivity reactions</w:t>
      </w:r>
    </w:p>
    <w:p w14:paraId="2812F614" w14:textId="77777777" w:rsidR="00B33028" w:rsidRPr="002B79C2" w:rsidRDefault="00B33028" w:rsidP="002B79C2">
      <w:pPr>
        <w:pStyle w:val="ListBullet"/>
      </w:pPr>
      <w:r w:rsidRPr="002B79C2">
        <w:t>Pathological gambling</w:t>
      </w:r>
    </w:p>
    <w:p w14:paraId="2812F615" w14:textId="77777777" w:rsidR="00B33028" w:rsidRPr="002B79C2" w:rsidRDefault="00B33028" w:rsidP="002B79C2">
      <w:pPr>
        <w:pStyle w:val="ListBullet"/>
      </w:pPr>
      <w:r w:rsidRPr="002B79C2">
        <w:t>Serotonin syndrome</w:t>
      </w:r>
    </w:p>
    <w:p w14:paraId="2812F616" w14:textId="77777777" w:rsidR="00B33028" w:rsidRPr="002B79C2" w:rsidRDefault="00B33028" w:rsidP="002B79C2">
      <w:pPr>
        <w:pStyle w:val="ListBullet"/>
      </w:pPr>
      <w:r w:rsidRPr="002B79C2">
        <w:t>Hepatic adverse events</w:t>
      </w:r>
    </w:p>
    <w:p w14:paraId="2812F617" w14:textId="6837AF66" w:rsidR="00B33028" w:rsidRPr="00B65693" w:rsidRDefault="00CA4F06" w:rsidP="002B79C2">
      <w:pPr>
        <w:pStyle w:val="Heading5"/>
      </w:pPr>
      <w:r>
        <w:t>Missing information:</w:t>
      </w:r>
    </w:p>
    <w:p w14:paraId="2812F618" w14:textId="7410D4D7" w:rsidR="00B33028" w:rsidRDefault="00CA4F06" w:rsidP="002B79C2">
      <w:pPr>
        <w:pStyle w:val="ListBullet"/>
      </w:pPr>
      <w:r>
        <w:t>Use in paediatrics</w:t>
      </w:r>
    </w:p>
    <w:p w14:paraId="2812F619" w14:textId="258EA9F1" w:rsidR="004A3B9F" w:rsidRPr="002B79C2" w:rsidRDefault="004A3B9F" w:rsidP="002B79C2">
      <w:pPr>
        <w:pStyle w:val="Heading6"/>
      </w:pPr>
      <w:r w:rsidRPr="002B79C2">
        <w:rPr>
          <w:rFonts w:eastAsia="Cambria"/>
        </w:rPr>
        <w:t>Recommendation 1.</w:t>
      </w:r>
    </w:p>
    <w:p w14:paraId="2812F61A" w14:textId="73B15561" w:rsidR="00B33028" w:rsidRDefault="00B33028" w:rsidP="002B79C2">
      <w:r>
        <w:t xml:space="preserve">As these safety issues are not expected to be route of administration specific (except injection site reaction, which is a risk associated with injection formulation), the sponsor should include them in the safety concerns list for </w:t>
      </w:r>
      <w:proofErr w:type="spellStart"/>
      <w:r>
        <w:t>aripiprazole</w:t>
      </w:r>
      <w:proofErr w:type="spellEnd"/>
      <w:r>
        <w:t xml:space="preserve"> IM depot formulation or provide justification for not doing so. Other relevant parts of the EU-RMP and the ASA, including the </w:t>
      </w:r>
      <w:proofErr w:type="spellStart"/>
      <w:r>
        <w:t>pharmacovigilance</w:t>
      </w:r>
      <w:proofErr w:type="spellEnd"/>
      <w:r>
        <w:t xml:space="preserve"> plan and risk minimisation plan, should also be updated to ensure consistency.</w:t>
      </w:r>
    </w:p>
    <w:p w14:paraId="2812F61B" w14:textId="77777777" w:rsidR="004A3B9F" w:rsidRDefault="004A3B9F" w:rsidP="002B79C2">
      <w:pPr>
        <w:pStyle w:val="Heading6"/>
      </w:pPr>
      <w:r>
        <w:t>Sponsor’s response</w:t>
      </w:r>
    </w:p>
    <w:p w14:paraId="2812F61C" w14:textId="77777777" w:rsidR="004A3B9F" w:rsidRPr="007D3BB4" w:rsidRDefault="004A3B9F" w:rsidP="002B79C2">
      <w:r>
        <w:t xml:space="preserve">The sponsor </w:t>
      </w:r>
      <w:r w:rsidRPr="007D3BB4">
        <w:t xml:space="preserve">acknowledges that the listings of safety concerns in the EU-RMP for </w:t>
      </w:r>
      <w:proofErr w:type="spellStart"/>
      <w:r w:rsidRPr="007D3BB4">
        <w:t>aripiprazole</w:t>
      </w:r>
      <w:proofErr w:type="spellEnd"/>
      <w:r w:rsidRPr="007D3BB4">
        <w:t xml:space="preserve"> oral/immediate-release IM formulations (</w:t>
      </w:r>
      <w:proofErr w:type="spellStart"/>
      <w:r w:rsidRPr="007D3BB4">
        <w:t>Abilify</w:t>
      </w:r>
      <w:proofErr w:type="spellEnd"/>
      <w:r w:rsidRPr="007D3BB4">
        <w:t xml:space="preserve">®) and </w:t>
      </w:r>
      <w:proofErr w:type="spellStart"/>
      <w:r w:rsidRPr="007D3BB4">
        <w:t>aripiprazole</w:t>
      </w:r>
      <w:proofErr w:type="spellEnd"/>
      <w:r w:rsidRPr="007D3BB4">
        <w:t xml:space="preserve"> IM depot formulation (</w:t>
      </w:r>
      <w:proofErr w:type="spellStart"/>
      <w:r w:rsidRPr="007D3BB4">
        <w:t>Abilify</w:t>
      </w:r>
      <w:proofErr w:type="spellEnd"/>
      <w:r w:rsidRPr="007D3BB4">
        <w:t xml:space="preserve"> </w:t>
      </w:r>
      <w:proofErr w:type="spellStart"/>
      <w:r w:rsidRPr="007D3BB4">
        <w:t>Maintena</w:t>
      </w:r>
      <w:proofErr w:type="spellEnd"/>
      <w:r w:rsidRPr="007D3BB4">
        <w:t>®) differ. Please find a brief background and a justification of the variations below.</w:t>
      </w:r>
    </w:p>
    <w:p w14:paraId="2812F61D" w14:textId="6D49ECC4" w:rsidR="004A3B9F" w:rsidRPr="00904356" w:rsidRDefault="006656FE" w:rsidP="002B79C2">
      <w:pPr>
        <w:pStyle w:val="Heading6"/>
      </w:pPr>
      <w:r>
        <w:t>RMP – Part II Safety s</w:t>
      </w:r>
      <w:r w:rsidR="004A3B9F" w:rsidRPr="00904356">
        <w:t>pecification</w:t>
      </w:r>
    </w:p>
    <w:p w14:paraId="2812F61E" w14:textId="77777777" w:rsidR="004A3B9F" w:rsidRPr="007D3BB4" w:rsidRDefault="004A3B9F" w:rsidP="002B79C2">
      <w:r w:rsidRPr="007D3BB4">
        <w:t xml:space="preserve">A safety concern is defined as an important identified risk, important potential risk, or important missing information in the Guideline on good </w:t>
      </w:r>
      <w:proofErr w:type="spellStart"/>
      <w:r w:rsidRPr="007D3BB4">
        <w:t>pharmacovigilance</w:t>
      </w:r>
      <w:proofErr w:type="spellEnd"/>
      <w:r w:rsidRPr="007D3BB4">
        <w:t xml:space="preserve"> practices (GVP) Module V – Risk management systems.1</w:t>
      </w:r>
    </w:p>
    <w:p w14:paraId="2812F61F" w14:textId="77777777" w:rsidR="004A3B9F" w:rsidRPr="007D3BB4" w:rsidRDefault="004A3B9F" w:rsidP="002B79C2">
      <w:r w:rsidRPr="007D3BB4">
        <w:t xml:space="preserve">Overall, the important identified risks and important potential risks in the safety specification of the EU-RMP, version 8.3, for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are aligned, with the exception of leukopenia, which the European </w:t>
      </w:r>
      <w:proofErr w:type="spellStart"/>
      <w:r w:rsidRPr="007D3BB4">
        <w:t>Pharmacovigilance</w:t>
      </w:r>
      <w:proofErr w:type="spellEnd"/>
      <w:r w:rsidRPr="007D3BB4">
        <w:t xml:space="preserve"> Risk Assessment Committee (PRAC) considered to be an important identified risk for </w:t>
      </w:r>
      <w:proofErr w:type="spellStart"/>
      <w:r w:rsidRPr="007D3BB4">
        <w:t>Abilify</w:t>
      </w:r>
      <w:proofErr w:type="spellEnd"/>
      <w:r w:rsidRPr="007D3BB4">
        <w:t xml:space="preserve"> </w:t>
      </w:r>
      <w:proofErr w:type="spellStart"/>
      <w:r w:rsidRPr="007D3BB4">
        <w:t>Maintena</w:t>
      </w:r>
      <w:proofErr w:type="spellEnd"/>
      <w:r w:rsidRPr="007D3BB4">
        <w:t xml:space="preserve"> based on potentially clinical significant (PCS) laboratory white blood cell count values from the pivotal trial, Trial 31-07-247. This risk only applies to </w:t>
      </w:r>
      <w:proofErr w:type="spellStart"/>
      <w:r w:rsidRPr="007D3BB4">
        <w:t>Abilify</w:t>
      </w:r>
      <w:proofErr w:type="spellEnd"/>
      <w:r w:rsidRPr="007D3BB4">
        <w:t xml:space="preserve"> </w:t>
      </w:r>
      <w:proofErr w:type="spellStart"/>
      <w:r w:rsidRPr="007D3BB4">
        <w:t>Maintena</w:t>
      </w:r>
      <w:proofErr w:type="spellEnd"/>
      <w:r w:rsidRPr="007D3BB4">
        <w:t>, as leukopenia-related events are potentially more serious if they occur while on a depot formulation where action is not readily reversed.</w:t>
      </w:r>
    </w:p>
    <w:p w14:paraId="2812F620" w14:textId="77777777" w:rsidR="004A3B9F" w:rsidRPr="007D3BB4" w:rsidRDefault="004A3B9F" w:rsidP="00CA4F06">
      <w:r w:rsidRPr="007D3BB4">
        <w:t xml:space="preserve">Furthermore, with regards to missing information, there is a difference between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based on the clinical development program, indications and extent of </w:t>
      </w:r>
      <w:proofErr w:type="spellStart"/>
      <w:r w:rsidRPr="007D3BB4">
        <w:t>postmarketing</w:t>
      </w:r>
      <w:proofErr w:type="spellEnd"/>
      <w:r w:rsidRPr="007D3BB4">
        <w:t xml:space="preserve"> experience. For </w:t>
      </w:r>
      <w:proofErr w:type="spellStart"/>
      <w:r w:rsidRPr="007D3BB4">
        <w:t>Abilify</w:t>
      </w:r>
      <w:proofErr w:type="spellEnd"/>
      <w:r w:rsidRPr="007D3BB4">
        <w:t xml:space="preserve"> </w:t>
      </w:r>
      <w:proofErr w:type="spellStart"/>
      <w:r w:rsidRPr="007D3BB4">
        <w:t>Maintena</w:t>
      </w:r>
      <w:proofErr w:type="spellEnd"/>
      <w:r w:rsidRPr="007D3BB4">
        <w:t>, ‘</w:t>
      </w:r>
      <w:r w:rsidR="00BC1E76">
        <w:t>U</w:t>
      </w:r>
      <w:r w:rsidRPr="007D3BB4">
        <w:t>se in pregnancy and lactation’ and ‘</w:t>
      </w:r>
      <w:r w:rsidR="00BC1E76">
        <w:t>U</w:t>
      </w:r>
      <w:r w:rsidRPr="007D3BB4">
        <w:t xml:space="preserve">se </w:t>
      </w:r>
      <w:r w:rsidRPr="007D3BB4">
        <w:lastRenderedPageBreak/>
        <w:t xml:space="preserve">in elderly patients &gt; 65 years of age’ are considered missing information as pregnant/lactating women and elderly subjects were not included in the clinical trials and the </w:t>
      </w:r>
      <w:proofErr w:type="spellStart"/>
      <w:r w:rsidRPr="007D3BB4">
        <w:t>postmarketing</w:t>
      </w:r>
      <w:proofErr w:type="spellEnd"/>
      <w:r w:rsidRPr="007D3BB4">
        <w:t xml:space="preserve"> safety experience in these populations is still very limited. For oral </w:t>
      </w:r>
      <w:proofErr w:type="spellStart"/>
      <w:r w:rsidRPr="007D3BB4">
        <w:t>Abilify</w:t>
      </w:r>
      <w:proofErr w:type="spellEnd"/>
      <w:r w:rsidRPr="007D3BB4">
        <w:t>, ‘</w:t>
      </w:r>
      <w:r w:rsidR="00BC1E76">
        <w:t>U</w:t>
      </w:r>
      <w:r w:rsidRPr="007D3BB4">
        <w:t>se in</w:t>
      </w:r>
      <w:r w:rsidR="00BC1E76">
        <w:t xml:space="preserve"> pregnancy and lactation’ and ‘U</w:t>
      </w:r>
      <w:r w:rsidRPr="007D3BB4">
        <w:t xml:space="preserve">se in paediatrics’ is considered missing information. ‘Use in paediatrics’ is not included as a safety concern for </w:t>
      </w:r>
      <w:proofErr w:type="spellStart"/>
      <w:r w:rsidRPr="007D3BB4">
        <w:t>Abilify</w:t>
      </w:r>
      <w:proofErr w:type="spellEnd"/>
      <w:r w:rsidRPr="007D3BB4">
        <w:t xml:space="preserve"> </w:t>
      </w:r>
      <w:proofErr w:type="spellStart"/>
      <w:r w:rsidRPr="007D3BB4">
        <w:t>Maintena</w:t>
      </w:r>
      <w:proofErr w:type="spellEnd"/>
      <w:r w:rsidRPr="007D3BB4">
        <w:t xml:space="preserve">, as the depot formulation is not indicated for paediatric use and a </w:t>
      </w:r>
      <w:r w:rsidR="00BC1E76" w:rsidRPr="00BC1E76">
        <w:t>Paediatric Investigation Plan (</w:t>
      </w:r>
      <w:r w:rsidRPr="00BC1E76">
        <w:t>PIP</w:t>
      </w:r>
      <w:r w:rsidR="00BC1E76" w:rsidRPr="00BC1E76">
        <w:t>)</w:t>
      </w:r>
      <w:r w:rsidRPr="00BC1E76">
        <w:t xml:space="preserve"> waiver has been granted by th</w:t>
      </w:r>
      <w:r w:rsidRPr="007D3BB4">
        <w:t>e EMA for this formulation.</w:t>
      </w:r>
    </w:p>
    <w:p w14:paraId="2812F621" w14:textId="77777777" w:rsidR="004A3B9F" w:rsidRPr="007D3BB4" w:rsidRDefault="004A3B9F" w:rsidP="002B79C2">
      <w:r w:rsidRPr="007D3BB4">
        <w:t>As per RMP guidance</w:t>
      </w:r>
      <w:r w:rsidR="009D5548">
        <w:t>,</w:t>
      </w:r>
      <w:r w:rsidRPr="007D3BB4">
        <w:t xml:space="preserve"> differences between indications, formulations, and target populations, if several medicinal products have the same active substance, will be accommodated by dividing the relevant parts of the RMP into modules and/or sections. This direction has been applied to the EU-RMP for </w:t>
      </w:r>
      <w:proofErr w:type="spellStart"/>
      <w:r w:rsidRPr="007D3BB4">
        <w:t>aripiprazole</w:t>
      </w:r>
      <w:proofErr w:type="spellEnd"/>
      <w:r w:rsidRPr="007D3BB4">
        <w:t xml:space="preserve"> to distinguish between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w:t>
      </w:r>
    </w:p>
    <w:p w14:paraId="2812F622" w14:textId="77777777" w:rsidR="004A3B9F" w:rsidRPr="007D3BB4" w:rsidRDefault="004A3B9F" w:rsidP="002B79C2">
      <w:r w:rsidRPr="007D3BB4">
        <w:t xml:space="preserve">The safety specification of the RMP provides information on the </w:t>
      </w:r>
      <w:r w:rsidRPr="007D3BB4">
        <w:rPr>
          <w:iCs/>
        </w:rPr>
        <w:t xml:space="preserve">important identified risks </w:t>
      </w:r>
      <w:r w:rsidRPr="007D3BB4">
        <w:t xml:space="preserve">and </w:t>
      </w:r>
      <w:r w:rsidRPr="007D3BB4">
        <w:rPr>
          <w:iCs/>
        </w:rPr>
        <w:t xml:space="preserve">important potential risks </w:t>
      </w:r>
      <w:r w:rsidRPr="007D3BB4">
        <w:t>associated with use of the product. These should include only the important identified and important potential adverse events/reactions; the important identified and important potential interactions with other medicinal products, foods and other substances; and the important pharmacological class effects.</w:t>
      </w:r>
    </w:p>
    <w:p w14:paraId="2812F623" w14:textId="77777777" w:rsidR="004A3B9F" w:rsidRPr="007D3BB4" w:rsidRDefault="004A3B9F" w:rsidP="002B79C2">
      <w:r w:rsidRPr="007D3BB4">
        <w:t xml:space="preserve">Nevertheless, despite the guidance only to include the important identified and important potential risks in the safety specification of the EU-RMP, a list of ‘potential risks’ has, with the acceptance </w:t>
      </w:r>
      <w:r w:rsidRPr="009D5548">
        <w:t xml:space="preserve">of </w:t>
      </w:r>
      <w:proofErr w:type="spellStart"/>
      <w:r w:rsidR="009D5548" w:rsidRPr="009D5548">
        <w:t>Pharmacovigilance</w:t>
      </w:r>
      <w:proofErr w:type="spellEnd"/>
      <w:r w:rsidR="009D5548" w:rsidRPr="009D5548">
        <w:t xml:space="preserve"> Risk Assessment Committee (</w:t>
      </w:r>
      <w:r w:rsidRPr="009D5548">
        <w:t>PRAC</w:t>
      </w:r>
      <w:r w:rsidR="009D5548" w:rsidRPr="009D5548">
        <w:t>)</w:t>
      </w:r>
      <w:r w:rsidRPr="009D5548">
        <w:t xml:space="preserve">, remained in the </w:t>
      </w:r>
      <w:proofErr w:type="spellStart"/>
      <w:r w:rsidRPr="009D5548">
        <w:t>Abilify</w:t>
      </w:r>
      <w:proofErr w:type="spellEnd"/>
      <w:r w:rsidRPr="009D5548">
        <w:t xml:space="preserve"> section</w:t>
      </w:r>
      <w:r w:rsidRPr="007D3BB4">
        <w:t xml:space="preserve"> for historic reasons. The safety specification section for </w:t>
      </w:r>
      <w:proofErr w:type="spellStart"/>
      <w:r w:rsidRPr="007D3BB4">
        <w:t>Abilify</w:t>
      </w:r>
      <w:proofErr w:type="spellEnd"/>
      <w:r w:rsidRPr="007D3BB4">
        <w:t xml:space="preserve"> </w:t>
      </w:r>
      <w:proofErr w:type="spellStart"/>
      <w:r w:rsidRPr="007D3BB4">
        <w:t>Maintena</w:t>
      </w:r>
      <w:proofErr w:type="spellEnd"/>
      <w:r w:rsidRPr="007D3BB4">
        <w:t>, which has also been endorsed by the PRAC, complies fully with the new EU PV legislation and guideline on GPV Module V Risk Management Systems.</w:t>
      </w:r>
    </w:p>
    <w:p w14:paraId="2812F624" w14:textId="77777777" w:rsidR="004A3B9F" w:rsidRPr="007D3BB4" w:rsidRDefault="004A3B9F" w:rsidP="002B79C2">
      <w:r>
        <w:t xml:space="preserve">The sponsor </w:t>
      </w:r>
      <w:r w:rsidRPr="007D3BB4">
        <w:t xml:space="preserve">proposes to update the Australian Specific Annex section 3 to include a summary of both the safety specifications for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in order to provide full transparency and overview.</w:t>
      </w:r>
    </w:p>
    <w:p w14:paraId="2812F625" w14:textId="3A4B91AB" w:rsidR="004A3B9F" w:rsidRPr="00904356" w:rsidRDefault="004A3B9F" w:rsidP="002B79C2">
      <w:pPr>
        <w:pStyle w:val="Heading6"/>
      </w:pPr>
      <w:r w:rsidRPr="00904356">
        <w:t xml:space="preserve">RMP – Part III </w:t>
      </w:r>
      <w:proofErr w:type="spellStart"/>
      <w:r w:rsidRPr="00904356">
        <w:t>Pharmacovigilance</w:t>
      </w:r>
      <w:proofErr w:type="spellEnd"/>
      <w:r w:rsidRPr="00904356">
        <w:t xml:space="preserve"> </w:t>
      </w:r>
      <w:r w:rsidR="006656FE">
        <w:t>p</w:t>
      </w:r>
      <w:r w:rsidRPr="00904356">
        <w:t>lan</w:t>
      </w:r>
    </w:p>
    <w:p w14:paraId="2812F626" w14:textId="77777777" w:rsidR="004A3B9F" w:rsidRPr="007D3BB4" w:rsidRDefault="004A3B9F" w:rsidP="002B79C2">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are both subject to routine </w:t>
      </w:r>
      <w:proofErr w:type="spellStart"/>
      <w:r w:rsidRPr="007D3BB4">
        <w:t>pharmacovigilance</w:t>
      </w:r>
      <w:proofErr w:type="spellEnd"/>
      <w:r w:rsidRPr="007D3BB4">
        <w:t xml:space="preserve"> activities. As part of the paediatric investigation plan (PIP), </w:t>
      </w:r>
      <w:proofErr w:type="spellStart"/>
      <w:r w:rsidRPr="007D3BB4">
        <w:t>Abilify</w:t>
      </w:r>
      <w:proofErr w:type="spellEnd"/>
      <w:r w:rsidRPr="007D3BB4">
        <w:t xml:space="preserve"> has two additional </w:t>
      </w:r>
      <w:proofErr w:type="spellStart"/>
      <w:r w:rsidRPr="007D3BB4">
        <w:t>pharmacovigilance</w:t>
      </w:r>
      <w:proofErr w:type="spellEnd"/>
      <w:r w:rsidRPr="007D3BB4">
        <w:t xml:space="preserve"> activities (Trials 31-09-266 and 31-09-267). These trials are designed to investigate safety and tolerability in the paediatric population. As a further additional </w:t>
      </w:r>
      <w:proofErr w:type="spellStart"/>
      <w:r w:rsidRPr="007D3BB4">
        <w:t>pharmacovigilance</w:t>
      </w:r>
      <w:proofErr w:type="spellEnd"/>
      <w:r w:rsidRPr="007D3BB4">
        <w:t xml:space="preserve"> activity, </w:t>
      </w:r>
      <w:proofErr w:type="spellStart"/>
      <w:r w:rsidRPr="007D3BB4">
        <w:t>Abilify</w:t>
      </w:r>
      <w:proofErr w:type="spellEnd"/>
      <w:r w:rsidRPr="007D3BB4">
        <w:t xml:space="preserve"> has a post-authorisation safety study (PASS, Trial 31-13-300), which assesses the effectiveness of the educational programme that is aimed to communicate and reinforce the safety messages when treating paediatric patients with bipolar disorder. </w:t>
      </w:r>
      <w:proofErr w:type="spellStart"/>
      <w:r w:rsidRPr="007D3BB4">
        <w:t>Abilify</w:t>
      </w:r>
      <w:proofErr w:type="spellEnd"/>
      <w:r w:rsidRPr="007D3BB4">
        <w:t xml:space="preserve"> </w:t>
      </w:r>
      <w:proofErr w:type="spellStart"/>
      <w:r w:rsidRPr="007D3BB4">
        <w:t>Maintena</w:t>
      </w:r>
      <w:proofErr w:type="spellEnd"/>
      <w:r w:rsidRPr="007D3BB4">
        <w:t xml:space="preserve"> is not indicated for paediatric use and a paediatric study plan PIP waiver has been granted by the EMA for this formulation, and hence these additional </w:t>
      </w:r>
      <w:proofErr w:type="spellStart"/>
      <w:r w:rsidRPr="007D3BB4">
        <w:t>pharmacovigilance</w:t>
      </w:r>
      <w:proofErr w:type="spellEnd"/>
      <w:r w:rsidRPr="007D3BB4">
        <w:t xml:space="preserve"> activities do</w:t>
      </w:r>
      <w:r w:rsidR="009D5548">
        <w:t xml:space="preserve"> not apply to </w:t>
      </w:r>
      <w:proofErr w:type="spellStart"/>
      <w:r w:rsidR="009D5548">
        <w:t>Abilify</w:t>
      </w:r>
      <w:proofErr w:type="spellEnd"/>
      <w:r w:rsidR="009D5548">
        <w:t xml:space="preserve"> </w:t>
      </w:r>
      <w:proofErr w:type="spellStart"/>
      <w:r w:rsidR="009D5548">
        <w:t>Maintena</w:t>
      </w:r>
      <w:proofErr w:type="spellEnd"/>
      <w:r w:rsidRPr="007D3BB4">
        <w:t>.</w:t>
      </w:r>
    </w:p>
    <w:p w14:paraId="2812F627" w14:textId="40021709" w:rsidR="004A3B9F" w:rsidRPr="007D3BB4" w:rsidRDefault="004A3B9F" w:rsidP="002B79C2">
      <w:r w:rsidRPr="007D3BB4">
        <w:t xml:space="preserve">In contrast, </w:t>
      </w:r>
      <w:proofErr w:type="spellStart"/>
      <w:r w:rsidRPr="007D3BB4">
        <w:t>Abilify</w:t>
      </w:r>
      <w:proofErr w:type="spellEnd"/>
      <w:r w:rsidRPr="007D3BB4">
        <w:t xml:space="preserve"> </w:t>
      </w:r>
      <w:proofErr w:type="spellStart"/>
      <w:r w:rsidRPr="007D3BB4">
        <w:t>Maintena</w:t>
      </w:r>
      <w:proofErr w:type="spellEnd"/>
      <w:r w:rsidRPr="007D3BB4">
        <w:t xml:space="preserve"> has two additional </w:t>
      </w:r>
      <w:proofErr w:type="spellStart"/>
      <w:r w:rsidRPr="007D3BB4">
        <w:t>pharmacovigilance</w:t>
      </w:r>
      <w:proofErr w:type="spellEnd"/>
      <w:r w:rsidRPr="007D3BB4">
        <w:t xml:space="preserve"> activities intended to investigate the EPS-related adverse events: a long-term safety trial (Trial 31-10-270) and a PASS (Trial 15893N). These activities were considered relevant for </w:t>
      </w:r>
      <w:proofErr w:type="spellStart"/>
      <w:r w:rsidRPr="007D3BB4">
        <w:t>Abilify</w:t>
      </w:r>
      <w:proofErr w:type="spellEnd"/>
      <w:r w:rsidRPr="007D3BB4">
        <w:t xml:space="preserve"> </w:t>
      </w:r>
      <w:proofErr w:type="spellStart"/>
      <w:r w:rsidRPr="007D3BB4">
        <w:t>Maintena</w:t>
      </w:r>
      <w:proofErr w:type="spellEnd"/>
      <w:r w:rsidRPr="007D3BB4">
        <w:t xml:space="preserve"> as the rate of EPS-related adverse events was higher than that in the oral </w:t>
      </w:r>
      <w:proofErr w:type="spellStart"/>
      <w:r w:rsidRPr="007D3BB4">
        <w:t>Abilify</w:t>
      </w:r>
      <w:proofErr w:type="spellEnd"/>
      <w:r w:rsidRPr="007D3BB4">
        <w:t xml:space="preserve"> group in the pivotal trials (18% </w:t>
      </w:r>
      <w:r w:rsidRPr="007D3BB4">
        <w:rPr>
          <w:iCs/>
        </w:rPr>
        <w:t xml:space="preserve">versus </w:t>
      </w:r>
      <w:r w:rsidRPr="007D3BB4">
        <w:t xml:space="preserve">12%). However, when considering the historical oral </w:t>
      </w:r>
      <w:proofErr w:type="spellStart"/>
      <w:r w:rsidRPr="007D3BB4">
        <w:t>aripiprazole</w:t>
      </w:r>
      <w:proofErr w:type="spellEnd"/>
      <w:r w:rsidRPr="007D3BB4">
        <w:t xml:space="preserve"> data of EPS, the incidence of </w:t>
      </w:r>
      <w:r w:rsidR="00290A64">
        <w:t>E</w:t>
      </w:r>
      <w:r w:rsidRPr="007D3BB4">
        <w:t>PS</w:t>
      </w:r>
      <w:r w:rsidR="009D5548">
        <w:t xml:space="preserve"> </w:t>
      </w:r>
      <w:r w:rsidRPr="007D3BB4">
        <w:t xml:space="preserve">related events for the oral formulation ranged from 8 to 32% (in the short-term studies) and from 17 to 27% (in the long-term studies). The low incidence (12%) of EPS-related adverse events observed in the patients treated with oral </w:t>
      </w:r>
      <w:proofErr w:type="spellStart"/>
      <w:r w:rsidRPr="007D3BB4">
        <w:t>aripiprazole</w:t>
      </w:r>
      <w:proofErr w:type="spellEnd"/>
      <w:r w:rsidRPr="007D3BB4">
        <w:t xml:space="preserve"> in the pivotal trial, Trial 31-07- 247, may consequently be explained by the design of this specific trial as the patients were stabilised on oral </w:t>
      </w:r>
      <w:proofErr w:type="spellStart"/>
      <w:r w:rsidRPr="007D3BB4">
        <w:t>aripiprazole</w:t>
      </w:r>
      <w:proofErr w:type="spellEnd"/>
      <w:r w:rsidRPr="007D3BB4">
        <w:t xml:space="preserve"> for a minimum of 8 weeks prior to randomisation, thereby lowering the incidence of </w:t>
      </w:r>
      <w:r w:rsidR="00290A64">
        <w:t>E</w:t>
      </w:r>
      <w:r w:rsidRPr="007D3BB4">
        <w:t>PS-related adverse events in this patient cohort.</w:t>
      </w:r>
    </w:p>
    <w:p w14:paraId="2812F628" w14:textId="388BEE1A" w:rsidR="004A3B9F" w:rsidRPr="00904356" w:rsidRDefault="006656FE" w:rsidP="002B79C2">
      <w:pPr>
        <w:pStyle w:val="Heading6"/>
      </w:pPr>
      <w:r>
        <w:lastRenderedPageBreak/>
        <w:t>RMP - Part V Risk minimisation m</w:t>
      </w:r>
      <w:r w:rsidR="004A3B9F" w:rsidRPr="00904356">
        <w:t>easures</w:t>
      </w:r>
    </w:p>
    <w:p w14:paraId="2812F629" w14:textId="77777777" w:rsidR="004A3B9F" w:rsidRPr="007D3BB4" w:rsidRDefault="004A3B9F" w:rsidP="002B79C2">
      <w:r w:rsidRPr="007D3BB4">
        <w:t xml:space="preserve">According to the </w:t>
      </w:r>
      <w:r w:rsidRPr="007D3BB4">
        <w:rPr>
          <w:iCs/>
        </w:rPr>
        <w:t xml:space="preserve">Guideline on good </w:t>
      </w:r>
      <w:proofErr w:type="spellStart"/>
      <w:r w:rsidRPr="007D3BB4">
        <w:rPr>
          <w:iCs/>
        </w:rPr>
        <w:t>pharmacovigilance</w:t>
      </w:r>
      <w:proofErr w:type="spellEnd"/>
      <w:r w:rsidRPr="007D3BB4">
        <w:rPr>
          <w:iCs/>
        </w:rPr>
        <w:t xml:space="preserve"> practices (GVP) Module V – Risk management systems</w:t>
      </w:r>
      <w:r w:rsidRPr="007D3BB4">
        <w:t>, for active substances for which there are individual products with substantially different indications or target populations, it may be appropriate to have a risk minimisation plan specific to each product.</w:t>
      </w:r>
    </w:p>
    <w:p w14:paraId="2812F62A" w14:textId="77777777" w:rsidR="004A3B9F" w:rsidRPr="007D3BB4" w:rsidRDefault="004A3B9F" w:rsidP="002B79C2">
      <w:r w:rsidRPr="007D3BB4">
        <w:t xml:space="preserve">Both medicinal products are subject to routine risk minimisation measures, including approved </w:t>
      </w:r>
      <w:r w:rsidR="009D5548">
        <w:t>PI</w:t>
      </w:r>
      <w:r w:rsidRPr="007D3BB4">
        <w:t xml:space="preserve"> and Consumer Medicine Information </w:t>
      </w:r>
      <w:r w:rsidR="009D5548">
        <w:t xml:space="preserve">(CMI) </w:t>
      </w:r>
      <w:r w:rsidRPr="007D3BB4">
        <w:t>and the legal status of prescription only medicine.</w:t>
      </w:r>
    </w:p>
    <w:p w14:paraId="2812F62B" w14:textId="77777777" w:rsidR="004A3B9F" w:rsidRPr="007D3BB4" w:rsidRDefault="004A3B9F" w:rsidP="002B79C2">
      <w:r w:rsidRPr="007D3BB4">
        <w:t xml:space="preserve">The risk minimisation measures in the EU-RMP for </w:t>
      </w:r>
      <w:proofErr w:type="spellStart"/>
      <w:r w:rsidRPr="007D3BB4">
        <w:t>aripiprazole</w:t>
      </w:r>
      <w:proofErr w:type="spellEnd"/>
      <w:r w:rsidRPr="007D3BB4">
        <w:t xml:space="preserve"> have been divided into separate sections for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as the risks differ according to the target population. The paediatric population, which is only applicable for </w:t>
      </w:r>
      <w:proofErr w:type="spellStart"/>
      <w:r w:rsidRPr="007D3BB4">
        <w:t>Abilify</w:t>
      </w:r>
      <w:proofErr w:type="spellEnd"/>
      <w:r w:rsidRPr="007D3BB4">
        <w:t>, is considered particularly susceptible to certain safety concerns, hence the need for additional risk minimisation measures in order to safeguard this vulnerable population.</w:t>
      </w:r>
    </w:p>
    <w:p w14:paraId="2812F62C" w14:textId="77777777" w:rsidR="004A3B9F" w:rsidRPr="007D3BB4" w:rsidRDefault="004A3B9F" w:rsidP="002B79C2">
      <w:proofErr w:type="spellStart"/>
      <w:r w:rsidRPr="007D3BB4">
        <w:t>Abilify</w:t>
      </w:r>
      <w:proofErr w:type="spellEnd"/>
      <w:r w:rsidRPr="007D3BB4">
        <w:t xml:space="preserve">, due to its paediatric indication, has an additional risk minimisation measure in the form of educational material, which is provided to the prescribers to clearly highlight the need to carefully consider the indicated age range, dose, and duration of treatment before prescribing </w:t>
      </w:r>
      <w:proofErr w:type="spellStart"/>
      <w:r w:rsidRPr="007D3BB4">
        <w:t>aripiprazole</w:t>
      </w:r>
      <w:proofErr w:type="spellEnd"/>
      <w:r w:rsidRPr="007D3BB4">
        <w:t xml:space="preserve"> to a paediatric patient with bipolar I disorder, as well as patient brochures to help understand and be vigilant of specific adverse events. A PASS (Trial 31- 13-300) has been proposed to assess the effectiveness of the educational programme.</w:t>
      </w:r>
    </w:p>
    <w:p w14:paraId="2812F62D" w14:textId="77777777" w:rsidR="004A3B9F" w:rsidRPr="007D3BB4" w:rsidRDefault="004A3B9F" w:rsidP="002B79C2">
      <w:proofErr w:type="spellStart"/>
      <w:r w:rsidRPr="007D3BB4">
        <w:t>Abilify</w:t>
      </w:r>
      <w:proofErr w:type="spellEnd"/>
      <w:r w:rsidRPr="007D3BB4">
        <w:t xml:space="preserve"> </w:t>
      </w:r>
      <w:proofErr w:type="spellStart"/>
      <w:r w:rsidRPr="007D3BB4">
        <w:t>Maintena</w:t>
      </w:r>
      <w:proofErr w:type="spellEnd"/>
      <w:r w:rsidRPr="007D3BB4">
        <w:t xml:space="preserve"> does not have a paediatric indication and no additional risk minimisation measures have been proposed or requested by any regulatory authority.</w:t>
      </w:r>
    </w:p>
    <w:p w14:paraId="2812F62E" w14:textId="77777777" w:rsidR="004A3B9F" w:rsidRPr="00904356" w:rsidRDefault="004A3B9F" w:rsidP="002B79C2">
      <w:pPr>
        <w:pStyle w:val="Heading6"/>
      </w:pPr>
      <w:r w:rsidRPr="00904356">
        <w:t>Conclusion</w:t>
      </w:r>
    </w:p>
    <w:p w14:paraId="2812F62F" w14:textId="77777777" w:rsidR="004A3B9F" w:rsidRPr="007D3BB4" w:rsidRDefault="004A3B9F" w:rsidP="002B79C2">
      <w:r>
        <w:t xml:space="preserve">The sponsor </w:t>
      </w:r>
      <w:r w:rsidRPr="007D3BB4">
        <w:t xml:space="preserve">does not consider the common EU-RMP for </w:t>
      </w:r>
      <w:proofErr w:type="spellStart"/>
      <w:r w:rsidRPr="007D3BB4">
        <w:t>aripiprazole</w:t>
      </w:r>
      <w:proofErr w:type="spellEnd"/>
      <w:r w:rsidRPr="007D3BB4">
        <w:t xml:space="preserve"> to be inconsistent with respect to </w:t>
      </w:r>
      <w:proofErr w:type="spellStart"/>
      <w:r w:rsidRPr="007D3BB4">
        <w:t>pharmacovigilance</w:t>
      </w:r>
      <w:proofErr w:type="spellEnd"/>
      <w:r w:rsidRPr="007D3BB4">
        <w:t xml:space="preserve"> activities and risk minimisation measures for </w:t>
      </w:r>
      <w:proofErr w:type="spellStart"/>
      <w:r w:rsidRPr="007D3BB4">
        <w:t>Abilify</w:t>
      </w:r>
      <w:proofErr w:type="spellEnd"/>
      <w:r w:rsidRPr="007D3BB4">
        <w:t xml:space="preserve"> or </w:t>
      </w:r>
      <w:proofErr w:type="spellStart"/>
      <w:r w:rsidRPr="007D3BB4">
        <w:t>Abilify</w:t>
      </w:r>
      <w:proofErr w:type="spellEnd"/>
      <w:r w:rsidRPr="007D3BB4">
        <w:t xml:space="preserve"> </w:t>
      </w:r>
      <w:proofErr w:type="spellStart"/>
      <w:r w:rsidRPr="007D3BB4">
        <w:t>Maintena</w:t>
      </w:r>
      <w:proofErr w:type="spellEnd"/>
      <w:r w:rsidRPr="007D3BB4">
        <w:t>. Due to variations in the clinical development program</w:t>
      </w:r>
      <w:r w:rsidR="009D5548">
        <w:t>s</w:t>
      </w:r>
      <w:r w:rsidRPr="007D3BB4">
        <w:t xml:space="preserve">, indications, target populations, life-cycle stage, safety experience, and regulatory requests, the </w:t>
      </w:r>
      <w:proofErr w:type="spellStart"/>
      <w:r w:rsidRPr="007D3BB4">
        <w:t>pharmacovigilance</w:t>
      </w:r>
      <w:proofErr w:type="spellEnd"/>
      <w:r w:rsidRPr="007D3BB4">
        <w:t xml:space="preserve"> activities and risk minimisation measures differ in order to address the specific safety concerns effectively.</w:t>
      </w:r>
    </w:p>
    <w:p w14:paraId="2812F630" w14:textId="6455E9B7" w:rsidR="004A3B9F" w:rsidRDefault="004A3B9F" w:rsidP="002B79C2">
      <w:pPr>
        <w:rPr>
          <w:rFonts w:asciiTheme="minorHAnsi" w:hAnsiTheme="minorHAnsi"/>
          <w:sz w:val="18"/>
          <w:szCs w:val="18"/>
        </w:rPr>
      </w:pPr>
      <w:r>
        <w:t xml:space="preserve">The sponsor </w:t>
      </w:r>
      <w:r w:rsidRPr="007D3BB4">
        <w:t xml:space="preserve">considers the current EU-RMP applicable to the Australian setting and will include a summary of the safety specifications for both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in the Australian Specific Annex in order to provide full transparency and overview. Background and justification for the apparent differences in the EU-RMP between </w:t>
      </w:r>
      <w:proofErr w:type="spellStart"/>
      <w:r w:rsidRPr="007D3BB4">
        <w:t>Abilify</w:t>
      </w:r>
      <w:proofErr w:type="spellEnd"/>
      <w:r w:rsidRPr="007D3BB4">
        <w:t xml:space="preserve"> and </w:t>
      </w:r>
      <w:proofErr w:type="spellStart"/>
      <w:r w:rsidRPr="007D3BB4">
        <w:t>Abilify</w:t>
      </w:r>
      <w:proofErr w:type="spellEnd"/>
      <w:r w:rsidRPr="007D3BB4">
        <w:t xml:space="preserve"> </w:t>
      </w:r>
      <w:proofErr w:type="spellStart"/>
      <w:r w:rsidRPr="007D3BB4">
        <w:t>Maintena</w:t>
      </w:r>
      <w:proofErr w:type="spellEnd"/>
      <w:r w:rsidRPr="007D3BB4">
        <w:t xml:space="preserve">, which are predominantly due to the paediatric indication for </w:t>
      </w:r>
      <w:proofErr w:type="spellStart"/>
      <w:r w:rsidRPr="007D3BB4">
        <w:t>Abilify</w:t>
      </w:r>
      <w:proofErr w:type="spellEnd"/>
      <w:r w:rsidRPr="007D3BB4">
        <w:t>, have been provided above. For the EU-RMP, which only recently has been updated and approved by</w:t>
      </w:r>
      <w:r w:rsidRPr="007D3BB4">
        <w:rPr>
          <w:rFonts w:eastAsia="MS Mincho" w:cs="TimesNewRoman"/>
          <w:color w:val="000000"/>
        </w:rPr>
        <w:t xml:space="preserve"> </w:t>
      </w:r>
      <w:r w:rsidRPr="007D3BB4">
        <w:t xml:space="preserve">the EMA, no further updates to the safety specification, </w:t>
      </w:r>
      <w:proofErr w:type="spellStart"/>
      <w:r w:rsidRPr="007D3BB4">
        <w:t>pharmacovigilance</w:t>
      </w:r>
      <w:proofErr w:type="spellEnd"/>
      <w:r w:rsidRPr="007D3BB4">
        <w:t xml:space="preserve"> plan, or risk minimisation plan are deemed relevant at this point in time. However, the ASA will be updated as described above and further in the response to Recommendation </w:t>
      </w:r>
      <w:r w:rsidR="00510CCA">
        <w:t>6</w:t>
      </w:r>
      <w:r>
        <w:t>.</w:t>
      </w:r>
      <w:r w:rsidRPr="004A3B9F">
        <w:rPr>
          <w:rFonts w:asciiTheme="minorHAnsi" w:hAnsiTheme="minorHAnsi"/>
          <w:sz w:val="18"/>
          <w:szCs w:val="18"/>
        </w:rPr>
        <w:t xml:space="preserve"> </w:t>
      </w:r>
    </w:p>
    <w:p w14:paraId="2812F631" w14:textId="77777777" w:rsidR="004A3B9F" w:rsidRDefault="004A3B9F" w:rsidP="002B79C2">
      <w:pPr>
        <w:pStyle w:val="Heading6"/>
      </w:pPr>
      <w:r>
        <w:t>OPR evaluator comment</w:t>
      </w:r>
    </w:p>
    <w:p w14:paraId="2812F632" w14:textId="77777777" w:rsidR="004A3B9F" w:rsidRPr="007D3BB4" w:rsidRDefault="004A3B9F" w:rsidP="002B79C2">
      <w:r w:rsidRPr="007D3BB4">
        <w:t>The sponsor’s justification for not including ‘use in paediatrics’ as missing information in the RMP is acceptable. However, the evaluator considers the following potential risks are ‘</w:t>
      </w:r>
      <w:r w:rsidRPr="007D3BB4">
        <w:rPr>
          <w:i/>
        </w:rPr>
        <w:t xml:space="preserve">important potential adverse events/reactions; the important identified and important potential interactions with other medicinal products, foods and other substances; and the important pharmacological class effects’ </w:t>
      </w:r>
      <w:r w:rsidRPr="007D3BB4">
        <w:t xml:space="preserve">that are associated with the active ingredient: </w:t>
      </w:r>
    </w:p>
    <w:p w14:paraId="2812F633" w14:textId="77777777" w:rsidR="004A3B9F" w:rsidRPr="007D3BB4" w:rsidRDefault="004A3B9F" w:rsidP="002B79C2">
      <w:pPr>
        <w:pStyle w:val="ListBullet"/>
      </w:pPr>
      <w:r w:rsidRPr="007D3BB4">
        <w:t>Cardiovascular-related disorders</w:t>
      </w:r>
    </w:p>
    <w:p w14:paraId="2812F634" w14:textId="77777777" w:rsidR="004A3B9F" w:rsidRPr="008A73B5" w:rsidRDefault="004A3B9F" w:rsidP="002B79C2">
      <w:pPr>
        <w:pStyle w:val="ListBullet"/>
      </w:pPr>
      <w:r w:rsidRPr="008A73B5">
        <w:t>Conduction abnormalities</w:t>
      </w:r>
    </w:p>
    <w:p w14:paraId="2812F635" w14:textId="77777777" w:rsidR="004A3B9F" w:rsidRPr="008A73B5" w:rsidRDefault="004A3B9F" w:rsidP="002B79C2">
      <w:pPr>
        <w:pStyle w:val="ListBullet"/>
      </w:pPr>
      <w:r w:rsidRPr="008A73B5">
        <w:t>Increased prolactin level</w:t>
      </w:r>
    </w:p>
    <w:p w14:paraId="2812F636" w14:textId="77777777" w:rsidR="004A3B9F" w:rsidRPr="007D3BB4" w:rsidRDefault="004A3B9F" w:rsidP="002B79C2">
      <w:pPr>
        <w:pStyle w:val="ListBullet"/>
      </w:pPr>
      <w:r w:rsidRPr="007D3BB4">
        <w:t>Dysphagia</w:t>
      </w:r>
    </w:p>
    <w:p w14:paraId="2812F637" w14:textId="77777777" w:rsidR="004A3B9F" w:rsidRPr="007D3BB4" w:rsidRDefault="004A3B9F" w:rsidP="002B79C2">
      <w:pPr>
        <w:pStyle w:val="ListBullet"/>
      </w:pPr>
      <w:r w:rsidRPr="007D3BB4">
        <w:lastRenderedPageBreak/>
        <w:t>ADHD co-morbidity</w:t>
      </w:r>
    </w:p>
    <w:p w14:paraId="2812F638" w14:textId="77777777" w:rsidR="004A3B9F" w:rsidRPr="007D3BB4" w:rsidRDefault="004A3B9F" w:rsidP="002B79C2">
      <w:pPr>
        <w:pStyle w:val="ListBullet"/>
      </w:pPr>
      <w:r w:rsidRPr="007D3BB4">
        <w:t>Drug interactions</w:t>
      </w:r>
    </w:p>
    <w:p w14:paraId="2812F639" w14:textId="77777777" w:rsidR="004A3B9F" w:rsidRPr="007D3BB4" w:rsidRDefault="004A3B9F" w:rsidP="002B79C2">
      <w:pPr>
        <w:pStyle w:val="ListBullet"/>
      </w:pPr>
      <w:r w:rsidRPr="007D3BB4">
        <w:t>Increased mortality and CVA in elderly patients with dementia</w:t>
      </w:r>
    </w:p>
    <w:p w14:paraId="2812F63A" w14:textId="77777777" w:rsidR="004A3B9F" w:rsidRPr="007D3BB4" w:rsidRDefault="004A3B9F" w:rsidP="002B79C2">
      <w:pPr>
        <w:pStyle w:val="ListBullet"/>
      </w:pPr>
      <w:r w:rsidRPr="007D3BB4">
        <w:t xml:space="preserve">Serious injection site reactions </w:t>
      </w:r>
    </w:p>
    <w:p w14:paraId="2812F63B" w14:textId="77777777" w:rsidR="004A3B9F" w:rsidRPr="007D3BB4" w:rsidRDefault="004A3B9F" w:rsidP="002B79C2">
      <w:pPr>
        <w:pStyle w:val="ListBullet"/>
      </w:pPr>
      <w:r w:rsidRPr="007D3BB4">
        <w:t>Serious hypersensitivity reactions</w:t>
      </w:r>
    </w:p>
    <w:p w14:paraId="2812F63C" w14:textId="77777777" w:rsidR="004A3B9F" w:rsidRPr="007D3BB4" w:rsidRDefault="004A3B9F" w:rsidP="002B79C2">
      <w:pPr>
        <w:pStyle w:val="ListBullet"/>
      </w:pPr>
      <w:r w:rsidRPr="007D3BB4">
        <w:t>Pathological gambling</w:t>
      </w:r>
    </w:p>
    <w:p w14:paraId="2812F63D" w14:textId="77777777" w:rsidR="004A3B9F" w:rsidRPr="007D3BB4" w:rsidRDefault="004A3B9F" w:rsidP="002B79C2">
      <w:pPr>
        <w:pStyle w:val="ListBullet"/>
      </w:pPr>
      <w:r w:rsidRPr="007D3BB4">
        <w:t>Serotonin syndrome</w:t>
      </w:r>
    </w:p>
    <w:p w14:paraId="2812F63E" w14:textId="77777777" w:rsidR="004A3B9F" w:rsidRPr="007D3BB4" w:rsidRDefault="004A3B9F" w:rsidP="002B79C2">
      <w:pPr>
        <w:pStyle w:val="ListBullet"/>
      </w:pPr>
      <w:r w:rsidRPr="007D3BB4">
        <w:t>Hepatic adverse events</w:t>
      </w:r>
    </w:p>
    <w:p w14:paraId="2812F63F" w14:textId="7525589B" w:rsidR="004A3B9F" w:rsidRDefault="004A3B9F" w:rsidP="002B79C2">
      <w:r w:rsidRPr="007D3BB4">
        <w:t xml:space="preserve">The OPR evaluator is aware that the EU-RMP submitted was prepared primarily for the EU regulators. Therefore, it is recommended that these risks be added as ongoing safety concerns in the Australian-specific Annex to the EU-RMP. The sponsor should undertake to give specific consideration of all reported occurrences of these adverse events in the Periodic Safety </w:t>
      </w:r>
      <w:r w:rsidR="009C7295">
        <w:t>U</w:t>
      </w:r>
      <w:r w:rsidRPr="007D3BB4">
        <w:t>pdate Reports.</w:t>
      </w:r>
    </w:p>
    <w:p w14:paraId="2812F640" w14:textId="77777777" w:rsidR="004C67AA" w:rsidRDefault="004C67AA" w:rsidP="002B79C2">
      <w:pPr>
        <w:pStyle w:val="Heading4"/>
        <w:rPr>
          <w:lang w:eastAsia="en-AU"/>
        </w:rPr>
      </w:pPr>
      <w:proofErr w:type="spellStart"/>
      <w:r>
        <w:rPr>
          <w:lang w:eastAsia="en-AU"/>
        </w:rPr>
        <w:t>Pharmacovigilance</w:t>
      </w:r>
      <w:proofErr w:type="spellEnd"/>
      <w:r>
        <w:rPr>
          <w:lang w:eastAsia="en-AU"/>
        </w:rPr>
        <w:t xml:space="preserve"> plan</w:t>
      </w:r>
    </w:p>
    <w:p w14:paraId="2812F641" w14:textId="58FCC555" w:rsidR="00B33028" w:rsidRDefault="007D3BB4" w:rsidP="002B79C2">
      <w:r>
        <w:t xml:space="preserve">Routine </w:t>
      </w:r>
      <w:proofErr w:type="spellStart"/>
      <w:r>
        <w:t>pharmacovigilance</w:t>
      </w:r>
      <w:proofErr w:type="spellEnd"/>
      <w:r>
        <w:t xml:space="preserve"> is proposed for all safety concerns (see Table 8) except</w:t>
      </w:r>
      <w:r w:rsidR="009D5548">
        <w:t xml:space="preserve"> for </w:t>
      </w:r>
      <w:r w:rsidRPr="007D3BB4">
        <w:t>Extrapyramidal symptoms (EPS) including tardive dyskinesia f</w:t>
      </w:r>
      <w:r>
        <w:t xml:space="preserve">or which additional </w:t>
      </w:r>
      <w:proofErr w:type="spellStart"/>
      <w:r>
        <w:t>pharmacovigilance</w:t>
      </w:r>
      <w:proofErr w:type="spellEnd"/>
      <w:r>
        <w:t xml:space="preserve"> is proposed </w:t>
      </w:r>
      <w:r w:rsidR="002B79C2">
        <w:t xml:space="preserve">as summarised in Table </w:t>
      </w:r>
      <w:r w:rsidR="00A7503C">
        <w:t>8</w:t>
      </w:r>
      <w:r w:rsidR="002B79C2">
        <w:t xml:space="preserve"> below.</w:t>
      </w:r>
    </w:p>
    <w:p w14:paraId="2812F642" w14:textId="3900F419" w:rsidR="00F22E56" w:rsidRDefault="00F22E56" w:rsidP="002B79C2">
      <w:pPr>
        <w:pStyle w:val="TableTitle"/>
      </w:pPr>
      <w:r>
        <w:t xml:space="preserve">Table </w:t>
      </w:r>
      <w:r w:rsidR="00A7503C">
        <w:t>8</w:t>
      </w:r>
      <w:r>
        <w:t xml:space="preserve">. Summary of the proposed </w:t>
      </w:r>
      <w:proofErr w:type="spellStart"/>
      <w:r>
        <w:t>pharmacovigilance</w:t>
      </w:r>
      <w:proofErr w:type="spellEnd"/>
      <w:r>
        <w:t xml:space="preserve"> activities proposed in the EU-RMP and ASA</w:t>
      </w:r>
      <w:r w:rsidR="007D3BB4">
        <w:t xml:space="preserve"> for EPS and tardive dyskinesia</w:t>
      </w:r>
    </w:p>
    <w:tbl>
      <w:tblPr>
        <w:tblStyle w:val="TableTGAblue"/>
        <w:tblW w:w="0" w:type="auto"/>
        <w:tblInd w:w="250" w:type="dxa"/>
        <w:tblLook w:val="04A0" w:firstRow="1" w:lastRow="0" w:firstColumn="1" w:lastColumn="0" w:noHBand="0" w:noVBand="1"/>
      </w:tblPr>
      <w:tblGrid>
        <w:gridCol w:w="2693"/>
        <w:gridCol w:w="5387"/>
      </w:tblGrid>
      <w:tr w:rsidR="00B33028" w14:paraId="2812F644" w14:textId="77777777" w:rsidTr="007D3BB4">
        <w:trPr>
          <w:cnfStyle w:val="100000000000" w:firstRow="1" w:lastRow="0" w:firstColumn="0" w:lastColumn="0" w:oddVBand="0" w:evenVBand="0" w:oddHBand="0" w:evenHBand="0" w:firstRowFirstColumn="0" w:firstRowLastColumn="0" w:lastRowFirstColumn="0" w:lastRowLastColumn="0"/>
        </w:trPr>
        <w:tc>
          <w:tcPr>
            <w:tcW w:w="8080" w:type="dxa"/>
            <w:gridSpan w:val="2"/>
            <w:shd w:val="clear" w:color="auto" w:fill="0070C0"/>
          </w:tcPr>
          <w:p w14:paraId="2812F643" w14:textId="77777777" w:rsidR="00B33028" w:rsidRPr="00F22E56" w:rsidRDefault="00B33028" w:rsidP="00A7503C">
            <w:r w:rsidRPr="00F22E56">
              <w:t>Important identified risks</w:t>
            </w:r>
          </w:p>
        </w:tc>
      </w:tr>
      <w:tr w:rsidR="00B33028" w14:paraId="2812F649" w14:textId="77777777" w:rsidTr="007D3BB4">
        <w:tc>
          <w:tcPr>
            <w:tcW w:w="2693" w:type="dxa"/>
          </w:tcPr>
          <w:p w14:paraId="2812F645" w14:textId="77777777" w:rsidR="00B33028" w:rsidRPr="00F22E56" w:rsidRDefault="00F22E56" w:rsidP="00A7503C">
            <w:r w:rsidRPr="00F22E56">
              <w:t>Extrapyramidal symptoms (</w:t>
            </w:r>
            <w:r w:rsidR="00B33028" w:rsidRPr="00F22E56">
              <w:t>EPS</w:t>
            </w:r>
            <w:r w:rsidRPr="00F22E56">
              <w:t>)</w:t>
            </w:r>
            <w:r w:rsidR="00B33028" w:rsidRPr="00F22E56">
              <w:t xml:space="preserve"> including tardive dyskinesia</w:t>
            </w:r>
          </w:p>
        </w:tc>
        <w:tc>
          <w:tcPr>
            <w:tcW w:w="5387" w:type="dxa"/>
          </w:tcPr>
          <w:p w14:paraId="2812F646" w14:textId="69E72D2E" w:rsidR="00B33028" w:rsidRPr="00F22E56" w:rsidRDefault="00A7503C" w:rsidP="00A7503C">
            <w:r>
              <w:t xml:space="preserve">Routine </w:t>
            </w:r>
            <w:proofErr w:type="spellStart"/>
            <w:r>
              <w:t>Pharmacovigilance</w:t>
            </w:r>
            <w:proofErr w:type="spellEnd"/>
          </w:p>
          <w:p w14:paraId="2812F647" w14:textId="77777777" w:rsidR="00B33028" w:rsidRPr="00F22E56" w:rsidRDefault="00B33028" w:rsidP="00A7503C">
            <w:r w:rsidRPr="00F22E56">
              <w:t xml:space="preserve">An Open-label, </w:t>
            </w:r>
            <w:proofErr w:type="spellStart"/>
            <w:r w:rsidRPr="00F22E56">
              <w:t>Multicenter</w:t>
            </w:r>
            <w:proofErr w:type="spellEnd"/>
            <w:r w:rsidRPr="00F22E56">
              <w:t xml:space="preserve">, Rollover, Long-term Study of </w:t>
            </w:r>
            <w:proofErr w:type="spellStart"/>
            <w:r w:rsidRPr="00F22E56">
              <w:t>Aripiprazole</w:t>
            </w:r>
            <w:proofErr w:type="spellEnd"/>
            <w:r w:rsidRPr="00F22E56">
              <w:t xml:space="preserve"> Intramuscular Depot in Patients with Schizophrenia (Study 31-10-270)</w:t>
            </w:r>
            <w:r w:rsidR="009D5548">
              <w:t>.</w:t>
            </w:r>
            <w:r w:rsidR="009D5548">
              <w:rPr>
                <w:rStyle w:val="FootnoteReference"/>
                <w:sz w:val="20"/>
                <w:szCs w:val="20"/>
              </w:rPr>
              <w:footnoteReference w:id="24"/>
            </w:r>
          </w:p>
          <w:p w14:paraId="2812F648" w14:textId="77777777" w:rsidR="00B33028" w:rsidRPr="00F22E56" w:rsidRDefault="00B33028" w:rsidP="00A7503C">
            <w:r w:rsidRPr="00F22E56">
              <w:t>A post-authori</w:t>
            </w:r>
            <w:r w:rsidR="00F22E56">
              <w:t>z</w:t>
            </w:r>
            <w:r w:rsidRPr="00F22E56">
              <w:t>ation safety study (PASS) will be conducted using automated databases to further assess the risk of EPS-related events</w:t>
            </w:r>
            <w:r w:rsidR="009D5548">
              <w:t>.</w:t>
            </w:r>
            <w:r w:rsidR="009D5548">
              <w:rPr>
                <w:rStyle w:val="FootnoteReference"/>
                <w:sz w:val="20"/>
                <w:szCs w:val="20"/>
              </w:rPr>
              <w:footnoteReference w:id="25"/>
            </w:r>
          </w:p>
        </w:tc>
      </w:tr>
    </w:tbl>
    <w:p w14:paraId="2812F64A" w14:textId="24E5A6C4" w:rsidR="004A3B9F" w:rsidRPr="00A7503C" w:rsidRDefault="004A3B9F" w:rsidP="00A7503C">
      <w:pPr>
        <w:pStyle w:val="Heading6"/>
      </w:pPr>
      <w:r w:rsidRPr="00A7503C">
        <w:rPr>
          <w:rFonts w:eastAsia="Cambria"/>
        </w:rPr>
        <w:t>Recommendation 2.</w:t>
      </w:r>
    </w:p>
    <w:p w14:paraId="2812F64B" w14:textId="64BD1E24" w:rsidR="00B33028" w:rsidRDefault="00B33028" w:rsidP="00A7503C">
      <w:r w:rsidRPr="00C3542F">
        <w:t>The sponsor should provide an attach</w:t>
      </w:r>
      <w:r>
        <w:t xml:space="preserve">ment to the ASA setting out </w:t>
      </w:r>
      <w:r w:rsidRPr="00C3542F">
        <w:t>the forthcoming studies and the anticipated dates for their submission in Australia.</w:t>
      </w:r>
    </w:p>
    <w:p w14:paraId="2812F64C" w14:textId="77777777" w:rsidR="004A3B9F" w:rsidRDefault="004A3B9F" w:rsidP="006A58FA">
      <w:pPr>
        <w:pStyle w:val="Heading6"/>
        <w:ind w:left="284"/>
      </w:pPr>
      <w:r>
        <w:t>Sponsor’s response</w:t>
      </w:r>
    </w:p>
    <w:p w14:paraId="2812F64D" w14:textId="77777777" w:rsidR="004A3B9F" w:rsidRDefault="004A3B9F" w:rsidP="006A58FA">
      <w:pPr>
        <w:ind w:left="284"/>
      </w:pPr>
      <w:r>
        <w:t xml:space="preserve">The sponsor </w:t>
      </w:r>
      <w:r w:rsidRPr="007D3BB4">
        <w:t>proposes to add Panel 1 to the ASA, as Appendix I, summarising the forthcoming studies and the anticipated dates for their submission in Australia.</w:t>
      </w:r>
    </w:p>
    <w:p w14:paraId="2812F64E" w14:textId="77777777" w:rsidR="004A3B9F" w:rsidRDefault="004A3B9F" w:rsidP="00A7503C">
      <w:pPr>
        <w:pStyle w:val="Heading6"/>
      </w:pPr>
      <w:r>
        <w:lastRenderedPageBreak/>
        <w:t>OPR evaluator comment</w:t>
      </w:r>
    </w:p>
    <w:p w14:paraId="2812F64F" w14:textId="77777777" w:rsidR="004A3B9F" w:rsidRPr="004A3B9F" w:rsidRDefault="004A3B9F" w:rsidP="00A7503C">
      <w:r w:rsidRPr="007D3BB4">
        <w:t>The sponsor’s response is satisfactory.</w:t>
      </w:r>
    </w:p>
    <w:p w14:paraId="2812F650" w14:textId="0CCFF29C" w:rsidR="004A3B9F" w:rsidRDefault="004A3B9F" w:rsidP="00A7503C">
      <w:pPr>
        <w:pStyle w:val="Heading6"/>
      </w:pPr>
      <w:r>
        <w:t>Rec</w:t>
      </w:r>
      <w:r w:rsidR="00A7503C">
        <w:t>ommendation 3.</w:t>
      </w:r>
    </w:p>
    <w:p w14:paraId="2812F651" w14:textId="209B1035" w:rsidR="00B33028" w:rsidRDefault="00B33028" w:rsidP="00A7503C">
      <w:r>
        <w:t xml:space="preserve">It is noted that two studies, </w:t>
      </w:r>
      <w:r w:rsidR="007D3BB4">
        <w:t>S</w:t>
      </w:r>
      <w:r>
        <w:t>tud</w:t>
      </w:r>
      <w:r w:rsidR="007D3BB4">
        <w:t>ies</w:t>
      </w:r>
      <w:r>
        <w:t xml:space="preserve"> 31-09-266 and 31-09-267 are being conducted to monitor hyperglycaemia, suicide</w:t>
      </w:r>
      <w:r w:rsidR="009D5548">
        <w:t xml:space="preserve"> </w:t>
      </w:r>
      <w:r>
        <w:t xml:space="preserve">related events, orthostatic hypotension, </w:t>
      </w:r>
      <w:proofErr w:type="spellStart"/>
      <w:r>
        <w:t>dyslipidemia</w:t>
      </w:r>
      <w:proofErr w:type="spellEnd"/>
      <w:r>
        <w:t xml:space="preserve"> and a few other safety concerns for </w:t>
      </w:r>
      <w:proofErr w:type="spellStart"/>
      <w:r>
        <w:t>aripiprazole</w:t>
      </w:r>
      <w:proofErr w:type="spellEnd"/>
      <w:r>
        <w:t xml:space="preserve"> oral and IM immediate-release formulations. There is no additional </w:t>
      </w:r>
      <w:proofErr w:type="spellStart"/>
      <w:r>
        <w:t>pharmacovigilance</w:t>
      </w:r>
      <w:proofErr w:type="spellEnd"/>
      <w:r>
        <w:t xml:space="preserve"> proposed for monitoring the same safety concerns for the IM depot formulation. The sponsor should provide justification as to why additional studies are not needed for the IM Depot formulation.</w:t>
      </w:r>
    </w:p>
    <w:p w14:paraId="2812F652" w14:textId="77777777" w:rsidR="004A3B9F" w:rsidRDefault="004A3B9F" w:rsidP="00A7503C">
      <w:pPr>
        <w:pStyle w:val="Heading6"/>
      </w:pPr>
      <w:r>
        <w:t>Sponsor’s response</w:t>
      </w:r>
    </w:p>
    <w:p w14:paraId="2812F653" w14:textId="77777777" w:rsidR="004A3B9F" w:rsidRPr="007D3BB4" w:rsidRDefault="004A3B9F" w:rsidP="00A7503C">
      <w:r w:rsidRPr="007D3BB4">
        <w:t>Trials 31-09-266 and 31-09-267 are briefly described below for convenience:</w:t>
      </w:r>
    </w:p>
    <w:p w14:paraId="2812F654" w14:textId="77777777" w:rsidR="004A3B9F" w:rsidRPr="007D3BB4" w:rsidRDefault="004A3B9F" w:rsidP="00A7503C">
      <w:pPr>
        <w:pStyle w:val="ListBullet"/>
      </w:pPr>
      <w:r w:rsidRPr="007D3BB4">
        <w:t xml:space="preserve">Trial 31-09-266 is a long-term, multi-centre, randomised, double-blind, placebo-controlled trial conducted to evaluate the efficacy, safety, and tolerability of oral </w:t>
      </w:r>
      <w:proofErr w:type="spellStart"/>
      <w:r w:rsidRPr="007D3BB4">
        <w:t>aripiprazole</w:t>
      </w:r>
      <w:proofErr w:type="spellEnd"/>
      <w:r w:rsidRPr="007D3BB4">
        <w:t xml:space="preserve"> in adolescent patients (aged 13 to 17 years) with schizophrenia.</w:t>
      </w:r>
    </w:p>
    <w:p w14:paraId="2812F655" w14:textId="77777777" w:rsidR="004A3B9F" w:rsidRPr="007D3BB4" w:rsidRDefault="004A3B9F" w:rsidP="00A7503C">
      <w:pPr>
        <w:pStyle w:val="ListBullet"/>
      </w:pPr>
      <w:r w:rsidRPr="007D3BB4">
        <w:t xml:space="preserve">Trial 31-09-267 is a long-term, multi-centre, open-label trial conducted to evaluate the safety and tolerability of flexible-dose oral </w:t>
      </w:r>
      <w:proofErr w:type="spellStart"/>
      <w:r w:rsidRPr="007D3BB4">
        <w:t>aripiprazole</w:t>
      </w:r>
      <w:proofErr w:type="spellEnd"/>
      <w:r w:rsidRPr="007D3BB4">
        <w:t xml:space="preserve"> in child or adolescent patients. Patients enrolled had either completed Trial 31-09-266 or were de novo patients with schizophrenia or bipolar I disorder, manic or mixed episode with or without psychotic features (aged 10 to 17 years).</w:t>
      </w:r>
    </w:p>
    <w:p w14:paraId="2812F656" w14:textId="77777777" w:rsidR="004A3B9F" w:rsidRPr="007D3BB4" w:rsidRDefault="004A3B9F" w:rsidP="00A7503C">
      <w:r w:rsidRPr="007D3BB4">
        <w:t xml:space="preserve">Both these trials are being conducted in a paediatric population, and </w:t>
      </w:r>
      <w:r w:rsidR="009D5548">
        <w:t>t</w:t>
      </w:r>
      <w:r>
        <w:t xml:space="preserve">he sponsor </w:t>
      </w:r>
      <w:r w:rsidRPr="007D3BB4">
        <w:t>acknowledges the importance of evaluating safety concerns, such as hyperglycaemia, suicide</w:t>
      </w:r>
      <w:r w:rsidR="009D5548">
        <w:t xml:space="preserve"> </w:t>
      </w:r>
      <w:r w:rsidRPr="007D3BB4">
        <w:t>related events, orthostatic hypotension, and dyslipidaemia in this patient population.</w:t>
      </w:r>
    </w:p>
    <w:p w14:paraId="2812F657" w14:textId="0D64A345" w:rsidR="004A3B9F" w:rsidRPr="007D3BB4" w:rsidRDefault="004A3B9F" w:rsidP="00A7503C">
      <w:r w:rsidRPr="007D3BB4">
        <w:t xml:space="preserve">Otsuka, as the marketing authorisation holder in the EU, has received a full waiver from the EMA for conducting trials for the treatment of schizophrenia in all paediatric and adolescent populations (from birth to less than 18 years of age) for </w:t>
      </w:r>
      <w:proofErr w:type="spellStart"/>
      <w:r w:rsidRPr="007D3BB4">
        <w:t>Abilify</w:t>
      </w:r>
      <w:proofErr w:type="spellEnd"/>
      <w:r w:rsidRPr="007D3BB4">
        <w:t xml:space="preserve"> </w:t>
      </w:r>
      <w:proofErr w:type="spellStart"/>
      <w:r w:rsidRPr="007D3BB4">
        <w:t>Maintena</w:t>
      </w:r>
      <w:proofErr w:type="spellEnd"/>
      <w:r w:rsidRPr="007D3BB4">
        <w:t xml:space="preserve"> on the grounds that the disorder does not occur in the paediatric subset (from birth to less than 13 years of age) and that </w:t>
      </w:r>
      <w:proofErr w:type="spellStart"/>
      <w:r w:rsidRPr="007D3BB4">
        <w:t>Abilify</w:t>
      </w:r>
      <w:proofErr w:type="spellEnd"/>
      <w:r w:rsidRPr="007D3BB4">
        <w:t xml:space="preserve"> </w:t>
      </w:r>
      <w:proofErr w:type="spellStart"/>
      <w:r w:rsidRPr="007D3BB4">
        <w:t>Maintena</w:t>
      </w:r>
      <w:proofErr w:type="spellEnd"/>
      <w:r w:rsidRPr="007D3BB4">
        <w:t xml:space="preserve"> does not represent a significant therapeutic benefit over existing treatments for adolescent subset (from 1</w:t>
      </w:r>
      <w:r w:rsidR="009C7295">
        <w:t>3 to less than 18 years of age)</w:t>
      </w:r>
      <w:r w:rsidRPr="007D3BB4">
        <w:t xml:space="preserve">. In addition, Otsuka has received a full waiver from the FDA for conducting trials for the treatment of schizophrenia in all paediatric and </w:t>
      </w:r>
      <w:r w:rsidR="00F02E33">
        <w:t>a</w:t>
      </w:r>
      <w:r w:rsidRPr="007D3BB4">
        <w:t xml:space="preserve">dolescent populations (from birth to less than 18 years of age) for </w:t>
      </w:r>
      <w:proofErr w:type="spellStart"/>
      <w:r w:rsidRPr="007D3BB4">
        <w:t>Abilify</w:t>
      </w:r>
      <w:proofErr w:type="spellEnd"/>
      <w:r w:rsidRPr="007D3BB4">
        <w:t xml:space="preserve"> </w:t>
      </w:r>
      <w:proofErr w:type="spellStart"/>
      <w:r w:rsidRPr="007D3BB4">
        <w:t>Maintena</w:t>
      </w:r>
      <w:proofErr w:type="spellEnd"/>
      <w:r w:rsidRPr="007D3BB4">
        <w:t>.</w:t>
      </w:r>
    </w:p>
    <w:p w14:paraId="2812F658" w14:textId="09CBD65D" w:rsidR="004A3B9F" w:rsidRDefault="004A3B9F" w:rsidP="00A7503C">
      <w:r w:rsidRPr="007D3BB4">
        <w:t xml:space="preserve">In conclusion, </w:t>
      </w:r>
      <w:r>
        <w:t xml:space="preserve">the sponsor </w:t>
      </w:r>
      <w:r w:rsidRPr="007D3BB4">
        <w:t xml:space="preserve">does not consider it applicable to conduct additional trials in the child and adolescent populations as no paediatric indication is being sought for </w:t>
      </w:r>
      <w:proofErr w:type="spellStart"/>
      <w:r w:rsidRPr="007D3BB4">
        <w:t>Abilify</w:t>
      </w:r>
      <w:proofErr w:type="spellEnd"/>
      <w:r w:rsidRPr="007D3BB4">
        <w:t xml:space="preserve"> </w:t>
      </w:r>
      <w:proofErr w:type="spellStart"/>
      <w:r w:rsidRPr="007D3BB4">
        <w:t>Maintena</w:t>
      </w:r>
      <w:proofErr w:type="spellEnd"/>
      <w:r w:rsidRPr="007D3BB4">
        <w:t xml:space="preserve"> and, in addition, waivers have been granted from both the EMA and the FDA to investigate </w:t>
      </w:r>
      <w:proofErr w:type="spellStart"/>
      <w:r w:rsidRPr="007D3BB4">
        <w:t>Abilify</w:t>
      </w:r>
      <w:proofErr w:type="spellEnd"/>
      <w:r w:rsidRPr="007D3BB4">
        <w:t xml:space="preserve"> </w:t>
      </w:r>
      <w:proofErr w:type="spellStart"/>
      <w:r w:rsidRPr="007D3BB4">
        <w:t>Maintena</w:t>
      </w:r>
      <w:proofErr w:type="spellEnd"/>
      <w:r w:rsidRPr="007D3BB4">
        <w:t xml:space="preserve"> in this population.</w:t>
      </w:r>
    </w:p>
    <w:p w14:paraId="2812F659" w14:textId="77777777" w:rsidR="004A3B9F" w:rsidRDefault="004A3B9F" w:rsidP="00A7503C">
      <w:pPr>
        <w:pStyle w:val="Heading6"/>
      </w:pPr>
      <w:r>
        <w:t>OPR evaluator comment</w:t>
      </w:r>
    </w:p>
    <w:p w14:paraId="2812F65A" w14:textId="77777777" w:rsidR="004A3B9F" w:rsidRPr="004A3B9F" w:rsidRDefault="004A3B9F" w:rsidP="00A7503C">
      <w:r w:rsidRPr="007D3BB4">
        <w:t>The sponsor’s response is satisfactory.</w:t>
      </w:r>
    </w:p>
    <w:p w14:paraId="2812F65B" w14:textId="77777777" w:rsidR="004A3B9F" w:rsidRDefault="004A3B9F" w:rsidP="00A7503C">
      <w:pPr>
        <w:pStyle w:val="Heading6"/>
      </w:pPr>
      <w:r>
        <w:t>Recommendation 4.</w:t>
      </w:r>
    </w:p>
    <w:p w14:paraId="2812F65C" w14:textId="77C98A4E" w:rsidR="00B33028" w:rsidRDefault="00B33028" w:rsidP="00A7503C">
      <w:r>
        <w:t>Pending approval of the product, the sponsor should undertake to communicate findings from the studies to the TGA in the PSURs in the same time frame as they are communicated to other regulatory agencies.</w:t>
      </w:r>
    </w:p>
    <w:p w14:paraId="2812F65D" w14:textId="77777777" w:rsidR="004A3B9F" w:rsidRDefault="004A3B9F" w:rsidP="00A7503C">
      <w:pPr>
        <w:pStyle w:val="Heading6"/>
      </w:pPr>
      <w:r>
        <w:lastRenderedPageBreak/>
        <w:t>Sponsor’s response</w:t>
      </w:r>
    </w:p>
    <w:p w14:paraId="2812F65E" w14:textId="77777777" w:rsidR="004A3B9F" w:rsidRPr="007D3BB4" w:rsidRDefault="004A3B9F" w:rsidP="00A7503C">
      <w:r w:rsidRPr="007D3BB4">
        <w:t xml:space="preserve">In the EU, Periodic Benefit-Risk Evaluation Reports (PBRERs) for </w:t>
      </w:r>
      <w:proofErr w:type="spellStart"/>
      <w:r w:rsidRPr="007D3BB4">
        <w:t>aripiprazole</w:t>
      </w:r>
      <w:proofErr w:type="spellEnd"/>
      <w:r w:rsidRPr="007D3BB4">
        <w:t xml:space="preserve"> are required to be submitted at 1</w:t>
      </w:r>
      <w:r w:rsidR="009C7295">
        <w:t xml:space="preserve"> </w:t>
      </w:r>
      <w:r w:rsidRPr="007D3BB4">
        <w:t xml:space="preserve">year intervals, with a data-lock point 16 July 20xx, and deadline for submission 24 September 20xx. The PBRER replaces the PSUR in accordance with the new EU </w:t>
      </w:r>
      <w:proofErr w:type="spellStart"/>
      <w:r w:rsidRPr="007D3BB4">
        <w:t>pharmacovigilance</w:t>
      </w:r>
      <w:proofErr w:type="spellEnd"/>
      <w:r w:rsidRPr="007D3BB4">
        <w:t xml:space="preserve"> legislation</w:t>
      </w:r>
      <w:r w:rsidR="009C7295">
        <w:t>.</w:t>
      </w:r>
      <w:r w:rsidR="009C7295">
        <w:rPr>
          <w:rStyle w:val="FootnoteReference"/>
        </w:rPr>
        <w:footnoteReference w:id="26"/>
      </w:r>
    </w:p>
    <w:p w14:paraId="2812F65F" w14:textId="77777777" w:rsidR="004A3B9F" w:rsidRPr="007D3BB4" w:rsidRDefault="004A3B9F" w:rsidP="00A7503C">
      <w:r>
        <w:t xml:space="preserve">The sponsor </w:t>
      </w:r>
      <w:r w:rsidRPr="007D3BB4">
        <w:t xml:space="preserve">proposes to follow the same submission cycle for PBRERs in Australia as that agreed with the EU, except the deadline for submission will be within 90 days after the </w:t>
      </w:r>
      <w:proofErr w:type="spellStart"/>
      <w:r w:rsidRPr="007D3BB4">
        <w:t>datalock</w:t>
      </w:r>
      <w:proofErr w:type="spellEnd"/>
      <w:r w:rsidRPr="007D3BB4">
        <w:t xml:space="preserve"> point (that is, by 14 October 20xx).</w:t>
      </w:r>
    </w:p>
    <w:p w14:paraId="2812F660" w14:textId="77777777" w:rsidR="004A3B9F" w:rsidRDefault="004A3B9F" w:rsidP="00A7503C">
      <w:r w:rsidRPr="007D3BB4">
        <w:t xml:space="preserve">It is proposed that PBRERs be submitted covering a minimum of 3 years after approval in Australia. The first PBRER to be submitted will be the first one with a data-lock after approval of </w:t>
      </w:r>
      <w:proofErr w:type="spellStart"/>
      <w:r w:rsidRPr="007D3BB4">
        <w:t>Abilify</w:t>
      </w:r>
      <w:proofErr w:type="spellEnd"/>
      <w:r w:rsidRPr="007D3BB4">
        <w:t xml:space="preserve"> </w:t>
      </w:r>
      <w:proofErr w:type="spellStart"/>
      <w:r w:rsidRPr="007D3BB4">
        <w:t>Maintena</w:t>
      </w:r>
      <w:proofErr w:type="spellEnd"/>
      <w:r w:rsidRPr="007D3BB4">
        <w:t xml:space="preserve"> in Australia (thus, this is currently expected to be the PBRER issued in 2015).</w:t>
      </w:r>
    </w:p>
    <w:p w14:paraId="2812F661" w14:textId="77777777" w:rsidR="004A3B9F" w:rsidRDefault="004A3B9F" w:rsidP="00A7503C">
      <w:pPr>
        <w:pStyle w:val="Heading6"/>
      </w:pPr>
      <w:r>
        <w:t>OPR evaluator comment</w:t>
      </w:r>
    </w:p>
    <w:p w14:paraId="2812F662" w14:textId="77777777" w:rsidR="004A3B9F" w:rsidRDefault="004A3B9F" w:rsidP="00A7503C">
      <w:r>
        <w:t>The sponsor’s response is satisfactory.</w:t>
      </w:r>
    </w:p>
    <w:p w14:paraId="2812F663" w14:textId="77777777" w:rsidR="004A3B9F" w:rsidRDefault="004A3B9F" w:rsidP="00A7503C">
      <w:pPr>
        <w:pStyle w:val="Heading6"/>
      </w:pPr>
      <w:r>
        <w:t>Recommendation 5.</w:t>
      </w:r>
    </w:p>
    <w:p w14:paraId="2812F664" w14:textId="4049D5A6" w:rsidR="004A3B9F" w:rsidRDefault="004A3B9F" w:rsidP="00A7503C">
      <w:r>
        <w:t>As PASS will be dependent on post</w:t>
      </w:r>
      <w:r w:rsidR="009C7295">
        <w:t xml:space="preserve"> </w:t>
      </w:r>
      <w:r>
        <w:t>authorisation data in EU countries, the sponsor should clarify what it plans to do in case its applications to overseas regulatory agencies in t</w:t>
      </w:r>
      <w:r w:rsidR="00A7503C">
        <w:t>he EU are rejected or deferred.</w:t>
      </w:r>
    </w:p>
    <w:p w14:paraId="2812F665" w14:textId="77777777" w:rsidR="004A3B9F" w:rsidRDefault="004A3B9F" w:rsidP="00A7503C">
      <w:pPr>
        <w:pStyle w:val="Heading6"/>
      </w:pPr>
      <w:r>
        <w:t>Sponsor’s response</w:t>
      </w:r>
    </w:p>
    <w:p w14:paraId="2812F666" w14:textId="77777777" w:rsidR="004A3B9F" w:rsidRDefault="004A3B9F" w:rsidP="00A7503C">
      <w:r w:rsidRPr="007D3BB4">
        <w:t xml:space="preserve">In the EU, marketing authorisation was granted on 15 November 2013 via the EU Centralised Procedure. As agreement on the outline of the PASS (Trial 15893N) was part of the approval, a rejection or deferral is not an option. The final protocol was submitted to the EMA on 18 November 2013. The final report is expected to be submitted to the TGA </w:t>
      </w:r>
      <w:r w:rsidR="009C7295">
        <w:t xml:space="preserve">in third quarter of </w:t>
      </w:r>
      <w:r w:rsidRPr="007D3BB4">
        <w:t>2020.</w:t>
      </w:r>
    </w:p>
    <w:p w14:paraId="2812F667" w14:textId="77777777" w:rsidR="009C7295" w:rsidRDefault="009C7295" w:rsidP="00A7503C">
      <w:pPr>
        <w:pStyle w:val="Heading6"/>
      </w:pPr>
      <w:r>
        <w:t>OPR evaluator comment</w:t>
      </w:r>
    </w:p>
    <w:p w14:paraId="2812F668" w14:textId="77777777" w:rsidR="009C7295" w:rsidRDefault="009C7295" w:rsidP="00A7503C">
      <w:r>
        <w:t>The sponsor’s response is satisfactory.</w:t>
      </w:r>
    </w:p>
    <w:p w14:paraId="2812F669" w14:textId="77777777" w:rsidR="004C67AA" w:rsidRDefault="004C67AA" w:rsidP="00A7503C">
      <w:pPr>
        <w:pStyle w:val="Heading4"/>
        <w:rPr>
          <w:lang w:eastAsia="en-AU"/>
        </w:rPr>
      </w:pPr>
      <w:r>
        <w:rPr>
          <w:lang w:eastAsia="en-AU"/>
        </w:rPr>
        <w:t>Risk minimisation activities</w:t>
      </w:r>
    </w:p>
    <w:p w14:paraId="2812F66A" w14:textId="77777777" w:rsidR="00B33028" w:rsidRPr="00B602E5" w:rsidRDefault="00B33028" w:rsidP="00A7503C">
      <w:bookmarkStart w:id="180" w:name="_Toc247691527"/>
      <w:r>
        <w:t xml:space="preserve">The sponsor states: </w:t>
      </w:r>
    </w:p>
    <w:p w14:paraId="2812F66B" w14:textId="77777777" w:rsidR="00B33028" w:rsidRPr="00A7503C" w:rsidRDefault="00B33028" w:rsidP="00A7503C">
      <w:pPr>
        <w:rPr>
          <w:i/>
        </w:rPr>
      </w:pPr>
      <w:r w:rsidRPr="00A7503C">
        <w:rPr>
          <w:i/>
        </w:rPr>
        <w:t xml:space="preserve">‘No additional risk minimisation measures are warranted at this time. Routine </w:t>
      </w:r>
      <w:proofErr w:type="spellStart"/>
      <w:r w:rsidRPr="00A7503C">
        <w:rPr>
          <w:i/>
        </w:rPr>
        <w:t>pharmacovigilance</w:t>
      </w:r>
      <w:proofErr w:type="spellEnd"/>
      <w:r w:rsidRPr="00A7503C">
        <w:rPr>
          <w:i/>
        </w:rPr>
        <w:t xml:space="preserve"> practice and appropriate prescribing information in the PI (routine risk minimisation) are considered sufficient. A copy of the proposed PI was submitted with the initial application in Module 1 (27 May 2013).</w:t>
      </w:r>
    </w:p>
    <w:p w14:paraId="2812F66C" w14:textId="77777777" w:rsidR="00B33028" w:rsidRPr="00B602E5" w:rsidRDefault="00B33028" w:rsidP="00B33028">
      <w:pPr>
        <w:rPr>
          <w:i/>
        </w:rPr>
      </w:pPr>
      <w:r w:rsidRPr="00B602E5">
        <w:rPr>
          <w:i/>
        </w:rPr>
        <w:t>The PI will be provided as a package insert in the convenience kit pack. A Quick Reference Guide containing instructions on how to administer the injection and manufacturer’s instructions for using the safety needle will also be included in the pack. The reconstitution and administration of ABILIFY MAINTENA by a healthcare professional will ameliorate any potential risks associated with the injection procedure.</w:t>
      </w:r>
      <w:r>
        <w:rPr>
          <w:i/>
        </w:rPr>
        <w:t>’</w:t>
      </w:r>
    </w:p>
    <w:p w14:paraId="2812F66D" w14:textId="77777777" w:rsidR="00B33028" w:rsidRDefault="00B33028" w:rsidP="00A7503C">
      <w:r>
        <w:t xml:space="preserve">The sponsor’s approach and justification appear to be reasonable and therefore satisfactory. </w:t>
      </w:r>
    </w:p>
    <w:p w14:paraId="2812F66E" w14:textId="79BB9F2D" w:rsidR="00BC1E76" w:rsidRDefault="00A7503C" w:rsidP="00A7503C">
      <w:pPr>
        <w:pStyle w:val="Heading6"/>
        <w:rPr>
          <w:lang w:eastAsia="en-AU"/>
        </w:rPr>
      </w:pPr>
      <w:r>
        <w:rPr>
          <w:lang w:eastAsia="en-AU"/>
        </w:rPr>
        <w:t>Recommendation 6.</w:t>
      </w:r>
    </w:p>
    <w:p w14:paraId="2812F66F" w14:textId="77777777" w:rsidR="00BC1E76" w:rsidRDefault="006A58FA" w:rsidP="00A7503C">
      <w:r>
        <w:t>T</w:t>
      </w:r>
      <w:r w:rsidR="00BC1E76" w:rsidRPr="007D3BB4">
        <w:t xml:space="preserve">he sponsor should provide a table summarising the safety specification, </w:t>
      </w:r>
      <w:proofErr w:type="spellStart"/>
      <w:r w:rsidR="00BC1E76" w:rsidRPr="007D3BB4">
        <w:t>pharmacovigilance</w:t>
      </w:r>
      <w:proofErr w:type="spellEnd"/>
      <w:r w:rsidR="00BC1E76" w:rsidRPr="007D3BB4">
        <w:t xml:space="preserve"> plan and planned risk minimisation measures in Australian context in </w:t>
      </w:r>
      <w:r w:rsidR="00BC1E76" w:rsidRPr="007D3BB4">
        <w:lastRenderedPageBreak/>
        <w:t>the ASA. Wording pertaining to important safety concerns in the proposed Australian PI and CMI should be included in the table.</w:t>
      </w:r>
    </w:p>
    <w:p w14:paraId="2812F670" w14:textId="77777777" w:rsidR="00BC1E76" w:rsidRDefault="00BC1E76" w:rsidP="00A7503C">
      <w:pPr>
        <w:pStyle w:val="Heading6"/>
      </w:pPr>
      <w:r>
        <w:t>Sponsor’s response</w:t>
      </w:r>
    </w:p>
    <w:p w14:paraId="2812F671" w14:textId="77777777" w:rsidR="00BC1E76" w:rsidRDefault="00BC1E76" w:rsidP="00A7503C">
      <w:r w:rsidRPr="007D3BB4">
        <w:t xml:space="preserve">As requested, </w:t>
      </w:r>
      <w:r>
        <w:t xml:space="preserve">the sponsor </w:t>
      </w:r>
      <w:r w:rsidRPr="007D3BB4">
        <w:t xml:space="preserve">will include or refer to tables summarising the safety specification, the </w:t>
      </w:r>
      <w:proofErr w:type="spellStart"/>
      <w:r w:rsidRPr="007D3BB4">
        <w:t>pharmacovigilance</w:t>
      </w:r>
      <w:proofErr w:type="spellEnd"/>
      <w:r w:rsidRPr="007D3BB4">
        <w:t xml:space="preserve"> plan, and the planned risk minimisation measures in the Australian context to sections 2 and 3 of the ASA. Panel 2 summarises the safety concerns for </w:t>
      </w:r>
      <w:proofErr w:type="spellStart"/>
      <w:r w:rsidRPr="007D3BB4">
        <w:t>Abilify</w:t>
      </w:r>
      <w:proofErr w:type="spellEnd"/>
      <w:r w:rsidRPr="007D3BB4">
        <w:t xml:space="preserve"> </w:t>
      </w:r>
      <w:proofErr w:type="spellStart"/>
      <w:r w:rsidRPr="007D3BB4">
        <w:t>Maintena</w:t>
      </w:r>
      <w:proofErr w:type="spellEnd"/>
      <w:r w:rsidRPr="007D3BB4">
        <w:t xml:space="preserve"> (the information has not been modified from that provided in the EU-RMP, as the same safety concerns are also applicable to Australia). </w:t>
      </w:r>
      <w:r>
        <w:t xml:space="preserve">The sponsor </w:t>
      </w:r>
      <w:r w:rsidRPr="007D3BB4">
        <w:t xml:space="preserve">will include a cross-reference in the ASA to the EU-RMP, version 8.3, which summarises the planned </w:t>
      </w:r>
      <w:proofErr w:type="spellStart"/>
      <w:r w:rsidRPr="007D3BB4">
        <w:t>pharmacovigilance</w:t>
      </w:r>
      <w:proofErr w:type="spellEnd"/>
      <w:r w:rsidRPr="007D3BB4">
        <w:t xml:space="preserve"> actions for </w:t>
      </w:r>
      <w:proofErr w:type="spellStart"/>
      <w:r w:rsidRPr="007D3BB4">
        <w:t>Abilify</w:t>
      </w:r>
      <w:proofErr w:type="spellEnd"/>
      <w:r w:rsidRPr="007D3BB4">
        <w:t xml:space="preserve"> </w:t>
      </w:r>
      <w:proofErr w:type="spellStart"/>
      <w:r w:rsidRPr="007D3BB4">
        <w:t>Maintena</w:t>
      </w:r>
      <w:proofErr w:type="spellEnd"/>
      <w:r w:rsidRPr="007D3BB4">
        <w:t xml:space="preserve"> (the information has not been modified from that provided in the EU-RMP, as the same </w:t>
      </w:r>
      <w:proofErr w:type="spellStart"/>
      <w:r w:rsidRPr="007D3BB4">
        <w:t>pharmacovigilance</w:t>
      </w:r>
      <w:proofErr w:type="spellEnd"/>
      <w:r w:rsidRPr="007D3BB4">
        <w:t xml:space="preserve"> activities are also applicable to Australia). Panel 4 summarises the routine risk minimisation measures for </w:t>
      </w:r>
      <w:proofErr w:type="spellStart"/>
      <w:r w:rsidRPr="007D3BB4">
        <w:t>Abilify</w:t>
      </w:r>
      <w:proofErr w:type="spellEnd"/>
      <w:r w:rsidRPr="007D3BB4">
        <w:t xml:space="preserve"> </w:t>
      </w:r>
      <w:proofErr w:type="spellStart"/>
      <w:r w:rsidRPr="007D3BB4">
        <w:t>Maintena</w:t>
      </w:r>
      <w:proofErr w:type="spellEnd"/>
      <w:r w:rsidRPr="007D3BB4">
        <w:t xml:space="preserve"> in the EU and Australia, and has been modified to include routine risk minimisation measures in the proposed Australian PI and CMI, as requested.</w:t>
      </w:r>
    </w:p>
    <w:p w14:paraId="2812F672" w14:textId="77777777" w:rsidR="00BC1E76" w:rsidRDefault="00BC1E76" w:rsidP="00A7503C">
      <w:pPr>
        <w:pStyle w:val="Heading6"/>
      </w:pPr>
      <w:r>
        <w:t>OPR evaluator comment</w:t>
      </w:r>
    </w:p>
    <w:p w14:paraId="2812F673" w14:textId="77777777" w:rsidR="00BC1E76" w:rsidRDefault="00BC1E76" w:rsidP="00A7503C">
      <w:r>
        <w:t>The sponsor’s response is satisfactory.</w:t>
      </w:r>
    </w:p>
    <w:p w14:paraId="2812F674" w14:textId="1A9EFFAD" w:rsidR="00BC1E76" w:rsidRPr="00B602E5" w:rsidRDefault="00BC1E76" w:rsidP="00A7503C">
      <w:pPr>
        <w:pStyle w:val="Heading6"/>
      </w:pPr>
      <w:r>
        <w:t>Rec</w:t>
      </w:r>
      <w:r w:rsidR="00A7503C">
        <w:t>ommendation 7.</w:t>
      </w:r>
    </w:p>
    <w:p w14:paraId="2812F675" w14:textId="41A0CECB" w:rsidR="00B33028" w:rsidRDefault="00B33028" w:rsidP="00A7503C">
      <w:r>
        <w:t xml:space="preserve">In regard to the proposed routine risk minimisation activities, it is recommended to the Delegate that the draft </w:t>
      </w:r>
      <w:r w:rsidR="009C7295">
        <w:t>PI</w:t>
      </w:r>
      <w:r>
        <w:t xml:space="preserve"> </w:t>
      </w:r>
      <w:r w:rsidR="00A7503C">
        <w:t>document be revised as follows:</w:t>
      </w:r>
    </w:p>
    <w:p w14:paraId="2812F676" w14:textId="37F7CB6E" w:rsidR="00B33028" w:rsidRDefault="00B33028" w:rsidP="00A7503C">
      <w:pPr>
        <w:pStyle w:val="ListBullet"/>
      </w:pPr>
      <w:r>
        <w:t xml:space="preserve">The PI should provide clearer guidance on switching from </w:t>
      </w:r>
      <w:proofErr w:type="spellStart"/>
      <w:r>
        <w:t>aripiprazole</w:t>
      </w:r>
      <w:proofErr w:type="spellEnd"/>
      <w:r>
        <w:t xml:space="preserve"> IM Depot to other antipsychotic treatment to include information on when oral or other type of treatment should be restarted if required. This is to ensure therapeutic effects are maintained and the chance of side effects are minimised;</w:t>
      </w:r>
    </w:p>
    <w:p w14:paraId="2812F677" w14:textId="12A20972" w:rsidR="00B33028" w:rsidRDefault="00B33028" w:rsidP="00A7503C">
      <w:pPr>
        <w:pStyle w:val="ListBullet"/>
      </w:pPr>
      <w:r>
        <w:t>‘Step 4: Injection Procedure’ in the PI be modified to stress the importance of examining depth of subcutaneous fat at the injection site and choosing the appropriate needle size to ensure adequate drug delivery.</w:t>
      </w:r>
    </w:p>
    <w:p w14:paraId="2812F678" w14:textId="77777777" w:rsidR="00BC1E76" w:rsidRDefault="00BC1E76" w:rsidP="00A7503C">
      <w:pPr>
        <w:pStyle w:val="Heading6"/>
      </w:pPr>
      <w:r w:rsidRPr="00BC1E76">
        <w:t>Sponsor’s response</w:t>
      </w:r>
    </w:p>
    <w:p w14:paraId="2812F679" w14:textId="17D4B26C" w:rsidR="00BC1E76" w:rsidRPr="00904356" w:rsidRDefault="00BC1E76" w:rsidP="00A7503C">
      <w:pPr>
        <w:pStyle w:val="Heading6"/>
      </w:pPr>
      <w:r w:rsidRPr="00904356">
        <w:t xml:space="preserve">Guidance on </w:t>
      </w:r>
      <w:r w:rsidR="006656FE">
        <w:t>s</w:t>
      </w:r>
      <w:r w:rsidRPr="00904356">
        <w:t xml:space="preserve">witching </w:t>
      </w:r>
      <w:r w:rsidR="006656FE">
        <w:t>m</w:t>
      </w:r>
      <w:r w:rsidRPr="00904356">
        <w:t>edication</w:t>
      </w:r>
    </w:p>
    <w:p w14:paraId="2812F67A" w14:textId="77777777" w:rsidR="00BC1E76" w:rsidRDefault="00BC1E76" w:rsidP="00A7503C">
      <w:r>
        <w:t xml:space="preserve">Switching from </w:t>
      </w:r>
      <w:proofErr w:type="spellStart"/>
      <w:r>
        <w:t>Abilify</w:t>
      </w:r>
      <w:proofErr w:type="spellEnd"/>
      <w:r>
        <w:t xml:space="preserve"> </w:t>
      </w:r>
      <w:proofErr w:type="spellStart"/>
      <w:r>
        <w:t>Maintena</w:t>
      </w:r>
      <w:proofErr w:type="spellEnd"/>
      <w:r>
        <w:t xml:space="preserve"> to other antipsychotic treatment has not been systematically studied in the clinical trials. In general, when switching a patient from a depot formulation to other antipsychotic treatment, the depot formulation should be ceased and the new treatment gradually up-titrated. However, the recommended initiation schedule varies between different products and needs to be adjusted based on the individual patient’s clinical status. In the current PI, </w:t>
      </w:r>
      <w:r w:rsidR="009C7295">
        <w:t>t</w:t>
      </w:r>
      <w:r>
        <w:t xml:space="preserve">he sponsor has already included guidance on discontinuation of </w:t>
      </w:r>
      <w:proofErr w:type="spellStart"/>
      <w:r>
        <w:t>Abilify</w:t>
      </w:r>
      <w:proofErr w:type="spellEnd"/>
      <w:r>
        <w:t xml:space="preserve"> </w:t>
      </w:r>
      <w:proofErr w:type="spellStart"/>
      <w:r>
        <w:t>Maintena</w:t>
      </w:r>
      <w:proofErr w:type="spellEnd"/>
      <w:r>
        <w:t xml:space="preserve">, however, </w:t>
      </w:r>
      <w:r w:rsidR="009C7295">
        <w:t>t</w:t>
      </w:r>
      <w:r>
        <w:t>he sponsor proposes to include a subheading for this to make it more visible to the treating physicians:</w:t>
      </w:r>
    </w:p>
    <w:p w14:paraId="2812F67B" w14:textId="77777777" w:rsidR="00BC1E76" w:rsidRPr="00BC1E76" w:rsidRDefault="00BC1E76" w:rsidP="00A7503C">
      <w:r w:rsidRPr="00BC1E76">
        <w:t>‘</w:t>
      </w:r>
      <w:r w:rsidRPr="00A7503C">
        <w:rPr>
          <w:i/>
        </w:rPr>
        <w:t>Discontinuation</w:t>
      </w:r>
      <w:r w:rsidRPr="00BC1E76">
        <w:t xml:space="preserve"> of ABILIFY MAINTENA</w:t>
      </w:r>
    </w:p>
    <w:p w14:paraId="2812F67C" w14:textId="77777777" w:rsidR="00BC1E76" w:rsidRPr="00BC1E76" w:rsidRDefault="00BC1E76" w:rsidP="00A7503C">
      <w:r w:rsidRPr="00BC1E76">
        <w:t>If ABILIFY MAINTENA is discontinued, its prolonged-release characteristics must be considered.’</w:t>
      </w:r>
    </w:p>
    <w:p w14:paraId="2812F67D" w14:textId="77777777" w:rsidR="00BC1E76" w:rsidRDefault="00BC1E76" w:rsidP="00A7503C">
      <w:r>
        <w:t>This will be updated with the PI included in the pre-ACPM response.</w:t>
      </w:r>
    </w:p>
    <w:p w14:paraId="2812F67E" w14:textId="77777777" w:rsidR="00BC1E76" w:rsidRDefault="00BC1E76" w:rsidP="00A7503C">
      <w:r>
        <w:t xml:space="preserve">The guidance provided is in line with the </w:t>
      </w:r>
      <w:r w:rsidR="009C7295">
        <w:t>PI</w:t>
      </w:r>
      <w:r>
        <w:t xml:space="preserve"> for </w:t>
      </w:r>
      <w:proofErr w:type="spellStart"/>
      <w:r>
        <w:t>Invega</w:t>
      </w:r>
      <w:proofErr w:type="spellEnd"/>
      <w:r>
        <w:t xml:space="preserve"> </w:t>
      </w:r>
      <w:proofErr w:type="spellStart"/>
      <w:r>
        <w:t>Sustenna</w:t>
      </w:r>
      <w:proofErr w:type="spellEnd"/>
      <w:r>
        <w:t xml:space="preserve"> and Risperdal </w:t>
      </w:r>
      <w:proofErr w:type="spellStart"/>
      <w:r>
        <w:t>Consta</w:t>
      </w:r>
      <w:proofErr w:type="spellEnd"/>
      <w:r>
        <w:t>.</w:t>
      </w:r>
    </w:p>
    <w:p w14:paraId="2812F67F" w14:textId="3778F453" w:rsidR="00BC1E76" w:rsidRPr="00904356" w:rsidRDefault="00E44A9A" w:rsidP="00A7503C">
      <w:pPr>
        <w:pStyle w:val="Heading6"/>
      </w:pPr>
      <w:r>
        <w:t>Injection p</w:t>
      </w:r>
      <w:r w:rsidR="00BC1E76" w:rsidRPr="00904356">
        <w:t>rocedure</w:t>
      </w:r>
    </w:p>
    <w:p w14:paraId="2812F680" w14:textId="77777777" w:rsidR="00BC1E76" w:rsidRDefault="00BC1E76" w:rsidP="00A7503C">
      <w:r>
        <w:t>The sponsor proposes to add the following additional guidance to the PI (underlined text) to stress the importance of examining depth of subcutaneous fat at the injection site and choosing the appropriate needle size to ensure adequate drug delivery:</w:t>
      </w:r>
    </w:p>
    <w:p w14:paraId="2812F681" w14:textId="77777777" w:rsidR="00BC1E76" w:rsidRPr="00A7503C" w:rsidRDefault="00BC1E76" w:rsidP="00A7503C">
      <w:pPr>
        <w:rPr>
          <w:i/>
        </w:rPr>
      </w:pPr>
      <w:r w:rsidRPr="00A7503C">
        <w:rPr>
          <w:i/>
        </w:rPr>
        <w:lastRenderedPageBreak/>
        <w:t xml:space="preserve">‘b) Select one of the following Hypodermic Needle-Pro™ needles and attach the needle to the BD </w:t>
      </w:r>
      <w:proofErr w:type="spellStart"/>
      <w:r w:rsidRPr="00A7503C">
        <w:rPr>
          <w:i/>
        </w:rPr>
        <w:t>Luer-Lok</w:t>
      </w:r>
      <w:proofErr w:type="spellEnd"/>
      <w:r w:rsidRPr="00A7503C">
        <w:rPr>
          <w:i/>
        </w:rPr>
        <w:t xml:space="preserve">™ syringe containing the suspension for injection. </w:t>
      </w:r>
      <w:r w:rsidRPr="00A7503C">
        <w:rPr>
          <w:i/>
          <w:u w:val="single"/>
        </w:rPr>
        <w:t xml:space="preserve">To avoid subcutaneous drug administration, examine the depth of subcutaneous fat at the injection site and select the appropriate needle size. </w:t>
      </w:r>
      <w:r w:rsidRPr="00A7503C">
        <w:rPr>
          <w:i/>
        </w:rPr>
        <w:t>Ensure the needle is firmly seated on the Needle-Pro™ safety device with a push and clockwise twist and then pull the needle cap straight away from the needle (see Diagram 10).’</w:t>
      </w:r>
    </w:p>
    <w:p w14:paraId="2812F682" w14:textId="57E1361F" w:rsidR="004C67AA" w:rsidRDefault="004C67AA" w:rsidP="00E44A9A">
      <w:pPr>
        <w:pStyle w:val="Heading4"/>
        <w:rPr>
          <w:lang w:eastAsia="en-AU"/>
        </w:rPr>
      </w:pPr>
      <w:r>
        <w:rPr>
          <w:lang w:eastAsia="en-AU"/>
        </w:rPr>
        <w:t xml:space="preserve">Summary of </w:t>
      </w:r>
      <w:r w:rsidRPr="00E44A9A">
        <w:t>recommendations</w:t>
      </w:r>
    </w:p>
    <w:p w14:paraId="2812F683" w14:textId="77777777" w:rsidR="00B33028" w:rsidRPr="00107999" w:rsidRDefault="00B33028" w:rsidP="00E44A9A">
      <w:pPr>
        <w:pStyle w:val="Heading5"/>
      </w:pPr>
      <w:bookmarkStart w:id="181" w:name="_Toc314842510"/>
      <w:bookmarkStart w:id="182" w:name="_Toc384807771"/>
      <w:r w:rsidRPr="00E44A9A">
        <w:t>Outstanding</w:t>
      </w:r>
      <w:r w:rsidRPr="00107999">
        <w:t xml:space="preserve"> issues</w:t>
      </w:r>
    </w:p>
    <w:p w14:paraId="2812F684" w14:textId="75E61561" w:rsidR="00BC1E76" w:rsidRDefault="00B33028" w:rsidP="00A7503C">
      <w:r>
        <w:t>Details o</w:t>
      </w:r>
      <w:r w:rsidR="009C7295">
        <w:t>f</w:t>
      </w:r>
      <w:r>
        <w:t xml:space="preserve"> the following outstanding issue </w:t>
      </w:r>
      <w:r w:rsidR="00904356">
        <w:t>are</w:t>
      </w:r>
      <w:r>
        <w:t xml:space="preserve"> </w:t>
      </w:r>
      <w:r w:rsidR="00BC1E76">
        <w:t>discussed</w:t>
      </w:r>
      <w:r w:rsidR="007D3BB4">
        <w:t xml:space="preserve"> above</w:t>
      </w:r>
      <w:r w:rsidR="00BC1E76">
        <w:t>.</w:t>
      </w:r>
    </w:p>
    <w:p w14:paraId="2812F685" w14:textId="026959A2" w:rsidR="00904356" w:rsidRDefault="00B33028" w:rsidP="00A7503C">
      <w:pPr>
        <w:pStyle w:val="Heading6"/>
      </w:pPr>
      <w:r>
        <w:t xml:space="preserve">Recommendation </w:t>
      </w:r>
      <w:r w:rsidR="00DC291E">
        <w:t>1</w:t>
      </w:r>
    </w:p>
    <w:p w14:paraId="2812F686" w14:textId="250EFDA0" w:rsidR="00B33028" w:rsidRPr="00422BDA" w:rsidRDefault="00B33028" w:rsidP="00A7503C">
      <w:r w:rsidRPr="00422BDA">
        <w:t>The sponsor’s justification for not including ‘use in paediatrics’ as missing informa</w:t>
      </w:r>
      <w:r>
        <w:t xml:space="preserve">tion in the RMP is acceptable. </w:t>
      </w:r>
      <w:r w:rsidRPr="00422BDA">
        <w:t>However, the evaluator considers the following potential risks are ‘</w:t>
      </w:r>
      <w:r w:rsidRPr="00422BDA">
        <w:rPr>
          <w:i/>
        </w:rPr>
        <w:t>important potential adverse events/reactions; the important identified and important potential interactions with other medicinal products, foods and other substances; and the important pharmacological class effects’</w:t>
      </w:r>
      <w:r w:rsidR="00C66B62">
        <w:rPr>
          <w:i/>
        </w:rPr>
        <w:t xml:space="preserve"> </w:t>
      </w:r>
      <w:r w:rsidRPr="00422BDA">
        <w:t>that are associa</w:t>
      </w:r>
      <w:r w:rsidR="00A7503C">
        <w:t>ted with the active ingredient:</w:t>
      </w:r>
    </w:p>
    <w:p w14:paraId="2812F687" w14:textId="77777777" w:rsidR="00B33028" w:rsidRPr="00A7503C" w:rsidRDefault="00B33028" w:rsidP="00A7503C">
      <w:pPr>
        <w:pStyle w:val="ListBullet"/>
      </w:pPr>
      <w:r w:rsidRPr="00A7503C">
        <w:t>Cardiovascular-related disorders</w:t>
      </w:r>
    </w:p>
    <w:p w14:paraId="2812F688" w14:textId="77777777" w:rsidR="00B33028" w:rsidRPr="00A7503C" w:rsidRDefault="00B33028" w:rsidP="00A7503C">
      <w:pPr>
        <w:pStyle w:val="ListBullet"/>
      </w:pPr>
      <w:r w:rsidRPr="00A7503C">
        <w:t>Conduction abnormalities</w:t>
      </w:r>
    </w:p>
    <w:p w14:paraId="2812F689" w14:textId="77777777" w:rsidR="00B33028" w:rsidRPr="00A7503C" w:rsidRDefault="00B33028" w:rsidP="00A7503C">
      <w:pPr>
        <w:pStyle w:val="ListBullet"/>
      </w:pPr>
      <w:r w:rsidRPr="00A7503C">
        <w:t>Increased prolactin level</w:t>
      </w:r>
    </w:p>
    <w:p w14:paraId="2812F68A" w14:textId="77777777" w:rsidR="00B33028" w:rsidRPr="00A7503C" w:rsidRDefault="00B33028" w:rsidP="00A7503C">
      <w:pPr>
        <w:pStyle w:val="ListBullet"/>
      </w:pPr>
      <w:r w:rsidRPr="00A7503C">
        <w:t>Dysphagia</w:t>
      </w:r>
    </w:p>
    <w:p w14:paraId="2812F68B" w14:textId="77777777" w:rsidR="00B33028" w:rsidRPr="00A7503C" w:rsidRDefault="00B33028" w:rsidP="00A7503C">
      <w:pPr>
        <w:pStyle w:val="ListBullet"/>
      </w:pPr>
      <w:r w:rsidRPr="00A7503C">
        <w:t>ADHD co-morbidity</w:t>
      </w:r>
    </w:p>
    <w:p w14:paraId="2812F68C" w14:textId="77777777" w:rsidR="00B33028" w:rsidRPr="00A7503C" w:rsidRDefault="00B33028" w:rsidP="00A7503C">
      <w:pPr>
        <w:pStyle w:val="ListBullet"/>
      </w:pPr>
      <w:r w:rsidRPr="00A7503C">
        <w:t>Drug interactions</w:t>
      </w:r>
    </w:p>
    <w:p w14:paraId="2812F68D" w14:textId="77777777" w:rsidR="00B33028" w:rsidRPr="00A7503C" w:rsidRDefault="00B33028" w:rsidP="00A7503C">
      <w:pPr>
        <w:pStyle w:val="ListBullet"/>
      </w:pPr>
      <w:r w:rsidRPr="00A7503C">
        <w:t>Increased mortality and CVA in elderly patients with dementia</w:t>
      </w:r>
    </w:p>
    <w:p w14:paraId="2812F68E" w14:textId="1BAA0B8F" w:rsidR="00B33028" w:rsidRPr="00A7503C" w:rsidRDefault="00B33028" w:rsidP="00A7503C">
      <w:pPr>
        <w:pStyle w:val="ListBullet"/>
      </w:pPr>
      <w:r w:rsidRPr="00A7503C">
        <w:t>S</w:t>
      </w:r>
      <w:r w:rsidR="00E44A9A">
        <w:t>erious injection site reactions</w:t>
      </w:r>
    </w:p>
    <w:p w14:paraId="2812F68F" w14:textId="77777777" w:rsidR="00B33028" w:rsidRPr="00A7503C" w:rsidRDefault="00B33028" w:rsidP="00A7503C">
      <w:pPr>
        <w:pStyle w:val="ListBullet"/>
      </w:pPr>
      <w:r w:rsidRPr="00A7503C">
        <w:t>Serious hypersensitivity reactions</w:t>
      </w:r>
    </w:p>
    <w:p w14:paraId="2812F690" w14:textId="77777777" w:rsidR="00B33028" w:rsidRPr="00A7503C" w:rsidRDefault="00B33028" w:rsidP="00A7503C">
      <w:pPr>
        <w:pStyle w:val="ListBullet"/>
      </w:pPr>
      <w:r w:rsidRPr="00A7503C">
        <w:t>Pathological gambling</w:t>
      </w:r>
    </w:p>
    <w:p w14:paraId="2812F691" w14:textId="77777777" w:rsidR="00B33028" w:rsidRPr="00A7503C" w:rsidRDefault="00B33028" w:rsidP="00A7503C">
      <w:pPr>
        <w:pStyle w:val="ListBullet"/>
      </w:pPr>
      <w:r w:rsidRPr="00A7503C">
        <w:t>Serotonin syndrome</w:t>
      </w:r>
    </w:p>
    <w:p w14:paraId="2812F692" w14:textId="77777777" w:rsidR="00B33028" w:rsidRPr="00A7503C" w:rsidRDefault="00B33028" w:rsidP="00A7503C">
      <w:pPr>
        <w:pStyle w:val="ListBullet"/>
      </w:pPr>
      <w:r w:rsidRPr="00A7503C">
        <w:t>Hepatic adverse events</w:t>
      </w:r>
    </w:p>
    <w:p w14:paraId="2812F693" w14:textId="5AB749CF" w:rsidR="00B33028" w:rsidRDefault="00B33028" w:rsidP="00A7503C">
      <w:r>
        <w:rPr>
          <w:lang w:eastAsia="en-AU"/>
        </w:rPr>
        <w:t xml:space="preserve">The OPR evaluator is aware that the EU-RMP submitted was prepared primarily for the EU regulators. Therefore, it is recommended that these risks be added as ongoing safety concerns in the ASA to the EU-RMP. The sponsor should undertake to give specific consideration of all reported occurrences of these adverse events in the </w:t>
      </w:r>
      <w:r w:rsidR="00A7503C">
        <w:rPr>
          <w:lang w:eastAsia="en-AU"/>
        </w:rPr>
        <w:t>Periodic Safety update Reports.</w:t>
      </w:r>
    </w:p>
    <w:p w14:paraId="2812F694" w14:textId="77777777" w:rsidR="00B33028" w:rsidRPr="00E44A9A" w:rsidRDefault="00B33028" w:rsidP="00E44A9A">
      <w:pPr>
        <w:pStyle w:val="Heading5"/>
      </w:pPr>
      <w:r w:rsidRPr="00E44A9A">
        <w:t xml:space="preserve">Advice from the </w:t>
      </w:r>
      <w:r w:rsidRPr="00E44A9A">
        <w:rPr>
          <w:rStyle w:val="st1"/>
        </w:rPr>
        <w:t>Advisory Committee on the Safety of Medicines (ACSOM)</w:t>
      </w:r>
    </w:p>
    <w:p w14:paraId="2812F695" w14:textId="77777777" w:rsidR="00B33028" w:rsidRPr="00107999" w:rsidRDefault="00B33028" w:rsidP="00A7503C">
      <w:r w:rsidRPr="006627C2">
        <w:t>ACSOM advice was not sought for this submission.</w:t>
      </w:r>
    </w:p>
    <w:p w14:paraId="2812F696" w14:textId="77777777" w:rsidR="00B33028" w:rsidRPr="00E44A9A" w:rsidRDefault="00B33028" w:rsidP="00E44A9A">
      <w:pPr>
        <w:pStyle w:val="Heading5"/>
      </w:pPr>
      <w:r w:rsidRPr="00E44A9A">
        <w:t>Comments on the safety specification of the RMP</w:t>
      </w:r>
    </w:p>
    <w:p w14:paraId="2812F697" w14:textId="55C8FEAA" w:rsidR="00B33028" w:rsidRPr="00107999" w:rsidRDefault="00B33028" w:rsidP="00E44A9A">
      <w:pPr>
        <w:pStyle w:val="Heading6"/>
      </w:pPr>
      <w:r w:rsidRPr="00107999">
        <w:t xml:space="preserve">Clinical </w:t>
      </w:r>
      <w:r w:rsidR="00A7503C" w:rsidRPr="00E44A9A">
        <w:t>e</w:t>
      </w:r>
      <w:r w:rsidRPr="00E44A9A">
        <w:t>valuation</w:t>
      </w:r>
      <w:r w:rsidRPr="00107999">
        <w:t xml:space="preserve"> </w:t>
      </w:r>
      <w:r w:rsidR="00A7503C">
        <w:t>report</w:t>
      </w:r>
    </w:p>
    <w:p w14:paraId="2812F698" w14:textId="1ADEAAE8" w:rsidR="00B33028" w:rsidRPr="00CD0D34" w:rsidRDefault="00B33028" w:rsidP="00A7503C">
      <w:r>
        <w:t xml:space="preserve">The </w:t>
      </w:r>
      <w:r w:rsidR="0061161D">
        <w:t xml:space="preserve">OPR </w:t>
      </w:r>
      <w:r>
        <w:t>evaluator supports the comments made by the clinical evaluator. The risk of suicide related events and use in elderly have been included as ongoing safety concerns in the RMP. The evaluator has recommended that the risk of serious injection site reactions be added as an ongoing safety concern in the ASA and managed through adequate reporting.</w:t>
      </w:r>
    </w:p>
    <w:p w14:paraId="2812F699" w14:textId="7092BBF0" w:rsidR="00B33028" w:rsidRPr="009C0FAB" w:rsidRDefault="00B33028" w:rsidP="00A7503C">
      <w:pPr>
        <w:pStyle w:val="Heading6"/>
      </w:pPr>
      <w:r>
        <w:lastRenderedPageBreak/>
        <w:t>Nonc</w:t>
      </w:r>
      <w:r w:rsidRPr="009C0FAB">
        <w:t xml:space="preserve">linical </w:t>
      </w:r>
      <w:r w:rsidR="00A7503C">
        <w:t>e</w:t>
      </w:r>
      <w:r w:rsidRPr="009C0FAB">
        <w:t xml:space="preserve">valuation </w:t>
      </w:r>
      <w:r w:rsidR="00A7503C">
        <w:t>report</w:t>
      </w:r>
    </w:p>
    <w:p w14:paraId="2812F69A" w14:textId="7CED3AD5" w:rsidR="00B33028" w:rsidRPr="00107999" w:rsidRDefault="00B33028" w:rsidP="00A7503C">
      <w:r>
        <w:t xml:space="preserve">The </w:t>
      </w:r>
      <w:r w:rsidR="0061161D">
        <w:t xml:space="preserve">OPR </w:t>
      </w:r>
      <w:r>
        <w:t xml:space="preserve">evaluator supports the comments made by the nonclinical evaluator. </w:t>
      </w:r>
      <w:r w:rsidR="00BC1E76">
        <w:t>D</w:t>
      </w:r>
      <w:r>
        <w:t xml:space="preserve">etailed recommendations regarding the Product Information </w:t>
      </w:r>
      <w:r w:rsidR="0061161D">
        <w:t>were</w:t>
      </w:r>
      <w:r>
        <w:t xml:space="preserve"> provided in the nonclinical evaluation report</w:t>
      </w:r>
      <w:r w:rsidR="00BC1E76">
        <w:t xml:space="preserve"> but these are beyond the scope of this </w:t>
      </w:r>
      <w:proofErr w:type="spellStart"/>
      <w:r w:rsidR="00BC1E76">
        <w:t>AusPAR</w:t>
      </w:r>
      <w:proofErr w:type="spellEnd"/>
      <w:r w:rsidR="00A7503C">
        <w:t>.</w:t>
      </w:r>
    </w:p>
    <w:p w14:paraId="2812F69B" w14:textId="39E8AAE4" w:rsidR="00B33028" w:rsidRPr="00CA4BF9" w:rsidRDefault="00B33028" w:rsidP="005B76CD">
      <w:pPr>
        <w:pStyle w:val="Heading5"/>
      </w:pPr>
      <w:r w:rsidRPr="00CA4BF9">
        <w:t>Suggested wording</w:t>
      </w:r>
      <w:r w:rsidR="005B76CD">
        <w:t xml:space="preserve"> for conditions of registration</w:t>
      </w:r>
    </w:p>
    <w:p w14:paraId="2812F69C" w14:textId="77777777" w:rsidR="00B33028" w:rsidRPr="00107999" w:rsidRDefault="00B33028" w:rsidP="005B76CD">
      <w:pPr>
        <w:pStyle w:val="Heading6"/>
      </w:pPr>
      <w:r w:rsidRPr="00107999">
        <w:t>RMP</w:t>
      </w:r>
    </w:p>
    <w:p w14:paraId="2812F69D" w14:textId="77777777" w:rsidR="00B33028" w:rsidRDefault="00B33028" w:rsidP="005B76CD">
      <w:r w:rsidRPr="00107999">
        <w:t xml:space="preserve">Implement RMP </w:t>
      </w:r>
      <w:proofErr w:type="spellStart"/>
      <w:r w:rsidRPr="005D3D9F">
        <w:t>Aripiprazole</w:t>
      </w:r>
      <w:proofErr w:type="spellEnd"/>
      <w:r w:rsidRPr="005D3D9F">
        <w:t xml:space="preserve"> EU-RMP version 8.3 dated 19 September 2013</w:t>
      </w:r>
      <w:r>
        <w:t xml:space="preserve"> (data lock point 1 April 2013)</w:t>
      </w:r>
      <w:r w:rsidRPr="005D3D9F">
        <w:t xml:space="preserve"> </w:t>
      </w:r>
      <w:r>
        <w:t xml:space="preserve">with Australian-specific Annex version 2.0 dated 21 January </w:t>
      </w:r>
      <w:r w:rsidRPr="0014057A">
        <w:t>2014 and</w:t>
      </w:r>
      <w:r w:rsidRPr="00107999">
        <w:t xml:space="preserve"> any future updates as a condition of registration.</w:t>
      </w:r>
    </w:p>
    <w:p w14:paraId="2812F69E" w14:textId="77777777" w:rsidR="004C67AA" w:rsidRPr="00792A32" w:rsidRDefault="004C67AA" w:rsidP="00E44A9A">
      <w:pPr>
        <w:pStyle w:val="Heading2"/>
      </w:pPr>
      <w:bookmarkStart w:id="183" w:name="_Toc408924934"/>
      <w:r>
        <w:t xml:space="preserve">VI. </w:t>
      </w:r>
      <w:r w:rsidRPr="00792A32">
        <w:t xml:space="preserve">Overall </w:t>
      </w:r>
      <w:r w:rsidRPr="00E44A9A">
        <w:t>conclusion</w:t>
      </w:r>
      <w:r w:rsidRPr="00792A32">
        <w:t xml:space="preserve"> and </w:t>
      </w:r>
      <w:r>
        <w:t>r</w:t>
      </w:r>
      <w:r w:rsidRPr="00792A32">
        <w:t>isk/</w:t>
      </w:r>
      <w:r>
        <w:t>b</w:t>
      </w:r>
      <w:r w:rsidRPr="00792A32">
        <w:t xml:space="preserve">enefit </w:t>
      </w:r>
      <w:r>
        <w:t>a</w:t>
      </w:r>
      <w:r w:rsidRPr="00792A32">
        <w:t>ssessment</w:t>
      </w:r>
      <w:bookmarkEnd w:id="138"/>
      <w:bookmarkEnd w:id="180"/>
      <w:bookmarkEnd w:id="181"/>
      <w:bookmarkEnd w:id="182"/>
      <w:bookmarkEnd w:id="183"/>
    </w:p>
    <w:p w14:paraId="2812F69F" w14:textId="77777777" w:rsidR="004C67AA" w:rsidRDefault="004C67AA" w:rsidP="005B76CD">
      <w:bookmarkStart w:id="184" w:name="_Toc247691528"/>
      <w:r>
        <w:t xml:space="preserve">The submission was summarised in the following </w:t>
      </w:r>
      <w:r w:rsidRPr="00EF5C48">
        <w:t xml:space="preserve">Delegate’s </w:t>
      </w:r>
      <w:r>
        <w:t>overview</w:t>
      </w:r>
      <w:r w:rsidRPr="00EF5C48">
        <w:t xml:space="preserve"> and recommendation</w:t>
      </w:r>
      <w:r>
        <w:t>s:</w:t>
      </w:r>
    </w:p>
    <w:p w14:paraId="2812F6A0" w14:textId="77777777" w:rsidR="00600CE3" w:rsidRDefault="00600CE3" w:rsidP="005B76CD">
      <w:r>
        <w:t xml:space="preserve">The </w:t>
      </w:r>
      <w:r w:rsidR="0061161D">
        <w:t>clinical evalu</w:t>
      </w:r>
      <w:r w:rsidR="00BC1E76">
        <w:t>a</w:t>
      </w:r>
      <w:r w:rsidR="0061161D">
        <w:t>tor</w:t>
      </w:r>
      <w:r>
        <w:t xml:space="preserve"> stated that the proposed dose of 400</w:t>
      </w:r>
      <w:r w:rsidR="0061161D">
        <w:t xml:space="preserve"> </w:t>
      </w:r>
      <w:r>
        <w:t>mg monthly (no sooner than 26 days after the previous injection) compares with that calculated for 26 days (253.5</w:t>
      </w:r>
      <w:r w:rsidR="0061161D">
        <w:t xml:space="preserve"> </w:t>
      </w:r>
      <w:r>
        <w:t>mg at the recommended dose of 9.75</w:t>
      </w:r>
      <w:r w:rsidR="0061161D">
        <w:t xml:space="preserve"> </w:t>
      </w:r>
      <w:r>
        <w:t>mg/day or 780</w:t>
      </w:r>
      <w:r w:rsidR="0061161D">
        <w:t xml:space="preserve"> </w:t>
      </w:r>
      <w:r>
        <w:t>mg at the maximum dose of 30</w:t>
      </w:r>
      <w:r w:rsidR="0061161D">
        <w:t xml:space="preserve"> </w:t>
      </w:r>
      <w:r>
        <w:t xml:space="preserve">mg/day) of the standard IM </w:t>
      </w:r>
      <w:proofErr w:type="spellStart"/>
      <w:r>
        <w:t>Abilify</w:t>
      </w:r>
      <w:proofErr w:type="spellEnd"/>
      <w:r>
        <w:t xml:space="preserve"> treatment (already registered with a different indication </w:t>
      </w:r>
      <w:r w:rsidRPr="0061161D">
        <w:rPr>
          <w:i/>
        </w:rPr>
        <w:t>agitation associated with schizophrenia</w:t>
      </w:r>
      <w:r>
        <w:t xml:space="preserve">) and oral </w:t>
      </w:r>
      <w:proofErr w:type="spellStart"/>
      <w:r>
        <w:t>Abilify</w:t>
      </w:r>
      <w:proofErr w:type="spellEnd"/>
      <w:r>
        <w:t xml:space="preserve"> treatment of schizophrenia and bipolar I disorder (260</w:t>
      </w:r>
      <w:r w:rsidR="0061161D">
        <w:t xml:space="preserve"> to </w:t>
      </w:r>
      <w:r>
        <w:t>390</w:t>
      </w:r>
      <w:r w:rsidR="0061161D">
        <w:t xml:space="preserve"> </w:t>
      </w:r>
      <w:r>
        <w:t>mg per 26 days at 10</w:t>
      </w:r>
      <w:r w:rsidR="0061161D">
        <w:t xml:space="preserve"> to </w:t>
      </w:r>
      <w:r>
        <w:t>15</w:t>
      </w:r>
      <w:r w:rsidR="0061161D">
        <w:t xml:space="preserve"> </w:t>
      </w:r>
      <w:r>
        <w:t>mg/day or maximum 780</w:t>
      </w:r>
      <w:r w:rsidR="0061161D">
        <w:t xml:space="preserve"> </w:t>
      </w:r>
      <w:r>
        <w:t>mg for 26 days at 30</w:t>
      </w:r>
      <w:r w:rsidR="0061161D">
        <w:t xml:space="preserve"> </w:t>
      </w:r>
      <w:r>
        <w:t xml:space="preserve">mg/day). The absolute oral bioavailability of the tablet </w:t>
      </w:r>
      <w:proofErr w:type="spellStart"/>
      <w:r>
        <w:t>Abilify</w:t>
      </w:r>
      <w:proofErr w:type="spellEnd"/>
      <w:r>
        <w:t xml:space="preserve"> formulation is 87%.</w:t>
      </w:r>
    </w:p>
    <w:p w14:paraId="2812F6A1" w14:textId="77777777" w:rsidR="004C67AA" w:rsidRPr="0061161D" w:rsidRDefault="004C67AA" w:rsidP="005B76CD">
      <w:pPr>
        <w:pStyle w:val="Heading3"/>
      </w:pPr>
      <w:bookmarkStart w:id="185" w:name="_Toc314842511"/>
      <w:bookmarkStart w:id="186" w:name="_Toc384807772"/>
      <w:bookmarkStart w:id="187" w:name="_Toc408924935"/>
      <w:r>
        <w:t>Quality</w:t>
      </w:r>
      <w:bookmarkEnd w:id="184"/>
      <w:bookmarkEnd w:id="185"/>
      <w:bookmarkEnd w:id="186"/>
      <w:bookmarkEnd w:id="187"/>
    </w:p>
    <w:p w14:paraId="2812F6A2" w14:textId="09447CD2" w:rsidR="0073785E" w:rsidRDefault="00600CE3" w:rsidP="005B76CD">
      <w:r w:rsidRPr="00D827C6">
        <w:t xml:space="preserve">The application for registration of the IM depot injection kit included results from a Phase </w:t>
      </w:r>
      <w:r w:rsidR="0061161D">
        <w:t>II</w:t>
      </w:r>
      <w:r w:rsidRPr="00D827C6">
        <w:t xml:space="preserve"> study that established to the TGA's satisfaction that absorption of </w:t>
      </w:r>
      <w:proofErr w:type="spellStart"/>
      <w:r w:rsidRPr="00D827C6">
        <w:t>aripiprazole</w:t>
      </w:r>
      <w:proofErr w:type="spellEnd"/>
      <w:r w:rsidRPr="00D827C6">
        <w:t xml:space="preserve"> from the IM depot formulation was complete relative to an IM standard formulation based on dose adjusted AUC</w:t>
      </w:r>
      <w:r w:rsidRPr="009C7295">
        <w:rPr>
          <w:sz w:val="18"/>
          <w:szCs w:val="18"/>
          <w:vertAlign w:val="subscript"/>
        </w:rPr>
        <w:t>(0-t)</w:t>
      </w:r>
      <w:r>
        <w:t xml:space="preserve"> </w:t>
      </w:r>
      <w:r w:rsidRPr="00D827C6">
        <w:t xml:space="preserve">values and the maximum cumulative fraction of dose absorbed as determined by </w:t>
      </w:r>
      <w:proofErr w:type="spellStart"/>
      <w:r w:rsidRPr="00D827C6">
        <w:t>deconvolution</w:t>
      </w:r>
      <w:proofErr w:type="spellEnd"/>
      <w:r w:rsidRPr="00D827C6">
        <w:t xml:space="preserve"> analysis</w:t>
      </w:r>
      <w:r w:rsidR="0073785E">
        <w:t xml:space="preserve"> (see </w:t>
      </w:r>
      <w:r w:rsidR="0073785E" w:rsidRPr="0073785E">
        <w:rPr>
          <w:i/>
        </w:rPr>
        <w:t>Quality Findings</w:t>
      </w:r>
      <w:r w:rsidR="005B76CD">
        <w:t xml:space="preserve"> above).</w:t>
      </w:r>
    </w:p>
    <w:p w14:paraId="2812F6A3" w14:textId="5E590463" w:rsidR="00600CE3" w:rsidRPr="00D827C6" w:rsidRDefault="00600CE3" w:rsidP="005B76CD">
      <w:r w:rsidRPr="00736FE2">
        <w:t xml:space="preserve">There </w:t>
      </w:r>
      <w:r w:rsidR="0061161D">
        <w:t>were</w:t>
      </w:r>
      <w:r w:rsidRPr="00736FE2">
        <w:t xml:space="preserve"> no objections to registration from a quality and bio</w:t>
      </w:r>
      <w:r w:rsidR="00BC0950">
        <w:t>pharmaceutical</w:t>
      </w:r>
      <w:r w:rsidRPr="00736FE2">
        <w:t xml:space="preserve"> perspective.</w:t>
      </w:r>
    </w:p>
    <w:p w14:paraId="2812F6A4" w14:textId="77777777" w:rsidR="004C67AA" w:rsidRDefault="004C67AA" w:rsidP="005B76CD">
      <w:pPr>
        <w:pStyle w:val="Heading3"/>
      </w:pPr>
      <w:bookmarkStart w:id="188" w:name="_Toc314842512"/>
      <w:bookmarkStart w:id="189" w:name="_Toc384807773"/>
      <w:bookmarkStart w:id="190" w:name="_Toc408924936"/>
      <w:r>
        <w:t>Nonclinical</w:t>
      </w:r>
      <w:bookmarkEnd w:id="188"/>
      <w:bookmarkEnd w:id="189"/>
      <w:bookmarkEnd w:id="190"/>
    </w:p>
    <w:p w14:paraId="2812F6A5" w14:textId="65E2E99A" w:rsidR="00600CE3" w:rsidRDefault="0061161D" w:rsidP="005B76CD">
      <w:r>
        <w:t>T</w:t>
      </w:r>
      <w:r w:rsidR="00600CE3">
        <w:t xml:space="preserve">here were no major deficiencies in the nonclinical </w:t>
      </w:r>
      <w:r w:rsidR="005B76CD">
        <w:t>dossier.</w:t>
      </w:r>
    </w:p>
    <w:p w14:paraId="2812F6A6" w14:textId="77777777" w:rsidR="00600CE3" w:rsidRDefault="00600CE3" w:rsidP="005B76CD">
      <w:r>
        <w:t xml:space="preserve">The new primary pharmacology data were consistent with previous studies attributing the antipsychotic activity to actions at various receptor subtypes. Safety pharmacology data on </w:t>
      </w:r>
      <w:proofErr w:type="spellStart"/>
      <w:r>
        <w:t>aripiprazole</w:t>
      </w:r>
      <w:proofErr w:type="spellEnd"/>
      <w:r>
        <w:t xml:space="preserve"> were adequately evaluated previously. No additional pharmacology data specifically using the IM depot formulation are necessary.</w:t>
      </w:r>
    </w:p>
    <w:p w14:paraId="2812F6A7" w14:textId="77777777" w:rsidR="00600CE3" w:rsidRDefault="00600CE3" w:rsidP="005B76CD">
      <w:r w:rsidRPr="007F7DD5">
        <w:t xml:space="preserve">The pharmacokinetic studies indicate that absorption of </w:t>
      </w:r>
      <w:proofErr w:type="spellStart"/>
      <w:r w:rsidRPr="007F7DD5">
        <w:t>aripiprazole</w:t>
      </w:r>
      <w:proofErr w:type="spellEnd"/>
      <w:r w:rsidRPr="007F7DD5">
        <w:t xml:space="preserve"> is slow and prolonged following administration of the IM depot formulation, with a </w:t>
      </w:r>
      <w:proofErr w:type="spellStart"/>
      <w:r w:rsidRPr="007F7DD5">
        <w:t>T</w:t>
      </w:r>
      <w:r w:rsidRPr="0061161D">
        <w:rPr>
          <w:vertAlign w:val="subscript"/>
        </w:rPr>
        <w:t>max</w:t>
      </w:r>
      <w:proofErr w:type="spellEnd"/>
      <w:r w:rsidRPr="007F7DD5">
        <w:t xml:space="preserve"> of 168</w:t>
      </w:r>
      <w:r w:rsidR="0061161D">
        <w:t xml:space="preserve"> </w:t>
      </w:r>
      <w:r w:rsidRPr="007F7DD5">
        <w:t>h in rats and a long plasma half-life. In repeat dose studies, absorption was dose</w:t>
      </w:r>
      <w:r w:rsidR="0061161D">
        <w:t xml:space="preserve"> </w:t>
      </w:r>
      <w:r w:rsidRPr="007F7DD5">
        <w:t xml:space="preserve">proportional and similar for both sexes. There was high retention of </w:t>
      </w:r>
      <w:proofErr w:type="spellStart"/>
      <w:r w:rsidRPr="007F7DD5">
        <w:t>aripiprazole</w:t>
      </w:r>
      <w:proofErr w:type="spellEnd"/>
      <w:r w:rsidRPr="007F7DD5">
        <w:t xml:space="preserve"> in the injection site muscle following administration of IM depot formulation. By contrast, </w:t>
      </w:r>
      <w:proofErr w:type="spellStart"/>
      <w:r w:rsidRPr="007F7DD5">
        <w:t>aripiprazole</w:t>
      </w:r>
      <w:proofErr w:type="spellEnd"/>
      <w:r w:rsidRPr="007F7DD5">
        <w:t xml:space="preserve"> was rapidly absorbed and showed wide tissue distribution following administration of IM aqueous formulation. The major substance at the injection site and in plasma was unchanged </w:t>
      </w:r>
      <w:proofErr w:type="spellStart"/>
      <w:r w:rsidRPr="007F7DD5">
        <w:t>aripiprazole</w:t>
      </w:r>
      <w:proofErr w:type="spellEnd"/>
      <w:r w:rsidRPr="007F7DD5">
        <w:t xml:space="preserve">, with no evidence of the formation of new metabolites at the injection site following administration of the IM depot formulation. In mini-pigs, the AUC </w:t>
      </w:r>
      <w:r w:rsidRPr="007F7DD5">
        <w:lastRenderedPageBreak/>
        <w:t xml:space="preserve">ratio of the pharmacologically-active metabolite </w:t>
      </w:r>
      <w:proofErr w:type="spellStart"/>
      <w:r w:rsidRPr="007F7DD5">
        <w:t>dehydro-aripiprazole</w:t>
      </w:r>
      <w:proofErr w:type="spellEnd"/>
      <w:r w:rsidRPr="007F7DD5">
        <w:t xml:space="preserve"> (OPC-14857) to </w:t>
      </w:r>
      <w:proofErr w:type="spellStart"/>
      <w:r w:rsidRPr="007F7DD5">
        <w:t>aripiprazole</w:t>
      </w:r>
      <w:proofErr w:type="spellEnd"/>
      <w:r w:rsidRPr="007F7DD5">
        <w:t xml:space="preserve"> was similar following administration by IV, IM and SC routes. Excretion following IM depot formulation was not examined but following IM aqueous formulation, faeces was the major excretion route (92%), as it was following oral administration.</w:t>
      </w:r>
    </w:p>
    <w:p w14:paraId="2812F6A8" w14:textId="2B93782A" w:rsidR="00600CE3" w:rsidRDefault="00600CE3" w:rsidP="005B76CD">
      <w:r>
        <w:t xml:space="preserve">Repeat dose and local tolerance studies with the IM depot formulation reported inflammatory effects at the injection site, with some evidence of </w:t>
      </w:r>
      <w:proofErr w:type="spellStart"/>
      <w:r>
        <w:t>posttreatment</w:t>
      </w:r>
      <w:proofErr w:type="spellEnd"/>
      <w:r>
        <w:t xml:space="preserve"> recovery. The known systemic effects of </w:t>
      </w:r>
      <w:proofErr w:type="spellStart"/>
      <w:r>
        <w:t>ar</w:t>
      </w:r>
      <w:r w:rsidR="005B76CD">
        <w:t>ipiprazole</w:t>
      </w:r>
      <w:proofErr w:type="spellEnd"/>
      <w:r w:rsidR="005B76CD">
        <w:t xml:space="preserve"> were also confirmed.</w:t>
      </w:r>
    </w:p>
    <w:p w14:paraId="2812F6A9" w14:textId="62E7C7AA" w:rsidR="00600CE3" w:rsidRDefault="00600CE3" w:rsidP="005B76CD">
      <w:r>
        <w:t xml:space="preserve">There are no changes to the previously documented </w:t>
      </w:r>
      <w:proofErr w:type="spellStart"/>
      <w:r>
        <w:t>genotoxicity</w:t>
      </w:r>
      <w:proofErr w:type="spellEnd"/>
      <w:r>
        <w:t xml:space="preserve"> and carcinogenicity profiles and no additional </w:t>
      </w:r>
      <w:proofErr w:type="spellStart"/>
      <w:r>
        <w:t>genotoxicity</w:t>
      </w:r>
      <w:proofErr w:type="spellEnd"/>
      <w:r>
        <w:t xml:space="preserve"> or carcinogenicity data specifically using the IM d</w:t>
      </w:r>
      <w:r w:rsidR="005B76CD">
        <w:t>epot formulation are necessary.</w:t>
      </w:r>
    </w:p>
    <w:p w14:paraId="2812F6AA" w14:textId="77777777" w:rsidR="00600CE3" w:rsidRDefault="00600CE3" w:rsidP="005B76CD">
      <w:r>
        <w:t xml:space="preserve">The reproductive and developmental toxicity of </w:t>
      </w:r>
      <w:proofErr w:type="spellStart"/>
      <w:r>
        <w:t>aripiprazole</w:t>
      </w:r>
      <w:proofErr w:type="spellEnd"/>
      <w:r>
        <w:t xml:space="preserve"> was adequately evaluated previously. Given the lower exposure from the IM depot formulation, no additional studies using the IM depot formulation are necessary. Pregnancy Category C is appropriate.</w:t>
      </w:r>
    </w:p>
    <w:p w14:paraId="2812F6AB" w14:textId="77777777" w:rsidR="00600CE3" w:rsidRDefault="00600CE3" w:rsidP="005B76CD">
      <w:r>
        <w:t xml:space="preserve">Based on the nonclinical data evaluated herein, there are no nonclinical objections to the registration of </w:t>
      </w:r>
      <w:proofErr w:type="spellStart"/>
      <w:r>
        <w:t>aripiprazole</w:t>
      </w:r>
      <w:proofErr w:type="spellEnd"/>
      <w:r>
        <w:t xml:space="preserve"> IM depot formulation as proposed.</w:t>
      </w:r>
    </w:p>
    <w:p w14:paraId="2812F6AC" w14:textId="77777777" w:rsidR="00600CE3" w:rsidRDefault="0061161D" w:rsidP="005B76CD">
      <w:r>
        <w:t xml:space="preserve">Amendments to the </w:t>
      </w:r>
      <w:r w:rsidR="00600CE3">
        <w:t xml:space="preserve">draft Product Information document </w:t>
      </w:r>
      <w:r>
        <w:t>were also recommended.</w:t>
      </w:r>
    </w:p>
    <w:p w14:paraId="2812F6AD" w14:textId="77777777" w:rsidR="004C67AA" w:rsidRDefault="004C67AA" w:rsidP="005B76CD">
      <w:pPr>
        <w:pStyle w:val="Heading3"/>
      </w:pPr>
      <w:bookmarkStart w:id="191" w:name="_Toc247691530"/>
      <w:bookmarkStart w:id="192" w:name="_Toc314842513"/>
      <w:bookmarkStart w:id="193" w:name="_Toc384807774"/>
      <w:bookmarkStart w:id="194" w:name="_Toc408924937"/>
      <w:r>
        <w:t>Clinical</w:t>
      </w:r>
      <w:bookmarkEnd w:id="191"/>
      <w:bookmarkEnd w:id="192"/>
      <w:bookmarkEnd w:id="193"/>
      <w:bookmarkEnd w:id="194"/>
    </w:p>
    <w:p w14:paraId="2812F6AE" w14:textId="77777777" w:rsidR="00A12672" w:rsidRPr="007D1A02" w:rsidRDefault="00600CE3" w:rsidP="005B76CD">
      <w:r>
        <w:t xml:space="preserve">The clinical evaluator </w:t>
      </w:r>
      <w:r w:rsidR="00A12672">
        <w:t>(</w:t>
      </w:r>
      <w:r w:rsidRPr="0061161D">
        <w:t>CE</w:t>
      </w:r>
      <w:r w:rsidR="00A12672">
        <w:t>)</w:t>
      </w:r>
      <w:r>
        <w:t xml:space="preserve"> identified nine studies with PK data, two pivotal efficacy and safety studies, five other efficacy and safety studies and one PSUR.</w:t>
      </w:r>
      <w:r w:rsidR="00A12672" w:rsidRPr="00A12672">
        <w:t xml:space="preserve"> </w:t>
      </w:r>
      <w:r w:rsidR="00A12672" w:rsidRPr="007D1A02">
        <w:t xml:space="preserve">See </w:t>
      </w:r>
      <w:r w:rsidR="00A12672" w:rsidRPr="00A12672">
        <w:rPr>
          <w:i/>
        </w:rPr>
        <w:t>Clinical Findings above</w:t>
      </w:r>
      <w:r w:rsidR="00A12672" w:rsidRPr="007D1A02">
        <w:t>, in particular evaluator’s conclusions on pharmacokinetics, Efficacy and Safety a</w:t>
      </w:r>
      <w:r w:rsidR="00904356">
        <w:t>s well as</w:t>
      </w:r>
      <w:r w:rsidR="00A12672" w:rsidRPr="007D1A02">
        <w:t xml:space="preserve"> Attachment 2 Extract from the CER</w:t>
      </w:r>
      <w:r w:rsidR="00A12672">
        <w:t xml:space="preserve"> for further details on th</w:t>
      </w:r>
      <w:r w:rsidR="00904356">
        <w:t>e clinical</w:t>
      </w:r>
      <w:r w:rsidR="00A12672">
        <w:t xml:space="preserve"> evaluation</w:t>
      </w:r>
      <w:r w:rsidR="00A12672" w:rsidRPr="007D1A02">
        <w:t>.</w:t>
      </w:r>
    </w:p>
    <w:p w14:paraId="2812F6B1" w14:textId="4E1CACEC" w:rsidR="00600CE3" w:rsidRPr="00AD060C" w:rsidRDefault="00AD060C" w:rsidP="005B76CD">
      <w:r w:rsidRPr="00AD060C">
        <w:t xml:space="preserve">The CE </w:t>
      </w:r>
      <w:r w:rsidR="00600CE3" w:rsidRPr="00AD060C">
        <w:t xml:space="preserve">recommended that </w:t>
      </w:r>
      <w:proofErr w:type="spellStart"/>
      <w:r w:rsidR="00600CE3" w:rsidRPr="00AD060C">
        <w:t>Abilify</w:t>
      </w:r>
      <w:proofErr w:type="spellEnd"/>
      <w:r w:rsidR="00600CE3" w:rsidRPr="00AD060C">
        <w:t xml:space="preserve"> </w:t>
      </w:r>
      <w:proofErr w:type="spellStart"/>
      <w:r w:rsidR="00600CE3" w:rsidRPr="00AD060C">
        <w:t>Maintena</w:t>
      </w:r>
      <w:proofErr w:type="spellEnd"/>
      <w:r w:rsidR="00600CE3" w:rsidRPr="00AD060C">
        <w:t xml:space="preserve"> be approved for </w:t>
      </w:r>
      <w:r w:rsidR="00A12672">
        <w:t>an</w:t>
      </w:r>
      <w:r w:rsidR="00600CE3" w:rsidRPr="00AD060C">
        <w:t xml:space="preserve"> </w:t>
      </w:r>
      <w:r w:rsidR="00A12672">
        <w:t>amended i</w:t>
      </w:r>
      <w:r w:rsidR="00600CE3" w:rsidRPr="00AD060C">
        <w:t xml:space="preserve">ndication of: </w:t>
      </w:r>
    </w:p>
    <w:p w14:paraId="2812F6B2" w14:textId="045FA7D6" w:rsidR="00600CE3" w:rsidRPr="005B76CD" w:rsidRDefault="00600CE3" w:rsidP="005B76CD">
      <w:pPr>
        <w:rPr>
          <w:i/>
        </w:rPr>
      </w:pPr>
      <w:r w:rsidRPr="005B76CD">
        <w:rPr>
          <w:i/>
        </w:rPr>
        <w:t>For the maintenance of clinical improvement in the treatment of schizophrenia</w:t>
      </w:r>
      <w:r w:rsidR="006D0603" w:rsidRPr="005B76CD">
        <w:rPr>
          <w:i/>
        </w:rPr>
        <w:t>.</w:t>
      </w:r>
    </w:p>
    <w:p w14:paraId="64B67683" w14:textId="2CA46B2D" w:rsidR="006D0603" w:rsidRPr="006D0603" w:rsidRDefault="00927C20" w:rsidP="005B76CD">
      <w:r>
        <w:t>See discussion below</w:t>
      </w:r>
      <w:r w:rsidR="006D0603" w:rsidRPr="006D0603">
        <w:t>.</w:t>
      </w:r>
    </w:p>
    <w:p w14:paraId="2812F6B3" w14:textId="6D3A4BB4" w:rsidR="004C67AA" w:rsidRDefault="004C67AA" w:rsidP="005B76CD">
      <w:pPr>
        <w:pStyle w:val="Heading3"/>
        <w:rPr>
          <w:lang w:eastAsia="en-AU"/>
        </w:rPr>
      </w:pPr>
      <w:bookmarkStart w:id="195" w:name="_Toc314842514"/>
      <w:bookmarkStart w:id="196" w:name="_Toc384807775"/>
      <w:bookmarkStart w:id="197" w:name="_Toc408924938"/>
      <w:r w:rsidRPr="00B277C4">
        <w:rPr>
          <w:lang w:eastAsia="en-AU"/>
        </w:rPr>
        <w:t>Risk management plan</w:t>
      </w:r>
      <w:bookmarkEnd w:id="195"/>
      <w:bookmarkEnd w:id="196"/>
      <w:bookmarkEnd w:id="197"/>
    </w:p>
    <w:p w14:paraId="2812F6B4" w14:textId="77777777" w:rsidR="00B277C4" w:rsidRPr="005B76CD" w:rsidRDefault="00B277C4" w:rsidP="005B76CD">
      <w:pPr>
        <w:rPr>
          <w:i/>
          <w:lang w:eastAsia="en-AU"/>
        </w:rPr>
      </w:pPr>
      <w:r w:rsidRPr="005B76CD">
        <w:rPr>
          <w:i/>
          <w:lang w:eastAsia="en-AU"/>
        </w:rPr>
        <w:t xml:space="preserve">See </w:t>
      </w:r>
      <w:proofErr w:type="spellStart"/>
      <w:r w:rsidRPr="005B76CD">
        <w:rPr>
          <w:i/>
          <w:lang w:eastAsia="en-AU"/>
        </w:rPr>
        <w:t>Pharmacovigilance</w:t>
      </w:r>
      <w:proofErr w:type="spellEnd"/>
      <w:r w:rsidRPr="005B76CD">
        <w:rPr>
          <w:i/>
          <w:lang w:eastAsia="en-AU"/>
        </w:rPr>
        <w:t xml:space="preserve"> findings above.</w:t>
      </w:r>
    </w:p>
    <w:p w14:paraId="2812F6B5" w14:textId="77777777" w:rsidR="004C67AA" w:rsidRDefault="004C67AA" w:rsidP="005B76CD">
      <w:pPr>
        <w:pStyle w:val="Heading3"/>
      </w:pPr>
      <w:bookmarkStart w:id="198" w:name="_Toc247691531"/>
      <w:bookmarkStart w:id="199" w:name="_Toc314842515"/>
      <w:bookmarkStart w:id="200" w:name="_Toc384807776"/>
      <w:bookmarkStart w:id="201" w:name="_Toc196046505"/>
      <w:bookmarkStart w:id="202" w:name="_Toc196046949"/>
      <w:bookmarkStart w:id="203" w:name="_Toc408924939"/>
      <w:r>
        <w:t>Risk-benefit analysis</w:t>
      </w:r>
      <w:bookmarkEnd w:id="198"/>
      <w:bookmarkEnd w:id="199"/>
      <w:bookmarkEnd w:id="200"/>
      <w:bookmarkEnd w:id="203"/>
    </w:p>
    <w:p w14:paraId="2812F6B6" w14:textId="67FD3D1B" w:rsidR="004C67AA" w:rsidRPr="002A7BC1" w:rsidRDefault="004C67AA" w:rsidP="005B76CD">
      <w:pPr>
        <w:pStyle w:val="Heading4"/>
      </w:pPr>
      <w:r w:rsidRPr="002A7BC1">
        <w:t xml:space="preserve">Delegate’s </w:t>
      </w:r>
      <w:r w:rsidR="007C19E2" w:rsidRPr="002A7BC1">
        <w:t xml:space="preserve">discussion and </w:t>
      </w:r>
      <w:r w:rsidR="005B76CD">
        <w:t>considerations</w:t>
      </w:r>
    </w:p>
    <w:p w14:paraId="0C21FFBD" w14:textId="126C793D" w:rsidR="007C19E2" w:rsidRPr="002A7BC1" w:rsidRDefault="007C19E2" w:rsidP="005B76CD">
      <w:pPr>
        <w:rPr>
          <w:color w:val="808080" w:themeColor="background1" w:themeShade="80"/>
        </w:rPr>
      </w:pPr>
      <w:r w:rsidRPr="002A7BC1">
        <w:t xml:space="preserve">It is acknowledged that all the evaluators have raised no objection (even though the clinical evaluator has queried the efficacy outcome for Study 31-07-247, due to the fact that its analytical method was changed midway through the course of the study) to the registration of the new dosage form and strengths of </w:t>
      </w:r>
      <w:proofErr w:type="spellStart"/>
      <w:r w:rsidRPr="002A7BC1">
        <w:t>aripiprazole</w:t>
      </w:r>
      <w:proofErr w:type="spellEnd"/>
      <w:r w:rsidRPr="002A7BC1">
        <w:t xml:space="preserve"> (</w:t>
      </w:r>
      <w:proofErr w:type="spellStart"/>
      <w:r w:rsidRPr="002A7BC1">
        <w:t>Abilify</w:t>
      </w:r>
      <w:proofErr w:type="spellEnd"/>
      <w:r w:rsidRPr="002A7BC1">
        <w:t xml:space="preserve"> </w:t>
      </w:r>
      <w:proofErr w:type="spellStart"/>
      <w:r w:rsidRPr="002A7BC1">
        <w:t>Maintena</w:t>
      </w:r>
      <w:proofErr w:type="spellEnd"/>
      <w:r w:rsidRPr="002A7BC1">
        <w:t xml:space="preserve">). While the clinical evaluator is of the opinion that a rejection of the efficacy outcome analysis from Study 31-07-247 is the only option available based on its flawed methodology, the Delegate believes that </w:t>
      </w:r>
      <w:r w:rsidRPr="007A5B1E">
        <w:t xml:space="preserve">there is a trend, when everything is taken together, towards the efficacy of </w:t>
      </w:r>
      <w:proofErr w:type="spellStart"/>
      <w:r w:rsidRPr="007A5B1E">
        <w:t>Abilify</w:t>
      </w:r>
      <w:proofErr w:type="spellEnd"/>
      <w:r w:rsidRPr="007A5B1E">
        <w:t xml:space="preserve"> </w:t>
      </w:r>
      <w:proofErr w:type="spellStart"/>
      <w:r w:rsidRPr="007A5B1E">
        <w:t>Maintena</w:t>
      </w:r>
      <w:proofErr w:type="spellEnd"/>
      <w:r w:rsidRPr="007A5B1E">
        <w:t xml:space="preserve"> in this submission</w:t>
      </w:r>
      <w:r w:rsidRPr="002A7BC1">
        <w:t xml:space="preserve">. In that regard, the approval/registration of the other dosage forms of </w:t>
      </w:r>
      <w:proofErr w:type="spellStart"/>
      <w:r w:rsidRPr="002A7BC1">
        <w:t>aripiprazole</w:t>
      </w:r>
      <w:proofErr w:type="spellEnd"/>
      <w:r w:rsidRPr="002A7BC1">
        <w:t xml:space="preserve"> for schizophrenia/other indications had been previously stated. Additionally, the clinical evaluator has rationally proposed modification to the spon</w:t>
      </w:r>
      <w:r w:rsidR="005B76CD">
        <w:t>sor’s submitted indication from</w:t>
      </w:r>
    </w:p>
    <w:p w14:paraId="6EAF4DF5" w14:textId="6673C2BE" w:rsidR="007C19E2" w:rsidRPr="005B76CD" w:rsidRDefault="007C19E2" w:rsidP="00895CF0">
      <w:pPr>
        <w:pStyle w:val="Heading6"/>
      </w:pPr>
      <w:r w:rsidRPr="005B76CD">
        <w:t>For the treatment of schizophrenia</w:t>
      </w:r>
    </w:p>
    <w:p w14:paraId="34FB336E" w14:textId="4522F649" w:rsidR="007C19E2" w:rsidRDefault="005B76CD" w:rsidP="005B76CD">
      <w:r>
        <w:t>to</w:t>
      </w:r>
    </w:p>
    <w:p w14:paraId="6939C2D1" w14:textId="1F24FF12" w:rsidR="007C19E2" w:rsidRDefault="007C19E2" w:rsidP="00895CF0">
      <w:pPr>
        <w:pStyle w:val="Heading5"/>
      </w:pPr>
      <w:r w:rsidRPr="00255E30">
        <w:lastRenderedPageBreak/>
        <w:t>For the maintenance of clinical improvement in the treatment of schizophrenia</w:t>
      </w:r>
      <w:r w:rsidR="005B76CD">
        <w:t>.</w:t>
      </w:r>
    </w:p>
    <w:p w14:paraId="376912C9" w14:textId="67F3B98B" w:rsidR="007C19E2" w:rsidRPr="00D60E11" w:rsidRDefault="007C19E2" w:rsidP="00895CF0">
      <w:pPr>
        <w:rPr>
          <w:sz w:val="21"/>
        </w:rPr>
      </w:pPr>
      <w:r w:rsidRPr="00AB7B0E">
        <w:t>The clinical evaluator’s rationale is restated below:</w:t>
      </w:r>
    </w:p>
    <w:p w14:paraId="5BB96B39" w14:textId="77777777" w:rsidR="007C19E2" w:rsidRDefault="007C19E2" w:rsidP="007A5B1E">
      <w:pPr>
        <w:rPr>
          <w:rFonts w:asciiTheme="minorHAnsi" w:hAnsiTheme="minorHAnsi"/>
        </w:rPr>
      </w:pPr>
      <w:r>
        <w:rPr>
          <w:rFonts w:asciiTheme="minorHAnsi" w:hAnsiTheme="minorHAnsi"/>
        </w:rPr>
        <w:t>“</w:t>
      </w:r>
      <w:r w:rsidRPr="00255E30">
        <w:rPr>
          <w:rFonts w:asciiTheme="minorHAnsi" w:hAnsiTheme="minorHAnsi"/>
          <w:i/>
        </w:rPr>
        <w:t>It would be very rare to start a patient on a depot preparation, as e.g. dose titration is not possible, an acute effect may be needed or undesirable effects may occur, in which case the preparation cannot be withdrawn CPMP/EWP/49/01 Appendix to the Note for Guidance on the Clinical Investigation of Medicinal Products in the Treatment of Schizophrenia - Methodology of Clinical Trials Concerning the Development of Depot Preparations of Approved Medicinal Products in Schizophrenia</w:t>
      </w:r>
      <w:r w:rsidRPr="001B2B01">
        <w:rPr>
          <w:rFonts w:asciiTheme="minorHAnsi" w:hAnsiTheme="minorHAnsi"/>
        </w:rPr>
        <w:t>.</w:t>
      </w:r>
      <w:r>
        <w:rPr>
          <w:rFonts w:asciiTheme="minorHAnsi" w:hAnsiTheme="minorHAnsi"/>
        </w:rPr>
        <w:t>”</w:t>
      </w:r>
    </w:p>
    <w:p w14:paraId="5A20D122" w14:textId="4D05DA6E" w:rsidR="007C19E2" w:rsidRDefault="007C19E2" w:rsidP="00895CF0">
      <w:r>
        <w:t>While in unison with the clinical evaluator to modify the sponsor’s submitted indication, the Delegate proposes</w:t>
      </w:r>
      <w:r w:rsidR="00895CF0">
        <w:t xml:space="preserve"> a minor adjustment as follows:</w:t>
      </w:r>
    </w:p>
    <w:p w14:paraId="0B2E0318" w14:textId="49F772C8" w:rsidR="007C19E2" w:rsidRPr="00255E30" w:rsidRDefault="007C19E2" w:rsidP="00895CF0">
      <w:pPr>
        <w:pStyle w:val="Heading6"/>
      </w:pPr>
      <w:r w:rsidRPr="00255E30">
        <w:t xml:space="preserve">For the maintenance treatment of schizophrenia where clinically appropriate. </w:t>
      </w:r>
    </w:p>
    <w:p w14:paraId="5E332DEF" w14:textId="4B704B57" w:rsidR="007C19E2" w:rsidRDefault="007C19E2" w:rsidP="00895CF0">
      <w:r>
        <w:t xml:space="preserve">Apart from the clinical evaluator’s comment on the issue, Studies 31-07-246 and 31-07-247 were titled as maintenance treatment investigations of </w:t>
      </w:r>
      <w:proofErr w:type="spellStart"/>
      <w:r>
        <w:t>Abilify</w:t>
      </w:r>
      <w:proofErr w:type="spellEnd"/>
      <w:r>
        <w:t xml:space="preserve"> </w:t>
      </w:r>
      <w:proofErr w:type="spellStart"/>
      <w:r>
        <w:t>Maintena</w:t>
      </w:r>
      <w:proofErr w:type="spellEnd"/>
      <w:r>
        <w:t xml:space="preserve"> and eligibility into their randomised </w:t>
      </w:r>
      <w:proofErr w:type="spellStart"/>
      <w:r>
        <w:t>Abilify</w:t>
      </w:r>
      <w:proofErr w:type="spellEnd"/>
      <w:r>
        <w:t xml:space="preserve"> </w:t>
      </w:r>
      <w:proofErr w:type="spellStart"/>
      <w:r>
        <w:t>Maintena</w:t>
      </w:r>
      <w:proofErr w:type="spellEnd"/>
      <w:r>
        <w:t xml:space="preserve"> phase requires prior oral conversion phase followed by oral stabilisation phase; meaning that treatment was not initiated with </w:t>
      </w:r>
      <w:proofErr w:type="spellStart"/>
      <w:r>
        <w:t>Abilify</w:t>
      </w:r>
      <w:proofErr w:type="spellEnd"/>
      <w:r>
        <w:t xml:space="preserve"> </w:t>
      </w:r>
      <w:proofErr w:type="spellStart"/>
      <w:r>
        <w:t>Maintena</w:t>
      </w:r>
      <w:proofErr w:type="spellEnd"/>
      <w:r>
        <w:t xml:space="preserve"> but rather maintained by it. Also eligible, were patients with relapse history due to not taking their antipsychotics, hence the tag “clinically appropriate” to the modified indication.</w:t>
      </w:r>
    </w:p>
    <w:p w14:paraId="06C21F12" w14:textId="57E5900D" w:rsidR="007C19E2" w:rsidRDefault="007C19E2" w:rsidP="008D0CDD">
      <w:r>
        <w:t>There are no major concerns in terms of safety and the benefit-risk balance is regarded favourable provided the proposed m</w:t>
      </w:r>
      <w:r w:rsidR="008D0CDD">
        <w:t>odified indication is accepted.</w:t>
      </w:r>
    </w:p>
    <w:p w14:paraId="7A364330" w14:textId="14550414" w:rsidR="007C19E2" w:rsidRDefault="007C19E2" w:rsidP="008D0CDD">
      <w:r>
        <w:t>The draft PI requires amendments as suggested in the clinical (except for the indication), nonclinical and RMP evaluation reports before f</w:t>
      </w:r>
      <w:r w:rsidR="008D0CDD">
        <w:t>inalisation of the application.</w:t>
      </w:r>
    </w:p>
    <w:p w14:paraId="2812F6B7" w14:textId="77777777" w:rsidR="00600CE3" w:rsidRDefault="00600CE3" w:rsidP="008D0CDD">
      <w:pPr>
        <w:pStyle w:val="Heading5"/>
      </w:pPr>
      <w:r>
        <w:t>Summary of issues</w:t>
      </w:r>
    </w:p>
    <w:p w14:paraId="2812F6B8" w14:textId="77777777" w:rsidR="00600CE3" w:rsidRDefault="00600CE3" w:rsidP="008D0CDD">
      <w:pPr>
        <w:pStyle w:val="ListBullet"/>
      </w:pPr>
      <w:r>
        <w:t>The interim analysis stopping rules were applied for</w:t>
      </w:r>
      <w:r>
        <w:rPr>
          <w:i/>
        </w:rPr>
        <w:t xml:space="preserve"> </w:t>
      </w:r>
      <w:r w:rsidRPr="00904356">
        <w:t>Study 31-07-246</w:t>
      </w:r>
      <w:r>
        <w:rPr>
          <w:b/>
        </w:rPr>
        <w:t xml:space="preserve"> </w:t>
      </w:r>
      <w:r>
        <w:t>(</w:t>
      </w:r>
      <w:r w:rsidR="00904356">
        <w:t>a</w:t>
      </w:r>
      <w:r>
        <w:t xml:space="preserve"> 52</w:t>
      </w:r>
      <w:r w:rsidR="003E0DD7">
        <w:t xml:space="preserve"> </w:t>
      </w:r>
      <w:r>
        <w:t>week, multi</w:t>
      </w:r>
      <w:r w:rsidR="003E0DD7">
        <w:t>-</w:t>
      </w:r>
      <w:r>
        <w:t>centr</w:t>
      </w:r>
      <w:r w:rsidR="003E0DD7">
        <w:t>e</w:t>
      </w:r>
      <w:r>
        <w:t xml:space="preserve">, randomized, double-blind, placebo-controlled study to evaluate the efficacy, safety, and tolerability of an Intramuscular depot formulation of </w:t>
      </w:r>
      <w:proofErr w:type="spellStart"/>
      <w:r>
        <w:t>aripiprazole</w:t>
      </w:r>
      <w:proofErr w:type="spellEnd"/>
      <w:r>
        <w:t xml:space="preserve"> as maintenance treatment in patients with schizophrenia ˝ASPIRE US</w:t>
      </w:r>
      <w:r w:rsidR="004F5EC1">
        <w:t>’</w:t>
      </w:r>
      <w:r>
        <w:t xml:space="preserve">) after 50% of impending relapse events (64) had occurred with the trial being terminated thereafter for ethical issues. Analysis of the primary efficacy outcome showed that time to impending relapse was significantly shorter for subjects on placebo compared to </w:t>
      </w:r>
      <w:proofErr w:type="spellStart"/>
      <w:r>
        <w:t>aripiprazole</w:t>
      </w:r>
      <w:proofErr w:type="spellEnd"/>
      <w:r>
        <w:t xml:space="preserve"> IM depot (p &lt; 0.0001; log-rank test).</w:t>
      </w:r>
    </w:p>
    <w:p w14:paraId="2812F6B9" w14:textId="77777777" w:rsidR="00600CE3" w:rsidRPr="007C71A5" w:rsidRDefault="00600CE3" w:rsidP="005D79E0">
      <w:pPr>
        <w:pStyle w:val="ListBullet"/>
      </w:pPr>
      <w:r>
        <w:t>Almost 3 years after the start of the trial (14 July 2011), the primary efficacy endpoint</w:t>
      </w:r>
      <w:r w:rsidR="00C66B62">
        <w:t xml:space="preserve"> </w:t>
      </w:r>
      <w:r>
        <w:t xml:space="preserve">for </w:t>
      </w:r>
      <w:r w:rsidRPr="00904356">
        <w:t>Study31-07-247</w:t>
      </w:r>
      <w:r>
        <w:t xml:space="preserve"> (A 38</w:t>
      </w:r>
      <w:r w:rsidR="00904356">
        <w:t xml:space="preserve"> </w:t>
      </w:r>
      <w:r>
        <w:t>week, multi</w:t>
      </w:r>
      <w:r w:rsidR="003E0DD7">
        <w:t>-</w:t>
      </w:r>
      <w:r>
        <w:t>centr</w:t>
      </w:r>
      <w:r w:rsidR="003E0DD7">
        <w:t>e</w:t>
      </w:r>
      <w:r>
        <w:t xml:space="preserve">, randomized, double-blind, active-controlled study to evaluate the efficacy, safety, and tolerability of an intramuscular depot formulation of </w:t>
      </w:r>
      <w:proofErr w:type="spellStart"/>
      <w:r>
        <w:t>aripiprazole</w:t>
      </w:r>
      <w:proofErr w:type="spellEnd"/>
      <w:r>
        <w:t xml:space="preserve"> as maintenance treatment in patients with schizophrenia</w:t>
      </w:r>
      <w:r w:rsidR="00C66B62">
        <w:t xml:space="preserve"> </w:t>
      </w:r>
      <w:r>
        <w:t>˝ASPIRE EU</w:t>
      </w:r>
      <w:r w:rsidR="004F5EC1">
        <w:t>’</w:t>
      </w:r>
      <w:r>
        <w:t xml:space="preserve">) was changed </w:t>
      </w:r>
      <w:r w:rsidR="00904356">
        <w:t>to ‘</w:t>
      </w:r>
      <w:r w:rsidRPr="003E0DD7">
        <w:rPr>
          <w:i/>
        </w:rPr>
        <w:t>time from randomization to exacerbation of psychotic symptoms/impending relapse in Phase 3</w:t>
      </w:r>
      <w:r w:rsidR="004F5EC1" w:rsidRPr="003E0DD7">
        <w:rPr>
          <w:i/>
        </w:rPr>
        <w:t>’</w:t>
      </w:r>
      <w:r>
        <w:rPr>
          <w:b/>
          <w:color w:val="BFBFBF" w:themeColor="background1" w:themeShade="BF"/>
        </w:rPr>
        <w:t xml:space="preserve"> </w:t>
      </w:r>
      <w:r>
        <w:t xml:space="preserve">to </w:t>
      </w:r>
      <w:r w:rsidR="004F5EC1">
        <w:rPr>
          <w:color w:val="404040" w:themeColor="text1" w:themeTint="BF"/>
        </w:rPr>
        <w:t>‘</w:t>
      </w:r>
      <w:r w:rsidRPr="003E0DD7">
        <w:rPr>
          <w:i/>
        </w:rPr>
        <w:t>the proportion of subjects experiencing exacerbation of psychotic symptoms/impending relapse by end of 26 weeks of treatment from the date of randomization in Phase 3</w:t>
      </w:r>
      <w:r>
        <w:rPr>
          <w:color w:val="404040" w:themeColor="text1" w:themeTint="BF"/>
        </w:rPr>
        <w:t>,</w:t>
      </w:r>
      <w:r>
        <w:t xml:space="preserve"> </w:t>
      </w:r>
      <w:r w:rsidRPr="003E0DD7">
        <w:rPr>
          <w:i/>
        </w:rPr>
        <w:t xml:space="preserve">in schizophrenic subjects who have maintained stability on oral </w:t>
      </w:r>
      <w:proofErr w:type="spellStart"/>
      <w:r w:rsidRPr="003E0DD7">
        <w:rPr>
          <w:i/>
        </w:rPr>
        <w:t>aripiprazole</w:t>
      </w:r>
      <w:proofErr w:type="spellEnd"/>
      <w:r w:rsidRPr="003E0DD7">
        <w:rPr>
          <w:i/>
        </w:rPr>
        <w:t xml:space="preserve"> for at least 8 consecutive weeks in Phase 2 of the study.</w:t>
      </w:r>
      <w:r w:rsidR="004F5EC1">
        <w:t>’</w:t>
      </w:r>
      <w:r>
        <w:t xml:space="preserve"> The primary efficacy outcome as per the </w:t>
      </w:r>
      <w:r>
        <w:rPr>
          <w:b/>
        </w:rPr>
        <w:t>changed</w:t>
      </w:r>
      <w:r>
        <w:t xml:space="preserve"> endpoint was that the estimated proportion of subjects experiencing impending relapse by end of Week 26 was 7.12% in the </w:t>
      </w:r>
      <w:proofErr w:type="spellStart"/>
      <w:r>
        <w:t>aripiprazole</w:t>
      </w:r>
      <w:proofErr w:type="spellEnd"/>
      <w:r>
        <w:t xml:space="preserve"> IM depot 400/300mg group and 7.76% in the oral </w:t>
      </w:r>
      <w:proofErr w:type="spellStart"/>
      <w:r>
        <w:t>aripiprazole</w:t>
      </w:r>
      <w:proofErr w:type="spellEnd"/>
      <w:r>
        <w:t xml:space="preserve"> tablets 10</w:t>
      </w:r>
      <w:r w:rsidR="003E0DD7">
        <w:t xml:space="preserve"> to </w:t>
      </w:r>
      <w:r>
        <w:t xml:space="preserve">30mg group, a difference of −0.64%. The 95% CI (−5.26, 3.99) for the difference in the estimated proportion of subjects experiencing impending relapse by end of Week 26 excluded the predefined non-inferiority margin, 11.5%. Based on that, </w:t>
      </w:r>
      <w:proofErr w:type="spellStart"/>
      <w:r>
        <w:t>aripiprazole</w:t>
      </w:r>
      <w:proofErr w:type="spellEnd"/>
      <w:r>
        <w:t xml:space="preserve"> IM depot 400/300</w:t>
      </w:r>
      <w:r w:rsidR="003E0DD7">
        <w:t xml:space="preserve"> </w:t>
      </w:r>
      <w:r>
        <w:t xml:space="preserve">mg is non-inferior to the </w:t>
      </w:r>
      <w:proofErr w:type="spellStart"/>
      <w:r>
        <w:t>aripiprazole</w:t>
      </w:r>
      <w:proofErr w:type="spellEnd"/>
      <w:r>
        <w:t xml:space="preserve"> oral tablets 10</w:t>
      </w:r>
      <w:r w:rsidR="003E0DD7">
        <w:t xml:space="preserve"> to </w:t>
      </w:r>
      <w:r>
        <w:t>30</w:t>
      </w:r>
      <w:r w:rsidR="003E0DD7">
        <w:t xml:space="preserve"> </w:t>
      </w:r>
      <w:r>
        <w:t>mg formulation.</w:t>
      </w:r>
      <w:r w:rsidR="00C66B62">
        <w:t xml:space="preserve"> </w:t>
      </w:r>
      <w:r>
        <w:t>lf</w:t>
      </w:r>
      <w:r w:rsidR="00C66B62">
        <w:t xml:space="preserve"> </w:t>
      </w:r>
      <w:r>
        <w:t>the</w:t>
      </w:r>
      <w:r w:rsidR="00C66B62">
        <w:t xml:space="preserve"> </w:t>
      </w:r>
      <w:r>
        <w:t>ori</w:t>
      </w:r>
      <w:r w:rsidR="003E0DD7">
        <w:t>ginal primary endpoint was used, that is,</w:t>
      </w:r>
      <w:r>
        <w:t xml:space="preserve"> time to impending relapse, it</w:t>
      </w:r>
      <w:r w:rsidR="00C66B62">
        <w:t xml:space="preserve"> </w:t>
      </w:r>
      <w:r>
        <w:t>would have been required</w:t>
      </w:r>
      <w:r w:rsidR="00C66B62">
        <w:t xml:space="preserve"> </w:t>
      </w:r>
      <w:r>
        <w:t xml:space="preserve">first to show </w:t>
      </w:r>
      <w:r>
        <w:lastRenderedPageBreak/>
        <w:t>statistical superiority of IM depot 400/300</w:t>
      </w:r>
      <w:r w:rsidR="003E0DD7">
        <w:t xml:space="preserve"> </w:t>
      </w:r>
      <w:r>
        <w:t>mg over IM depot 50/25</w:t>
      </w:r>
      <w:r w:rsidR="003E0DD7">
        <w:t xml:space="preserve"> </w:t>
      </w:r>
      <w:r>
        <w:t>mg group (HR.317 95%CI 0.182, 0.552; p &lt; 0.0001) followed by testing non-inferiority of IM depot 400/300</w:t>
      </w:r>
      <w:r w:rsidR="003E0DD7">
        <w:t xml:space="preserve"> </w:t>
      </w:r>
      <w:r>
        <w:t>mg to oral tablets 10</w:t>
      </w:r>
      <w:r w:rsidR="003E0DD7">
        <w:t xml:space="preserve"> to </w:t>
      </w:r>
      <w:r>
        <w:t>30</w:t>
      </w:r>
      <w:r w:rsidR="003E0DD7">
        <w:t xml:space="preserve"> </w:t>
      </w:r>
      <w:r>
        <w:t>mg using a 95% (two sided) CI for the HR (</w:t>
      </w:r>
      <w:proofErr w:type="spellStart"/>
      <w:r>
        <w:t>aripiprazole</w:t>
      </w:r>
      <w:proofErr w:type="spellEnd"/>
      <w:r>
        <w:t xml:space="preserve"> IM depot 400 or 300</w:t>
      </w:r>
      <w:r w:rsidR="003E0DD7">
        <w:t xml:space="preserve"> </w:t>
      </w:r>
      <w:r>
        <w:t>mg v</w:t>
      </w:r>
      <w:r w:rsidR="003E0DD7">
        <w:t>ersu</w:t>
      </w:r>
      <w:r>
        <w:t xml:space="preserve">s oral </w:t>
      </w:r>
      <w:proofErr w:type="spellStart"/>
      <w:r>
        <w:t>aripiprazole</w:t>
      </w:r>
      <w:proofErr w:type="spellEnd"/>
      <w:r>
        <w:t xml:space="preserve">). Then, if the upper bound of the HR CI was lower </w:t>
      </w:r>
      <w:r w:rsidRPr="005D79E0">
        <w:t>than</w:t>
      </w:r>
      <w:r>
        <w:t xml:space="preserve"> 1.68, a non-inferiority of </w:t>
      </w:r>
      <w:proofErr w:type="spellStart"/>
      <w:r>
        <w:t>aripiprazole</w:t>
      </w:r>
      <w:proofErr w:type="spellEnd"/>
      <w:r>
        <w:t xml:space="preserve"> IM depot (400 or 300</w:t>
      </w:r>
      <w:r w:rsidR="003E0DD7">
        <w:t xml:space="preserve"> </w:t>
      </w:r>
      <w:r>
        <w:t xml:space="preserve">mg) to oral </w:t>
      </w:r>
      <w:proofErr w:type="spellStart"/>
      <w:r>
        <w:t>aripiprazole</w:t>
      </w:r>
      <w:proofErr w:type="spellEnd"/>
      <w:r>
        <w:t xml:space="preserve"> could be declared. The upper bound for the </w:t>
      </w:r>
      <w:r>
        <w:rPr>
          <w:i/>
        </w:rPr>
        <w:t>original primary</w:t>
      </w:r>
      <w:r>
        <w:rPr>
          <w:b/>
          <w:i/>
        </w:rPr>
        <w:t xml:space="preserve"> </w:t>
      </w:r>
      <w:r>
        <w:rPr>
          <w:i/>
        </w:rPr>
        <w:t>objective endpoint</w:t>
      </w:r>
      <w:r>
        <w:t xml:space="preserve"> however, did exceed 1.68 (0.991, 95% CI 0.545, 1.803; p = 0.9920).</w:t>
      </w:r>
      <w:r>
        <w:rPr>
          <w:rFonts w:asciiTheme="minorHAnsi" w:hAnsiTheme="minorHAnsi"/>
        </w:rPr>
        <w:t xml:space="preserve"> However, while the clinical evaluator is of the opinion that a rejection of the efficacy outcome analysis from Study 31-07-247 is the only option available based on its flawed methodology, the </w:t>
      </w:r>
      <w:r w:rsidR="003E0DD7">
        <w:rPr>
          <w:rFonts w:asciiTheme="minorHAnsi" w:hAnsiTheme="minorHAnsi"/>
        </w:rPr>
        <w:t>D</w:t>
      </w:r>
      <w:r>
        <w:rPr>
          <w:rFonts w:asciiTheme="minorHAnsi" w:hAnsiTheme="minorHAnsi"/>
        </w:rPr>
        <w:t xml:space="preserve">elegate believes that there is a trend, </w:t>
      </w:r>
      <w:r w:rsidRPr="007C71A5">
        <w:rPr>
          <w:rFonts w:asciiTheme="minorHAnsi" w:hAnsiTheme="minorHAnsi"/>
        </w:rPr>
        <w:t xml:space="preserve">when everything is taken together, towards the efficacy of </w:t>
      </w:r>
      <w:proofErr w:type="spellStart"/>
      <w:r w:rsidRPr="007C71A5">
        <w:rPr>
          <w:rFonts w:asciiTheme="minorHAnsi" w:hAnsiTheme="minorHAnsi"/>
        </w:rPr>
        <w:t>Abilify</w:t>
      </w:r>
      <w:proofErr w:type="spellEnd"/>
      <w:r w:rsidRPr="007C71A5">
        <w:rPr>
          <w:rFonts w:asciiTheme="minorHAnsi" w:hAnsiTheme="minorHAnsi"/>
        </w:rPr>
        <w:t xml:space="preserve"> </w:t>
      </w:r>
      <w:proofErr w:type="spellStart"/>
      <w:r w:rsidRPr="007C71A5">
        <w:rPr>
          <w:rFonts w:asciiTheme="minorHAnsi" w:hAnsiTheme="minorHAnsi"/>
        </w:rPr>
        <w:t>Maintena</w:t>
      </w:r>
      <w:proofErr w:type="spellEnd"/>
      <w:r w:rsidRPr="007C71A5">
        <w:rPr>
          <w:rFonts w:asciiTheme="minorHAnsi" w:hAnsiTheme="minorHAnsi"/>
        </w:rPr>
        <w:t xml:space="preserve"> in this submission.</w:t>
      </w:r>
    </w:p>
    <w:p w14:paraId="2812F6BA" w14:textId="1C8A2120" w:rsidR="00600CE3" w:rsidRPr="007C71A5" w:rsidRDefault="00600CE3" w:rsidP="008D0CDD">
      <w:pPr>
        <w:pStyle w:val="ListBullet"/>
      </w:pPr>
      <w:r w:rsidRPr="007C71A5">
        <w:t>The sponsor’s proposed indication does not match the design of</w:t>
      </w:r>
      <w:r w:rsidR="00C66B62" w:rsidRPr="007C71A5">
        <w:t xml:space="preserve"> </w:t>
      </w:r>
      <w:r w:rsidRPr="007C71A5">
        <w:t xml:space="preserve">efficacy/safety Studies 31-07-246 and 31-07-247 and the issue has been commented upon by both the clinical evaluator and </w:t>
      </w:r>
      <w:r w:rsidR="003E0DD7" w:rsidRPr="007C71A5">
        <w:t>D</w:t>
      </w:r>
      <w:r w:rsidRPr="007C71A5">
        <w:t>elegate with suggested modification</w:t>
      </w:r>
      <w:r w:rsidR="007C71A5" w:rsidRPr="007C71A5">
        <w:t>.</w:t>
      </w:r>
    </w:p>
    <w:p w14:paraId="2812F6BB" w14:textId="77777777" w:rsidR="004C67AA" w:rsidRDefault="003E0DD7" w:rsidP="008D0CDD">
      <w:pPr>
        <w:pStyle w:val="Heading4"/>
      </w:pPr>
      <w:r>
        <w:t xml:space="preserve">Delegate’s </w:t>
      </w:r>
      <w:r w:rsidRPr="003E0DD7">
        <w:t>p</w:t>
      </w:r>
      <w:r w:rsidR="004C67AA" w:rsidRPr="003E0DD7">
        <w:t>roposed</w:t>
      </w:r>
      <w:r w:rsidR="004C67AA" w:rsidRPr="00D23139">
        <w:t xml:space="preserve"> action</w:t>
      </w:r>
    </w:p>
    <w:p w14:paraId="2812F6BC" w14:textId="0C083842" w:rsidR="00600CE3" w:rsidRPr="003E0DD7" w:rsidRDefault="003E0DD7" w:rsidP="008D0CDD">
      <w:r w:rsidRPr="003E0DD7">
        <w:rPr>
          <w:bCs/>
        </w:rPr>
        <w:t xml:space="preserve">The Delegate </w:t>
      </w:r>
      <w:r w:rsidR="00600CE3" w:rsidRPr="003E0DD7">
        <w:rPr>
          <w:bCs/>
        </w:rPr>
        <w:t>ha</w:t>
      </w:r>
      <w:r w:rsidRPr="003E0DD7">
        <w:rPr>
          <w:bCs/>
        </w:rPr>
        <w:t>d</w:t>
      </w:r>
      <w:r w:rsidR="00600CE3" w:rsidRPr="003E0DD7">
        <w:rPr>
          <w:bCs/>
        </w:rPr>
        <w:t xml:space="preserve"> no reason to say, at this time, that the application to r</w:t>
      </w:r>
      <w:r w:rsidR="00600CE3" w:rsidRPr="003E0DD7">
        <w:t>egister new dosage form</w:t>
      </w:r>
      <w:r w:rsidR="00C66B62" w:rsidRPr="003E0DD7">
        <w:t xml:space="preserve"> </w:t>
      </w:r>
      <w:r w:rsidR="00600CE3" w:rsidRPr="003E0DD7">
        <w:t>and</w:t>
      </w:r>
      <w:r w:rsidR="00C66B62" w:rsidRPr="003E0DD7">
        <w:t xml:space="preserve"> </w:t>
      </w:r>
      <w:r w:rsidR="00600CE3" w:rsidRPr="003E0DD7">
        <w:t xml:space="preserve">dosage strengths of </w:t>
      </w:r>
      <w:proofErr w:type="spellStart"/>
      <w:r w:rsidR="00600CE3" w:rsidRPr="003E0DD7">
        <w:t>aripiprazole</w:t>
      </w:r>
      <w:proofErr w:type="spellEnd"/>
      <w:r w:rsidR="00600CE3" w:rsidRPr="003E0DD7">
        <w:t xml:space="preserve"> (</w:t>
      </w:r>
      <w:proofErr w:type="spellStart"/>
      <w:r w:rsidR="00600CE3" w:rsidRPr="003E0DD7">
        <w:t>Abilify</w:t>
      </w:r>
      <w:proofErr w:type="spellEnd"/>
      <w:r w:rsidR="00600CE3" w:rsidRPr="003E0DD7">
        <w:t>)</w:t>
      </w:r>
      <w:r w:rsidR="00600CE3" w:rsidRPr="003E0DD7">
        <w:rPr>
          <w:bCs/>
        </w:rPr>
        <w:t xml:space="preserve"> should not be approved</w:t>
      </w:r>
      <w:r w:rsidR="00C66B62" w:rsidRPr="003E0DD7">
        <w:rPr>
          <w:bCs/>
        </w:rPr>
        <w:t xml:space="preserve"> </w:t>
      </w:r>
      <w:r w:rsidR="00600CE3" w:rsidRPr="003E0DD7">
        <w:t xml:space="preserve">subject to resolving issues, arising from the </w:t>
      </w:r>
      <w:r>
        <w:t>Advisory Committee on Prescription Medicines (</w:t>
      </w:r>
      <w:r w:rsidR="00600CE3" w:rsidRPr="003E0DD7">
        <w:t>ACPM</w:t>
      </w:r>
      <w:r>
        <w:t>)</w:t>
      </w:r>
      <w:r w:rsidR="00600CE3" w:rsidRPr="003E0DD7">
        <w:t xml:space="preserve"> deliberations and finalisation of matters pertaining to the d</w:t>
      </w:r>
      <w:r>
        <w:t xml:space="preserve">raft </w:t>
      </w:r>
      <w:r w:rsidR="00600CE3" w:rsidRPr="003E0DD7">
        <w:t xml:space="preserve">PI and RMP </w:t>
      </w:r>
      <w:r w:rsidR="008D0CDD">
        <w:t>to the satisfaction of the TGA.</w:t>
      </w:r>
    </w:p>
    <w:p w14:paraId="2812F6BD" w14:textId="77777777" w:rsidR="004C67AA" w:rsidRDefault="003E0DD7" w:rsidP="008D0CDD">
      <w:pPr>
        <w:pStyle w:val="Heading4"/>
      </w:pPr>
      <w:r>
        <w:t>Delegate’s r</w:t>
      </w:r>
      <w:r w:rsidR="004C67AA" w:rsidRPr="00D23139">
        <w:t>equest for ACPM advice</w:t>
      </w:r>
    </w:p>
    <w:p w14:paraId="2812F6BE" w14:textId="77777777" w:rsidR="003E0DD7" w:rsidRPr="003E0DD7" w:rsidRDefault="003E0DD7" w:rsidP="008D0CDD">
      <w:r>
        <w:t>The following questions were posed to the ACPM:</w:t>
      </w:r>
    </w:p>
    <w:p w14:paraId="2812F6BF" w14:textId="77777777" w:rsidR="00600CE3" w:rsidRDefault="00600CE3" w:rsidP="008D0CDD">
      <w:pPr>
        <w:pStyle w:val="Numberbullet0"/>
        <w:numPr>
          <w:ilvl w:val="0"/>
          <w:numId w:val="10"/>
        </w:numPr>
      </w:pPr>
      <w:r>
        <w:t>Overall acceptability or otherwise of the submitted and already evaluated efficacy/safety data package.</w:t>
      </w:r>
    </w:p>
    <w:p w14:paraId="2812F6C0" w14:textId="2C2AB006" w:rsidR="00600CE3" w:rsidRPr="008D0CDD" w:rsidRDefault="00600CE3" w:rsidP="008D0CDD">
      <w:pPr>
        <w:pStyle w:val="Numberbullet0"/>
        <w:numPr>
          <w:ilvl w:val="0"/>
          <w:numId w:val="10"/>
        </w:numPr>
        <w:rPr>
          <w:rFonts w:cstheme="minorBidi"/>
        </w:rPr>
      </w:pPr>
      <w:r w:rsidRPr="008D0CDD">
        <w:t>Acc</w:t>
      </w:r>
      <w:r w:rsidR="003E0DD7" w:rsidRPr="008D0CDD">
        <w:t>eptability or otherwise of the De</w:t>
      </w:r>
      <w:r w:rsidRPr="008D0CDD">
        <w:t>legate’s modified indication for approval.</w:t>
      </w:r>
    </w:p>
    <w:p w14:paraId="2812F6C1" w14:textId="77777777" w:rsidR="00600CE3" w:rsidRPr="008D0CDD" w:rsidRDefault="003E0DD7" w:rsidP="008D0CDD">
      <w:pPr>
        <w:pStyle w:val="Numberbullet0"/>
        <w:numPr>
          <w:ilvl w:val="0"/>
          <w:numId w:val="10"/>
        </w:numPr>
      </w:pPr>
      <w:r w:rsidRPr="008D0CDD">
        <w:t>The committee wa</w:t>
      </w:r>
      <w:r w:rsidR="00600CE3" w:rsidRPr="008D0CDD">
        <w:t>s also requested to provide advice on any other issues that it thinks may be relevant to a decision on whether or not to approve this application.</w:t>
      </w:r>
    </w:p>
    <w:p w14:paraId="2812F6C2" w14:textId="5DA905DF" w:rsidR="004C67AA" w:rsidRDefault="004C67AA" w:rsidP="008D0CDD">
      <w:pPr>
        <w:pStyle w:val="Heading4"/>
      </w:pPr>
      <w:r w:rsidRPr="00D23139">
        <w:t xml:space="preserve">Response from </w:t>
      </w:r>
      <w:r w:rsidR="008D0CDD">
        <w:t>s</w:t>
      </w:r>
      <w:r w:rsidRPr="00D23139">
        <w:t>ponsor</w:t>
      </w:r>
    </w:p>
    <w:p w14:paraId="2812F6C3" w14:textId="1725852E" w:rsidR="00600CE3" w:rsidRPr="00600CE3" w:rsidRDefault="00600CE3" w:rsidP="008D0CDD">
      <w:pPr>
        <w:pStyle w:val="Heading5"/>
      </w:pPr>
      <w:r w:rsidRPr="00600CE3">
        <w:t xml:space="preserve">Proposed </w:t>
      </w:r>
      <w:r w:rsidR="008D0CDD">
        <w:t>c</w:t>
      </w:r>
      <w:r w:rsidRPr="00600CE3">
        <w:t xml:space="preserve">hanges to the </w:t>
      </w:r>
      <w:r w:rsidR="008D0CDD">
        <w:t>i</w:t>
      </w:r>
      <w:r w:rsidRPr="00600CE3">
        <w:t>ndication</w:t>
      </w:r>
    </w:p>
    <w:p w14:paraId="2812F6C4" w14:textId="77777777" w:rsidR="00600CE3" w:rsidRPr="00600CE3" w:rsidRDefault="00600CE3" w:rsidP="008D0CDD">
      <w:r w:rsidRPr="00600CE3">
        <w:t xml:space="preserve">The </w:t>
      </w:r>
      <w:r w:rsidR="006F4D05">
        <w:t>sponsor</w:t>
      </w:r>
      <w:r w:rsidRPr="00600CE3">
        <w:t xml:space="preserve"> agrees with the Delegate’s and clinical evaluator’s proposal to include</w:t>
      </w:r>
      <w:r w:rsidR="006F4D05">
        <w:t xml:space="preserve"> </w:t>
      </w:r>
      <w:r w:rsidR="004F5EC1">
        <w:t>‘</w:t>
      </w:r>
      <w:r w:rsidRPr="00600CE3">
        <w:t>maintenance</w:t>
      </w:r>
      <w:r w:rsidR="004F5EC1">
        <w:t>’</w:t>
      </w:r>
      <w:r w:rsidRPr="00600CE3">
        <w:t xml:space="preserve"> in the indication, however, the </w:t>
      </w:r>
      <w:r w:rsidR="006F4D05">
        <w:t>sponsor</w:t>
      </w:r>
      <w:r w:rsidRPr="00600CE3">
        <w:t xml:space="preserve"> proposes not to include </w:t>
      </w:r>
      <w:r w:rsidR="004F5EC1">
        <w:t>‘</w:t>
      </w:r>
      <w:r w:rsidRPr="006F4D05">
        <w:rPr>
          <w:i/>
        </w:rPr>
        <w:t>where</w:t>
      </w:r>
      <w:r w:rsidR="006F4D05" w:rsidRPr="006F4D05">
        <w:rPr>
          <w:i/>
        </w:rPr>
        <w:t xml:space="preserve"> </w:t>
      </w:r>
      <w:r w:rsidRPr="006F4D05">
        <w:rPr>
          <w:i/>
        </w:rPr>
        <w:t>clinically appropriate</w:t>
      </w:r>
      <w:r w:rsidR="004F5EC1">
        <w:t>’</w:t>
      </w:r>
      <w:r w:rsidRPr="00600CE3">
        <w:t xml:space="preserve">: </w:t>
      </w:r>
      <w:r w:rsidR="004F5EC1">
        <w:t>‘</w:t>
      </w:r>
      <w:r w:rsidRPr="00600CE3">
        <w:rPr>
          <w:rFonts w:cs="TimesNewRoman,BoldItalic"/>
          <w:i/>
          <w:iCs/>
        </w:rPr>
        <w:t>For maintenance treatment of schizophrenia</w:t>
      </w:r>
      <w:r w:rsidR="004F5EC1">
        <w:t>’</w:t>
      </w:r>
      <w:r w:rsidR="006F4D05">
        <w:t xml:space="preserve">. </w:t>
      </w:r>
      <w:r w:rsidRPr="00600CE3">
        <w:t xml:space="preserve">In regulatory and medical contexts, specifying </w:t>
      </w:r>
      <w:r w:rsidR="004F5EC1">
        <w:t>‘</w:t>
      </w:r>
      <w:r w:rsidRPr="006F4D05">
        <w:rPr>
          <w:i/>
        </w:rPr>
        <w:t>where clinically appropriate</w:t>
      </w:r>
      <w:r w:rsidR="004F5EC1" w:rsidRPr="006F4D05">
        <w:rPr>
          <w:i/>
        </w:rPr>
        <w:t>’</w:t>
      </w:r>
      <w:r w:rsidRPr="00600CE3">
        <w:t xml:space="preserve"> in the indication</w:t>
      </w:r>
      <w:r w:rsidR="006F4D05">
        <w:t xml:space="preserve"> </w:t>
      </w:r>
      <w:r w:rsidRPr="00600CE3">
        <w:t>is normally linked to a special situation. The overall benefit-risk evaluation of the submitted</w:t>
      </w:r>
      <w:r w:rsidR="006F4D05">
        <w:t xml:space="preserve"> </w:t>
      </w:r>
      <w:r w:rsidRPr="00600CE3">
        <w:t xml:space="preserve">dossier for </w:t>
      </w:r>
      <w:proofErr w:type="spellStart"/>
      <w:r w:rsidRPr="00600CE3">
        <w:t>Abilify</w:t>
      </w:r>
      <w:proofErr w:type="spellEnd"/>
      <w:r w:rsidRPr="00600CE3">
        <w:t xml:space="preserve"> </w:t>
      </w:r>
      <w:proofErr w:type="spellStart"/>
      <w:r w:rsidRPr="00600CE3">
        <w:t>Maintena</w:t>
      </w:r>
      <w:proofErr w:type="spellEnd"/>
      <w:r w:rsidRPr="00600CE3">
        <w:t xml:space="preserve"> supports the use in maintenance treatment of schizophrenia.</w:t>
      </w:r>
    </w:p>
    <w:p w14:paraId="2812F6C5" w14:textId="77777777" w:rsidR="00600CE3" w:rsidRPr="00600CE3" w:rsidRDefault="00600CE3" w:rsidP="00600CE3">
      <w:pPr>
        <w:rPr>
          <w:rFonts w:asciiTheme="minorHAnsi" w:eastAsia="TimesNewRoman" w:hAnsiTheme="minorHAnsi" w:cs="TimesNewRoman"/>
        </w:rPr>
      </w:pPr>
      <w:r w:rsidRPr="00600CE3">
        <w:rPr>
          <w:rFonts w:asciiTheme="minorHAnsi" w:eastAsia="TimesNewRoman" w:hAnsiTheme="minorHAnsi" w:cs="TimesNewRoman"/>
        </w:rPr>
        <w:t>There is no additional specific clinical circumstance (</w:t>
      </w:r>
      <w:r w:rsidR="006F4D05">
        <w:rPr>
          <w:rFonts w:asciiTheme="minorHAnsi" w:eastAsia="TimesNewRoman" w:hAnsiTheme="minorHAnsi" w:cs="TimesNewRoman"/>
        </w:rPr>
        <w:t>such as</w:t>
      </w:r>
      <w:r w:rsidRPr="00600CE3">
        <w:rPr>
          <w:rFonts w:asciiTheme="minorHAnsi" w:eastAsia="TimesNewRoman" w:hAnsiTheme="minorHAnsi" w:cs="TimesNewRoman"/>
        </w:rPr>
        <w:t xml:space="preserve"> Safety, use in a subset of patients)</w:t>
      </w:r>
      <w:r w:rsidR="006F4D05">
        <w:rPr>
          <w:rFonts w:asciiTheme="minorHAnsi" w:eastAsia="TimesNewRoman" w:hAnsiTheme="minorHAnsi" w:cs="TimesNewRoman"/>
        </w:rPr>
        <w:t xml:space="preserve"> </w:t>
      </w:r>
      <w:r w:rsidRPr="00600CE3">
        <w:rPr>
          <w:rFonts w:asciiTheme="minorHAnsi" w:eastAsia="TimesNewRoman" w:hAnsiTheme="minorHAnsi" w:cs="TimesNewRoman"/>
        </w:rPr>
        <w:t xml:space="preserve">that requires the inclusion of the phrase </w:t>
      </w:r>
      <w:r w:rsidR="004F5EC1">
        <w:rPr>
          <w:rFonts w:asciiTheme="minorHAnsi" w:eastAsia="TimesNewRoman" w:hAnsiTheme="minorHAnsi" w:cs="TimesNewRoman"/>
        </w:rPr>
        <w:t>‘</w:t>
      </w:r>
      <w:r w:rsidRPr="006F4D05">
        <w:rPr>
          <w:rFonts w:asciiTheme="minorHAnsi" w:eastAsia="TimesNewRoman" w:hAnsiTheme="minorHAnsi" w:cs="TimesNewRoman"/>
          <w:i/>
        </w:rPr>
        <w:t>where clinically appropriate</w:t>
      </w:r>
      <w:r w:rsidR="004F5EC1" w:rsidRPr="006F4D05">
        <w:rPr>
          <w:rFonts w:asciiTheme="minorHAnsi" w:eastAsia="TimesNewRoman" w:hAnsiTheme="minorHAnsi" w:cs="TimesNewRoman"/>
          <w:i/>
        </w:rPr>
        <w:t>’</w:t>
      </w:r>
      <w:r w:rsidRPr="00600CE3">
        <w:rPr>
          <w:rFonts w:asciiTheme="minorHAnsi" w:eastAsia="TimesNewRoman" w:hAnsiTheme="minorHAnsi" w:cs="TimesNewRoman"/>
        </w:rPr>
        <w:t>, therefore it is the</w:t>
      </w:r>
      <w:r w:rsidR="006F4D05">
        <w:rPr>
          <w:rFonts w:asciiTheme="minorHAnsi" w:eastAsia="TimesNewRoman" w:hAnsiTheme="minorHAnsi" w:cs="TimesNewRoman"/>
        </w:rPr>
        <w:t xml:space="preserve"> sponsor’s</w:t>
      </w:r>
      <w:r w:rsidRPr="00600CE3">
        <w:rPr>
          <w:rFonts w:asciiTheme="minorHAnsi" w:eastAsia="TimesNewRoman" w:hAnsiTheme="minorHAnsi" w:cs="TimesNewRoman"/>
        </w:rPr>
        <w:t xml:space="preserve"> view that this phrase is not required.</w:t>
      </w:r>
    </w:p>
    <w:p w14:paraId="2812F6C6" w14:textId="77777777" w:rsidR="00600CE3" w:rsidRPr="00600CE3" w:rsidRDefault="00600CE3" w:rsidP="008D0CDD">
      <w:r w:rsidRPr="00600CE3">
        <w:t>All drugs approved should only be used when clinically appropriate in the approved target</w:t>
      </w:r>
      <w:r w:rsidR="006F4D05">
        <w:t xml:space="preserve"> </w:t>
      </w:r>
      <w:r w:rsidRPr="00600CE3">
        <w:t xml:space="preserve">population and as instructed in the label. Adding </w:t>
      </w:r>
      <w:r w:rsidR="004F5EC1">
        <w:t>‘</w:t>
      </w:r>
      <w:r w:rsidRPr="006F4D05">
        <w:rPr>
          <w:i/>
        </w:rPr>
        <w:t>where clinically appropriate</w:t>
      </w:r>
      <w:r w:rsidR="004F5EC1">
        <w:t>’</w:t>
      </w:r>
      <w:r w:rsidRPr="00600CE3">
        <w:t xml:space="preserve"> would</w:t>
      </w:r>
      <w:r w:rsidR="006F4D05">
        <w:t xml:space="preserve"> </w:t>
      </w:r>
      <w:r w:rsidRPr="00600CE3">
        <w:t xml:space="preserve">indicate a concern with the use of </w:t>
      </w:r>
      <w:proofErr w:type="spellStart"/>
      <w:r w:rsidRPr="00600CE3">
        <w:t>Abilify</w:t>
      </w:r>
      <w:proofErr w:type="spellEnd"/>
      <w:r w:rsidRPr="00600CE3">
        <w:t xml:space="preserve"> </w:t>
      </w:r>
      <w:proofErr w:type="spellStart"/>
      <w:r w:rsidRPr="00600CE3">
        <w:t>Maintena</w:t>
      </w:r>
      <w:proofErr w:type="spellEnd"/>
      <w:r w:rsidRPr="00600CE3">
        <w:t>, which is not the case. Therefore, it is</w:t>
      </w:r>
      <w:r w:rsidR="006F4D05">
        <w:t xml:space="preserve"> </w:t>
      </w:r>
      <w:r w:rsidRPr="00600CE3">
        <w:t>the</w:t>
      </w:r>
      <w:r w:rsidR="006F4D05">
        <w:t xml:space="preserve"> sponsor’s</w:t>
      </w:r>
      <w:r w:rsidRPr="00600CE3">
        <w:t xml:space="preserve"> view that this phrase is not required, and furthermore it is not included in the</w:t>
      </w:r>
      <w:r w:rsidR="006F4D05">
        <w:t xml:space="preserve"> </w:t>
      </w:r>
      <w:r w:rsidRPr="00600CE3">
        <w:t xml:space="preserve">recently approved indications for </w:t>
      </w:r>
      <w:proofErr w:type="spellStart"/>
      <w:r w:rsidRPr="00600CE3">
        <w:t>Invega</w:t>
      </w:r>
      <w:proofErr w:type="spellEnd"/>
      <w:r w:rsidRPr="00600CE3">
        <w:t xml:space="preserve"> </w:t>
      </w:r>
      <w:proofErr w:type="spellStart"/>
      <w:r w:rsidRPr="00600CE3">
        <w:t>Sustenna</w:t>
      </w:r>
      <w:proofErr w:type="spellEnd"/>
      <w:r w:rsidRPr="00600CE3">
        <w:t xml:space="preserve"> and </w:t>
      </w:r>
      <w:proofErr w:type="spellStart"/>
      <w:r w:rsidRPr="00600CE3">
        <w:t>Saphris</w:t>
      </w:r>
      <w:proofErr w:type="spellEnd"/>
      <w:r w:rsidRPr="00600CE3">
        <w:t>.</w:t>
      </w:r>
    </w:p>
    <w:p w14:paraId="2812F6C7" w14:textId="51BB37A1" w:rsidR="00600CE3" w:rsidRPr="00600CE3" w:rsidRDefault="00600CE3" w:rsidP="008D0CDD">
      <w:pPr>
        <w:pStyle w:val="Heading5"/>
      </w:pPr>
      <w:r w:rsidRPr="00600CE3">
        <w:lastRenderedPageBreak/>
        <w:t xml:space="preserve">Issue raised in </w:t>
      </w:r>
      <w:r w:rsidR="008D0CDD">
        <w:t>d</w:t>
      </w:r>
      <w:r w:rsidRPr="00600CE3">
        <w:t xml:space="preserve">elegate’s </w:t>
      </w:r>
      <w:r w:rsidR="008D0CDD">
        <w:t>r</w:t>
      </w:r>
      <w:r w:rsidRPr="00600CE3">
        <w:t xml:space="preserve">equest for ACPM </w:t>
      </w:r>
      <w:r w:rsidR="008D0CDD">
        <w:t>a</w:t>
      </w:r>
      <w:r w:rsidRPr="00600CE3">
        <w:t>dvice</w:t>
      </w:r>
    </w:p>
    <w:p w14:paraId="2812F6C8" w14:textId="1E6D609A" w:rsidR="00600CE3" w:rsidRPr="00600CE3" w:rsidRDefault="00600CE3" w:rsidP="008D0CDD">
      <w:pPr>
        <w:pStyle w:val="Heading6"/>
      </w:pPr>
      <w:r w:rsidRPr="00600CE3">
        <w:t xml:space="preserve">Advice </w:t>
      </w:r>
      <w:r w:rsidR="008D0CDD">
        <w:t>s</w:t>
      </w:r>
      <w:r w:rsidRPr="00600CE3">
        <w:t xml:space="preserve">ought by </w:t>
      </w:r>
      <w:r w:rsidR="008D0CDD">
        <w:t>d</w:t>
      </w:r>
      <w:r w:rsidRPr="00600CE3">
        <w:t>elegate</w:t>
      </w:r>
    </w:p>
    <w:p w14:paraId="2812F6C9" w14:textId="77777777" w:rsidR="00600CE3" w:rsidRPr="008D0CDD" w:rsidRDefault="00600CE3" w:rsidP="008D0CDD">
      <w:pPr>
        <w:rPr>
          <w:i/>
        </w:rPr>
      </w:pPr>
      <w:r w:rsidRPr="008D0CDD">
        <w:rPr>
          <w:i/>
        </w:rPr>
        <w:t>Overall acceptability or otherwise of the submitted and already evaluated efficacy/safety data</w:t>
      </w:r>
      <w:r w:rsidR="006F4D05" w:rsidRPr="008D0CDD">
        <w:rPr>
          <w:i/>
        </w:rPr>
        <w:t xml:space="preserve"> </w:t>
      </w:r>
      <w:r w:rsidRPr="008D0CDD">
        <w:rPr>
          <w:i/>
        </w:rPr>
        <w:t>package.</w:t>
      </w:r>
    </w:p>
    <w:p w14:paraId="2812F6CA" w14:textId="3554094D" w:rsidR="00600CE3" w:rsidRPr="00600CE3" w:rsidRDefault="006F4D05" w:rsidP="008D0CDD">
      <w:pPr>
        <w:pStyle w:val="Heading6"/>
      </w:pPr>
      <w:r w:rsidRPr="00600CE3">
        <w:rPr>
          <w:rFonts w:cs="TimesNewRoman,BoldItalic"/>
          <w:iCs/>
        </w:rPr>
        <w:t xml:space="preserve">Summary </w:t>
      </w:r>
      <w:r w:rsidR="008D0CDD">
        <w:t>a</w:t>
      </w:r>
      <w:r w:rsidR="00600CE3" w:rsidRPr="00600CE3">
        <w:t xml:space="preserve">pplicant’s </w:t>
      </w:r>
      <w:r w:rsidR="008D0CDD">
        <w:t>r</w:t>
      </w:r>
      <w:r w:rsidR="00600CE3" w:rsidRPr="00600CE3">
        <w:t>esponse</w:t>
      </w:r>
    </w:p>
    <w:p w14:paraId="2812F6CB" w14:textId="77777777" w:rsidR="00600CE3" w:rsidRPr="00600CE3" w:rsidRDefault="00600CE3" w:rsidP="008D0CDD">
      <w:r w:rsidRPr="00600CE3">
        <w:t xml:space="preserve">Overall, the Delegate and the evaluators believe that the dossier for </w:t>
      </w:r>
      <w:proofErr w:type="spellStart"/>
      <w:r w:rsidRPr="00600CE3">
        <w:t>Abilify</w:t>
      </w:r>
      <w:proofErr w:type="spellEnd"/>
      <w:r w:rsidRPr="00600CE3">
        <w:t xml:space="preserve"> </w:t>
      </w:r>
      <w:proofErr w:type="spellStart"/>
      <w:r w:rsidRPr="00600CE3">
        <w:t>Maintena</w:t>
      </w:r>
      <w:proofErr w:type="spellEnd"/>
      <w:r w:rsidRPr="00600CE3">
        <w:t xml:space="preserve"> is</w:t>
      </w:r>
      <w:r w:rsidR="006F4D05">
        <w:t xml:space="preserve"> </w:t>
      </w:r>
      <w:r w:rsidRPr="00600CE3">
        <w:t xml:space="preserve">approvable. However, </w:t>
      </w:r>
      <w:r w:rsidR="006F4D05">
        <w:t>concerns were</w:t>
      </w:r>
      <w:r w:rsidRPr="00600CE3">
        <w:t xml:space="preserve"> expressed with the study methodology for Trial</w:t>
      </w:r>
      <w:r w:rsidR="006F4D05">
        <w:t xml:space="preserve"> </w:t>
      </w:r>
      <w:r w:rsidRPr="00600CE3">
        <w:t xml:space="preserve">31-07-247. The following points summarise the </w:t>
      </w:r>
      <w:r w:rsidR="006F4D05">
        <w:t>sponsor’s</w:t>
      </w:r>
      <w:r w:rsidRPr="00600CE3">
        <w:t xml:space="preserve"> response to this issue; more</w:t>
      </w:r>
      <w:r w:rsidR="006F4D05">
        <w:t xml:space="preserve"> </w:t>
      </w:r>
      <w:r w:rsidRPr="00600CE3">
        <w:t>detailed responses follow:</w:t>
      </w:r>
    </w:p>
    <w:p w14:paraId="2812F6CC" w14:textId="77777777" w:rsidR="00600CE3" w:rsidRPr="008D0CDD" w:rsidRDefault="00600CE3" w:rsidP="008D0CDD">
      <w:pPr>
        <w:pStyle w:val="ListBullet"/>
        <w:rPr>
          <w:i/>
        </w:rPr>
      </w:pPr>
      <w:r w:rsidRPr="008D0CDD">
        <w:rPr>
          <w:i/>
        </w:rPr>
        <w:t>Validity of the methodology for Trial 31-07-247</w:t>
      </w:r>
    </w:p>
    <w:p w14:paraId="2812F6CD" w14:textId="77777777" w:rsidR="00600CE3" w:rsidRPr="008D0CDD" w:rsidRDefault="00600CE3" w:rsidP="008D0CDD">
      <w:pPr>
        <w:pStyle w:val="ListBullet"/>
        <w:rPr>
          <w:i/>
        </w:rPr>
      </w:pPr>
      <w:r w:rsidRPr="008D0CDD">
        <w:rPr>
          <w:i/>
        </w:rPr>
        <w:t>Clinical value of Trial 31-07-247 to the prescriber</w:t>
      </w:r>
    </w:p>
    <w:p w14:paraId="2812F6CE" w14:textId="77777777" w:rsidR="00600CE3" w:rsidRPr="008D0CDD" w:rsidRDefault="00600CE3" w:rsidP="008D0CDD">
      <w:pPr>
        <w:pStyle w:val="ListBullet"/>
        <w:rPr>
          <w:i/>
        </w:rPr>
      </w:pPr>
      <w:r w:rsidRPr="008D0CDD">
        <w:rPr>
          <w:i/>
        </w:rPr>
        <w:t>Update on publication of Trial 31-07-247</w:t>
      </w:r>
    </w:p>
    <w:p w14:paraId="2812F6CF" w14:textId="77777777" w:rsidR="00600CE3" w:rsidRPr="008D0CDD" w:rsidRDefault="00600CE3" w:rsidP="008D0CDD">
      <w:pPr>
        <w:pStyle w:val="ListBullet"/>
        <w:rPr>
          <w:i/>
        </w:rPr>
      </w:pPr>
      <w:r w:rsidRPr="008D0CDD">
        <w:rPr>
          <w:i/>
        </w:rPr>
        <w:t>Regulatory approvals in the EU, Canada, Switzerland and the US</w:t>
      </w:r>
      <w:r w:rsidR="00F73A27" w:rsidRPr="008D0CDD">
        <w:rPr>
          <w:rStyle w:val="FootnoteReference"/>
          <w:i/>
        </w:rPr>
        <w:footnoteReference w:id="27"/>
      </w:r>
    </w:p>
    <w:p w14:paraId="2812F6D0" w14:textId="5EB26480" w:rsidR="00600CE3" w:rsidRPr="00600CE3" w:rsidRDefault="00600CE3" w:rsidP="008D0CDD">
      <w:r w:rsidRPr="00600CE3">
        <w:t xml:space="preserve">The </w:t>
      </w:r>
      <w:r w:rsidR="006F4D05">
        <w:t>sponsor</w:t>
      </w:r>
      <w:r w:rsidRPr="00600CE3">
        <w:t xml:space="preserve"> reiterates that no interim analysis was performed for Trial 31-07-247, although</w:t>
      </w:r>
      <w:r w:rsidR="006F4D05">
        <w:t xml:space="preserve"> </w:t>
      </w:r>
      <w:r w:rsidRPr="00600CE3">
        <w:t xml:space="preserve">this was asserted by the evaluator in the </w:t>
      </w:r>
      <w:r w:rsidRPr="006F4D05">
        <w:rPr>
          <w:rFonts w:cs="TimesNewRoman,Italic"/>
          <w:iCs/>
        </w:rPr>
        <w:t>Clinical Evaluation Report</w:t>
      </w:r>
      <w:r w:rsidRPr="00600CE3">
        <w:t>. This has already been</w:t>
      </w:r>
      <w:r w:rsidR="006F4D05">
        <w:t xml:space="preserve"> </w:t>
      </w:r>
      <w:r w:rsidRPr="00600CE3">
        <w:t xml:space="preserve">stated in our previous response to the </w:t>
      </w:r>
      <w:r w:rsidRPr="006F4D05">
        <w:rPr>
          <w:rFonts w:cs="TimesNewRoman,Italic"/>
          <w:iCs/>
        </w:rPr>
        <w:t>Clinical Evaluation Report</w:t>
      </w:r>
      <w:r w:rsidRPr="00600CE3">
        <w:t>. The changes to the</w:t>
      </w:r>
      <w:r w:rsidR="006F4D05">
        <w:t xml:space="preserve"> </w:t>
      </w:r>
      <w:r w:rsidRPr="00600CE3">
        <w:t>protocol of Trial 31-07-247 were made based on a review of blinded data and after</w:t>
      </w:r>
      <w:r w:rsidR="006F4D05">
        <w:t xml:space="preserve"> </w:t>
      </w:r>
      <w:r w:rsidRPr="00600CE3">
        <w:t xml:space="preserve">consultation with the </w:t>
      </w:r>
      <w:r w:rsidR="006F4D05">
        <w:t xml:space="preserve">European </w:t>
      </w:r>
      <w:r w:rsidR="00601DC3">
        <w:t>M</w:t>
      </w:r>
      <w:r w:rsidR="006F4D05">
        <w:t>edicines Agency (</w:t>
      </w:r>
      <w:r w:rsidRPr="00600CE3">
        <w:t>EMA</w:t>
      </w:r>
      <w:r w:rsidR="006F4D05">
        <w:t>)</w:t>
      </w:r>
      <w:r w:rsidRPr="00600CE3">
        <w:t>. In addition, these changes are in accordance with the ICH</w:t>
      </w:r>
      <w:r w:rsidR="006F4D05">
        <w:t xml:space="preserve"> </w:t>
      </w:r>
      <w:r w:rsidRPr="00600CE3">
        <w:rPr>
          <w:rFonts w:cs="TimesNewRoman,Italic"/>
          <w:i/>
          <w:iCs/>
        </w:rPr>
        <w:t>Statistical Principles for Clinical Trials</w:t>
      </w:r>
      <w:r w:rsidRPr="00600CE3">
        <w:t>.</w:t>
      </w:r>
      <w:bookmarkStart w:id="204" w:name="_Ref398638910"/>
      <w:r w:rsidR="00F73A27">
        <w:rPr>
          <w:rStyle w:val="FootnoteReference"/>
          <w:rFonts w:asciiTheme="minorHAnsi" w:eastAsia="TimesNewRoman" w:hAnsiTheme="minorHAnsi" w:cs="TimesNewRoman"/>
        </w:rPr>
        <w:footnoteReference w:id="28"/>
      </w:r>
      <w:bookmarkEnd w:id="204"/>
      <w:r w:rsidR="00F73A27">
        <w:t xml:space="preserve"> </w:t>
      </w:r>
      <w:r w:rsidRPr="00600CE3">
        <w:t>The EMA acknowledged that the change of the</w:t>
      </w:r>
      <w:r w:rsidR="006F4D05">
        <w:t xml:space="preserve"> </w:t>
      </w:r>
      <w:r w:rsidRPr="00600CE3">
        <w:t>primary endpoint could be made without impacting the type 1 error, since no interim analysis</w:t>
      </w:r>
      <w:r w:rsidR="006F4D05">
        <w:t xml:space="preserve"> </w:t>
      </w:r>
      <w:r w:rsidRPr="00600CE3">
        <w:t>had been planned or performed. The primary objective of the study did not change; rather it</w:t>
      </w:r>
      <w:r w:rsidR="006F4D05">
        <w:t xml:space="preserve"> </w:t>
      </w:r>
      <w:r w:rsidRPr="00600CE3">
        <w:t>was the primary endpoint and corresponding non-inferiority margin that addressed the</w:t>
      </w:r>
      <w:r w:rsidR="006F4D05">
        <w:t xml:space="preserve"> </w:t>
      </w:r>
      <w:r w:rsidRPr="00600CE3">
        <w:t>primary objective that were changed.</w:t>
      </w:r>
    </w:p>
    <w:p w14:paraId="2812F6D1" w14:textId="77777777" w:rsidR="00600CE3" w:rsidRDefault="00600CE3" w:rsidP="008D0CDD">
      <w:r w:rsidRPr="00600CE3">
        <w:t xml:space="preserve">The </w:t>
      </w:r>
      <w:r w:rsidR="006F4D05">
        <w:t>sponsor</w:t>
      </w:r>
      <w:r w:rsidRPr="00600CE3">
        <w:t xml:space="preserve"> holds the firm position that Trial 31-07-247 is a methodologically sound and</w:t>
      </w:r>
      <w:r w:rsidR="006F4D05">
        <w:t xml:space="preserve"> </w:t>
      </w:r>
      <w:r w:rsidRPr="00600CE3">
        <w:t>clinically informative study, which should be considered a valid confirmatory study for the</w:t>
      </w:r>
      <w:r w:rsidR="006F4D05">
        <w:t xml:space="preserve"> </w:t>
      </w:r>
      <w:r w:rsidRPr="00600CE3">
        <w:t xml:space="preserve">safety and efficacy of </w:t>
      </w:r>
      <w:proofErr w:type="spellStart"/>
      <w:r w:rsidRPr="00600CE3">
        <w:t>Abilify</w:t>
      </w:r>
      <w:proofErr w:type="spellEnd"/>
      <w:r w:rsidRPr="00600CE3">
        <w:t xml:space="preserve"> </w:t>
      </w:r>
      <w:proofErr w:type="spellStart"/>
      <w:r w:rsidRPr="00600CE3">
        <w:t>Maintena</w:t>
      </w:r>
      <w:proofErr w:type="spellEnd"/>
      <w:r w:rsidRPr="00600CE3">
        <w:t xml:space="preserve">. Therefore, this trial merits inclusion in the </w:t>
      </w:r>
      <w:r w:rsidRPr="00600CE3">
        <w:rPr>
          <w:rFonts w:cs="TimesNewRoman,Italic"/>
          <w:i/>
          <w:iCs/>
        </w:rPr>
        <w:t>Clinical</w:t>
      </w:r>
      <w:r w:rsidR="006F4D05">
        <w:rPr>
          <w:rFonts w:cs="TimesNewRoman,Italic"/>
          <w:i/>
          <w:iCs/>
        </w:rPr>
        <w:t xml:space="preserve"> </w:t>
      </w:r>
      <w:r w:rsidRPr="00600CE3">
        <w:rPr>
          <w:rFonts w:cs="TimesNewRoman,Italic"/>
          <w:i/>
          <w:iCs/>
        </w:rPr>
        <w:t xml:space="preserve">Trials </w:t>
      </w:r>
      <w:r w:rsidRPr="00600CE3">
        <w:t xml:space="preserve">section of the </w:t>
      </w:r>
      <w:r w:rsidRPr="00600CE3">
        <w:rPr>
          <w:rFonts w:cs="TimesNewRoman,Italic"/>
          <w:i/>
          <w:iCs/>
        </w:rPr>
        <w:t xml:space="preserve">Product Information </w:t>
      </w:r>
      <w:r w:rsidRPr="00600CE3">
        <w:t xml:space="preserve">for </w:t>
      </w:r>
      <w:proofErr w:type="spellStart"/>
      <w:r w:rsidRPr="00600CE3">
        <w:t>Abilify</w:t>
      </w:r>
      <w:proofErr w:type="spellEnd"/>
      <w:r w:rsidRPr="00600CE3">
        <w:t xml:space="preserve"> </w:t>
      </w:r>
      <w:proofErr w:type="spellStart"/>
      <w:r w:rsidRPr="00600CE3">
        <w:t>Maintena</w:t>
      </w:r>
      <w:proofErr w:type="spellEnd"/>
      <w:r w:rsidRPr="00600CE3">
        <w:t>.</w:t>
      </w:r>
    </w:p>
    <w:p w14:paraId="2812F6D2" w14:textId="4DFF269B" w:rsidR="00600CE3" w:rsidRDefault="00600CE3" w:rsidP="008D0CDD">
      <w:pPr>
        <w:pStyle w:val="Heading6"/>
        <w:rPr>
          <w:rFonts w:eastAsiaTheme="minorHAnsi"/>
        </w:rPr>
      </w:pPr>
      <w:r>
        <w:rPr>
          <w:rFonts w:eastAsiaTheme="minorHAnsi"/>
        </w:rPr>
        <w:t xml:space="preserve">Detailed </w:t>
      </w:r>
      <w:r w:rsidR="008D0CDD">
        <w:rPr>
          <w:rFonts w:eastAsiaTheme="minorHAnsi"/>
        </w:rPr>
        <w:t>r</w:t>
      </w:r>
      <w:r>
        <w:rPr>
          <w:rFonts w:eastAsiaTheme="minorHAnsi"/>
        </w:rPr>
        <w:t>esponse</w:t>
      </w:r>
    </w:p>
    <w:p w14:paraId="2812F6D3" w14:textId="77777777" w:rsidR="00600CE3" w:rsidRDefault="00600CE3" w:rsidP="008D0CDD">
      <w:r>
        <w:t xml:space="preserve">The </w:t>
      </w:r>
      <w:r w:rsidR="006F4D05">
        <w:t>sponsor</w:t>
      </w:r>
      <w:r>
        <w:t xml:space="preserve"> would like to highlight that overall the Delegate and the evaluators find the</w:t>
      </w:r>
      <w:r w:rsidR="006F4D05">
        <w:t xml:space="preserve"> </w:t>
      </w:r>
      <w:r>
        <w:t xml:space="preserve">dossier for </w:t>
      </w:r>
      <w:proofErr w:type="spellStart"/>
      <w:r>
        <w:t>Abilify</w:t>
      </w:r>
      <w:proofErr w:type="spellEnd"/>
      <w:r>
        <w:t xml:space="preserve"> </w:t>
      </w:r>
      <w:proofErr w:type="spellStart"/>
      <w:r>
        <w:t>Maintena</w:t>
      </w:r>
      <w:proofErr w:type="spellEnd"/>
      <w:r>
        <w:t xml:space="preserve"> approvable. However, they have expressed concerns with the</w:t>
      </w:r>
      <w:r w:rsidR="006F4D05">
        <w:t xml:space="preserve"> </w:t>
      </w:r>
      <w:r>
        <w:t xml:space="preserve">study methodology for Trial 31-07-247, which effectively excludes it from the </w:t>
      </w:r>
      <w:r w:rsidRPr="006F4D05">
        <w:t>Product</w:t>
      </w:r>
      <w:r w:rsidR="006F4D05">
        <w:t xml:space="preserve"> </w:t>
      </w:r>
      <w:r w:rsidRPr="006F4D05">
        <w:t>Information</w:t>
      </w:r>
      <w:r>
        <w:t xml:space="preserve"> for </w:t>
      </w:r>
      <w:proofErr w:type="spellStart"/>
      <w:r>
        <w:t>Abilify</w:t>
      </w:r>
      <w:proofErr w:type="spellEnd"/>
      <w:r>
        <w:t xml:space="preserve"> </w:t>
      </w:r>
      <w:proofErr w:type="spellStart"/>
      <w:r>
        <w:t>Maintena</w:t>
      </w:r>
      <w:proofErr w:type="spellEnd"/>
      <w:r>
        <w:t xml:space="preserve">. </w:t>
      </w:r>
      <w:r w:rsidR="006F4D05">
        <w:t xml:space="preserve">The sponsor </w:t>
      </w:r>
      <w:r>
        <w:t>would like to address and dispel the</w:t>
      </w:r>
      <w:r w:rsidR="006F4D05">
        <w:t xml:space="preserve"> </w:t>
      </w:r>
      <w:r>
        <w:t>concerns raised regarding the methodology of Trial 31-07-247 in this Pre-ACPM Response.</w:t>
      </w:r>
    </w:p>
    <w:p w14:paraId="2812F6D4" w14:textId="77777777" w:rsidR="00600CE3" w:rsidRDefault="00600CE3" w:rsidP="008D0CDD">
      <w:r>
        <w:t>All analyses were performed according to regulatory guidelines and no interim analysis was</w:t>
      </w:r>
      <w:r w:rsidR="006F4D05">
        <w:t xml:space="preserve"> </w:t>
      </w:r>
      <w:r>
        <w:t>performed, although this was asserted by the clinical evaluator.</w:t>
      </w:r>
    </w:p>
    <w:p w14:paraId="2812F6D5" w14:textId="77777777" w:rsidR="00600CE3" w:rsidRPr="008D0CDD" w:rsidRDefault="00600CE3" w:rsidP="008D0CDD">
      <w:pPr>
        <w:pStyle w:val="ListBullet"/>
        <w:rPr>
          <w:i/>
        </w:rPr>
      </w:pPr>
      <w:r w:rsidRPr="008D0CDD">
        <w:rPr>
          <w:i/>
        </w:rPr>
        <w:t>Validity of the methodology for Trial 31-07-247</w:t>
      </w:r>
    </w:p>
    <w:p w14:paraId="2812F6D6" w14:textId="77777777" w:rsidR="00600CE3" w:rsidRDefault="00600CE3" w:rsidP="008D0CDD">
      <w:r>
        <w:t>Trial 31-07-247 was a 38</w:t>
      </w:r>
      <w:r w:rsidR="006F4D05">
        <w:t xml:space="preserve"> </w:t>
      </w:r>
      <w:r>
        <w:t>week, multi-centr</w:t>
      </w:r>
      <w:r w:rsidR="006F4D05">
        <w:t>e</w:t>
      </w:r>
      <w:r>
        <w:t>, randomised, double-blind, active-controlled</w:t>
      </w:r>
      <w:r w:rsidR="006F4D05">
        <w:t xml:space="preserve"> </w:t>
      </w:r>
      <w:r>
        <w:t>study to evaluate the efficacy, safety, and tolerability of an intramuscular depot</w:t>
      </w:r>
      <w:r w:rsidR="006F4D05">
        <w:t xml:space="preserve"> </w:t>
      </w:r>
      <w:r>
        <w:t>formulation of</w:t>
      </w:r>
      <w:r w:rsidR="006F4D05">
        <w:t xml:space="preserve"> </w:t>
      </w:r>
      <w:proofErr w:type="spellStart"/>
      <w:r>
        <w:t>aripiprazole</w:t>
      </w:r>
      <w:proofErr w:type="spellEnd"/>
      <w:r>
        <w:t xml:space="preserve"> (</w:t>
      </w:r>
      <w:proofErr w:type="spellStart"/>
      <w:r>
        <w:t>Abilify</w:t>
      </w:r>
      <w:proofErr w:type="spellEnd"/>
      <w:r>
        <w:t xml:space="preserve"> </w:t>
      </w:r>
      <w:proofErr w:type="spellStart"/>
      <w:r>
        <w:t>Maintena</w:t>
      </w:r>
      <w:proofErr w:type="spellEnd"/>
      <w:r>
        <w:t>) as maintenance treatment in patients with schizophrenia. The</w:t>
      </w:r>
      <w:r w:rsidR="006F4D05">
        <w:t xml:space="preserve"> </w:t>
      </w:r>
      <w:r>
        <w:t>trial consisted of a screening phase and three treatment phases: a conversion phase, an oral</w:t>
      </w:r>
      <w:r w:rsidR="006F4D05">
        <w:t xml:space="preserve"> </w:t>
      </w:r>
      <w:r>
        <w:t xml:space="preserve">stabilisation phase, and a double-blind, active-controlled phase. </w:t>
      </w:r>
      <w:r>
        <w:lastRenderedPageBreak/>
        <w:t>The primary objective of the</w:t>
      </w:r>
      <w:r w:rsidR="006F4D05">
        <w:t xml:space="preserve"> </w:t>
      </w:r>
      <w:r>
        <w:t xml:space="preserve">trial was to demonstrate non-inferiority of </w:t>
      </w:r>
      <w:proofErr w:type="spellStart"/>
      <w:r>
        <w:t>Abilify</w:t>
      </w:r>
      <w:proofErr w:type="spellEnd"/>
      <w:r>
        <w:t xml:space="preserve"> </w:t>
      </w:r>
      <w:proofErr w:type="spellStart"/>
      <w:r>
        <w:t>Maintena</w:t>
      </w:r>
      <w:proofErr w:type="spellEnd"/>
      <w:r>
        <w:t xml:space="preserve"> 400 mg/300 mg to oral</w:t>
      </w:r>
      <w:r w:rsidR="006F4D05">
        <w:t xml:space="preserve"> </w:t>
      </w:r>
      <w:proofErr w:type="spellStart"/>
      <w:r>
        <w:t>aripiprazole</w:t>
      </w:r>
      <w:proofErr w:type="spellEnd"/>
      <w:r>
        <w:t xml:space="preserve"> tablets 10</w:t>
      </w:r>
      <w:r w:rsidR="006F4D05">
        <w:t xml:space="preserve"> to </w:t>
      </w:r>
      <w:r>
        <w:t xml:space="preserve">30 mg in subjects who had maintained stability on oral </w:t>
      </w:r>
      <w:proofErr w:type="spellStart"/>
      <w:r>
        <w:t>aripiprazole</w:t>
      </w:r>
      <w:proofErr w:type="spellEnd"/>
      <w:r>
        <w:t xml:space="preserve"> for</w:t>
      </w:r>
      <w:r w:rsidR="006F4D05">
        <w:t xml:space="preserve"> </w:t>
      </w:r>
      <w:r>
        <w:t>at least 8 consecutive weeks during the oral stabilisation phase.</w:t>
      </w:r>
    </w:p>
    <w:p w14:paraId="2812F6D7" w14:textId="77777777" w:rsidR="00600CE3" w:rsidRPr="006F4D05" w:rsidRDefault="00600CE3" w:rsidP="008D0CDD">
      <w:pPr>
        <w:rPr>
          <w:i/>
        </w:rPr>
      </w:pPr>
      <w:r>
        <w:t xml:space="preserve">In the </w:t>
      </w:r>
      <w:r w:rsidRPr="006F4D05">
        <w:t>Delegate’s Request for ACPM’s Advice</w:t>
      </w:r>
      <w:r>
        <w:t xml:space="preserve"> concern was expressed regarding the</w:t>
      </w:r>
      <w:r w:rsidR="006F4D05">
        <w:t xml:space="preserve"> </w:t>
      </w:r>
      <w:r>
        <w:t>methodology used for Trial 31-07-247, which is in accordance with the clinical evaluator</w:t>
      </w:r>
      <w:r w:rsidR="006F4D05">
        <w:t>’</w:t>
      </w:r>
      <w:r>
        <w:t>s</w:t>
      </w:r>
      <w:r w:rsidR="006F4D05">
        <w:t xml:space="preserve"> </w:t>
      </w:r>
      <w:r>
        <w:t>conclusion</w:t>
      </w:r>
      <w:r w:rsidRPr="006F4D05">
        <w:rPr>
          <w:i/>
        </w:rPr>
        <w:t>.</w:t>
      </w:r>
    </w:p>
    <w:p w14:paraId="2812F6D8" w14:textId="77777777" w:rsidR="00600CE3" w:rsidRDefault="006F4D05" w:rsidP="008D0CDD">
      <w:r>
        <w:t xml:space="preserve">The sponsor </w:t>
      </w:r>
      <w:r w:rsidR="00600CE3">
        <w:t>disagrees with the Delegate</w:t>
      </w:r>
      <w:r w:rsidR="005F3AB7">
        <w:t>’s</w:t>
      </w:r>
      <w:r w:rsidR="00600CE3">
        <w:t xml:space="preserve"> and clinical evaluator</w:t>
      </w:r>
      <w:r w:rsidR="005F3AB7">
        <w:t>’s</w:t>
      </w:r>
      <w:r w:rsidR="00600CE3">
        <w:t xml:space="preserve"> conclusions regarding</w:t>
      </w:r>
      <w:r w:rsidR="005F3AB7">
        <w:t xml:space="preserve"> </w:t>
      </w:r>
      <w:r w:rsidR="00600CE3">
        <w:t>this trial and has provided arguments below to show that Trial 31-07-247 is</w:t>
      </w:r>
      <w:r w:rsidR="005F3AB7">
        <w:t xml:space="preserve"> </w:t>
      </w:r>
      <w:r w:rsidR="00600CE3">
        <w:t>methodologically</w:t>
      </w:r>
      <w:r w:rsidR="005F3AB7">
        <w:t xml:space="preserve"> </w:t>
      </w:r>
      <w:r w:rsidR="00600CE3">
        <w:t xml:space="preserve">sound and should be regarded as part of the confirmatory evidence for the efficacy of </w:t>
      </w:r>
      <w:proofErr w:type="spellStart"/>
      <w:r w:rsidR="00600CE3">
        <w:t>Abilify</w:t>
      </w:r>
      <w:proofErr w:type="spellEnd"/>
      <w:r w:rsidR="005F3AB7">
        <w:t xml:space="preserve"> </w:t>
      </w:r>
      <w:proofErr w:type="spellStart"/>
      <w:r w:rsidR="00600CE3">
        <w:t>Maintena</w:t>
      </w:r>
      <w:proofErr w:type="spellEnd"/>
      <w:r w:rsidR="00600CE3">
        <w:t xml:space="preserve"> 400 mg and 300 mg.</w:t>
      </w:r>
    </w:p>
    <w:p w14:paraId="2812F6D9" w14:textId="77777777" w:rsidR="00600CE3" w:rsidRDefault="00600CE3" w:rsidP="008D0CDD">
      <w:pPr>
        <w:rPr>
          <w:rFonts w:hAnsiTheme="minorHAnsi"/>
          <w:color w:val="000000"/>
        </w:rPr>
      </w:pPr>
      <w:r>
        <w:t>Trial 31-07-247 was designed with the primary objective of showing non-inferiority of</w:t>
      </w:r>
      <w:r w:rsidR="005F3AB7">
        <w:t xml:space="preserve"> </w:t>
      </w:r>
      <w:proofErr w:type="spellStart"/>
      <w:r>
        <w:t>Abilify</w:t>
      </w:r>
      <w:proofErr w:type="spellEnd"/>
      <w:r>
        <w:t xml:space="preserve"> </w:t>
      </w:r>
      <w:proofErr w:type="spellStart"/>
      <w:r>
        <w:t>Maintena</w:t>
      </w:r>
      <w:proofErr w:type="spellEnd"/>
      <w:r>
        <w:t xml:space="preserve"> (400 mg/300 mg) to oral </w:t>
      </w:r>
      <w:proofErr w:type="spellStart"/>
      <w:r>
        <w:t>aripiprazole</w:t>
      </w:r>
      <w:proofErr w:type="spellEnd"/>
      <w:r>
        <w:t xml:space="preserve"> tablets 10-30 mg based on the</w:t>
      </w:r>
      <w:r w:rsidR="005F3AB7">
        <w:t xml:space="preserve"> </w:t>
      </w:r>
      <w:r>
        <w:t>primary</w:t>
      </w:r>
      <w:r w:rsidR="005F3AB7">
        <w:t xml:space="preserve"> </w:t>
      </w:r>
      <w:r>
        <w:t>endpoint: time to exacerbation of psychotic symptoms/impending relapse. The non</w:t>
      </w:r>
      <w:r w:rsidR="005F3AB7">
        <w:t>-</w:t>
      </w:r>
      <w:r>
        <w:t>inferiority</w:t>
      </w:r>
      <w:r w:rsidR="005F3AB7">
        <w:t xml:space="preserve"> </w:t>
      </w:r>
      <w:r>
        <w:t>margin was stated as a hazard ratio of 1.68. The original protocol explains how</w:t>
      </w:r>
      <w:r w:rsidR="005F3AB7">
        <w:t xml:space="preserve"> </w:t>
      </w:r>
      <w:r>
        <w:t xml:space="preserve">this corresponds to a non-inferiority margin of 15%, with an assumed 30% proportion of </w:t>
      </w:r>
      <w:r>
        <w:rPr>
          <w:rFonts w:hAnsiTheme="minorHAnsi"/>
          <w:color w:val="000000"/>
        </w:rPr>
        <w:t xml:space="preserve">patients on oral </w:t>
      </w:r>
      <w:proofErr w:type="spellStart"/>
      <w:r>
        <w:rPr>
          <w:rFonts w:hAnsiTheme="minorHAnsi"/>
          <w:color w:val="000000"/>
        </w:rPr>
        <w:t>aripiprazole</w:t>
      </w:r>
      <w:proofErr w:type="spellEnd"/>
      <w:r>
        <w:rPr>
          <w:rFonts w:hAnsiTheme="minorHAnsi"/>
          <w:color w:val="000000"/>
        </w:rPr>
        <w:t xml:space="preserve"> experiencing exacerbation of psychotic symptoms/impending</w:t>
      </w:r>
      <w:r w:rsidR="005F3AB7">
        <w:rPr>
          <w:rFonts w:hAnsiTheme="minorHAnsi"/>
          <w:color w:val="000000"/>
        </w:rPr>
        <w:t xml:space="preserve"> </w:t>
      </w:r>
      <w:r>
        <w:rPr>
          <w:rFonts w:hAnsiTheme="minorHAnsi"/>
          <w:color w:val="000000"/>
        </w:rPr>
        <w:t>relapse.</w:t>
      </w:r>
    </w:p>
    <w:p w14:paraId="2812F6DA" w14:textId="11A50DDC" w:rsidR="00600CE3" w:rsidRDefault="00600CE3" w:rsidP="008D0CDD">
      <w:r>
        <w:t>While no interim analysis (with subsequent un</w:t>
      </w:r>
      <w:r w:rsidR="005F3AB7">
        <w:t>-</w:t>
      </w:r>
      <w:r>
        <w:t>blinding of data) was planned or performed for</w:t>
      </w:r>
      <w:r w:rsidR="005F3AB7">
        <w:t xml:space="preserve"> </w:t>
      </w:r>
      <w:r>
        <w:t>this trial, although this was asserted by the clinical evaluator, a blinded data review meeting</w:t>
      </w:r>
      <w:r w:rsidR="005F3AB7">
        <w:t xml:space="preserve"> </w:t>
      </w:r>
      <w:r>
        <w:t xml:space="preserve">was held on 1 October 2010, in alignment with the </w:t>
      </w:r>
      <w:r w:rsidRPr="005F3AB7">
        <w:t>ICH Statistical Principles for Clinical</w:t>
      </w:r>
      <w:r w:rsidR="005F3AB7" w:rsidRPr="005F3AB7">
        <w:t xml:space="preserve"> </w:t>
      </w:r>
      <w:r w:rsidRPr="00F73A27">
        <w:t>Trials.</w:t>
      </w:r>
      <w:bookmarkStart w:id="205" w:name="_Ref398638828"/>
      <w:r w:rsidR="00F73A27" w:rsidRPr="00F73A27">
        <w:rPr>
          <w:vertAlign w:val="superscript"/>
        </w:rPr>
        <w:fldChar w:fldCharType="begin"/>
      </w:r>
      <w:r w:rsidR="00F73A27" w:rsidRPr="00F73A27">
        <w:rPr>
          <w:vertAlign w:val="superscript"/>
        </w:rPr>
        <w:instrText xml:space="preserve"> NOTEREF _Ref398638910 \h </w:instrText>
      </w:r>
      <w:r w:rsidR="00F73A27">
        <w:rPr>
          <w:vertAlign w:val="superscript"/>
        </w:rPr>
        <w:instrText xml:space="preserve"> \* MERGEFORMAT </w:instrText>
      </w:r>
      <w:r w:rsidR="00F73A27" w:rsidRPr="00F73A27">
        <w:rPr>
          <w:vertAlign w:val="superscript"/>
        </w:rPr>
      </w:r>
      <w:r w:rsidR="00F73A27" w:rsidRPr="00F73A27">
        <w:rPr>
          <w:vertAlign w:val="superscript"/>
        </w:rPr>
        <w:fldChar w:fldCharType="separate"/>
      </w:r>
      <w:r w:rsidR="00510CCA">
        <w:rPr>
          <w:vertAlign w:val="superscript"/>
        </w:rPr>
        <w:t>27</w:t>
      </w:r>
      <w:r w:rsidR="00F73A27" w:rsidRPr="00F73A27">
        <w:rPr>
          <w:vertAlign w:val="superscript"/>
        </w:rPr>
        <w:fldChar w:fldCharType="end"/>
      </w:r>
      <w:bookmarkEnd w:id="205"/>
      <w:r w:rsidRPr="00F73A27">
        <w:t xml:space="preserve"> At the</w:t>
      </w:r>
      <w:r>
        <w:t xml:space="preserve"> meeting, it became apparent that the overall impending relapse rate was</w:t>
      </w:r>
      <w:r w:rsidR="005F3AB7">
        <w:t xml:space="preserve"> </w:t>
      </w:r>
      <w:r>
        <w:t>substantially lower than the one projected in the protocol. A total of 117 patients had</w:t>
      </w:r>
      <w:r w:rsidR="005F3AB7">
        <w:t xml:space="preserve"> </w:t>
      </w:r>
      <w:r>
        <w:t>completed the randomised, double-blind, active-controlled phase of the trial; however, only</w:t>
      </w:r>
      <w:r w:rsidR="005F3AB7">
        <w:t xml:space="preserve"> </w:t>
      </w:r>
      <w:r>
        <w:t>36 impending relapses had been observed. According to the trial protocol, 275 impending</w:t>
      </w:r>
      <w:r w:rsidR="005F3AB7">
        <w:t xml:space="preserve"> </w:t>
      </w:r>
      <w:r>
        <w:t>relapses were required for the testing of the primary endpoint. Due to the lower than</w:t>
      </w:r>
      <w:r w:rsidR="005F3AB7">
        <w:t xml:space="preserve"> </w:t>
      </w:r>
      <w:r>
        <w:t>anticipated impending relapse rate, the power of the originally planned analysis was seriously</w:t>
      </w:r>
      <w:r w:rsidR="005F3AB7">
        <w:t xml:space="preserve"> </w:t>
      </w:r>
      <w:r>
        <w:t>deflated as this was driven by the number of events in a time-to-event analysis. Consequently,</w:t>
      </w:r>
      <w:r w:rsidR="005F3AB7">
        <w:t xml:space="preserve"> </w:t>
      </w:r>
      <w:r>
        <w:t>the EMA was consulted via a Scientific Advice. After the consultation, the trial sponsor</w:t>
      </w:r>
      <w:r w:rsidR="005F3AB7">
        <w:t xml:space="preserve"> </w:t>
      </w:r>
      <w:r>
        <w:t>amended the protocol by changing the primary endpoint to the estimated proportion of</w:t>
      </w:r>
      <w:r w:rsidR="005F3AB7">
        <w:t xml:space="preserve"> </w:t>
      </w:r>
      <w:r>
        <w:t>patients experiencing impending relapse.</w:t>
      </w:r>
    </w:p>
    <w:p w14:paraId="2812F6DB" w14:textId="2022C2FA" w:rsidR="00600CE3" w:rsidRDefault="00600CE3" w:rsidP="008D0CDD">
      <w:pPr>
        <w:rPr>
          <w:rFonts w:hAnsiTheme="minorHAnsi"/>
          <w:color w:val="000000"/>
        </w:rPr>
      </w:pPr>
      <w:r w:rsidRPr="00A75EBF">
        <w:t>The EMA acknowledged that the change of the primary endpoint could be made</w:t>
      </w:r>
      <w:r w:rsidR="005F3AB7" w:rsidRPr="00A75EBF">
        <w:t xml:space="preserve"> </w:t>
      </w:r>
      <w:r w:rsidRPr="00A75EBF">
        <w:t>without impacting the type 1 error since no interim analysis had been planned or</w:t>
      </w:r>
      <w:r w:rsidR="005F3AB7" w:rsidRPr="00A75EBF">
        <w:t xml:space="preserve"> </w:t>
      </w:r>
      <w:r w:rsidRPr="00A75EBF">
        <w:t>conducted.</w:t>
      </w:r>
      <w:r w:rsidRPr="005F3AB7">
        <w:t xml:space="preserve"> </w:t>
      </w:r>
      <w:r>
        <w:rPr>
          <w:rFonts w:hAnsiTheme="minorHAnsi"/>
        </w:rPr>
        <w:t xml:space="preserve">The approach taken is in compliance with the ICH </w:t>
      </w:r>
      <w:r w:rsidRPr="005F3AB7">
        <w:t>Statistical Principles for</w:t>
      </w:r>
      <w:r w:rsidR="005F3AB7">
        <w:t xml:space="preserve"> </w:t>
      </w:r>
      <w:r w:rsidRPr="005F3AB7">
        <w:t>Clinical Trials</w:t>
      </w:r>
      <w:r w:rsidR="00F73A27" w:rsidRPr="00F73A27">
        <w:rPr>
          <w:vertAlign w:val="superscript"/>
        </w:rPr>
        <w:fldChar w:fldCharType="begin"/>
      </w:r>
      <w:r w:rsidR="00F73A27" w:rsidRPr="00F73A27">
        <w:rPr>
          <w:vertAlign w:val="superscript"/>
        </w:rPr>
        <w:instrText xml:space="preserve"> NOTEREF _Ref398638910 \h </w:instrText>
      </w:r>
      <w:r w:rsidR="00F73A27">
        <w:rPr>
          <w:vertAlign w:val="superscript"/>
        </w:rPr>
        <w:instrText xml:space="preserve"> \* MERGEFORMAT </w:instrText>
      </w:r>
      <w:r w:rsidR="00F73A27" w:rsidRPr="00F73A27">
        <w:rPr>
          <w:vertAlign w:val="superscript"/>
        </w:rPr>
      </w:r>
      <w:r w:rsidR="00F73A27" w:rsidRPr="00F73A27">
        <w:rPr>
          <w:vertAlign w:val="superscript"/>
        </w:rPr>
        <w:fldChar w:fldCharType="separate"/>
      </w:r>
      <w:r w:rsidR="00510CCA">
        <w:rPr>
          <w:vertAlign w:val="superscript"/>
        </w:rPr>
        <w:t>27</w:t>
      </w:r>
      <w:r w:rsidR="00F73A27" w:rsidRPr="00F73A27">
        <w:rPr>
          <w:vertAlign w:val="superscript"/>
        </w:rPr>
        <w:fldChar w:fldCharType="end"/>
      </w:r>
      <w:r w:rsidR="00F73A27">
        <w:t>,</w:t>
      </w:r>
      <w:r w:rsidRPr="005F3AB7">
        <w:t xml:space="preserve"> </w:t>
      </w:r>
      <w:r>
        <w:rPr>
          <w:rFonts w:hAnsiTheme="minorHAnsi"/>
          <w:color w:val="000000"/>
        </w:rPr>
        <w:t>where it is described how changes to the principal features of an analysis can</w:t>
      </w:r>
      <w:r w:rsidR="005F3AB7">
        <w:rPr>
          <w:rFonts w:hAnsiTheme="minorHAnsi"/>
          <w:color w:val="000000"/>
        </w:rPr>
        <w:t xml:space="preserve"> </w:t>
      </w:r>
      <w:r>
        <w:rPr>
          <w:rFonts w:hAnsiTheme="minorHAnsi"/>
          <w:color w:val="000000"/>
        </w:rPr>
        <w:t>be made prior to un</w:t>
      </w:r>
      <w:r w:rsidR="005F3AB7">
        <w:rPr>
          <w:rFonts w:hAnsiTheme="minorHAnsi"/>
          <w:color w:val="000000"/>
        </w:rPr>
        <w:t>-</w:t>
      </w:r>
      <w:r>
        <w:rPr>
          <w:rFonts w:hAnsiTheme="minorHAnsi"/>
          <w:color w:val="000000"/>
        </w:rPr>
        <w:t>blinding, and the results from such an updated analysis can be regarded as</w:t>
      </w:r>
      <w:r w:rsidR="005F3AB7">
        <w:rPr>
          <w:rFonts w:hAnsiTheme="minorHAnsi"/>
          <w:color w:val="000000"/>
        </w:rPr>
        <w:t xml:space="preserve"> </w:t>
      </w:r>
      <w:r>
        <w:rPr>
          <w:rFonts w:hAnsiTheme="minorHAnsi"/>
          <w:color w:val="000000"/>
        </w:rPr>
        <w:t>confirmatory.</w:t>
      </w:r>
    </w:p>
    <w:p w14:paraId="2812F6DC" w14:textId="6F44DEF5" w:rsidR="00600CE3" w:rsidRDefault="00600CE3" w:rsidP="008D0CDD">
      <w:pPr>
        <w:rPr>
          <w:color w:val="000000"/>
        </w:rPr>
      </w:pPr>
      <w:r>
        <w:t xml:space="preserve">As described in </w:t>
      </w:r>
      <w:r w:rsidR="005F3AB7">
        <w:t>the submission at (sponsor’s</w:t>
      </w:r>
      <w:r w:rsidR="005F3AB7" w:rsidRPr="005F3AB7">
        <w:t>)</w:t>
      </w:r>
      <w:r w:rsidRPr="005F3AB7">
        <w:t xml:space="preserve"> Summary of Clinical Efficacy</w:t>
      </w:r>
      <w:r w:rsidR="005F3AB7" w:rsidRPr="005F3AB7">
        <w:t xml:space="preserve">, </w:t>
      </w:r>
      <w:r w:rsidRPr="005F3AB7">
        <w:t>the</w:t>
      </w:r>
      <w:r>
        <w:t xml:space="preserve"> change</w:t>
      </w:r>
      <w:r w:rsidR="005F3AB7">
        <w:t xml:space="preserve"> </w:t>
      </w:r>
      <w:r>
        <w:t>in the primary endpoint was implemented with Protocol Amendment 3, dated 14 July 2011;</w:t>
      </w:r>
      <w:r w:rsidR="005F3AB7">
        <w:t xml:space="preserve"> </w:t>
      </w:r>
      <w:r>
        <w:t xml:space="preserve">the oral </w:t>
      </w:r>
      <w:proofErr w:type="spellStart"/>
      <w:r>
        <w:t>aripiprazole</w:t>
      </w:r>
      <w:proofErr w:type="spellEnd"/>
      <w:r>
        <w:t xml:space="preserve"> relapse rate was assumed to be 18% and the non-inferiority margin was</w:t>
      </w:r>
      <w:r w:rsidR="005F3AB7">
        <w:t xml:space="preserve"> </w:t>
      </w:r>
      <w:r>
        <w:t>changed to 11.5%. It is acknowledged that this could imply a change in the primary</w:t>
      </w:r>
      <w:r w:rsidR="005F3AB7">
        <w:t xml:space="preserve"> </w:t>
      </w:r>
      <w:r>
        <w:t>objective, as the primary endpoint was mentioned in the primary objective in the protocol,</w:t>
      </w:r>
      <w:r w:rsidR="005F3AB7">
        <w:t xml:space="preserve"> </w:t>
      </w:r>
      <w:r>
        <w:t>however, this was not the case. The clinical objective of showing non-inferiority with respect</w:t>
      </w:r>
      <w:r w:rsidR="005F3AB7">
        <w:t xml:space="preserve"> </w:t>
      </w:r>
      <w:r>
        <w:t xml:space="preserve">to prevention of relapse, </w:t>
      </w:r>
      <w:r w:rsidRPr="005F3AB7">
        <w:t>however, is equally well addressed by the revised primary endpoint,</w:t>
      </w:r>
      <w:r w:rsidR="005F3AB7" w:rsidRPr="005F3AB7">
        <w:t xml:space="preserve"> </w:t>
      </w:r>
      <w:r w:rsidRPr="005F3AB7">
        <w:t xml:space="preserve">namely, the proportion of patients relapsing. </w:t>
      </w:r>
      <w:r w:rsidRPr="00A75EBF">
        <w:t>Thus, the primary objective of the study did</w:t>
      </w:r>
      <w:r w:rsidR="005F3AB7" w:rsidRPr="00A75EBF">
        <w:t xml:space="preserve"> </w:t>
      </w:r>
      <w:r w:rsidRPr="00A75EBF">
        <w:t>not change rather it was the primary endpoint and corresponding non-inferiority</w:t>
      </w:r>
      <w:r w:rsidR="005F3AB7" w:rsidRPr="00A75EBF">
        <w:t xml:space="preserve"> </w:t>
      </w:r>
      <w:r w:rsidRPr="00A75EBF">
        <w:t xml:space="preserve">margin that addressed the primary objective that were changed. </w:t>
      </w:r>
      <w:r w:rsidRPr="005F3AB7">
        <w:t>Furthermore, the</w:t>
      </w:r>
      <w:r w:rsidR="005F3AB7" w:rsidRPr="005F3AB7">
        <w:t xml:space="preserve"> </w:t>
      </w:r>
      <w:r w:rsidRPr="005F3AB7">
        <w:t xml:space="preserve">amended endpoint is in accordance with the EMA </w:t>
      </w:r>
      <w:r w:rsidRPr="005F3AB7">
        <w:rPr>
          <w:i/>
        </w:rPr>
        <w:t>Appendix to the note for guidance on the</w:t>
      </w:r>
      <w:r w:rsidR="005F3AB7" w:rsidRPr="005F3AB7">
        <w:rPr>
          <w:i/>
        </w:rPr>
        <w:t xml:space="preserve"> </w:t>
      </w:r>
      <w:r w:rsidRPr="005F3AB7">
        <w:rPr>
          <w:i/>
        </w:rPr>
        <w:t xml:space="preserve">clinical investigation of medicinal products in the treatment of schizophrenia </w:t>
      </w:r>
      <w:r w:rsidR="005F3AB7" w:rsidRPr="005F3AB7">
        <w:rPr>
          <w:i/>
        </w:rPr>
        <w:t>–</w:t>
      </w:r>
      <w:r w:rsidRPr="005F3AB7">
        <w:rPr>
          <w:i/>
        </w:rPr>
        <w:t xml:space="preserve"> Methodology</w:t>
      </w:r>
      <w:r w:rsidR="005F3AB7" w:rsidRPr="005F3AB7">
        <w:rPr>
          <w:i/>
        </w:rPr>
        <w:t xml:space="preserve"> </w:t>
      </w:r>
      <w:r w:rsidRPr="005F3AB7">
        <w:rPr>
          <w:i/>
        </w:rPr>
        <w:t>of clinical trials concerning the development of depot preparations of approved medicinal</w:t>
      </w:r>
      <w:r w:rsidR="005F3AB7" w:rsidRPr="005F3AB7">
        <w:rPr>
          <w:i/>
        </w:rPr>
        <w:t xml:space="preserve"> </w:t>
      </w:r>
      <w:r w:rsidRPr="005F3AB7">
        <w:rPr>
          <w:i/>
        </w:rPr>
        <w:t xml:space="preserve">product in schizophrenia </w:t>
      </w:r>
      <w:r w:rsidRPr="005F3AB7">
        <w:t xml:space="preserve">(adopted by the TGA), as well </w:t>
      </w:r>
      <w:r w:rsidRPr="005F3AB7">
        <w:lastRenderedPageBreak/>
        <w:t xml:space="preserve">as the current EMA </w:t>
      </w:r>
      <w:r w:rsidRPr="005F3AB7">
        <w:rPr>
          <w:i/>
        </w:rPr>
        <w:t>Guideline on</w:t>
      </w:r>
      <w:r w:rsidR="005F3AB7" w:rsidRPr="005F3AB7">
        <w:rPr>
          <w:i/>
        </w:rPr>
        <w:t xml:space="preserve"> </w:t>
      </w:r>
      <w:r w:rsidRPr="005F3AB7">
        <w:rPr>
          <w:i/>
        </w:rPr>
        <w:t>clinical investigation of medicinal products, including depot preparations in the treatment of</w:t>
      </w:r>
      <w:r w:rsidR="005F3AB7">
        <w:rPr>
          <w:i/>
        </w:rPr>
        <w:t xml:space="preserve"> </w:t>
      </w:r>
      <w:r w:rsidRPr="005F3AB7">
        <w:rPr>
          <w:i/>
        </w:rPr>
        <w:t>schizophrenia</w:t>
      </w:r>
      <w:r w:rsidRPr="005F3AB7">
        <w:t xml:space="preserve"> (proposed for adoption by the </w:t>
      </w:r>
      <w:r w:rsidRPr="00F73A27">
        <w:t>TGA).</w:t>
      </w:r>
      <w:r w:rsidR="00F73A27" w:rsidRPr="00F73A27">
        <w:rPr>
          <w:rStyle w:val="FootnoteReference"/>
        </w:rPr>
        <w:footnoteReference w:id="29"/>
      </w:r>
      <w:r w:rsidR="00F73A27" w:rsidRPr="00F73A27">
        <w:rPr>
          <w:vertAlign w:val="superscript"/>
        </w:rPr>
        <w:t>,</w:t>
      </w:r>
      <w:r w:rsidR="00F73A27" w:rsidRPr="00F73A27">
        <w:rPr>
          <w:rStyle w:val="FootnoteReference"/>
        </w:rPr>
        <w:footnoteReference w:id="30"/>
      </w:r>
      <w:r w:rsidRPr="005F3AB7">
        <w:t xml:space="preserve"> The primary efficacy endpoint in </w:t>
      </w:r>
      <w:r>
        <w:t>the</w:t>
      </w:r>
      <w:r w:rsidR="005F3AB7">
        <w:t xml:space="preserve"> </w:t>
      </w:r>
      <w:r>
        <w:rPr>
          <w:color w:val="000000"/>
        </w:rPr>
        <w:t>original protocol, time to exacerbation of psychotic symptoms/impending relapse, was</w:t>
      </w:r>
      <w:r w:rsidR="005F3AB7">
        <w:rPr>
          <w:color w:val="000000"/>
        </w:rPr>
        <w:t xml:space="preserve"> </w:t>
      </w:r>
      <w:r>
        <w:rPr>
          <w:color w:val="000000"/>
        </w:rPr>
        <w:t>included as a secondary endpoint in the protocol amendment.</w:t>
      </w:r>
      <w:r w:rsidR="005F3AB7">
        <w:rPr>
          <w:color w:val="000000"/>
        </w:rPr>
        <w:t xml:space="preserve"> </w:t>
      </w:r>
      <w:r>
        <w:rPr>
          <w:color w:val="000000"/>
        </w:rPr>
        <w:t>Furthermore, the sample size was revised from n=575 to n=650 patients, taking into account</w:t>
      </w:r>
      <w:r w:rsidR="005F3AB7">
        <w:rPr>
          <w:color w:val="000000"/>
        </w:rPr>
        <w:t xml:space="preserve"> </w:t>
      </w:r>
      <w:r>
        <w:rPr>
          <w:color w:val="000000"/>
        </w:rPr>
        <w:t>recommendations by the EMA that demonstration of assay sensitivity may require an increase</w:t>
      </w:r>
      <w:r w:rsidR="005F3AB7">
        <w:rPr>
          <w:color w:val="000000"/>
        </w:rPr>
        <w:t xml:space="preserve"> </w:t>
      </w:r>
      <w:r>
        <w:rPr>
          <w:color w:val="000000"/>
        </w:rPr>
        <w:t xml:space="preserve">in sample size, as low dose </w:t>
      </w:r>
      <w:proofErr w:type="spellStart"/>
      <w:r>
        <w:rPr>
          <w:color w:val="000000"/>
        </w:rPr>
        <w:t>aripiprazole</w:t>
      </w:r>
      <w:proofErr w:type="spellEnd"/>
      <w:r>
        <w:rPr>
          <w:color w:val="000000"/>
        </w:rPr>
        <w:t xml:space="preserve"> IM depot 50/25 mg (the pseudo-placebo arm) may be</w:t>
      </w:r>
      <w:r w:rsidR="005F3AB7">
        <w:rPr>
          <w:color w:val="000000"/>
        </w:rPr>
        <w:t xml:space="preserve"> </w:t>
      </w:r>
      <w:r>
        <w:rPr>
          <w:color w:val="000000"/>
        </w:rPr>
        <w:t>effective in preventing relapse in at least some part of the patient population.</w:t>
      </w:r>
    </w:p>
    <w:p w14:paraId="2812F6DD" w14:textId="77777777" w:rsidR="00600CE3" w:rsidRDefault="00600CE3" w:rsidP="008D0CDD">
      <w:r>
        <w:t xml:space="preserve">The results of Trial 31-07-247 proved that </w:t>
      </w:r>
      <w:proofErr w:type="spellStart"/>
      <w:r>
        <w:t>Abilify</w:t>
      </w:r>
      <w:proofErr w:type="spellEnd"/>
      <w:r>
        <w:t xml:space="preserve"> </w:t>
      </w:r>
      <w:proofErr w:type="spellStart"/>
      <w:r>
        <w:t>Maintena</w:t>
      </w:r>
      <w:proofErr w:type="spellEnd"/>
      <w:r>
        <w:t xml:space="preserve"> was non-inferior to oral</w:t>
      </w:r>
      <w:r w:rsidR="00DF2574">
        <w:t xml:space="preserve"> </w:t>
      </w:r>
      <w:proofErr w:type="spellStart"/>
      <w:r>
        <w:t>aripiprazole</w:t>
      </w:r>
      <w:proofErr w:type="spellEnd"/>
      <w:r>
        <w:t xml:space="preserve">; the proportion of subjects experiencing impending relapse was 7.12% for </w:t>
      </w:r>
      <w:proofErr w:type="spellStart"/>
      <w:r>
        <w:t>Abilify</w:t>
      </w:r>
      <w:proofErr w:type="spellEnd"/>
      <w:r w:rsidR="00DF2574">
        <w:t xml:space="preserve"> </w:t>
      </w:r>
      <w:proofErr w:type="spellStart"/>
      <w:r>
        <w:t>Maintena</w:t>
      </w:r>
      <w:proofErr w:type="spellEnd"/>
      <w:r>
        <w:t xml:space="preserve"> 400/300 mg, 7.76% for oral </w:t>
      </w:r>
      <w:proofErr w:type="spellStart"/>
      <w:r>
        <w:t>aripiprazole</w:t>
      </w:r>
      <w:proofErr w:type="spellEnd"/>
      <w:r>
        <w:t xml:space="preserve"> 10-30 mg and 21.80% for the </w:t>
      </w:r>
      <w:proofErr w:type="spellStart"/>
      <w:r>
        <w:t>pseudoplacebo</w:t>
      </w:r>
      <w:proofErr w:type="spellEnd"/>
      <w:r>
        <w:t>.</w:t>
      </w:r>
    </w:p>
    <w:p w14:paraId="2812F6DE" w14:textId="77777777" w:rsidR="00600CE3" w:rsidRDefault="00600CE3" w:rsidP="008D0CDD">
      <w:r>
        <w:t xml:space="preserve">The upper 95% CI limit of the difference between the relapse rates for </w:t>
      </w:r>
      <w:proofErr w:type="spellStart"/>
      <w:r>
        <w:t>Abilify</w:t>
      </w:r>
      <w:proofErr w:type="spellEnd"/>
      <w:r w:rsidR="00DF2574">
        <w:t xml:space="preserve"> </w:t>
      </w:r>
      <w:proofErr w:type="spellStart"/>
      <w:r>
        <w:t>Maintena</w:t>
      </w:r>
      <w:proofErr w:type="spellEnd"/>
      <w:r>
        <w:t xml:space="preserve"> 400/300 mg and oral </w:t>
      </w:r>
      <w:proofErr w:type="spellStart"/>
      <w:r>
        <w:t>aripiprazole</w:t>
      </w:r>
      <w:proofErr w:type="spellEnd"/>
      <w:r>
        <w:t xml:space="preserve"> 10-30 mg was 3.99%, which was well below the</w:t>
      </w:r>
      <w:r w:rsidR="00DF2574">
        <w:t xml:space="preserve"> </w:t>
      </w:r>
      <w:r>
        <w:t>pre-defined non-inferiority margin of 11.5%. Internal validity of Trial 31-07-247 was also</w:t>
      </w:r>
      <w:r w:rsidR="00DF2574">
        <w:t xml:space="preserve"> </w:t>
      </w:r>
      <w:r>
        <w:t xml:space="preserve">demonstrated, as the effect of </w:t>
      </w:r>
      <w:proofErr w:type="spellStart"/>
      <w:r>
        <w:t>Abilify</w:t>
      </w:r>
      <w:proofErr w:type="spellEnd"/>
      <w:r>
        <w:t xml:space="preserve"> </w:t>
      </w:r>
      <w:proofErr w:type="spellStart"/>
      <w:r>
        <w:t>Maintena</w:t>
      </w:r>
      <w:proofErr w:type="spellEnd"/>
      <w:r>
        <w:t xml:space="preserve"> 400/300 mg clearly and significantly</w:t>
      </w:r>
      <w:r w:rsidR="00DF2574">
        <w:t xml:space="preserve"> </w:t>
      </w:r>
      <w:r>
        <w:t>outperformed the pseudo-placebo, with an estimated difference in relapse rate of 14.68%</w:t>
      </w:r>
      <w:r w:rsidR="00DF2574">
        <w:t xml:space="preserve"> </w:t>
      </w:r>
      <w:r>
        <w:t>(95% CI: -23.09%; -6.27%, p=0.0006). Furthermore, assay sensitivity of the Trial 31-07-247</w:t>
      </w:r>
      <w:r w:rsidR="00DF2574">
        <w:t xml:space="preserve"> </w:t>
      </w:r>
      <w:r>
        <w:t xml:space="preserve">is evident by the fact that the difference (-14.04%) between the oral </w:t>
      </w:r>
      <w:proofErr w:type="spellStart"/>
      <w:r>
        <w:t>aripiprazole</w:t>
      </w:r>
      <w:proofErr w:type="spellEnd"/>
      <w:r>
        <w:t xml:space="preserve"> 10-30 mg</w:t>
      </w:r>
      <w:r w:rsidR="00DF2574">
        <w:t xml:space="preserve"> </w:t>
      </w:r>
      <w:r>
        <w:t>arm and the pseudo-placebo arm in the proportion of subjects experiencing impending relapse</w:t>
      </w:r>
      <w:r w:rsidR="00DF2574">
        <w:t xml:space="preserve"> </w:t>
      </w:r>
      <w:r>
        <w:t xml:space="preserve">was statistically significantly in favour of oral </w:t>
      </w:r>
      <w:proofErr w:type="spellStart"/>
      <w:r>
        <w:t>aripiprazole</w:t>
      </w:r>
      <w:proofErr w:type="spellEnd"/>
      <w:r>
        <w:t xml:space="preserve"> 10</w:t>
      </w:r>
      <w:r w:rsidR="00DF2574">
        <w:t xml:space="preserve"> to </w:t>
      </w:r>
      <w:r>
        <w:t>30 mg (95% CI: -22.53%; -5.56%, p = 0.001). These results are further supported by the Kaplan-Meier plot for time to</w:t>
      </w:r>
      <w:r w:rsidR="00DF2574">
        <w:t xml:space="preserve"> </w:t>
      </w:r>
      <w:r>
        <w:t xml:space="preserve">impending relapse, where the curves for </w:t>
      </w:r>
      <w:proofErr w:type="spellStart"/>
      <w:r>
        <w:t>Abilify</w:t>
      </w:r>
      <w:proofErr w:type="spellEnd"/>
      <w:r>
        <w:t xml:space="preserve"> </w:t>
      </w:r>
      <w:proofErr w:type="spellStart"/>
      <w:r>
        <w:t>Maintena</w:t>
      </w:r>
      <w:proofErr w:type="spellEnd"/>
      <w:r>
        <w:t xml:space="preserve"> 400/300 mg and oral </w:t>
      </w:r>
      <w:proofErr w:type="spellStart"/>
      <w:r>
        <w:t>aripiprazole</w:t>
      </w:r>
      <w:proofErr w:type="spellEnd"/>
      <w:r w:rsidR="00DF2574">
        <w:t xml:space="preserve"> </w:t>
      </w:r>
      <w:r>
        <w:t>10</w:t>
      </w:r>
      <w:r w:rsidR="00DF2574">
        <w:t xml:space="preserve"> to </w:t>
      </w:r>
      <w:r>
        <w:t>30 mg are practically identical and clearly separated from the curve for the pseudo-placebo</w:t>
      </w:r>
      <w:r w:rsidR="00DF2574">
        <w:t xml:space="preserve"> </w:t>
      </w:r>
      <w:r>
        <w:t xml:space="preserve">(see </w:t>
      </w:r>
      <w:r w:rsidR="00DF2574">
        <w:t>Figure 4</w:t>
      </w:r>
      <w:r>
        <w:t>).</w:t>
      </w:r>
    </w:p>
    <w:p w14:paraId="2812F6DF" w14:textId="77777777" w:rsidR="00600CE3" w:rsidRDefault="00600CE3" w:rsidP="008D0CDD">
      <w:pPr>
        <w:pStyle w:val="FigureTitle"/>
        <w:rPr>
          <w:rFonts w:ascii="TimesNewRoman,Bold" w:eastAsia="TimesNewRoman" w:hAnsi="TimesNewRoman,Bold" w:cs="TimesNewRoman,Bold"/>
          <w:b w:val="0"/>
          <w:bCs/>
          <w:sz w:val="24"/>
          <w:szCs w:val="24"/>
        </w:rPr>
      </w:pPr>
      <w:r>
        <w:lastRenderedPageBreak/>
        <w:t xml:space="preserve">Figure </w:t>
      </w:r>
      <w:r w:rsidR="00DF2574">
        <w:t>4.</w:t>
      </w:r>
      <w:r>
        <w:t xml:space="preserve"> Kaplan-Meier Product Limit Plot of Time to Impending Relapse (</w:t>
      </w:r>
      <w:r w:rsidRPr="00DF2574">
        <w:t>Double</w:t>
      </w:r>
      <w:r w:rsidR="00DF2574">
        <w:t>-</w:t>
      </w:r>
      <w:r w:rsidRPr="00DF2574">
        <w:t>blind,</w:t>
      </w:r>
      <w:r w:rsidR="00DF2574" w:rsidRPr="00DF2574">
        <w:t xml:space="preserve"> </w:t>
      </w:r>
      <w:r w:rsidRPr="00DF2574">
        <w:t>Active-controlled Phase Efficacy Sample)</w:t>
      </w:r>
    </w:p>
    <w:p w14:paraId="2812F6E0" w14:textId="77777777" w:rsidR="00600CE3" w:rsidRDefault="00600CE3" w:rsidP="00600CE3">
      <w:pPr>
        <w:rPr>
          <w:rFonts w:asciiTheme="minorHAnsi" w:hAnsiTheme="minorHAnsi"/>
        </w:rPr>
      </w:pPr>
      <w:r>
        <w:rPr>
          <w:rFonts w:asciiTheme="minorHAnsi" w:hAnsiTheme="minorHAnsi"/>
          <w:noProof/>
          <w:lang w:eastAsia="en-AU"/>
        </w:rPr>
        <w:drawing>
          <wp:inline distT="0" distB="0" distL="0" distR="0" wp14:anchorId="2812F720" wp14:editId="2812F721">
            <wp:extent cx="3122189" cy="3017520"/>
            <wp:effectExtent l="0" t="0" r="0" b="0"/>
            <wp:docPr id="11" name="Picture 11" descr="Figure 4. Kaplan-Meier Product Limit Plot of Time to Impending Relapse (Double-blind, Active-controlled Phase Efficacy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lum bright="-40000" contrast="40000"/>
                      <a:extLst>
                        <a:ext uri="{28A0092B-C50C-407E-A947-70E740481C1C}">
                          <a14:useLocalDpi xmlns:a14="http://schemas.microsoft.com/office/drawing/2010/main" val="0"/>
                        </a:ext>
                      </a:extLst>
                    </a:blip>
                    <a:srcRect/>
                    <a:stretch>
                      <a:fillRect/>
                    </a:stretch>
                  </pic:blipFill>
                  <pic:spPr bwMode="auto">
                    <a:xfrm>
                      <a:off x="0" y="0"/>
                      <a:ext cx="3122126" cy="3017459"/>
                    </a:xfrm>
                    <a:prstGeom prst="rect">
                      <a:avLst/>
                    </a:prstGeom>
                    <a:noFill/>
                    <a:ln>
                      <a:noFill/>
                    </a:ln>
                  </pic:spPr>
                </pic:pic>
              </a:graphicData>
            </a:graphic>
          </wp:inline>
        </w:drawing>
      </w:r>
    </w:p>
    <w:p w14:paraId="2812F6E1" w14:textId="1575ADFA" w:rsidR="00600CE3" w:rsidRPr="008D0CDD" w:rsidRDefault="00600CE3" w:rsidP="008D0CDD">
      <w:pPr>
        <w:pStyle w:val="ListBullet"/>
        <w:rPr>
          <w:i/>
        </w:rPr>
      </w:pPr>
      <w:r w:rsidRPr="008D0CDD">
        <w:rPr>
          <w:i/>
        </w:rPr>
        <w:t xml:space="preserve">Clinical </w:t>
      </w:r>
      <w:r w:rsidR="008D0CDD">
        <w:rPr>
          <w:i/>
        </w:rPr>
        <w:t>v</w:t>
      </w:r>
      <w:r w:rsidRPr="008D0CDD">
        <w:rPr>
          <w:i/>
        </w:rPr>
        <w:t xml:space="preserve">alue of </w:t>
      </w:r>
      <w:r w:rsidR="008D0CDD">
        <w:rPr>
          <w:i/>
        </w:rPr>
        <w:t>t</w:t>
      </w:r>
      <w:r w:rsidRPr="008D0CDD">
        <w:rPr>
          <w:i/>
        </w:rPr>
        <w:t xml:space="preserve">rial 31-07-247 to the </w:t>
      </w:r>
      <w:r w:rsidR="008D0CDD">
        <w:rPr>
          <w:i/>
        </w:rPr>
        <w:t>p</w:t>
      </w:r>
      <w:r w:rsidRPr="008D0CDD">
        <w:rPr>
          <w:i/>
        </w:rPr>
        <w:t>rescriber</w:t>
      </w:r>
    </w:p>
    <w:p w14:paraId="2812F6E2" w14:textId="3FDE5BEA" w:rsidR="00600CE3" w:rsidRDefault="00600CE3" w:rsidP="008D0CDD">
      <w:r>
        <w:t xml:space="preserve">It is </w:t>
      </w:r>
      <w:r w:rsidR="00DF2574">
        <w:t>t</w:t>
      </w:r>
      <w:r w:rsidR="006F4D05">
        <w:t xml:space="preserve">he sponsor’s </w:t>
      </w:r>
      <w:r>
        <w:t>strong opinion that Trial 31-07-247 provides</w:t>
      </w:r>
      <w:r w:rsidR="00DF2574">
        <w:t xml:space="preserve"> i</w:t>
      </w:r>
      <w:r>
        <w:t>mportant efficacy as well as</w:t>
      </w:r>
      <w:r w:rsidR="00DF2574">
        <w:t xml:space="preserve"> </w:t>
      </w:r>
      <w:r>
        <w:t xml:space="preserve">safety information on </w:t>
      </w:r>
      <w:proofErr w:type="spellStart"/>
      <w:r>
        <w:t>Abilify</w:t>
      </w:r>
      <w:proofErr w:type="spellEnd"/>
      <w:r>
        <w:t xml:space="preserve"> </w:t>
      </w:r>
      <w:proofErr w:type="spellStart"/>
      <w:r>
        <w:t>Maintena</w:t>
      </w:r>
      <w:proofErr w:type="spellEnd"/>
      <w:r>
        <w:t xml:space="preserve"> to the prescribing physician. In particular, Trial 31-07-247 provides a direct comparison of </w:t>
      </w:r>
      <w:proofErr w:type="spellStart"/>
      <w:r>
        <w:t>Abilify</w:t>
      </w:r>
      <w:proofErr w:type="spellEnd"/>
      <w:r>
        <w:t xml:space="preserve"> </w:t>
      </w:r>
      <w:proofErr w:type="spellStart"/>
      <w:r>
        <w:t>Maintena</w:t>
      </w:r>
      <w:proofErr w:type="spellEnd"/>
      <w:r>
        <w:t xml:space="preserve"> 400 mg/300 mg to oral </w:t>
      </w:r>
      <w:proofErr w:type="spellStart"/>
      <w:r>
        <w:t>aripiprazole</w:t>
      </w:r>
      <w:proofErr w:type="spellEnd"/>
      <w:r w:rsidR="00DF2574">
        <w:t xml:space="preserve"> </w:t>
      </w:r>
      <w:r>
        <w:t xml:space="preserve">tablets 10 to 30 mg, which enables the prescriber to compare the efficacy and safety profile of </w:t>
      </w:r>
      <w:proofErr w:type="spellStart"/>
      <w:r>
        <w:t>Abilify</w:t>
      </w:r>
      <w:proofErr w:type="spellEnd"/>
      <w:r>
        <w:t xml:space="preserve"> </w:t>
      </w:r>
      <w:proofErr w:type="spellStart"/>
      <w:r>
        <w:t>Maintena</w:t>
      </w:r>
      <w:proofErr w:type="spellEnd"/>
      <w:r>
        <w:t xml:space="preserve"> with a well-established product. The comparable efficacy of </w:t>
      </w:r>
      <w:proofErr w:type="spellStart"/>
      <w:r>
        <w:t>Abilify</w:t>
      </w:r>
      <w:proofErr w:type="spellEnd"/>
      <w:r w:rsidR="00DF2574">
        <w:t xml:space="preserve"> </w:t>
      </w:r>
      <w:proofErr w:type="spellStart"/>
      <w:r>
        <w:t>Maintena</w:t>
      </w:r>
      <w:proofErr w:type="spellEnd"/>
      <w:r>
        <w:t xml:space="preserve"> and oral </w:t>
      </w:r>
      <w:proofErr w:type="spellStart"/>
      <w:r>
        <w:t>aripiprazole</w:t>
      </w:r>
      <w:proofErr w:type="spellEnd"/>
      <w:r>
        <w:t xml:space="preserve"> tablets is summarised in Table </w:t>
      </w:r>
      <w:r w:rsidR="008D0CDD">
        <w:t>9</w:t>
      </w:r>
      <w:r>
        <w:t>, which presents the mean</w:t>
      </w:r>
      <w:r w:rsidR="00DF2574">
        <w:t xml:space="preserve"> </w:t>
      </w:r>
      <w:r>
        <w:t>change from baseline to Week 38 in PANSS total score.</w:t>
      </w:r>
    </w:p>
    <w:p w14:paraId="2812F6E3" w14:textId="4B01D7EB" w:rsidR="00600CE3" w:rsidRPr="00DF2574" w:rsidRDefault="00600CE3" w:rsidP="008D0CDD">
      <w:pPr>
        <w:pStyle w:val="TableTitle"/>
      </w:pPr>
      <w:r>
        <w:t xml:space="preserve">Table </w:t>
      </w:r>
      <w:r w:rsidR="008D0CDD">
        <w:t>9</w:t>
      </w:r>
      <w:r w:rsidR="00DF2574">
        <w:t>.</w:t>
      </w:r>
      <w:r>
        <w:t xml:space="preserve"> PANSS Total Score – Change From Baseline to Week 38 – </w:t>
      </w:r>
      <w:r w:rsidRPr="00DF2574">
        <w:t>LOCF:</w:t>
      </w:r>
      <w:r w:rsidR="00DF2574" w:rsidRPr="00DF2574">
        <w:t xml:space="preserve"> </w:t>
      </w:r>
      <w:r w:rsidRPr="00DF2574">
        <w:t>Randomised Efficacy Sample</w:t>
      </w:r>
      <w:r w:rsidR="00DF2574">
        <w:t xml:space="preserve"> </w:t>
      </w:r>
      <w:proofErr w:type="spellStart"/>
      <w:r w:rsidRPr="00DF2574">
        <w:t>a,b</w:t>
      </w:r>
      <w:proofErr w:type="spellEnd"/>
    </w:p>
    <w:p w14:paraId="2812F6E4" w14:textId="77777777" w:rsidR="00600CE3" w:rsidRDefault="00600CE3" w:rsidP="00600CE3">
      <w:pPr>
        <w:rPr>
          <w:rFonts w:asciiTheme="minorHAnsi" w:hAnsiTheme="minorHAnsi"/>
        </w:rPr>
      </w:pPr>
      <w:r>
        <w:rPr>
          <w:noProof/>
          <w:lang w:eastAsia="en-AU"/>
        </w:rPr>
        <w:drawing>
          <wp:inline distT="0" distB="0" distL="0" distR="0" wp14:anchorId="2812F722" wp14:editId="20C537C0">
            <wp:extent cx="4916659" cy="1867385"/>
            <wp:effectExtent l="0" t="0" r="0" b="0"/>
            <wp:docPr id="12" name="Picture 12" descr="Table 9. PANSS Total Score – Change From Baseline to Week 38 – LOCF: Randomised Efficacy Sampl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14881" cy="1866710"/>
                    </a:xfrm>
                    <a:prstGeom prst="rect">
                      <a:avLst/>
                    </a:prstGeom>
                  </pic:spPr>
                </pic:pic>
              </a:graphicData>
            </a:graphic>
          </wp:inline>
        </w:drawing>
      </w:r>
    </w:p>
    <w:p w14:paraId="2812F6E5" w14:textId="77777777" w:rsidR="00600CE3" w:rsidRDefault="00600CE3" w:rsidP="008D0CDD">
      <w:r>
        <w:t>Furthermore, the design of Trial 31-07-247, in which patients were stabilised on oral</w:t>
      </w:r>
      <w:r w:rsidR="00DF2574">
        <w:t xml:space="preserve"> </w:t>
      </w:r>
      <w:proofErr w:type="spellStart"/>
      <w:r>
        <w:t>aripiprazole</w:t>
      </w:r>
      <w:proofErr w:type="spellEnd"/>
      <w:r>
        <w:t xml:space="preserve"> prior to randomisation to double-blind treatment with </w:t>
      </w:r>
      <w:proofErr w:type="spellStart"/>
      <w:r>
        <w:t>Abilify</w:t>
      </w:r>
      <w:proofErr w:type="spellEnd"/>
      <w:r>
        <w:t xml:space="preserve"> </w:t>
      </w:r>
      <w:proofErr w:type="spellStart"/>
      <w:r>
        <w:t>Maintena</w:t>
      </w:r>
      <w:proofErr w:type="spellEnd"/>
      <w:r>
        <w:t>, reflects</w:t>
      </w:r>
      <w:r w:rsidR="00DF2574">
        <w:t xml:space="preserve"> </w:t>
      </w:r>
      <w:r>
        <w:t xml:space="preserve">the intended use of </w:t>
      </w:r>
      <w:proofErr w:type="spellStart"/>
      <w:r>
        <w:t>Abilify</w:t>
      </w:r>
      <w:proofErr w:type="spellEnd"/>
      <w:r>
        <w:t xml:space="preserve"> </w:t>
      </w:r>
      <w:proofErr w:type="spellStart"/>
      <w:r>
        <w:t>Maintena</w:t>
      </w:r>
      <w:proofErr w:type="spellEnd"/>
      <w:r>
        <w:t xml:space="preserve"> in clinical practice. Thus, this trial provides the</w:t>
      </w:r>
      <w:r w:rsidR="00DF2574">
        <w:t xml:space="preserve"> </w:t>
      </w:r>
      <w:r>
        <w:t>prescribing physician with an important and unbiased (double-blind) assessment of the</w:t>
      </w:r>
      <w:r w:rsidR="00DF2574">
        <w:t xml:space="preserve"> </w:t>
      </w:r>
      <w:r>
        <w:t xml:space="preserve">efficacy of </w:t>
      </w:r>
      <w:proofErr w:type="spellStart"/>
      <w:r>
        <w:t>Abilify</w:t>
      </w:r>
      <w:proofErr w:type="spellEnd"/>
      <w:r>
        <w:t xml:space="preserve"> </w:t>
      </w:r>
      <w:proofErr w:type="spellStart"/>
      <w:r>
        <w:t>Maintena</w:t>
      </w:r>
      <w:proofErr w:type="spellEnd"/>
      <w:r>
        <w:t xml:space="preserve"> when switching from oral </w:t>
      </w:r>
      <w:proofErr w:type="spellStart"/>
      <w:r>
        <w:t>aripiprazole</w:t>
      </w:r>
      <w:proofErr w:type="spellEnd"/>
      <w:r>
        <w:t>.</w:t>
      </w:r>
    </w:p>
    <w:p w14:paraId="2812F6E6" w14:textId="77777777" w:rsidR="00600CE3" w:rsidRDefault="00600CE3" w:rsidP="008D0CDD">
      <w:r>
        <w:t>The primary endpoint in Trial 31-07-247 was the estimated proportion of patients</w:t>
      </w:r>
      <w:r w:rsidR="00DF2574">
        <w:t xml:space="preserve"> </w:t>
      </w:r>
      <w:r>
        <w:t xml:space="preserve">experiencing an impending relapse, comparing </w:t>
      </w:r>
      <w:proofErr w:type="spellStart"/>
      <w:r>
        <w:t>Abilify</w:t>
      </w:r>
      <w:proofErr w:type="spellEnd"/>
      <w:r>
        <w:t xml:space="preserve"> </w:t>
      </w:r>
      <w:proofErr w:type="spellStart"/>
      <w:r>
        <w:t>Maintena</w:t>
      </w:r>
      <w:proofErr w:type="spellEnd"/>
      <w:r>
        <w:t xml:space="preserve"> to oral </w:t>
      </w:r>
      <w:proofErr w:type="spellStart"/>
      <w:r>
        <w:t>aripiprazole</w:t>
      </w:r>
      <w:proofErr w:type="spellEnd"/>
      <w:r>
        <w:t xml:space="preserve"> tablets,</w:t>
      </w:r>
      <w:r w:rsidR="00DF2574">
        <w:t xml:space="preserve"> </w:t>
      </w:r>
      <w:r>
        <w:t>whereas the primary endpoint in Trial 31-07-246 was the time to impending relapse,</w:t>
      </w:r>
      <w:r w:rsidR="00DF2574">
        <w:t xml:space="preserve"> </w:t>
      </w:r>
      <w:r>
        <w:t xml:space="preserve">comparing </w:t>
      </w:r>
      <w:proofErr w:type="spellStart"/>
      <w:r>
        <w:t>Abilify</w:t>
      </w:r>
      <w:proofErr w:type="spellEnd"/>
      <w:r>
        <w:t xml:space="preserve"> </w:t>
      </w:r>
      <w:proofErr w:type="spellStart"/>
      <w:r>
        <w:t>Maintena</w:t>
      </w:r>
      <w:proofErr w:type="spellEnd"/>
      <w:r>
        <w:t xml:space="preserve"> to placebo. While the primary endpoints in the two </w:t>
      </w:r>
      <w:r>
        <w:lastRenderedPageBreak/>
        <w:t>trials are</w:t>
      </w:r>
      <w:r w:rsidR="00DF2574">
        <w:t xml:space="preserve"> </w:t>
      </w:r>
      <w:r>
        <w:t>different, each of them provides clinically meaningful information to the prescriber, and</w:t>
      </w:r>
      <w:r w:rsidR="00DF2574">
        <w:t xml:space="preserve"> </w:t>
      </w:r>
      <w:r>
        <w:t>should be seen as complementary.</w:t>
      </w:r>
    </w:p>
    <w:p w14:paraId="2812F6E7" w14:textId="77777777" w:rsidR="00600CE3" w:rsidRPr="00F73A27" w:rsidRDefault="00600CE3" w:rsidP="00F73A27">
      <w:pPr>
        <w:pStyle w:val="ListBullet"/>
        <w:rPr>
          <w:i/>
        </w:rPr>
      </w:pPr>
      <w:r w:rsidRPr="00F73A27">
        <w:rPr>
          <w:i/>
        </w:rPr>
        <w:t>Update on Publication of Trial 31-07-247</w:t>
      </w:r>
    </w:p>
    <w:p w14:paraId="2812F6E8" w14:textId="77777777" w:rsidR="00600CE3" w:rsidRPr="00DF2574" w:rsidRDefault="00600CE3" w:rsidP="008D0CDD">
      <w:r w:rsidRPr="00DF2574">
        <w:t>A primary manuscript for Trial 31-07-247 describing the efficacy, safety, and tolerability of</w:t>
      </w:r>
      <w:r w:rsidR="00DF2574" w:rsidRPr="00DF2574">
        <w:t xml:space="preserve"> </w:t>
      </w:r>
      <w:proofErr w:type="spellStart"/>
      <w:r w:rsidRPr="00DF2574">
        <w:t>Abilify</w:t>
      </w:r>
      <w:proofErr w:type="spellEnd"/>
      <w:r w:rsidRPr="00DF2574">
        <w:t xml:space="preserve"> </w:t>
      </w:r>
      <w:proofErr w:type="spellStart"/>
      <w:r w:rsidRPr="00DF2574">
        <w:t>Maintena</w:t>
      </w:r>
      <w:proofErr w:type="spellEnd"/>
      <w:r w:rsidRPr="00DF2574">
        <w:t xml:space="preserve"> 400 mg/300 mg (</w:t>
      </w:r>
      <w:proofErr w:type="spellStart"/>
      <w:r w:rsidRPr="00DF2574">
        <w:t>Aripiprazole</w:t>
      </w:r>
      <w:proofErr w:type="spellEnd"/>
      <w:r w:rsidRPr="00DF2574">
        <w:t xml:space="preserve"> once-monthly for treatment of schizophrenia:</w:t>
      </w:r>
      <w:r w:rsidR="00DF2574" w:rsidRPr="00DF2574">
        <w:t xml:space="preserve"> </w:t>
      </w:r>
      <w:r w:rsidRPr="00DF2574">
        <w:t xml:space="preserve">a double-blind, randomized, non-inferiority </w:t>
      </w:r>
      <w:r w:rsidRPr="00F73A27">
        <w:t xml:space="preserve">study by </w:t>
      </w:r>
      <w:proofErr w:type="spellStart"/>
      <w:r w:rsidRPr="00F73A27">
        <w:t>Fleischhacker</w:t>
      </w:r>
      <w:proofErr w:type="spellEnd"/>
      <w:r w:rsidRPr="00F73A27">
        <w:t xml:space="preserve"> et al.)</w:t>
      </w:r>
      <w:r w:rsidRPr="00DF2574">
        <w:t xml:space="preserve"> has been peer</w:t>
      </w:r>
      <w:r w:rsidR="00DF2574" w:rsidRPr="00DF2574">
        <w:t xml:space="preserve"> </w:t>
      </w:r>
      <w:r w:rsidRPr="00DF2574">
        <w:t>reviewed and accepted for publication in the British Journal of Psychiatry on 27 February</w:t>
      </w:r>
      <w:r w:rsidR="00DF2574" w:rsidRPr="00DF2574">
        <w:t xml:space="preserve"> </w:t>
      </w:r>
      <w:r w:rsidRPr="00DF2574">
        <w:t>2014 (the letter of acceptance is available upon request). The manuscript is expected to be</w:t>
      </w:r>
      <w:r w:rsidR="00DF2574" w:rsidRPr="00DF2574">
        <w:t xml:space="preserve"> </w:t>
      </w:r>
      <w:r w:rsidRPr="00DF2574">
        <w:t>available online in June 2014.</w:t>
      </w:r>
    </w:p>
    <w:p w14:paraId="2812F6E9" w14:textId="77777777" w:rsidR="00600CE3" w:rsidRDefault="00600CE3" w:rsidP="008D0CDD">
      <w:pPr>
        <w:pStyle w:val="Heading5"/>
        <w:rPr>
          <w:rFonts w:eastAsia="TimesNewRoman"/>
        </w:rPr>
      </w:pPr>
      <w:r>
        <w:rPr>
          <w:rFonts w:eastAsia="TimesNewRoman"/>
        </w:rPr>
        <w:t>Conclusion</w:t>
      </w:r>
    </w:p>
    <w:p w14:paraId="2812F6EA" w14:textId="48F8915F" w:rsidR="00600CE3" w:rsidRPr="00DF2574" w:rsidRDefault="00600CE3" w:rsidP="008D0CDD">
      <w:pPr>
        <w:pStyle w:val="ListBullet"/>
      </w:pPr>
      <w:r w:rsidRPr="00DF2574">
        <w:t>In the regulatory and medical contexts, normally a specification in the indication of the</w:t>
      </w:r>
      <w:r w:rsidR="00DF2574" w:rsidRPr="00DF2574">
        <w:t xml:space="preserve"> </w:t>
      </w:r>
      <w:r w:rsidRPr="00DF2574">
        <w:t>use of a drug ‘where clinically relevant</w:t>
      </w:r>
      <w:r w:rsidR="00DF2574" w:rsidRPr="00DF2574">
        <w:t xml:space="preserve">’ </w:t>
      </w:r>
      <w:r w:rsidRPr="00DF2574">
        <w:t>is</w:t>
      </w:r>
      <w:r w:rsidR="00DF2574" w:rsidRPr="00DF2574">
        <w:t xml:space="preserve"> </w:t>
      </w:r>
      <w:r w:rsidRPr="00DF2574">
        <w:t xml:space="preserve">linked to a special situation. </w:t>
      </w:r>
      <w:proofErr w:type="spellStart"/>
      <w:r w:rsidRPr="00DF2574">
        <w:t>Abilify</w:t>
      </w:r>
      <w:proofErr w:type="spellEnd"/>
      <w:r w:rsidRPr="00DF2574">
        <w:t xml:space="preserve"> </w:t>
      </w:r>
      <w:proofErr w:type="spellStart"/>
      <w:r w:rsidRPr="00DF2574">
        <w:t>Maintena</w:t>
      </w:r>
      <w:proofErr w:type="spellEnd"/>
      <w:r w:rsidR="00DF2574" w:rsidRPr="00DF2574">
        <w:t xml:space="preserve"> </w:t>
      </w:r>
      <w:r w:rsidRPr="00DF2574">
        <w:t>is proposed to be indicated for maintenance treatment of schizophrenia. There is no</w:t>
      </w:r>
      <w:r w:rsidR="00DF2574">
        <w:t xml:space="preserve"> </w:t>
      </w:r>
      <w:r w:rsidRPr="00DF2574">
        <w:t>additional specific clinical circumstance (</w:t>
      </w:r>
      <w:r w:rsidR="00DF2574" w:rsidRPr="00DF2574">
        <w:t>for example,</w:t>
      </w:r>
      <w:r w:rsidR="00DF2574">
        <w:t xml:space="preserve"> </w:t>
      </w:r>
      <w:r w:rsidRPr="00DF2574">
        <w:t>safety, use in a subset of patients) that</w:t>
      </w:r>
      <w:r w:rsidR="00DF2574" w:rsidRPr="00DF2574">
        <w:t xml:space="preserve"> </w:t>
      </w:r>
      <w:r w:rsidRPr="00DF2574">
        <w:t xml:space="preserve">requires the inclusion of the phrase, </w:t>
      </w:r>
      <w:r w:rsidR="004F5EC1" w:rsidRPr="00DF2574">
        <w:t>‘</w:t>
      </w:r>
      <w:r w:rsidRPr="00DF2574">
        <w:t>where clinically appropriate</w:t>
      </w:r>
      <w:r w:rsidR="004F5EC1" w:rsidRPr="00DF2574">
        <w:t>’</w:t>
      </w:r>
      <w:r w:rsidRPr="00DF2574">
        <w:t>. Therefore, it is the</w:t>
      </w:r>
      <w:r w:rsidR="00DF2574" w:rsidRPr="00DF2574">
        <w:t xml:space="preserve"> sponsor’s</w:t>
      </w:r>
      <w:r w:rsidRPr="00DF2574">
        <w:t xml:space="preserve"> view that this phrase is not required.</w:t>
      </w:r>
    </w:p>
    <w:p w14:paraId="2812F6EB" w14:textId="77777777" w:rsidR="00600CE3" w:rsidRPr="00DF2574" w:rsidRDefault="00DF2574" w:rsidP="008D0CDD">
      <w:pPr>
        <w:pStyle w:val="ListBullet"/>
      </w:pPr>
      <w:r>
        <w:t>T</w:t>
      </w:r>
      <w:r w:rsidR="006F4D05" w:rsidRPr="00DF2574">
        <w:t xml:space="preserve">he sponsor </w:t>
      </w:r>
      <w:r w:rsidR="00600CE3" w:rsidRPr="00DF2574">
        <w:t>has the firm position that Trial 31-07-247 is a methodologically sound and</w:t>
      </w:r>
      <w:r w:rsidRPr="00DF2574">
        <w:t xml:space="preserve"> </w:t>
      </w:r>
      <w:r w:rsidR="00600CE3" w:rsidRPr="00DF2574">
        <w:t>clinically informative study, which should be considered a valid confirmatory study for</w:t>
      </w:r>
      <w:r w:rsidRPr="00DF2574">
        <w:t xml:space="preserve"> </w:t>
      </w:r>
      <w:r w:rsidR="00600CE3" w:rsidRPr="00DF2574">
        <w:t xml:space="preserve">the safety and efficacy of </w:t>
      </w:r>
      <w:proofErr w:type="spellStart"/>
      <w:r w:rsidR="00600CE3" w:rsidRPr="00DF2574">
        <w:t>Abilify</w:t>
      </w:r>
      <w:proofErr w:type="spellEnd"/>
      <w:r w:rsidR="00600CE3" w:rsidRPr="00DF2574">
        <w:t xml:space="preserve"> </w:t>
      </w:r>
      <w:proofErr w:type="spellStart"/>
      <w:r w:rsidR="00600CE3" w:rsidRPr="00DF2574">
        <w:t>Maintena</w:t>
      </w:r>
      <w:proofErr w:type="spellEnd"/>
      <w:r w:rsidR="00600CE3" w:rsidRPr="00DF2574">
        <w:t>.</w:t>
      </w:r>
    </w:p>
    <w:p w14:paraId="2812F6EC" w14:textId="77777777" w:rsidR="00600CE3" w:rsidRPr="00DF2574" w:rsidRDefault="00DF2574" w:rsidP="008D0CDD">
      <w:pPr>
        <w:pStyle w:val="ListBullet"/>
      </w:pPr>
      <w:r>
        <w:t>N</w:t>
      </w:r>
      <w:r w:rsidR="00600CE3" w:rsidRPr="00DF2574">
        <w:t>o interim analysis was performed for Trial 31-07-247 although this was asserted by the</w:t>
      </w:r>
      <w:r w:rsidRPr="00DF2574">
        <w:t xml:space="preserve"> </w:t>
      </w:r>
      <w:r w:rsidR="00600CE3" w:rsidRPr="00DF2574">
        <w:t xml:space="preserve">evaluator in the </w:t>
      </w:r>
      <w:r w:rsidR="00600CE3" w:rsidRPr="00DF2574">
        <w:rPr>
          <w:rFonts w:cs="TimesNewRoman,Italic"/>
          <w:i/>
          <w:iCs/>
        </w:rPr>
        <w:t>Clinical Evaluation Report</w:t>
      </w:r>
      <w:r w:rsidR="00600CE3" w:rsidRPr="00DF2574">
        <w:t>. Prior to any amendment of the protocol, the</w:t>
      </w:r>
      <w:r w:rsidRPr="00DF2574">
        <w:t xml:space="preserve"> </w:t>
      </w:r>
      <w:r w:rsidR="00600CE3" w:rsidRPr="00DF2574">
        <w:t>EMA acknowledged via a Scientific Advice that the change of the primary endpoint could</w:t>
      </w:r>
      <w:r w:rsidRPr="00DF2574">
        <w:t xml:space="preserve"> </w:t>
      </w:r>
      <w:r w:rsidR="00600CE3" w:rsidRPr="00DF2574">
        <w:t>be made without impacting the type 1 error, since no interim analysis had been planned or</w:t>
      </w:r>
      <w:r w:rsidRPr="00DF2574">
        <w:t xml:space="preserve"> </w:t>
      </w:r>
      <w:r w:rsidR="00600CE3" w:rsidRPr="00DF2574">
        <w:t>performed.</w:t>
      </w:r>
    </w:p>
    <w:p w14:paraId="2812F6ED" w14:textId="77777777" w:rsidR="00600CE3" w:rsidRPr="00DF2574" w:rsidRDefault="00600CE3" w:rsidP="008D0CDD">
      <w:pPr>
        <w:pStyle w:val="ListBullet"/>
      </w:pPr>
      <w:r w:rsidRPr="00DF2574">
        <w:t>The primary objective of the study did not change; rather, it was the primary endpoint and</w:t>
      </w:r>
      <w:r w:rsidR="00DF2574" w:rsidRPr="00DF2574">
        <w:t xml:space="preserve"> </w:t>
      </w:r>
      <w:r w:rsidRPr="00DF2574">
        <w:t>corresponding non-inferiority margin that addressed the primary objective that were</w:t>
      </w:r>
      <w:r w:rsidR="00DF2574" w:rsidRPr="00DF2574">
        <w:t xml:space="preserve"> </w:t>
      </w:r>
      <w:r w:rsidRPr="00DF2574">
        <w:t>changed. The amendment to the protocol of Trial 31-07-247 was made based on a review</w:t>
      </w:r>
      <w:r w:rsidR="00DF2574" w:rsidRPr="00DF2574">
        <w:t xml:space="preserve"> </w:t>
      </w:r>
      <w:r w:rsidRPr="00DF2574">
        <w:t xml:space="preserve">of blinded data, which is in accordance with the ICH </w:t>
      </w:r>
      <w:r w:rsidRPr="00DF2574">
        <w:rPr>
          <w:rFonts w:cs="TimesNewRoman,Italic"/>
          <w:i/>
          <w:iCs/>
        </w:rPr>
        <w:t>Statistical Principles for Clinical</w:t>
      </w:r>
      <w:r w:rsidR="00DF2574" w:rsidRPr="00DF2574">
        <w:rPr>
          <w:rFonts w:cs="TimesNewRoman,Italic"/>
          <w:i/>
          <w:iCs/>
        </w:rPr>
        <w:t xml:space="preserve"> </w:t>
      </w:r>
      <w:r w:rsidRPr="00DF2574">
        <w:rPr>
          <w:rFonts w:cs="TimesNewRoman,Italic"/>
          <w:i/>
          <w:iCs/>
        </w:rPr>
        <w:t>Trials</w:t>
      </w:r>
      <w:r w:rsidRPr="00DF2574">
        <w:t>.</w:t>
      </w:r>
    </w:p>
    <w:p w14:paraId="2812F6EE" w14:textId="77777777" w:rsidR="00600CE3" w:rsidRPr="00DF2574" w:rsidRDefault="00600CE3" w:rsidP="008D0CDD">
      <w:pPr>
        <w:pStyle w:val="ListBullet"/>
      </w:pPr>
      <w:r w:rsidRPr="00DF2574">
        <w:t xml:space="preserve">Trial 31-07-247 provides the prescribing physician with a direct comparison of </w:t>
      </w:r>
      <w:proofErr w:type="spellStart"/>
      <w:r w:rsidRPr="00DF2574">
        <w:t>Abilify</w:t>
      </w:r>
      <w:proofErr w:type="spellEnd"/>
      <w:r w:rsidR="00DF2574" w:rsidRPr="00DF2574">
        <w:t xml:space="preserve"> </w:t>
      </w:r>
      <w:proofErr w:type="spellStart"/>
      <w:r w:rsidRPr="00DF2574">
        <w:t>Maintena</w:t>
      </w:r>
      <w:proofErr w:type="spellEnd"/>
      <w:r w:rsidRPr="00DF2574">
        <w:t xml:space="preserve"> to oral </w:t>
      </w:r>
      <w:proofErr w:type="spellStart"/>
      <w:r w:rsidRPr="00DF2574">
        <w:t>aripiprazole</w:t>
      </w:r>
      <w:proofErr w:type="spellEnd"/>
      <w:r w:rsidRPr="00DF2574">
        <w:t xml:space="preserve"> 10</w:t>
      </w:r>
      <w:r w:rsidR="00F73A27">
        <w:t xml:space="preserve"> to </w:t>
      </w:r>
      <w:r w:rsidRPr="00DF2574">
        <w:t>30 mg (a well-established product). Furthermore, the</w:t>
      </w:r>
      <w:r w:rsidR="00DF2574" w:rsidRPr="00DF2574">
        <w:t xml:space="preserve"> </w:t>
      </w:r>
      <w:r w:rsidRPr="00DF2574">
        <w:t xml:space="preserve">design of Trial 31-07-247 reflects the intended use of </w:t>
      </w:r>
      <w:proofErr w:type="spellStart"/>
      <w:r w:rsidRPr="00DF2574">
        <w:t>Abilify</w:t>
      </w:r>
      <w:proofErr w:type="spellEnd"/>
      <w:r w:rsidRPr="00DF2574">
        <w:t xml:space="preserve"> </w:t>
      </w:r>
      <w:proofErr w:type="spellStart"/>
      <w:r w:rsidRPr="00DF2574">
        <w:t>Maintena</w:t>
      </w:r>
      <w:proofErr w:type="spellEnd"/>
      <w:r w:rsidRPr="00DF2574">
        <w:t xml:space="preserve"> in clinical</w:t>
      </w:r>
      <w:r w:rsidR="00DF2574" w:rsidRPr="00DF2574">
        <w:t xml:space="preserve"> </w:t>
      </w:r>
      <w:r w:rsidRPr="00DF2574">
        <w:t>practice, and provides the prescribing physician with an important and unbiased (double</w:t>
      </w:r>
      <w:r w:rsidR="00DF2574" w:rsidRPr="00DF2574">
        <w:t>-</w:t>
      </w:r>
      <w:r w:rsidRPr="00DF2574">
        <w:t>blind)</w:t>
      </w:r>
      <w:r w:rsidR="00DF2574" w:rsidRPr="00DF2574">
        <w:t xml:space="preserve"> </w:t>
      </w:r>
      <w:r w:rsidRPr="00DF2574">
        <w:t xml:space="preserve">assessment of the efficacy of </w:t>
      </w:r>
      <w:proofErr w:type="spellStart"/>
      <w:r w:rsidRPr="00DF2574">
        <w:t>Abilify</w:t>
      </w:r>
      <w:proofErr w:type="spellEnd"/>
      <w:r w:rsidRPr="00DF2574">
        <w:t xml:space="preserve"> </w:t>
      </w:r>
      <w:proofErr w:type="spellStart"/>
      <w:r w:rsidRPr="00DF2574">
        <w:t>Maintena</w:t>
      </w:r>
      <w:proofErr w:type="spellEnd"/>
      <w:r w:rsidRPr="00DF2574">
        <w:t xml:space="preserve"> when switching from oral</w:t>
      </w:r>
      <w:r w:rsidR="00DF2574" w:rsidRPr="00DF2574">
        <w:t xml:space="preserve"> </w:t>
      </w:r>
      <w:proofErr w:type="spellStart"/>
      <w:r w:rsidRPr="00DF2574">
        <w:t>aripiprazole</w:t>
      </w:r>
      <w:proofErr w:type="spellEnd"/>
      <w:r w:rsidRPr="00DF2574">
        <w:t>. This additional information will not be readily available if Trial 31-07-247</w:t>
      </w:r>
      <w:r w:rsidR="00DF2574" w:rsidRPr="00DF2574">
        <w:t xml:space="preserve"> </w:t>
      </w:r>
      <w:r w:rsidRPr="00DF2574">
        <w:t>is excluded from the Product Information.</w:t>
      </w:r>
    </w:p>
    <w:p w14:paraId="2812F6EF" w14:textId="77777777" w:rsidR="00600CE3" w:rsidRPr="00DF2574" w:rsidRDefault="00600CE3" w:rsidP="008D0CDD">
      <w:pPr>
        <w:pStyle w:val="ListBullet"/>
      </w:pPr>
      <w:proofErr w:type="spellStart"/>
      <w:r w:rsidRPr="00DF2574">
        <w:t>Abilify</w:t>
      </w:r>
      <w:proofErr w:type="spellEnd"/>
      <w:r w:rsidRPr="00DF2574">
        <w:t xml:space="preserve"> </w:t>
      </w:r>
      <w:proofErr w:type="spellStart"/>
      <w:r w:rsidRPr="00DF2574">
        <w:t>Maintena</w:t>
      </w:r>
      <w:proofErr w:type="spellEnd"/>
      <w:r w:rsidRPr="00DF2574">
        <w:t xml:space="preserve"> has been approved in the EU, Canada, and Switzerland, where both</w:t>
      </w:r>
      <w:r w:rsidR="00DF2574" w:rsidRPr="00DF2574">
        <w:t xml:space="preserve"> </w:t>
      </w:r>
      <w:r w:rsidRPr="00DF2574">
        <w:t>Trials 31-07-246 and 31-07-247 were included by the regulatory authorities in the</w:t>
      </w:r>
      <w:r w:rsidR="00DF2574" w:rsidRPr="00DF2574">
        <w:t xml:space="preserve"> </w:t>
      </w:r>
      <w:r w:rsidRPr="00DF2574">
        <w:t>approved labels for those markets. US approval was based on Trial 31-07-246 only, as</w:t>
      </w:r>
    </w:p>
    <w:p w14:paraId="2812F6F0" w14:textId="77777777" w:rsidR="00600CE3" w:rsidRPr="00DF2574" w:rsidRDefault="00600CE3" w:rsidP="008D0CDD">
      <w:pPr>
        <w:pStyle w:val="ListBullet"/>
      </w:pPr>
      <w:r w:rsidRPr="00DF2574">
        <w:t>Trial 31-07-247 was ongoing at the time of submission and was not required by the FDA.</w:t>
      </w:r>
    </w:p>
    <w:p w14:paraId="2812F6F1" w14:textId="77777777" w:rsidR="00600CE3" w:rsidRPr="00DF2574" w:rsidRDefault="00DF2574" w:rsidP="008D0CDD">
      <w:pPr>
        <w:pStyle w:val="ListBullet"/>
      </w:pPr>
      <w:r>
        <w:t>W</w:t>
      </w:r>
      <w:r w:rsidR="00600CE3" w:rsidRPr="00DF2574">
        <w:t xml:space="preserve">ith all the above taken into account, </w:t>
      </w:r>
      <w:r w:rsidRPr="00DF2574">
        <w:t>t</w:t>
      </w:r>
      <w:r w:rsidR="006F4D05" w:rsidRPr="00DF2574">
        <w:t xml:space="preserve">he sponsor </w:t>
      </w:r>
      <w:r w:rsidR="00600CE3" w:rsidRPr="00DF2574">
        <w:t>proposes that Trial 31-07-247 be</w:t>
      </w:r>
      <w:r w:rsidRPr="00DF2574">
        <w:t xml:space="preserve"> </w:t>
      </w:r>
      <w:r w:rsidR="00600CE3" w:rsidRPr="00DF2574">
        <w:t>retained as a key confirmatory study for safety and efficacy, which therefore merits its</w:t>
      </w:r>
      <w:r w:rsidRPr="00DF2574">
        <w:t xml:space="preserve"> </w:t>
      </w:r>
      <w:r w:rsidR="00600CE3" w:rsidRPr="00DF2574">
        <w:t xml:space="preserve">inclusion in the </w:t>
      </w:r>
      <w:r w:rsidR="00600CE3" w:rsidRPr="00DF2574">
        <w:rPr>
          <w:rFonts w:cs="TimesNewRoman,Italic"/>
          <w:i/>
          <w:iCs/>
        </w:rPr>
        <w:t xml:space="preserve">Clinical Trials </w:t>
      </w:r>
      <w:r w:rsidR="00600CE3" w:rsidRPr="00DF2574">
        <w:t xml:space="preserve">section of the </w:t>
      </w:r>
      <w:r w:rsidR="00600CE3" w:rsidRPr="00DF2574">
        <w:rPr>
          <w:rFonts w:cs="TimesNewRoman,Italic"/>
          <w:i/>
          <w:iCs/>
        </w:rPr>
        <w:t xml:space="preserve">Product Information </w:t>
      </w:r>
      <w:r w:rsidR="00600CE3" w:rsidRPr="00DF2574">
        <w:t xml:space="preserve">for </w:t>
      </w:r>
      <w:proofErr w:type="spellStart"/>
      <w:r w:rsidR="00600CE3" w:rsidRPr="00DF2574">
        <w:t>Abilify</w:t>
      </w:r>
      <w:proofErr w:type="spellEnd"/>
      <w:r w:rsidR="00600CE3" w:rsidRPr="00DF2574">
        <w:t xml:space="preserve"> </w:t>
      </w:r>
      <w:proofErr w:type="spellStart"/>
      <w:r w:rsidR="00600CE3" w:rsidRPr="00DF2574">
        <w:t>Maintena</w:t>
      </w:r>
      <w:proofErr w:type="spellEnd"/>
      <w:r w:rsidR="00600CE3" w:rsidRPr="00DF2574">
        <w:t>.</w:t>
      </w:r>
    </w:p>
    <w:p w14:paraId="2812F6F2" w14:textId="56CF28C7" w:rsidR="004C67AA" w:rsidRDefault="00731D9F" w:rsidP="008D0CDD">
      <w:pPr>
        <w:pStyle w:val="Heading4"/>
      </w:pPr>
      <w:r>
        <w:lastRenderedPageBreak/>
        <w:t>Advisory c</w:t>
      </w:r>
      <w:r w:rsidR="004C67AA">
        <w:t xml:space="preserve">ommittee </w:t>
      </w:r>
      <w:r>
        <w:t>c</w:t>
      </w:r>
      <w:r w:rsidR="004C67AA">
        <w:t>onsiderations</w:t>
      </w:r>
    </w:p>
    <w:p w14:paraId="2812F6F3" w14:textId="77777777" w:rsidR="004C67AA" w:rsidRDefault="004C67AA" w:rsidP="008D0CDD">
      <w:r w:rsidRPr="00D23139">
        <w:t>The Advisory Committee on Prescription Medicines (ACPM), having considered the evaluations and the Delegate’s overview, as well as the sponsor’s response to these documents, advised the following:</w:t>
      </w:r>
    </w:p>
    <w:p w14:paraId="2812F6F4" w14:textId="77777777" w:rsidR="007E5F50" w:rsidRPr="00661D03" w:rsidRDefault="007E5F50" w:rsidP="008D0CDD">
      <w:r w:rsidRPr="00661D03">
        <w:t>The submission seeks to register a major variation (strength) for a currently registered product.</w:t>
      </w:r>
    </w:p>
    <w:p w14:paraId="2812F6F5" w14:textId="168C07F9" w:rsidR="007E5F50" w:rsidRPr="00657028" w:rsidRDefault="007E5F50" w:rsidP="008D0CDD">
      <w:pPr>
        <w:rPr>
          <w:b/>
        </w:rPr>
      </w:pPr>
      <w:r w:rsidRPr="00657028">
        <w:t xml:space="preserve">The ACPM, taking into account the submitted evidence of efficacy, safety and quality, considered </w:t>
      </w:r>
      <w:proofErr w:type="spellStart"/>
      <w:r w:rsidR="00F73A27" w:rsidRPr="00657028">
        <w:rPr>
          <w:bCs/>
        </w:rPr>
        <w:t>Abilify</w:t>
      </w:r>
      <w:proofErr w:type="spellEnd"/>
      <w:r w:rsidR="00F73A27" w:rsidRPr="00657028">
        <w:rPr>
          <w:bCs/>
        </w:rPr>
        <w:t xml:space="preserve"> </w:t>
      </w:r>
      <w:proofErr w:type="spellStart"/>
      <w:r w:rsidR="00F73A27" w:rsidRPr="00657028">
        <w:rPr>
          <w:bCs/>
        </w:rPr>
        <w:t>Maintena</w:t>
      </w:r>
      <w:proofErr w:type="spellEnd"/>
      <w:r w:rsidR="00F73A27" w:rsidRPr="00657028">
        <w:t xml:space="preserve"> </w:t>
      </w:r>
      <w:r w:rsidRPr="00657028">
        <w:rPr>
          <w:bCs/>
        </w:rPr>
        <w:t xml:space="preserve">injection containing 300 mg or 400 mg of </w:t>
      </w:r>
      <w:proofErr w:type="spellStart"/>
      <w:r w:rsidRPr="00657028">
        <w:rPr>
          <w:bCs/>
        </w:rPr>
        <w:t>aripiprazole</w:t>
      </w:r>
      <w:proofErr w:type="spellEnd"/>
      <w:r w:rsidRPr="00657028">
        <w:rPr>
          <w:b/>
          <w:bCs/>
        </w:rPr>
        <w:t xml:space="preserve"> </w:t>
      </w:r>
      <w:r w:rsidRPr="00657028">
        <w:t>to have an overall positive benefit–risk profile for a variation to the proposed indication</w:t>
      </w:r>
      <w:r w:rsidR="00615930">
        <w:rPr>
          <w:b/>
        </w:rPr>
        <w:t>;</w:t>
      </w:r>
    </w:p>
    <w:p w14:paraId="2812F6F6" w14:textId="77777777" w:rsidR="007E5F50" w:rsidRPr="008D0CDD" w:rsidRDefault="007E5F50" w:rsidP="008D0CDD">
      <w:pPr>
        <w:rPr>
          <w:i/>
        </w:rPr>
      </w:pPr>
      <w:r w:rsidRPr="008D0CDD">
        <w:rPr>
          <w:i/>
        </w:rPr>
        <w:t>For the maintenance of clinical improvement in the treatment of schizophrenia</w:t>
      </w:r>
    </w:p>
    <w:p w14:paraId="2812F6F7" w14:textId="77777777" w:rsidR="007E5F50" w:rsidRPr="00661D03" w:rsidRDefault="007E5F50" w:rsidP="008D0CDD">
      <w:pPr>
        <w:pStyle w:val="Heading5"/>
      </w:pPr>
      <w:r w:rsidRPr="00661D03">
        <w:t>Proposed conditions of registration</w:t>
      </w:r>
    </w:p>
    <w:p w14:paraId="2812F6F8" w14:textId="3391D750" w:rsidR="007E5F50" w:rsidRDefault="007E5F50" w:rsidP="008D0CDD">
      <w:r w:rsidRPr="00661D03">
        <w:t xml:space="preserve">The ACPM agreed with the </w:t>
      </w:r>
      <w:r w:rsidR="00F73A27">
        <w:t>D</w:t>
      </w:r>
      <w:r w:rsidRPr="00661D03">
        <w:t>elegate on the proposed conditions of registration</w:t>
      </w:r>
      <w:r>
        <w:t xml:space="preserve"> </w:t>
      </w:r>
      <w:r w:rsidRPr="002848CC">
        <w:t>and specifically advised on the inclusion of the following</w:t>
      </w:r>
      <w:r>
        <w:t>;</w:t>
      </w:r>
    </w:p>
    <w:p w14:paraId="2812F6F9" w14:textId="31C6642A" w:rsidR="007E5F50" w:rsidRPr="00657028" w:rsidRDefault="007E5F50" w:rsidP="008D0CDD">
      <w:pPr>
        <w:pStyle w:val="ListBullet"/>
        <w:rPr>
          <w:lang w:val="en-GB"/>
        </w:rPr>
      </w:pPr>
      <w:r w:rsidRPr="00657028">
        <w:rPr>
          <w:lang w:val="en-GB"/>
        </w:rPr>
        <w:t>Negotiation of Product Information and Consumer Medicines Information to the satisfaction of the TGA, specifically incl</w:t>
      </w:r>
      <w:r w:rsidR="00BE392A">
        <w:rPr>
          <w:lang w:val="en-GB"/>
        </w:rPr>
        <w:t>uding the indication statement.</w:t>
      </w:r>
    </w:p>
    <w:p w14:paraId="2812F6FA" w14:textId="22FD73B4" w:rsidR="007E5F50" w:rsidRPr="00661D03" w:rsidRDefault="007E5F50" w:rsidP="008D0CDD">
      <w:pPr>
        <w:pStyle w:val="Heading5"/>
      </w:pPr>
      <w:r w:rsidRPr="00661D03">
        <w:t>Proposed Product Information (PI)/Consumer Medicine Information (CMI) amendments:</w:t>
      </w:r>
    </w:p>
    <w:p w14:paraId="2812F6FB" w14:textId="77777777" w:rsidR="007E5F50" w:rsidRPr="00661D03" w:rsidRDefault="007E5F50" w:rsidP="008D0CDD">
      <w:pPr>
        <w:rPr>
          <w:b/>
        </w:rPr>
      </w:pPr>
      <w:r w:rsidRPr="00661D03">
        <w:t>The ACPM agreed with</w:t>
      </w:r>
      <w:r w:rsidR="00F73A27">
        <w:t xml:space="preserve"> the D</w:t>
      </w:r>
      <w:r w:rsidRPr="00661D03">
        <w:t>elegate to the proposed amendments to the Product Information (PI) and Consumer Medicine Information (CMI).</w:t>
      </w:r>
    </w:p>
    <w:p w14:paraId="2812F6FC" w14:textId="78FB87E1" w:rsidR="007E5F50" w:rsidRPr="00661D03" w:rsidRDefault="007E5F50" w:rsidP="008D0CDD">
      <w:pPr>
        <w:pStyle w:val="Heading5"/>
      </w:pPr>
      <w:r w:rsidRPr="00661D03">
        <w:t xml:space="preserve">Specific </w:t>
      </w:r>
      <w:r w:rsidR="008D0CDD">
        <w:t>a</w:t>
      </w:r>
      <w:r w:rsidRPr="00661D03">
        <w:t>dvice</w:t>
      </w:r>
      <w:r w:rsidRPr="00661D03">
        <w:rPr>
          <w:highlight w:val="yellow"/>
        </w:rPr>
        <w:t xml:space="preserve"> </w:t>
      </w:r>
    </w:p>
    <w:p w14:paraId="2812F6FD" w14:textId="77777777" w:rsidR="007E5F50" w:rsidRPr="00661D03" w:rsidRDefault="007E5F50" w:rsidP="008D0CDD">
      <w:pPr>
        <w:rPr>
          <w:b/>
          <w:bCs/>
          <w:iCs/>
          <w:strike/>
          <w:highlight w:val="yellow"/>
          <w:lang w:val="en-GB"/>
        </w:rPr>
      </w:pPr>
      <w:r w:rsidRPr="00661D03">
        <w:rPr>
          <w:lang w:val="en-GB"/>
        </w:rPr>
        <w:t xml:space="preserve">The ACPM advised the following in response to the </w:t>
      </w:r>
      <w:r w:rsidR="00F73A27">
        <w:rPr>
          <w:lang w:val="en-GB"/>
        </w:rPr>
        <w:t>D</w:t>
      </w:r>
      <w:r w:rsidRPr="00661D03">
        <w:rPr>
          <w:lang w:val="en-GB"/>
        </w:rPr>
        <w:t>elegate’s specific questions on this submission:</w:t>
      </w:r>
      <w:r w:rsidRPr="00661D03" w:rsidDel="00FE4B07">
        <w:rPr>
          <w:b/>
          <w:bCs/>
          <w:iCs/>
          <w:strike/>
          <w:highlight w:val="yellow"/>
          <w:lang w:val="en-GB"/>
        </w:rPr>
        <w:t xml:space="preserve"> </w:t>
      </w:r>
    </w:p>
    <w:p w14:paraId="2812F6FE" w14:textId="77777777" w:rsidR="007E5F50" w:rsidRPr="008D0CDD" w:rsidRDefault="007E5F50" w:rsidP="008D0CDD">
      <w:pPr>
        <w:pStyle w:val="ListBullet"/>
        <w:rPr>
          <w:i/>
          <w:lang w:val="en-GB"/>
        </w:rPr>
      </w:pPr>
      <w:r w:rsidRPr="008D0CDD">
        <w:rPr>
          <w:i/>
          <w:lang w:val="en-GB"/>
        </w:rPr>
        <w:t>Overall acceptability or otherwise of the submitted and already evaluated efficacy/safety data package</w:t>
      </w:r>
    </w:p>
    <w:p w14:paraId="2812F6FF" w14:textId="77777777" w:rsidR="007E5F50" w:rsidRPr="00661D03" w:rsidRDefault="007E5F50" w:rsidP="008D0CDD">
      <w:r w:rsidRPr="00661D03">
        <w:t xml:space="preserve">The ACPM agreed with the </w:t>
      </w:r>
      <w:r w:rsidR="00F73A27">
        <w:t>D</w:t>
      </w:r>
      <w:r w:rsidRPr="00661D03">
        <w:t xml:space="preserve">elegate that efficacy has been sufficiently demonstrated despite </w:t>
      </w:r>
      <w:r>
        <w:t xml:space="preserve">significant </w:t>
      </w:r>
      <w:r w:rsidRPr="00661D03">
        <w:t>methodological problems being identified and that the safety profile is manageable. The</w:t>
      </w:r>
      <w:r w:rsidR="00C66B62">
        <w:t xml:space="preserve"> </w:t>
      </w:r>
      <w:r w:rsidRPr="00661D03">
        <w:t xml:space="preserve">ACPM observed that changing the primary efficacy endpoint for a study (Study31-07-247), 3 years after it started, was unusual and noted from the sponsor’s </w:t>
      </w:r>
      <w:r>
        <w:t>p</w:t>
      </w:r>
      <w:r w:rsidRPr="00661D03">
        <w:t>re-ACPM response that Study31-07-247 was neither required nor included in the Clinical Studies section of the US Prescribing Information (approved February2013) as per the sponsor’s Pre-ACPM response.</w:t>
      </w:r>
    </w:p>
    <w:p w14:paraId="2812F700" w14:textId="5A924289" w:rsidR="007E5F50" w:rsidRPr="008D0CDD" w:rsidRDefault="007E5F50" w:rsidP="008D0CDD">
      <w:pPr>
        <w:pStyle w:val="ListBullet"/>
        <w:rPr>
          <w:i/>
          <w:lang w:val="en-GB"/>
        </w:rPr>
      </w:pPr>
      <w:r w:rsidRPr="008D0CDD">
        <w:rPr>
          <w:i/>
          <w:lang w:val="en-GB"/>
        </w:rPr>
        <w:t xml:space="preserve">Acceptability or otherwise of the </w:t>
      </w:r>
      <w:r w:rsidR="00F73A27" w:rsidRPr="008D0CDD">
        <w:rPr>
          <w:i/>
          <w:lang w:val="en-GB"/>
        </w:rPr>
        <w:t>D</w:t>
      </w:r>
      <w:r w:rsidRPr="008D0CDD">
        <w:rPr>
          <w:i/>
          <w:lang w:val="en-GB"/>
        </w:rPr>
        <w:t>elegate’s mo</w:t>
      </w:r>
      <w:r w:rsidR="00FC09A0">
        <w:rPr>
          <w:i/>
          <w:lang w:val="en-GB"/>
        </w:rPr>
        <w:t>dified indication for approval</w:t>
      </w:r>
    </w:p>
    <w:p w14:paraId="2812F701" w14:textId="380F7649" w:rsidR="007E5F50" w:rsidRPr="00661D03" w:rsidRDefault="007E5F50" w:rsidP="00FC09A0">
      <w:r w:rsidRPr="00657028">
        <w:rPr>
          <w:bCs/>
          <w:iCs/>
        </w:rPr>
        <w:t xml:space="preserve">The ACPM advised that a variation </w:t>
      </w:r>
      <w:r>
        <w:rPr>
          <w:bCs/>
          <w:iCs/>
        </w:rPr>
        <w:t>of</w:t>
      </w:r>
      <w:r w:rsidRPr="00657028">
        <w:rPr>
          <w:bCs/>
          <w:iCs/>
        </w:rPr>
        <w:t xml:space="preserve"> the sponsor’s proposed indication </w:t>
      </w:r>
      <w:r>
        <w:rPr>
          <w:bCs/>
          <w:iCs/>
        </w:rPr>
        <w:t>along</w:t>
      </w:r>
      <w:r w:rsidRPr="00657028">
        <w:rPr>
          <w:bCs/>
          <w:iCs/>
        </w:rPr>
        <w:t xml:space="preserve"> the line</w:t>
      </w:r>
      <w:r>
        <w:rPr>
          <w:bCs/>
          <w:iCs/>
        </w:rPr>
        <w:t>s</w:t>
      </w:r>
      <w:r w:rsidRPr="00657028">
        <w:rPr>
          <w:bCs/>
          <w:iCs/>
        </w:rPr>
        <w:t xml:space="preserve"> of</w:t>
      </w:r>
      <w:r w:rsidR="00C66B62">
        <w:rPr>
          <w:bCs/>
          <w:iCs/>
        </w:rPr>
        <w:t xml:space="preserve"> </w:t>
      </w:r>
      <w:r w:rsidRPr="00661D03">
        <w:rPr>
          <w:i/>
        </w:rPr>
        <w:t xml:space="preserve">for the maintenance of clinical improvement in the treatment of schizophrenia </w:t>
      </w:r>
      <w:r w:rsidRPr="00661D03">
        <w:t>was a more accurate statement of</w:t>
      </w:r>
      <w:r w:rsidRPr="00661D03">
        <w:rPr>
          <w:i/>
        </w:rPr>
        <w:t xml:space="preserve"> </w:t>
      </w:r>
      <w:r w:rsidRPr="00661D03">
        <w:t xml:space="preserve">the intended use of </w:t>
      </w:r>
      <w:proofErr w:type="spellStart"/>
      <w:r w:rsidRPr="00661D03">
        <w:t>ar</w:t>
      </w:r>
      <w:r w:rsidR="00601DC3">
        <w:t>i</w:t>
      </w:r>
      <w:r w:rsidRPr="00661D03">
        <w:t>piprazole</w:t>
      </w:r>
      <w:proofErr w:type="spellEnd"/>
      <w:r w:rsidRPr="00661D03">
        <w:t>. In line with the clinical trial, patients should show improvement on oral treatment before switching to the injectable formulation.</w:t>
      </w:r>
    </w:p>
    <w:p w14:paraId="2812F702" w14:textId="6FD4E76F" w:rsidR="007E5F50" w:rsidRPr="00657028" w:rsidRDefault="007E5F50" w:rsidP="00FC09A0">
      <w:r w:rsidRPr="00657028">
        <w:t>The ACPM advised that the implementation by the sponsor of the recommendations outlined above to the satisfaction of the TGA, in addition to the evidence of efficacy and safety provided would support the safe and</w:t>
      </w:r>
      <w:r w:rsidR="00FC09A0">
        <w:t xml:space="preserve"> effective use of this product.</w:t>
      </w:r>
    </w:p>
    <w:p w14:paraId="2812F703" w14:textId="77777777" w:rsidR="004C67AA" w:rsidRPr="002E238E" w:rsidRDefault="004C67AA" w:rsidP="00FC09A0">
      <w:pPr>
        <w:pStyle w:val="Heading3"/>
      </w:pPr>
      <w:bookmarkStart w:id="206" w:name="_Toc247691532"/>
      <w:bookmarkStart w:id="207" w:name="_Toc314842516"/>
      <w:bookmarkStart w:id="208" w:name="_Toc384807777"/>
      <w:bookmarkStart w:id="209" w:name="_Toc408924940"/>
      <w:bookmarkEnd w:id="139"/>
      <w:bookmarkEnd w:id="201"/>
      <w:bookmarkEnd w:id="202"/>
      <w:r>
        <w:t>Outcome</w:t>
      </w:r>
      <w:bookmarkEnd w:id="206"/>
      <w:bookmarkEnd w:id="207"/>
      <w:bookmarkEnd w:id="208"/>
      <w:bookmarkEnd w:id="209"/>
    </w:p>
    <w:p w14:paraId="2812F704" w14:textId="704C8F10" w:rsidR="004C67AA" w:rsidRPr="007E5F50" w:rsidRDefault="004C67AA" w:rsidP="00FC09A0">
      <w:bookmarkStart w:id="210" w:name="_Toc247691533"/>
      <w:bookmarkStart w:id="211" w:name="_Toc314842517"/>
      <w:r w:rsidRPr="007E5F50">
        <w:t xml:space="preserve">Based on a review of quality, safety and efficacy, </w:t>
      </w:r>
      <w:r w:rsidR="00601DC3">
        <w:t xml:space="preserve">the </w:t>
      </w:r>
      <w:r w:rsidRPr="007E5F50">
        <w:t xml:space="preserve">TGA approved the registration </w:t>
      </w:r>
      <w:r w:rsidR="008A7FE1">
        <w:t xml:space="preserve">of </w:t>
      </w:r>
      <w:proofErr w:type="spellStart"/>
      <w:r w:rsidR="007E5F50" w:rsidRPr="007E5F50">
        <w:t>Abilify</w:t>
      </w:r>
      <w:proofErr w:type="spellEnd"/>
      <w:r w:rsidR="007E5F50" w:rsidRPr="007E5F50">
        <w:t xml:space="preserve"> </w:t>
      </w:r>
      <w:proofErr w:type="spellStart"/>
      <w:r w:rsidR="007E5F50" w:rsidRPr="007E5F50">
        <w:t>Maintena</w:t>
      </w:r>
      <w:proofErr w:type="spellEnd"/>
      <w:r w:rsidR="00601DC3">
        <w:t>,</w:t>
      </w:r>
      <w:r w:rsidR="007E5F50" w:rsidRPr="007E5F50">
        <w:t xml:space="preserve">  </w:t>
      </w:r>
      <w:proofErr w:type="spellStart"/>
      <w:r w:rsidR="00601DC3">
        <w:t>ari</w:t>
      </w:r>
      <w:r w:rsidR="007E5F50" w:rsidRPr="007E5F50">
        <w:t>piprazole</w:t>
      </w:r>
      <w:proofErr w:type="spellEnd"/>
      <w:r w:rsidR="007E5F50" w:rsidRPr="007E5F50">
        <w:t xml:space="preserve"> (as monohydrate) 300 </w:t>
      </w:r>
      <w:r w:rsidR="007E5F50">
        <w:t>m</w:t>
      </w:r>
      <w:r w:rsidR="007E5F50" w:rsidRPr="007E5F50">
        <w:t>g powder and solvent for prolonged release suspension for injection vial; and</w:t>
      </w:r>
      <w:r w:rsidR="007E5F50">
        <w:t xml:space="preserve"> </w:t>
      </w:r>
      <w:proofErr w:type="spellStart"/>
      <w:r w:rsidR="007E5F50" w:rsidRPr="007E5F50">
        <w:t>Abilify</w:t>
      </w:r>
      <w:proofErr w:type="spellEnd"/>
      <w:r w:rsidR="007E5F50" w:rsidRPr="007E5F50">
        <w:t xml:space="preserve"> </w:t>
      </w:r>
      <w:proofErr w:type="spellStart"/>
      <w:r w:rsidR="007E5F50" w:rsidRPr="007E5F50">
        <w:t>Maintena</w:t>
      </w:r>
      <w:proofErr w:type="spellEnd"/>
      <w:r w:rsidR="00601DC3">
        <w:t>,</w:t>
      </w:r>
      <w:r w:rsidR="007E5F50" w:rsidRPr="007E5F50">
        <w:t xml:space="preserve"> </w:t>
      </w:r>
      <w:proofErr w:type="spellStart"/>
      <w:r w:rsidR="007E5F50" w:rsidRPr="007E5F50">
        <w:t>a</w:t>
      </w:r>
      <w:r w:rsidR="007E5F50">
        <w:t>r</w:t>
      </w:r>
      <w:r w:rsidR="00601DC3">
        <w:t>i</w:t>
      </w:r>
      <w:r w:rsidR="007E5F50" w:rsidRPr="007E5F50">
        <w:t>piprazole</w:t>
      </w:r>
      <w:proofErr w:type="spellEnd"/>
      <w:r w:rsidR="007E5F50" w:rsidRPr="007E5F50">
        <w:t xml:space="preserve"> </w:t>
      </w:r>
      <w:r w:rsidR="00601DC3">
        <w:t>(</w:t>
      </w:r>
      <w:r w:rsidR="007E5F50" w:rsidRPr="007E5F50">
        <w:t xml:space="preserve">as </w:t>
      </w:r>
      <w:r w:rsidR="007E5F50" w:rsidRPr="007E5F50">
        <w:lastRenderedPageBreak/>
        <w:t xml:space="preserve">monohydrate) 400 </w:t>
      </w:r>
      <w:r w:rsidR="007E5F50">
        <w:t>m</w:t>
      </w:r>
      <w:r w:rsidR="007E5F50" w:rsidRPr="007E5F50">
        <w:t>g powder and solvent for prolonged release suspension for injection vial</w:t>
      </w:r>
      <w:r w:rsidRPr="007E5F50">
        <w:t>:</w:t>
      </w:r>
    </w:p>
    <w:p w14:paraId="2812F705" w14:textId="77777777" w:rsidR="004C67AA" w:rsidRPr="00FC09A0" w:rsidRDefault="007E5F50" w:rsidP="00FC09A0">
      <w:pPr>
        <w:rPr>
          <w:i/>
        </w:rPr>
      </w:pPr>
      <w:r w:rsidRPr="00FC09A0">
        <w:rPr>
          <w:i/>
        </w:rPr>
        <w:t>For maintenance of clinical improvement in the treatment of schizophrenia.</w:t>
      </w:r>
    </w:p>
    <w:p w14:paraId="2812F706" w14:textId="77777777" w:rsidR="004C67AA" w:rsidRPr="00D23139" w:rsidRDefault="004C67AA" w:rsidP="00FC09A0">
      <w:pPr>
        <w:pStyle w:val="Heading4"/>
      </w:pPr>
      <w:r w:rsidRPr="00D23139">
        <w:t>Specific conditions of registration applying to these goods</w:t>
      </w:r>
    </w:p>
    <w:p w14:paraId="2812F707" w14:textId="3405F208" w:rsidR="00F73A27" w:rsidRPr="001730A8" w:rsidRDefault="007E5F50" w:rsidP="001730A8">
      <w:pPr>
        <w:pStyle w:val="Numberbullet0"/>
        <w:numPr>
          <w:ilvl w:val="0"/>
          <w:numId w:val="8"/>
        </w:numPr>
        <w:rPr>
          <w:rFonts w:eastAsiaTheme="minorHAnsi" w:cs="Arial"/>
        </w:rPr>
      </w:pPr>
      <w:bookmarkStart w:id="212" w:name="_Toc384807778"/>
      <w:r w:rsidRPr="007E5F50">
        <w:t xml:space="preserve">The implementation of RMP </w:t>
      </w:r>
      <w:proofErr w:type="spellStart"/>
      <w:r w:rsidRPr="007E5F50">
        <w:t>A</w:t>
      </w:r>
      <w:r>
        <w:t>r</w:t>
      </w:r>
      <w:r w:rsidR="00601DC3">
        <w:t>i</w:t>
      </w:r>
      <w:r w:rsidRPr="007E5F50">
        <w:t>piprazole</w:t>
      </w:r>
      <w:proofErr w:type="spellEnd"/>
      <w:r w:rsidRPr="007E5F50">
        <w:t xml:space="preserve"> EU-RMP version 8.3 dated 19 September</w:t>
      </w:r>
      <w:r>
        <w:t xml:space="preserve"> </w:t>
      </w:r>
      <w:r w:rsidRPr="007E5F50">
        <w:t>2013 (data</w:t>
      </w:r>
      <w:r>
        <w:t xml:space="preserve"> </w:t>
      </w:r>
      <w:r w:rsidRPr="007E5F50">
        <w:t>lock point April</w:t>
      </w:r>
      <w:r>
        <w:t xml:space="preserve"> </w:t>
      </w:r>
      <w:r w:rsidRPr="007E5F50">
        <w:t>2013) included wit</w:t>
      </w:r>
      <w:r>
        <w:t>h submission number 2013-01100-1-1</w:t>
      </w:r>
      <w:r w:rsidR="00F73A27">
        <w:t xml:space="preserve"> </w:t>
      </w:r>
      <w:r w:rsidRPr="001730A8">
        <w:rPr>
          <w:rFonts w:eastAsiaTheme="minorHAnsi" w:cs="Arial"/>
        </w:rPr>
        <w:t>and any subsequent revisions as agreed with the TGA.</w:t>
      </w:r>
    </w:p>
    <w:p w14:paraId="2812F708" w14:textId="77777777" w:rsidR="004C67AA" w:rsidRDefault="004C67AA" w:rsidP="001730A8">
      <w:pPr>
        <w:pStyle w:val="Heading2"/>
      </w:pPr>
      <w:bookmarkStart w:id="213" w:name="_Toc408924941"/>
      <w:r>
        <w:t>Attachment 1.</w:t>
      </w:r>
      <w:r>
        <w:tab/>
        <w:t>Product Information</w:t>
      </w:r>
      <w:bookmarkEnd w:id="210"/>
      <w:bookmarkEnd w:id="211"/>
      <w:bookmarkEnd w:id="212"/>
      <w:bookmarkEnd w:id="213"/>
    </w:p>
    <w:p w14:paraId="2812F709" w14:textId="1834B3B5" w:rsidR="004C67AA" w:rsidRDefault="004C67AA" w:rsidP="004C67AA">
      <w:pPr>
        <w:rPr>
          <w:color w:val="000000"/>
          <w:lang w:eastAsia="en-AU"/>
        </w:rPr>
      </w:pPr>
      <w:r w:rsidRPr="002B3624">
        <w:t xml:space="preserve">The Product Information approved for main </w:t>
      </w:r>
      <w:proofErr w:type="spellStart"/>
      <w:r w:rsidR="007E5F50">
        <w:t>Abilify</w:t>
      </w:r>
      <w:proofErr w:type="spellEnd"/>
      <w:r w:rsidR="007E5F50">
        <w:t xml:space="preserve"> </w:t>
      </w:r>
      <w:proofErr w:type="spellStart"/>
      <w:r w:rsidR="007E5F50">
        <w:t>Maintena</w:t>
      </w:r>
      <w:proofErr w:type="spellEnd"/>
      <w:r w:rsidRPr="002B3624">
        <w:t xml:space="preserve"> at the time this </w:t>
      </w:r>
      <w:proofErr w:type="spellStart"/>
      <w:r w:rsidRPr="002B3624">
        <w:t>AusPAR</w:t>
      </w:r>
      <w:proofErr w:type="spellEnd"/>
      <w:r w:rsidRPr="002B3624">
        <w:t xml:space="preserve"> was published is at Attachment 1. For the most recent Product Information please refer to the TGA website at &lt;</w:t>
      </w:r>
      <w:hyperlink r:id="rId27" w:history="1">
        <w:r w:rsidR="00BE392A" w:rsidRPr="00BE392A">
          <w:rPr>
            <w:rStyle w:val="Hyperlink"/>
          </w:rPr>
          <w:t>http://www.tga.gov.au/product-information-pi</w:t>
        </w:r>
      </w:hyperlink>
      <w:r w:rsidR="00BE392A">
        <w:t>&gt;.</w:t>
      </w:r>
    </w:p>
    <w:p w14:paraId="2812F70A" w14:textId="77777777" w:rsidR="00C80137" w:rsidRPr="001D043B" w:rsidRDefault="004C67AA" w:rsidP="00F73A27">
      <w:pPr>
        <w:pStyle w:val="Heading2"/>
        <w:sectPr w:rsidR="00C80137" w:rsidRPr="001D043B" w:rsidSect="00B452CE">
          <w:headerReference w:type="even" r:id="rId28"/>
          <w:headerReference w:type="default" r:id="rId29"/>
          <w:footerReference w:type="default" r:id="rId30"/>
          <w:headerReference w:type="first" r:id="rId31"/>
          <w:footerReference w:type="first" r:id="rId32"/>
          <w:pgSz w:w="11906" w:h="16838" w:code="9"/>
          <w:pgMar w:top="834" w:right="1701" w:bottom="1191" w:left="1701" w:header="907" w:footer="216" w:gutter="0"/>
          <w:cols w:space="708"/>
          <w:docGrid w:linePitch="360"/>
        </w:sectPr>
      </w:pPr>
      <w:bookmarkStart w:id="214" w:name="_Toc384807779"/>
      <w:bookmarkStart w:id="215" w:name="_Toc408924942"/>
      <w:r>
        <w:rPr>
          <w:lang w:eastAsia="en-AU"/>
        </w:rPr>
        <w:t>Attachment 2. Extract from the Clinical Evaluation Report</w:t>
      </w:r>
      <w:bookmarkEnd w:id="214"/>
      <w:bookmarkEnd w:id="215"/>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812F70C" w14:textId="77777777" w:rsidTr="00525E14">
        <w:trPr>
          <w:trHeight w:hRule="exact" w:val="704"/>
        </w:trPr>
        <w:tc>
          <w:tcPr>
            <w:tcW w:w="9175" w:type="dxa"/>
          </w:tcPr>
          <w:p w14:paraId="2812F70B" w14:textId="77777777" w:rsidR="001C32CD" w:rsidRPr="00487162" w:rsidRDefault="001C32CD" w:rsidP="00525E14">
            <w:pPr>
              <w:pStyle w:val="TGASignoff"/>
            </w:pPr>
            <w:r w:rsidRPr="00487162">
              <w:lastRenderedPageBreak/>
              <w:t>Therapeutic Goods Administration</w:t>
            </w:r>
          </w:p>
        </w:tc>
      </w:tr>
      <w:tr w:rsidR="001C32CD" w:rsidRPr="004C239D" w14:paraId="2812F710" w14:textId="77777777" w:rsidTr="00525E14">
        <w:trPr>
          <w:trHeight w:val="1221"/>
        </w:trPr>
        <w:tc>
          <w:tcPr>
            <w:tcW w:w="9175" w:type="dxa"/>
            <w:tcMar>
              <w:top w:w="28" w:type="dxa"/>
            </w:tcMar>
          </w:tcPr>
          <w:p w14:paraId="2812F70D" w14:textId="77777777" w:rsidR="001C32CD" w:rsidRPr="00487162" w:rsidRDefault="001C32CD" w:rsidP="00525E14">
            <w:pPr>
              <w:pStyle w:val="Address"/>
            </w:pPr>
            <w:r w:rsidRPr="00487162">
              <w:t>PO Box 100 Woden ACT 2606 Australia</w:t>
            </w:r>
          </w:p>
          <w:p w14:paraId="2812F70E" w14:textId="5D4810DE" w:rsidR="001C32CD" w:rsidRPr="00487162" w:rsidRDefault="001C32CD" w:rsidP="00525E14">
            <w:pPr>
              <w:pStyle w:val="Address"/>
            </w:pPr>
            <w:r w:rsidRPr="00487162">
              <w:t xml:space="preserve">Email: </w:t>
            </w:r>
            <w:hyperlink r:id="rId33" w:history="1">
              <w:r w:rsidRPr="004C239D">
                <w:rPr>
                  <w:rStyle w:val="Hyperlink"/>
                </w:rPr>
                <w:t>info@tga.gov.au</w:t>
              </w:r>
            </w:hyperlink>
            <w:r w:rsidR="00C66B62">
              <w:t xml:space="preserve"> </w:t>
            </w:r>
            <w:r w:rsidR="009A5EE7">
              <w:t xml:space="preserve"> </w:t>
            </w:r>
            <w:r w:rsidRPr="00487162">
              <w:t>Phone: 1800 020 653</w:t>
            </w:r>
            <w:r w:rsidR="00C66B62">
              <w:t xml:space="preserve"> </w:t>
            </w:r>
            <w:r w:rsidR="009A5EE7">
              <w:t xml:space="preserve"> </w:t>
            </w:r>
            <w:r w:rsidRPr="00487162">
              <w:t>Fax: 02 6232 8605</w:t>
            </w:r>
          </w:p>
          <w:p w14:paraId="2812F70F" w14:textId="77777777" w:rsidR="001C32CD" w:rsidRPr="004C239D" w:rsidRDefault="00BA5999" w:rsidP="00525E14">
            <w:pPr>
              <w:pStyle w:val="Address"/>
              <w:spacing w:line="260" w:lineRule="atLeast"/>
              <w:rPr>
                <w:b/>
                <w:color w:val="0000FF"/>
                <w:u w:val="single"/>
              </w:rPr>
            </w:pPr>
            <w:hyperlink r:id="rId34" w:history="1">
              <w:r w:rsidR="001C32CD" w:rsidRPr="00607888">
                <w:rPr>
                  <w:rStyle w:val="Hyperlink"/>
                  <w:b/>
                </w:rPr>
                <w:t>http://www.tga.gov.au</w:t>
              </w:r>
            </w:hyperlink>
          </w:p>
        </w:tc>
      </w:tr>
    </w:tbl>
    <w:p w14:paraId="2812F711" w14:textId="77777777" w:rsidR="00774E1D" w:rsidRPr="008A5E0B" w:rsidRDefault="00774E1D" w:rsidP="004C239D"/>
    <w:sectPr w:rsidR="00774E1D" w:rsidRPr="008A5E0B" w:rsidSect="001C32CD">
      <w:headerReference w:type="even" r:id="rId35"/>
      <w:headerReference w:type="default" r:id="rId36"/>
      <w:footerReference w:type="default" r:id="rId37"/>
      <w:headerReference w:type="first" r:id="rId38"/>
      <w:footerReference w:type="first" r:id="rId3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A28E6" w14:textId="77777777" w:rsidR="007D26DB" w:rsidRDefault="007D26DB" w:rsidP="00C40A36">
      <w:pPr>
        <w:spacing w:after="0"/>
      </w:pPr>
      <w:r>
        <w:separator/>
      </w:r>
    </w:p>
  </w:endnote>
  <w:endnote w:type="continuationSeparator" w:id="0">
    <w:p w14:paraId="7BA58F5E" w14:textId="77777777" w:rsidR="007D26DB" w:rsidRDefault="007D26DB" w:rsidP="00C40A36">
      <w:pPr>
        <w:spacing w:after="0"/>
      </w:pPr>
      <w:r>
        <w:continuationSeparator/>
      </w:r>
    </w:p>
  </w:endnote>
  <w:endnote w:type="continuationNotice" w:id="1">
    <w:p w14:paraId="76503B45" w14:textId="77777777" w:rsidR="007D26DB" w:rsidRDefault="007D26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Italic">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7D26DB" w:rsidRPr="00487162" w14:paraId="2812F72C" w14:textId="77777777" w:rsidTr="0053625B">
      <w:trPr>
        <w:trHeight w:val="269"/>
      </w:trPr>
      <w:tc>
        <w:tcPr>
          <w:tcW w:w="7938" w:type="dxa"/>
          <w:tcMar>
            <w:top w:w="142" w:type="dxa"/>
            <w:bottom w:w="0" w:type="dxa"/>
          </w:tcMar>
        </w:tcPr>
        <w:p w14:paraId="2812F729" w14:textId="29D2C643" w:rsidR="007D26DB" w:rsidRDefault="007D26DB" w:rsidP="00D855D4">
          <w:pPr>
            <w:pStyle w:val="Footer"/>
          </w:pPr>
          <w:proofErr w:type="spellStart"/>
          <w:r w:rsidRPr="00487162">
            <w:t>Au</w:t>
          </w:r>
          <w:r w:rsidRPr="003B4D60">
            <w:t>sPAR</w:t>
          </w:r>
          <w:proofErr w:type="spellEnd"/>
          <w:r w:rsidRPr="003B4D60">
            <w:t xml:space="preserve"> </w:t>
          </w:r>
          <w:proofErr w:type="spellStart"/>
          <w:r>
            <w:t>Abilify</w:t>
          </w:r>
          <w:proofErr w:type="spellEnd"/>
          <w:r>
            <w:t xml:space="preserve"> </w:t>
          </w:r>
          <w:proofErr w:type="spellStart"/>
          <w:r>
            <w:t>Maintena</w:t>
          </w:r>
          <w:proofErr w:type="spellEnd"/>
          <w:r>
            <w:t xml:space="preserve"> </w:t>
          </w:r>
          <w:proofErr w:type="spellStart"/>
          <w:r>
            <w:t>Aripiprazole</w:t>
          </w:r>
          <w:proofErr w:type="spellEnd"/>
          <w:r>
            <w:t xml:space="preserve"> </w:t>
          </w:r>
          <w:proofErr w:type="spellStart"/>
          <w:r>
            <w:t>Lundbeck</w:t>
          </w:r>
          <w:proofErr w:type="spellEnd"/>
          <w:r>
            <w:t xml:space="preserve"> Australia Pty Ltd </w:t>
          </w:r>
          <w:r w:rsidRPr="00487162">
            <w:t>PM-20</w:t>
          </w:r>
          <w:r>
            <w:t>13</w:t>
          </w:r>
          <w:r w:rsidRPr="00487162">
            <w:t>-</w:t>
          </w:r>
          <w:r>
            <w:t>01100-1-1</w:t>
          </w:r>
        </w:p>
        <w:p w14:paraId="2812F72A" w14:textId="1954ECEA" w:rsidR="007D26DB" w:rsidRPr="00487162" w:rsidRDefault="007D26DB" w:rsidP="00D855D4">
          <w:pPr>
            <w:pStyle w:val="Footer"/>
          </w:pPr>
          <w:r>
            <w:t>Final 25 November 2014</w:t>
          </w:r>
        </w:p>
      </w:tc>
      <w:tc>
        <w:tcPr>
          <w:tcW w:w="923" w:type="dxa"/>
          <w:tcMar>
            <w:top w:w="142" w:type="dxa"/>
            <w:bottom w:w="0" w:type="dxa"/>
          </w:tcMar>
        </w:tcPr>
        <w:p w14:paraId="2812F72B" w14:textId="77777777" w:rsidR="007D26DB" w:rsidRPr="00487162" w:rsidRDefault="007D26DB" w:rsidP="00D855D4">
          <w:pPr>
            <w:pStyle w:val="Footer"/>
            <w:jc w:val="right"/>
          </w:pPr>
          <w:r w:rsidRPr="00487162">
            <w:t xml:space="preserve">Page </w:t>
          </w:r>
          <w:r>
            <w:t>2</w:t>
          </w:r>
          <w:r w:rsidRPr="00487162">
            <w:t xml:space="preserve"> of </w:t>
          </w:r>
          <w:fldSimple w:instr=" NUMPAGES  \* Arabic ">
            <w:r w:rsidR="00C37F1B">
              <w:rPr>
                <w:noProof/>
              </w:rPr>
              <w:t>52</w:t>
            </w:r>
          </w:fldSimple>
        </w:p>
      </w:tc>
    </w:tr>
  </w:tbl>
  <w:p w14:paraId="2812F72D" w14:textId="77777777" w:rsidR="007D26DB" w:rsidRDefault="007D26DB"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6804"/>
      <w:gridCol w:w="2057"/>
    </w:tblGrid>
    <w:tr w:rsidR="007D26DB" w:rsidRPr="00487162" w14:paraId="2812F734" w14:textId="77777777" w:rsidTr="00B341AE">
      <w:trPr>
        <w:trHeight w:val="269"/>
      </w:trPr>
      <w:tc>
        <w:tcPr>
          <w:tcW w:w="6804" w:type="dxa"/>
          <w:tcMar>
            <w:top w:w="142" w:type="dxa"/>
            <w:bottom w:w="0" w:type="dxa"/>
          </w:tcMar>
        </w:tcPr>
        <w:p w14:paraId="2812F732" w14:textId="5CD86016" w:rsidR="007D26DB" w:rsidRPr="00487162" w:rsidRDefault="007D26DB" w:rsidP="00B341AE">
          <w:pPr>
            <w:pStyle w:val="Footer"/>
          </w:pPr>
          <w:proofErr w:type="spellStart"/>
          <w:r w:rsidRPr="00487162">
            <w:t>Au</w:t>
          </w:r>
          <w:r w:rsidRPr="003B4D60">
            <w:t>sPAR</w:t>
          </w:r>
          <w:proofErr w:type="spellEnd"/>
          <w:r w:rsidRPr="003B4D60">
            <w:t xml:space="preserve"> </w:t>
          </w:r>
          <w:proofErr w:type="spellStart"/>
          <w:r>
            <w:t>Abilify</w:t>
          </w:r>
          <w:proofErr w:type="spellEnd"/>
          <w:r>
            <w:t xml:space="preserve"> </w:t>
          </w:r>
          <w:proofErr w:type="spellStart"/>
          <w:r>
            <w:t>Maintena</w:t>
          </w:r>
          <w:proofErr w:type="spellEnd"/>
          <w:r>
            <w:t xml:space="preserve"> </w:t>
          </w:r>
          <w:proofErr w:type="spellStart"/>
          <w:r>
            <w:t>Aripiprazole</w:t>
          </w:r>
          <w:proofErr w:type="spellEnd"/>
          <w:r>
            <w:t xml:space="preserve"> </w:t>
          </w:r>
          <w:proofErr w:type="spellStart"/>
          <w:r>
            <w:t>Lundbeck</w:t>
          </w:r>
          <w:proofErr w:type="spellEnd"/>
          <w:r>
            <w:t xml:space="preserve"> Australia Pty Ltd</w:t>
          </w:r>
          <w:r w:rsidRPr="00487162">
            <w:t>PM-20</w:t>
          </w:r>
          <w:r>
            <w:t>13</w:t>
          </w:r>
          <w:r w:rsidRPr="00487162">
            <w:t>-</w:t>
          </w:r>
          <w:r>
            <w:t>01100-1-1</w:t>
          </w:r>
          <w:r>
            <w:br/>
            <w:t>Final 25 November 2014</w:t>
          </w:r>
        </w:p>
      </w:tc>
      <w:tc>
        <w:tcPr>
          <w:tcW w:w="2057" w:type="dxa"/>
          <w:tcMar>
            <w:top w:w="142" w:type="dxa"/>
            <w:bottom w:w="0" w:type="dxa"/>
          </w:tcMar>
        </w:tcPr>
        <w:p w14:paraId="2812F733" w14:textId="77777777" w:rsidR="007D26DB" w:rsidRPr="00487162" w:rsidRDefault="007D26DB" w:rsidP="00E45619">
          <w:pPr>
            <w:pStyle w:val="Footer"/>
            <w:jc w:val="right"/>
          </w:pPr>
          <w:r w:rsidRPr="00487162">
            <w:t xml:space="preserve">Page </w:t>
          </w:r>
          <w:r>
            <w:fldChar w:fldCharType="begin"/>
          </w:r>
          <w:r>
            <w:instrText>PAGE</w:instrText>
          </w:r>
          <w:r>
            <w:fldChar w:fldCharType="separate"/>
          </w:r>
          <w:r w:rsidR="00C37F1B">
            <w:rPr>
              <w:noProof/>
            </w:rPr>
            <w:t>51</w:t>
          </w:r>
          <w:r>
            <w:rPr>
              <w:noProof/>
            </w:rPr>
            <w:fldChar w:fldCharType="end"/>
          </w:r>
          <w:r w:rsidRPr="00487162">
            <w:t xml:space="preserve"> of </w:t>
          </w:r>
          <w:fldSimple w:instr=" NUMPAGES  \* Arabic ">
            <w:r w:rsidR="00C37F1B">
              <w:rPr>
                <w:noProof/>
              </w:rPr>
              <w:t>52</w:t>
            </w:r>
          </w:fldSimple>
        </w:p>
      </w:tc>
    </w:tr>
  </w:tbl>
  <w:p w14:paraId="2812F735" w14:textId="33118D93" w:rsidR="007D26DB" w:rsidRDefault="007D26DB" w:rsidP="00BA5999">
    <w:pPr>
      <w:pStyle w:val="Footer"/>
      <w:tabs>
        <w:tab w:val="clear" w:pos="4513"/>
        <w:tab w:val="clear" w:pos="9026"/>
        <w:tab w:val="left" w:pos="327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D26DB" w:rsidRPr="00487162" w14:paraId="2812F73A" w14:textId="77777777" w:rsidTr="00E45619">
      <w:trPr>
        <w:trHeight w:val="269"/>
      </w:trPr>
      <w:tc>
        <w:tcPr>
          <w:tcW w:w="4519" w:type="dxa"/>
          <w:tcBorders>
            <w:top w:val="single" w:sz="4" w:space="0" w:color="auto"/>
          </w:tcBorders>
          <w:tcMar>
            <w:top w:w="142" w:type="dxa"/>
            <w:bottom w:w="0" w:type="dxa"/>
          </w:tcMar>
        </w:tcPr>
        <w:p w14:paraId="2812F737" w14:textId="77777777" w:rsidR="007D26DB" w:rsidRPr="00487162" w:rsidRDefault="007D26DB" w:rsidP="00FE1DEE">
          <w:pPr>
            <w:pStyle w:val="Footer"/>
          </w:pPr>
          <w:r w:rsidRPr="00487162">
            <w:t>Document title, Part #, Section # - Section title</w:t>
          </w:r>
        </w:p>
        <w:p w14:paraId="2812F738" w14:textId="77777777" w:rsidR="007D26DB" w:rsidRPr="00487162" w:rsidRDefault="007D26DB" w:rsidP="00FE1DEE">
          <w:pPr>
            <w:pStyle w:val="Footer"/>
          </w:pPr>
          <w:r w:rsidRPr="00487162">
            <w:t>V1.0 October 2010</w:t>
          </w:r>
        </w:p>
      </w:tc>
      <w:tc>
        <w:tcPr>
          <w:tcW w:w="4342" w:type="dxa"/>
          <w:tcBorders>
            <w:top w:val="single" w:sz="4" w:space="0" w:color="auto"/>
          </w:tcBorders>
          <w:tcMar>
            <w:top w:w="142" w:type="dxa"/>
            <w:bottom w:w="0" w:type="dxa"/>
          </w:tcMar>
        </w:tcPr>
        <w:p w14:paraId="2812F739" w14:textId="284E92BF" w:rsidR="007D26DB" w:rsidRPr="00487162" w:rsidRDefault="007D26D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14:paraId="2812F73B" w14:textId="77777777" w:rsidR="007D26DB" w:rsidRDefault="007D26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E" w14:textId="77777777" w:rsidR="007D26DB" w:rsidRPr="001C32CD" w:rsidRDefault="007D26DB" w:rsidP="001C32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D26DB" w14:paraId="2812F74C" w14:textId="77777777" w:rsidTr="0010601F">
      <w:trPr>
        <w:trHeight w:val="108"/>
      </w:trPr>
      <w:tc>
        <w:tcPr>
          <w:tcW w:w="8875" w:type="dxa"/>
          <w:gridSpan w:val="2"/>
          <w:tcBorders>
            <w:bottom w:val="single" w:sz="4" w:space="0" w:color="auto"/>
          </w:tcBorders>
          <w:tcMar>
            <w:right w:w="284" w:type="dxa"/>
          </w:tcMar>
        </w:tcPr>
        <w:p w14:paraId="2812F741" w14:textId="77777777" w:rsidR="007D26DB" w:rsidRDefault="007D26DB" w:rsidP="006E08B3">
          <w:pPr>
            <w:pStyle w:val="Heading3"/>
          </w:pPr>
          <w:r>
            <w:t>Copyright</w:t>
          </w:r>
        </w:p>
        <w:p w14:paraId="2812F742" w14:textId="77777777" w:rsidR="007D26DB" w:rsidRDefault="007D26DB" w:rsidP="006E08B3">
          <w:r>
            <w:rPr>
              <w:rFonts w:cs="Arial"/>
            </w:rPr>
            <w:t>©</w:t>
          </w:r>
          <w:r>
            <w:t xml:space="preserve"> Commonwealth of Australia [add year]</w:t>
          </w:r>
        </w:p>
        <w:p w14:paraId="2812F743" w14:textId="77777777" w:rsidR="007D26DB" w:rsidRDefault="007D26DB" w:rsidP="006E08B3"/>
        <w:p w14:paraId="2812F744" w14:textId="77777777" w:rsidR="007D26DB" w:rsidRDefault="007D26D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812F745" w14:textId="77777777" w:rsidR="007D26DB" w:rsidRDefault="007D26DB" w:rsidP="006E08B3"/>
        <w:p w14:paraId="2812F746" w14:textId="77777777" w:rsidR="007D26DB" w:rsidRDefault="007D26DB" w:rsidP="006E08B3">
          <w:pPr>
            <w:pStyle w:val="Heading3"/>
          </w:pPr>
          <w:r>
            <w:t>Confidentiality</w:t>
          </w:r>
        </w:p>
        <w:p w14:paraId="277B13B4" w14:textId="77777777" w:rsidR="007D26DB" w:rsidRDefault="007D26DB" w:rsidP="006E08B3">
          <w:r>
            <w:t xml:space="preserve">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w:t>
          </w:r>
          <w:proofErr w:type="spellStart"/>
          <w:r>
            <w:t>su</w:t>
          </w:r>
          <w:proofErr w:type="spellEnd"/>
        </w:p>
        <w:p w14:paraId="13FAB057" w14:textId="77777777" w:rsidR="007D26DB" w:rsidRDefault="007D26DB" w:rsidP="006E08B3"/>
        <w:p w14:paraId="2812F747" w14:textId="37AFB73C" w:rsidR="007D26DB" w:rsidRDefault="007D26DB" w:rsidP="006E08B3">
          <w:proofErr w:type="spellStart"/>
          <w:r>
            <w:t>ssion</w:t>
          </w:r>
          <w:proofErr w:type="spellEnd"/>
          <w:r>
            <w:t xml:space="preserve"> coversheet.</w:t>
          </w:r>
        </w:p>
        <w:p w14:paraId="2812F748" w14:textId="77777777" w:rsidR="007D26DB" w:rsidRDefault="007D26DB" w:rsidP="006E08B3"/>
        <w:p w14:paraId="2812F749" w14:textId="77777777" w:rsidR="007D26DB" w:rsidRDefault="007D26DB" w:rsidP="006E08B3">
          <w:r>
            <w:t>For submission made by individuals, all personal details, other than your name, will be removed from your submission before it is published on the TGA’s Internet site.</w:t>
          </w:r>
        </w:p>
        <w:p w14:paraId="2812F74A" w14:textId="77777777" w:rsidR="007D26DB" w:rsidRDefault="007D26DB" w:rsidP="006E08B3"/>
        <w:p w14:paraId="2812F74B" w14:textId="77777777" w:rsidR="007D26DB" w:rsidRDefault="007D26D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D26DB" w14:paraId="2812F750" w14:textId="77777777" w:rsidTr="0010601F">
      <w:trPr>
        <w:trHeight w:val="417"/>
      </w:trPr>
      <w:tc>
        <w:tcPr>
          <w:tcW w:w="4519" w:type="dxa"/>
          <w:tcBorders>
            <w:top w:val="single" w:sz="4" w:space="0" w:color="auto"/>
          </w:tcBorders>
          <w:tcMar>
            <w:top w:w="142" w:type="dxa"/>
            <w:bottom w:w="0" w:type="dxa"/>
          </w:tcMar>
        </w:tcPr>
        <w:p w14:paraId="2812F74D" w14:textId="77777777" w:rsidR="007D26DB" w:rsidRDefault="007D26DB" w:rsidP="006E08B3">
          <w:r>
            <w:t>Document title, Part #, Section # - Section title</w:t>
          </w:r>
        </w:p>
        <w:p w14:paraId="2812F74E" w14:textId="77777777" w:rsidR="007D26DB" w:rsidRDefault="007D26DB" w:rsidP="006E08B3">
          <w:r>
            <w:t>V1.0 October 2010</w:t>
          </w:r>
        </w:p>
      </w:tc>
      <w:tc>
        <w:tcPr>
          <w:tcW w:w="4356" w:type="dxa"/>
          <w:tcBorders>
            <w:top w:val="single" w:sz="4" w:space="0" w:color="auto"/>
          </w:tcBorders>
          <w:tcMar>
            <w:top w:w="142" w:type="dxa"/>
            <w:bottom w:w="0" w:type="dxa"/>
          </w:tcMar>
        </w:tcPr>
        <w:p w14:paraId="2812F74F" w14:textId="7A417B0A" w:rsidR="007D26DB" w:rsidRDefault="007D26D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14:paraId="2812F751" w14:textId="77777777" w:rsidR="007D26DB" w:rsidRDefault="007D26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8F934" w14:textId="77777777" w:rsidR="007D26DB" w:rsidRDefault="007D26DB" w:rsidP="00C40A36">
      <w:pPr>
        <w:spacing w:after="0"/>
      </w:pPr>
      <w:r>
        <w:separator/>
      </w:r>
    </w:p>
  </w:footnote>
  <w:footnote w:type="continuationSeparator" w:id="0">
    <w:p w14:paraId="664566F8" w14:textId="77777777" w:rsidR="007D26DB" w:rsidRDefault="007D26DB" w:rsidP="00C40A36">
      <w:pPr>
        <w:spacing w:after="0"/>
      </w:pPr>
      <w:r>
        <w:continuationSeparator/>
      </w:r>
    </w:p>
  </w:footnote>
  <w:footnote w:type="continuationNotice" w:id="1">
    <w:p w14:paraId="0FC8FF43" w14:textId="77777777" w:rsidR="007D26DB" w:rsidRDefault="007D26DB">
      <w:pPr>
        <w:spacing w:before="0" w:after="0" w:line="240" w:lineRule="auto"/>
      </w:pPr>
    </w:p>
  </w:footnote>
  <w:footnote w:id="2">
    <w:p w14:paraId="2812F757" w14:textId="049EBF53" w:rsidR="007D26DB" w:rsidRPr="00B4542E" w:rsidRDefault="007D26DB" w:rsidP="0047254B">
      <w:pPr>
        <w:pStyle w:val="FootnoteText"/>
        <w:keepNext/>
        <w:keepLines/>
      </w:pPr>
      <w:r w:rsidRPr="0047254B">
        <w:rPr>
          <w:rStyle w:val="FootnoteReference"/>
        </w:rPr>
        <w:footnoteRef/>
      </w:r>
      <w:r w:rsidRPr="00B4542E">
        <w:t xml:space="preserve"> </w:t>
      </w:r>
      <w:r w:rsidRPr="0047254B">
        <w:t xml:space="preserve">Approved Indications for </w:t>
      </w:r>
      <w:proofErr w:type="spellStart"/>
      <w:r w:rsidRPr="0047254B">
        <w:t>Abilify</w:t>
      </w:r>
      <w:proofErr w:type="spellEnd"/>
      <w:r w:rsidRPr="0047254B">
        <w:t xml:space="preserve"> (</w:t>
      </w:r>
      <w:proofErr w:type="spellStart"/>
      <w:r w:rsidRPr="0047254B">
        <w:t>aripiprazole</w:t>
      </w:r>
      <w:proofErr w:type="spellEnd"/>
      <w:r w:rsidRPr="0047254B">
        <w:t xml:space="preserve">) presentations in Australia; </w:t>
      </w:r>
      <w:proofErr w:type="spellStart"/>
      <w:r w:rsidRPr="0047254B">
        <w:t>Abilify</w:t>
      </w:r>
      <w:proofErr w:type="spellEnd"/>
      <w:r w:rsidRPr="0047254B">
        <w:t xml:space="preserve"> Tablets (2 mg, 5 mg, 10 mg, 15 mg, 20 mg and 30 mg) and </w:t>
      </w:r>
      <w:proofErr w:type="spellStart"/>
      <w:r w:rsidRPr="0047254B">
        <w:t>Abilify</w:t>
      </w:r>
      <w:proofErr w:type="spellEnd"/>
      <w:r w:rsidRPr="0047254B">
        <w:t xml:space="preserve"> </w:t>
      </w:r>
      <w:proofErr w:type="spellStart"/>
      <w:r w:rsidRPr="0047254B">
        <w:t>OroDispersible</w:t>
      </w:r>
      <w:proofErr w:type="spellEnd"/>
      <w:r w:rsidRPr="0047254B">
        <w:t xml:space="preserve"> Tablets (10 mg, 15 mg, 20 mg and 30 mg):For the treatment of schizophrenia including maintenance of clinical improvement during continuation therapy.</w:t>
      </w:r>
    </w:p>
    <w:p w14:paraId="2812F758" w14:textId="77777777" w:rsidR="007D26DB" w:rsidRPr="00B4542E" w:rsidRDefault="007D26DB" w:rsidP="00B4542E">
      <w:pPr>
        <w:pStyle w:val="FootnoteText"/>
      </w:pPr>
      <w:r w:rsidRPr="00B4542E">
        <w:t>Acute treatment of manic or mixed episodes associated with Bipolar I Disorder in adults as monotherapy and in combination with lithium or valproate;</w:t>
      </w:r>
    </w:p>
    <w:p w14:paraId="2812F759" w14:textId="77777777" w:rsidR="007D26DB" w:rsidRPr="00B4542E" w:rsidRDefault="007D26DB" w:rsidP="00B4542E">
      <w:pPr>
        <w:pStyle w:val="FootnoteText"/>
      </w:pPr>
      <w:r w:rsidRPr="00B4542E">
        <w:t>Maintenance treatment of manic or mixed episodes in Bipolar I Disorder in adults as monotherapy.</w:t>
      </w:r>
    </w:p>
    <w:p w14:paraId="2812F75A" w14:textId="77777777" w:rsidR="007D26DB" w:rsidRPr="00B4542E" w:rsidRDefault="007D26DB" w:rsidP="00B4542E">
      <w:pPr>
        <w:pStyle w:val="FootnoteText"/>
      </w:pPr>
      <w:proofErr w:type="spellStart"/>
      <w:r w:rsidRPr="00B4542E">
        <w:t>Abilify</w:t>
      </w:r>
      <w:proofErr w:type="spellEnd"/>
      <w:r w:rsidRPr="00B4542E">
        <w:t xml:space="preserve"> Injection (9.75 mg solution for injection):</w:t>
      </w:r>
    </w:p>
    <w:p w14:paraId="2812F75B" w14:textId="77777777" w:rsidR="007D26DB" w:rsidRPr="00B4542E" w:rsidRDefault="007D26DB" w:rsidP="00B4542E">
      <w:pPr>
        <w:pStyle w:val="FootnoteText"/>
      </w:pPr>
      <w:r w:rsidRPr="00B4542E">
        <w:t>For the treatment of agitation associated with schizophrenia.</w:t>
      </w:r>
    </w:p>
  </w:footnote>
  <w:footnote w:id="3">
    <w:p w14:paraId="2812F75E" w14:textId="77777777" w:rsidR="007D26DB" w:rsidRPr="00EF5CD2" w:rsidRDefault="007D26DB" w:rsidP="0012235A">
      <w:pPr>
        <w:pStyle w:val="FootnoteText"/>
      </w:pPr>
      <w:r w:rsidRPr="00800A2A">
        <w:rPr>
          <w:rStyle w:val="FootnoteReference"/>
          <w:szCs w:val="18"/>
        </w:rPr>
        <w:footnoteRef/>
      </w:r>
      <w:r w:rsidRPr="00800A2A">
        <w:rPr>
          <w:szCs w:val="18"/>
        </w:rPr>
        <w:t xml:space="preserve"> </w:t>
      </w:r>
      <w:proofErr w:type="spellStart"/>
      <w:r w:rsidRPr="00EF5CD2">
        <w:t>Picada</w:t>
      </w:r>
      <w:proofErr w:type="spellEnd"/>
      <w:r w:rsidRPr="00EF5CD2">
        <w:t xml:space="preserve"> JN, Dos Santos BJN, </w:t>
      </w:r>
      <w:proofErr w:type="spellStart"/>
      <w:r w:rsidRPr="00EF5CD2">
        <w:t>Celso</w:t>
      </w:r>
      <w:proofErr w:type="spellEnd"/>
      <w:r w:rsidRPr="00EF5CD2">
        <w:t xml:space="preserve"> F, </w:t>
      </w:r>
      <w:proofErr w:type="spellStart"/>
      <w:r w:rsidRPr="00EF5CD2">
        <w:t>Monteiro</w:t>
      </w:r>
      <w:proofErr w:type="spellEnd"/>
      <w:r w:rsidRPr="00EF5CD2">
        <w:t xml:space="preserve"> JD, Da Rosa KM, Camacho LR, Vieira LR, </w:t>
      </w:r>
      <w:proofErr w:type="spellStart"/>
      <w:r w:rsidRPr="00EF5CD2">
        <w:t>Freitas</w:t>
      </w:r>
      <w:proofErr w:type="spellEnd"/>
      <w:r w:rsidRPr="00EF5CD2">
        <w:t xml:space="preserve"> TM, Da Silva TG, Pontes VM, Pereira P (2011) </w:t>
      </w:r>
      <w:proofErr w:type="spellStart"/>
      <w:r w:rsidRPr="00EF5CD2">
        <w:t>Neurobehavioural</w:t>
      </w:r>
      <w:proofErr w:type="spellEnd"/>
      <w:r w:rsidRPr="00EF5CD2">
        <w:t xml:space="preserve"> and </w:t>
      </w:r>
      <w:proofErr w:type="spellStart"/>
      <w:r w:rsidRPr="00EF5CD2">
        <w:t>genotoxic</w:t>
      </w:r>
      <w:proofErr w:type="spellEnd"/>
      <w:r w:rsidRPr="00EF5CD2">
        <w:t xml:space="preserve"> parameters of antipsychotic agent </w:t>
      </w:r>
      <w:proofErr w:type="spellStart"/>
      <w:r w:rsidRPr="00EF5CD2">
        <w:t>aripiprazole</w:t>
      </w:r>
      <w:proofErr w:type="spellEnd"/>
      <w:r w:rsidRPr="00EF5CD2">
        <w:t xml:space="preserve"> in mice. </w:t>
      </w:r>
      <w:proofErr w:type="spellStart"/>
      <w:r w:rsidRPr="00EF5CD2">
        <w:t>Acta</w:t>
      </w:r>
      <w:proofErr w:type="spellEnd"/>
      <w:r w:rsidRPr="00EF5CD2">
        <w:t xml:space="preserve"> </w:t>
      </w:r>
      <w:proofErr w:type="spellStart"/>
      <w:r w:rsidRPr="00EF5CD2">
        <w:t>Pharmacologica</w:t>
      </w:r>
      <w:proofErr w:type="spellEnd"/>
      <w:r w:rsidRPr="00EF5CD2">
        <w:t xml:space="preserve"> </w:t>
      </w:r>
      <w:proofErr w:type="spellStart"/>
      <w:r w:rsidRPr="0012235A">
        <w:t>Sinica</w:t>
      </w:r>
      <w:proofErr w:type="spellEnd"/>
      <w:r w:rsidRPr="00EF5CD2">
        <w:t>, 32, 1225-1232</w:t>
      </w:r>
    </w:p>
  </w:footnote>
  <w:footnote w:id="4">
    <w:p w14:paraId="2812F75F" w14:textId="77777777" w:rsidR="007D26DB" w:rsidRPr="00C66B62" w:rsidRDefault="007D26DB" w:rsidP="00EF5CD2">
      <w:pPr>
        <w:pStyle w:val="FootnoteText"/>
        <w:rPr>
          <w:lang w:val="en"/>
        </w:rPr>
      </w:pPr>
      <w:r w:rsidRPr="00C66B62">
        <w:rPr>
          <w:rStyle w:val="FootnoteReference"/>
          <w:rFonts w:asciiTheme="minorHAnsi" w:hAnsiTheme="minorHAnsi"/>
          <w:b/>
          <w:szCs w:val="18"/>
        </w:rPr>
        <w:footnoteRef/>
      </w:r>
      <w:r w:rsidRPr="00C66B62">
        <w:t xml:space="preserve"> </w:t>
      </w:r>
      <w:r w:rsidRPr="00C66B62">
        <w:rPr>
          <w:lang w:val="en"/>
        </w:rPr>
        <w:t>Category C: 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5">
    <w:p w14:paraId="2812F760" w14:textId="77777777" w:rsidR="007D26DB" w:rsidRPr="00C66B62" w:rsidRDefault="007D26DB" w:rsidP="00EF5CD2">
      <w:pPr>
        <w:pStyle w:val="FootnoteText"/>
        <w:rPr>
          <w:lang w:val="en" w:eastAsia="en-AU"/>
        </w:rPr>
      </w:pPr>
      <w:r w:rsidRPr="00C66B62">
        <w:rPr>
          <w:rStyle w:val="FootnoteReference"/>
        </w:rPr>
        <w:footnoteRef/>
      </w:r>
      <w:r w:rsidRPr="00C66B62">
        <w:rPr>
          <w:lang w:val="en"/>
        </w:rPr>
        <w:t>Category B3:</w:t>
      </w:r>
      <w:r>
        <w:rPr>
          <w:b/>
          <w:lang w:val="en"/>
        </w:rPr>
        <w:t xml:space="preserve"> </w:t>
      </w:r>
      <w:r w:rsidRPr="00C66B62">
        <w:rPr>
          <w:lang w:val="en" w:eastAsia="en-AU"/>
        </w:rPr>
        <w:t>Drugs which have been taken by only a limited number of pregnant women and women of childbearing age, without an increase in the frequency of malformation or other direct or indirect harmful effects on the human fetus having been observed.</w:t>
      </w:r>
      <w:r>
        <w:rPr>
          <w:lang w:val="en" w:eastAsia="en-AU"/>
        </w:rPr>
        <w:t xml:space="preserve"> </w:t>
      </w:r>
      <w:r w:rsidRPr="00C66B62">
        <w:rPr>
          <w:lang w:val="en" w:eastAsia="en-AU"/>
        </w:rPr>
        <w:t>Studies in animals have shown evidence of an increased occurrence of fetal damage, the significance of which is considered uncertain in humans.</w:t>
      </w:r>
    </w:p>
  </w:footnote>
  <w:footnote w:id="6">
    <w:p w14:paraId="2812F761" w14:textId="52CAA6E8" w:rsidR="007D26DB" w:rsidRPr="00C66B62" w:rsidRDefault="007D26DB" w:rsidP="00EF5CD2">
      <w:pPr>
        <w:pStyle w:val="FootnoteText"/>
      </w:pPr>
      <w:r>
        <w:rPr>
          <w:rStyle w:val="FootnoteReference"/>
        </w:rPr>
        <w:footnoteRef/>
      </w:r>
      <w:r>
        <w:t xml:space="preserve"> </w:t>
      </w:r>
      <w:r w:rsidRPr="00C66B62">
        <w:rPr>
          <w:rStyle w:val="Emphasis"/>
          <w:rFonts w:asciiTheme="minorHAnsi" w:hAnsiTheme="minorHAnsi" w:cs="Arial"/>
          <w:b w:val="0"/>
          <w:color w:val="222222"/>
        </w:rPr>
        <w:t>CPMP</w:t>
      </w:r>
      <w:r w:rsidRPr="00C66B62">
        <w:rPr>
          <w:rStyle w:val="st"/>
          <w:rFonts w:asciiTheme="minorHAnsi" w:hAnsiTheme="minorHAnsi" w:cs="Arial"/>
          <w:b/>
          <w:color w:val="222222"/>
        </w:rPr>
        <w:t>/</w:t>
      </w:r>
      <w:r w:rsidRPr="00C66B62">
        <w:rPr>
          <w:rStyle w:val="Emphasis"/>
          <w:rFonts w:asciiTheme="minorHAnsi" w:hAnsiTheme="minorHAnsi" w:cs="Arial"/>
          <w:b w:val="0"/>
          <w:color w:val="222222"/>
        </w:rPr>
        <w:t>SWP</w:t>
      </w:r>
      <w:r w:rsidRPr="00C66B62">
        <w:rPr>
          <w:rStyle w:val="st"/>
          <w:rFonts w:asciiTheme="minorHAnsi" w:hAnsiTheme="minorHAnsi" w:cs="Arial"/>
          <w:b/>
          <w:color w:val="222222"/>
        </w:rPr>
        <w:t>/</w:t>
      </w:r>
      <w:r w:rsidRPr="00C66B62">
        <w:rPr>
          <w:rStyle w:val="Emphasis"/>
          <w:rFonts w:asciiTheme="minorHAnsi" w:hAnsiTheme="minorHAnsi" w:cs="Arial"/>
          <w:b w:val="0"/>
          <w:color w:val="222222"/>
        </w:rPr>
        <w:t>2145/00</w:t>
      </w:r>
      <w:r w:rsidRPr="00C66B62">
        <w:rPr>
          <w:rStyle w:val="st"/>
          <w:rFonts w:asciiTheme="minorHAnsi" w:hAnsiTheme="minorHAnsi" w:cs="Arial"/>
          <w:color w:val="222222"/>
        </w:rPr>
        <w:t xml:space="preserve"> Note for Guidance on Non-Clinical Local Tolerance Testing of Medicinal Products Effective</w:t>
      </w:r>
      <w:r>
        <w:rPr>
          <w:rStyle w:val="st"/>
          <w:rFonts w:asciiTheme="minorHAnsi" w:hAnsiTheme="minorHAnsi" w:cs="Arial"/>
          <w:color w:val="222222"/>
        </w:rPr>
        <w:t xml:space="preserve"> 10 January 2002.</w:t>
      </w:r>
    </w:p>
  </w:footnote>
  <w:footnote w:id="7">
    <w:p w14:paraId="2812F762" w14:textId="77777777" w:rsidR="007D26DB" w:rsidRDefault="007D26DB" w:rsidP="00707670">
      <w:pPr>
        <w:pStyle w:val="FootnoteText"/>
      </w:pPr>
      <w:r>
        <w:rPr>
          <w:rStyle w:val="FootnoteReference"/>
        </w:rPr>
        <w:footnoteRef/>
      </w:r>
      <w:r>
        <w:t xml:space="preserve"> Sponsor’s</w:t>
      </w:r>
      <w:r w:rsidRPr="00B54632">
        <w:t xml:space="preserve"> Clinical Overview</w:t>
      </w:r>
      <w:r>
        <w:t>.</w:t>
      </w:r>
    </w:p>
  </w:footnote>
  <w:footnote w:id="8">
    <w:p w14:paraId="2812F763" w14:textId="77777777" w:rsidR="007D26DB" w:rsidRPr="00AD5113" w:rsidRDefault="007D26DB" w:rsidP="00707670">
      <w:pPr>
        <w:pStyle w:val="FootnoteText"/>
      </w:pPr>
      <w:r w:rsidRPr="00AD5113">
        <w:rPr>
          <w:rStyle w:val="FootnoteReference"/>
        </w:rPr>
        <w:footnoteRef/>
      </w:r>
      <w:r>
        <w:t xml:space="preserve"> Of these 31-98-208 and CN38-022 were</w:t>
      </w:r>
      <w:r w:rsidRPr="00AD5113">
        <w:t xml:space="preserve"> incomplete </w:t>
      </w:r>
      <w:r>
        <w:t>in that submission.</w:t>
      </w:r>
    </w:p>
  </w:footnote>
  <w:footnote w:id="9">
    <w:p w14:paraId="2812F764" w14:textId="77777777" w:rsidR="007D26DB" w:rsidRDefault="007D26DB" w:rsidP="00707670">
      <w:pPr>
        <w:pStyle w:val="FootnoteText"/>
      </w:pPr>
      <w:r>
        <w:rPr>
          <w:rStyle w:val="FootnoteReference"/>
        </w:rPr>
        <w:footnoteRef/>
      </w:r>
      <w:r>
        <w:t xml:space="preserve"> A protocol synopsis only was submitted with no results</w:t>
      </w:r>
    </w:p>
  </w:footnote>
  <w:footnote w:id="10">
    <w:p w14:paraId="2812F765" w14:textId="612ED9EA" w:rsidR="007D26DB" w:rsidRDefault="007D26DB" w:rsidP="00707670">
      <w:pPr>
        <w:pStyle w:val="FootnoteText"/>
      </w:pPr>
      <w:r>
        <w:rPr>
          <w:rStyle w:val="FootnoteReference"/>
        </w:rPr>
        <w:footnoteRef/>
      </w:r>
      <w:r>
        <w:t xml:space="preserve"> </w:t>
      </w:r>
      <w:r w:rsidRPr="003F1669">
        <w:t xml:space="preserve">This study treatment comprised </w:t>
      </w:r>
      <w:proofErr w:type="spellStart"/>
      <w:r w:rsidRPr="003F1669">
        <w:t>aripiprazole</w:t>
      </w:r>
      <w:proofErr w:type="spellEnd"/>
      <w:r w:rsidRPr="003F1669">
        <w:t xml:space="preserve"> tablets (10 to 30</w:t>
      </w:r>
      <w:r>
        <w:t>mg</w:t>
      </w:r>
      <w:r w:rsidRPr="003F1669">
        <w:t>/day), for 14</w:t>
      </w:r>
      <w:r>
        <w:t xml:space="preserve"> </w:t>
      </w:r>
      <w:r w:rsidRPr="003F1669">
        <w:t>days and to patients with a diagnosis of Bipolar I Disorder, who were c</w:t>
      </w:r>
      <w:r>
        <w:t xml:space="preserve">linically stable on </w:t>
      </w:r>
      <w:proofErr w:type="spellStart"/>
      <w:r>
        <w:t>lamotrigine</w:t>
      </w:r>
      <w:proofErr w:type="spellEnd"/>
      <w:r>
        <w:t xml:space="preserve"> that is,</w:t>
      </w:r>
      <w:r w:rsidRPr="003F1669">
        <w:t xml:space="preserve"> </w:t>
      </w:r>
      <w:r w:rsidRPr="00B277C4">
        <w:t>not relevant</w:t>
      </w:r>
      <w:r w:rsidRPr="003F1669">
        <w:t xml:space="preserve"> to this submission to register a different formulation with a different Indication.</w:t>
      </w:r>
    </w:p>
  </w:footnote>
  <w:footnote w:id="11">
    <w:p w14:paraId="2812F766" w14:textId="77777777" w:rsidR="007D26DB" w:rsidRPr="00B277C4" w:rsidRDefault="007D26DB" w:rsidP="00707670">
      <w:pPr>
        <w:pStyle w:val="FootnoteText"/>
      </w:pPr>
      <w:r>
        <w:rPr>
          <w:rStyle w:val="FootnoteReference"/>
        </w:rPr>
        <w:footnoteRef/>
      </w:r>
      <w:r>
        <w:t xml:space="preserve"> </w:t>
      </w:r>
      <w:r w:rsidRPr="003F1669">
        <w:t xml:space="preserve">This study treatment comprised </w:t>
      </w:r>
      <w:proofErr w:type="spellStart"/>
      <w:r w:rsidRPr="003F1669">
        <w:t>Aripiprazole</w:t>
      </w:r>
      <w:proofErr w:type="spellEnd"/>
      <w:r w:rsidRPr="003F1669">
        <w:t>, 2</w:t>
      </w:r>
      <w:r>
        <w:t>mg</w:t>
      </w:r>
      <w:r w:rsidRPr="003F1669">
        <w:t xml:space="preserve"> and 5</w:t>
      </w:r>
      <w:r>
        <w:t>mg</w:t>
      </w:r>
      <w:r w:rsidRPr="003F1669">
        <w:t xml:space="preserve"> tablets, flexibly dosed (2</w:t>
      </w:r>
      <w:r>
        <w:t>mg</w:t>
      </w:r>
      <w:r w:rsidRPr="003F1669">
        <w:t>, 5</w:t>
      </w:r>
      <w:r>
        <w:t>mg</w:t>
      </w:r>
      <w:r w:rsidRPr="003F1669">
        <w:t>, 10</w:t>
      </w:r>
      <w:r>
        <w:t>mg</w:t>
      </w:r>
      <w:r w:rsidRPr="003F1669">
        <w:t>, 15</w:t>
      </w:r>
      <w:r>
        <w:t>mg</w:t>
      </w:r>
      <w:r w:rsidRPr="003F1669">
        <w:t>, and 20</w:t>
      </w:r>
      <w:r>
        <w:t>mg</w:t>
      </w:r>
      <w:r w:rsidRPr="003F1669">
        <w:t xml:space="preserve"> once daily) for 6 weeks and to patients with a diagnosis of major depressive disorder</w:t>
      </w:r>
      <w:r>
        <w:t>, that is,</w:t>
      </w:r>
      <w:r w:rsidRPr="003F1669">
        <w:t xml:space="preserve"> </w:t>
      </w:r>
      <w:r w:rsidRPr="00B277C4">
        <w:t>not relevant to this submission to register a different formulation with a different Indication.</w:t>
      </w:r>
    </w:p>
  </w:footnote>
  <w:footnote w:id="12">
    <w:p w14:paraId="2812F767" w14:textId="3C20269F" w:rsidR="007D26DB" w:rsidRPr="008C370C" w:rsidRDefault="007D26DB" w:rsidP="00975B41">
      <w:pPr>
        <w:pStyle w:val="FootnoteText"/>
      </w:pPr>
      <w:r>
        <w:rPr>
          <w:rStyle w:val="FootnoteReference"/>
        </w:rPr>
        <w:footnoteRef/>
      </w:r>
      <w:r>
        <w:t xml:space="preserve"> This study had its primary endpoint (and hence primary objective and non – inferiority margin</w:t>
      </w:r>
      <w:r w:rsidRPr="008C370C">
        <w:t>) amended almost 3 years into the trial.</w:t>
      </w:r>
    </w:p>
  </w:footnote>
  <w:footnote w:id="13">
    <w:p w14:paraId="2812F768" w14:textId="77777777" w:rsidR="007D26DB" w:rsidRDefault="007D26DB" w:rsidP="00975B41">
      <w:pPr>
        <w:pStyle w:val="FootnoteText"/>
      </w:pPr>
      <w:r>
        <w:rPr>
          <w:rStyle w:val="FootnoteReference"/>
        </w:rPr>
        <w:footnoteRef/>
      </w:r>
      <w:r>
        <w:t xml:space="preserve"> These studies looked at various aspects of efficacy but were not completed so were submitted for safety data only.</w:t>
      </w:r>
    </w:p>
  </w:footnote>
  <w:footnote w:id="14">
    <w:p w14:paraId="2812F769" w14:textId="77777777" w:rsidR="007D26DB" w:rsidRDefault="007D26DB" w:rsidP="00975B41">
      <w:pPr>
        <w:pStyle w:val="FootnoteText"/>
      </w:pPr>
      <w:r>
        <w:rPr>
          <w:rStyle w:val="FootnoteReference"/>
        </w:rPr>
        <w:footnoteRef/>
      </w:r>
      <w:r>
        <w:t xml:space="preserve"> Sponsor’s</w:t>
      </w:r>
      <w:r w:rsidRPr="00A9563E">
        <w:t xml:space="preserve"> Clinical Overview</w:t>
      </w:r>
    </w:p>
  </w:footnote>
  <w:footnote w:id="15">
    <w:p w14:paraId="2812F76A" w14:textId="77777777" w:rsidR="007D26DB" w:rsidRDefault="007D26DB" w:rsidP="00393B90">
      <w:pPr>
        <w:pStyle w:val="FootnoteText"/>
      </w:pPr>
      <w:r>
        <w:rPr>
          <w:rStyle w:val="FootnoteReference"/>
        </w:rPr>
        <w:footnoteRef/>
      </w:r>
      <w:r>
        <w:t xml:space="preserve"> This study had its primary endpoint (and hence primary objective and non – inferiority margin) amended almost 3 years into the trial.</w:t>
      </w:r>
    </w:p>
  </w:footnote>
  <w:footnote w:id="16">
    <w:p w14:paraId="2812F76B" w14:textId="77777777" w:rsidR="007D26DB" w:rsidRDefault="007D26DB" w:rsidP="00C5733F">
      <w:pPr>
        <w:pStyle w:val="FootnoteText"/>
      </w:pPr>
      <w:r>
        <w:rPr>
          <w:rStyle w:val="FootnoteReference"/>
        </w:rPr>
        <w:footnoteRef/>
      </w:r>
      <w:r>
        <w:t xml:space="preserve"> Subjects who received any investigational agent in a clinical trial within 30 days prior to screening or who were randomized into a clinical trial with </w:t>
      </w:r>
      <w:proofErr w:type="spellStart"/>
      <w:r>
        <w:t>aripiprazole</w:t>
      </w:r>
      <w:proofErr w:type="spellEnd"/>
      <w:r>
        <w:t xml:space="preserve"> IM depot at any time. NOTE: Subjects who discontinued at any phase of the trial (</w:t>
      </w:r>
      <w:r w:rsidRPr="00C5733F">
        <w:t>Conversion</w:t>
      </w:r>
      <w:r>
        <w:t xml:space="preserve"> Phase to the Double-blind, Active-controlled Phase) were not eligible and could not be rescreened to enter the trial.</w:t>
      </w:r>
    </w:p>
  </w:footnote>
  <w:footnote w:id="17">
    <w:p w14:paraId="2812F76C" w14:textId="4B257D42" w:rsidR="007D26DB" w:rsidRDefault="007D26DB" w:rsidP="00393B90">
      <w:pPr>
        <w:pStyle w:val="FootnoteText"/>
      </w:pPr>
      <w:r>
        <w:rPr>
          <w:rStyle w:val="FootnoteReference"/>
        </w:rPr>
        <w:footnoteRef/>
      </w:r>
      <w:r>
        <w:t xml:space="preserve"> Subjects </w:t>
      </w:r>
      <w:r w:rsidRPr="006C6D41">
        <w:t xml:space="preserve">randomized to placebo and to oral </w:t>
      </w:r>
      <w:proofErr w:type="spellStart"/>
      <w:r w:rsidRPr="006C6D41">
        <w:t>aripiprazole</w:t>
      </w:r>
      <w:proofErr w:type="spellEnd"/>
      <w:r w:rsidRPr="006C6D41">
        <w:t xml:space="preserve"> received a placebo IM depot injection</w:t>
      </w:r>
    </w:p>
  </w:footnote>
  <w:footnote w:id="18">
    <w:p w14:paraId="2812F76D" w14:textId="7843223E" w:rsidR="007D26DB" w:rsidRDefault="007D26DB" w:rsidP="00393B90">
      <w:pPr>
        <w:pStyle w:val="FootnoteText"/>
      </w:pPr>
      <w:r>
        <w:rPr>
          <w:rStyle w:val="FootnoteReference"/>
        </w:rPr>
        <w:footnoteRef/>
      </w:r>
      <w:r>
        <w:t xml:space="preserve"> Within 30 minutes before and 1 hour (± 15 minutes) after each IM depot injection and at</w:t>
      </w:r>
    </w:p>
    <w:p w14:paraId="2812F76E" w14:textId="77777777" w:rsidR="007D26DB" w:rsidRDefault="007D26DB" w:rsidP="00E01F69">
      <w:pPr>
        <w:pStyle w:val="FootnoteText"/>
      </w:pPr>
      <w:r>
        <w:t>each trial visit</w:t>
      </w:r>
    </w:p>
  </w:footnote>
  <w:footnote w:id="19">
    <w:p w14:paraId="2812F76F" w14:textId="4285997D" w:rsidR="007D26DB" w:rsidRDefault="007D26DB" w:rsidP="00393B90">
      <w:pPr>
        <w:pStyle w:val="FootnoteText"/>
      </w:pPr>
      <w:r>
        <w:rPr>
          <w:rStyle w:val="FootnoteReference"/>
        </w:rPr>
        <w:footnoteRef/>
      </w:r>
      <w:r>
        <w:t xml:space="preserve"> Subjects assigned to treatment with IM depot received oral matching placebo tablets, and those assigned to oral </w:t>
      </w:r>
      <w:proofErr w:type="spellStart"/>
      <w:r>
        <w:t>aripiprazole</w:t>
      </w:r>
      <w:proofErr w:type="spellEnd"/>
      <w:r>
        <w:t xml:space="preserve"> tablets received IM depot matching placebo (either high-dose IM depot placebo or low-dose IM depot placebo).</w:t>
      </w:r>
    </w:p>
  </w:footnote>
  <w:footnote w:id="20">
    <w:p w14:paraId="2812F770" w14:textId="77777777" w:rsidR="007D26DB" w:rsidRDefault="007D26DB" w:rsidP="002B79C2">
      <w:pPr>
        <w:pStyle w:val="FootnoteText"/>
      </w:pPr>
      <w:r>
        <w:rPr>
          <w:rStyle w:val="FootnoteReference"/>
        </w:rPr>
        <w:footnoteRef/>
      </w:r>
      <w:r>
        <w:t xml:space="preserve"> Dose dumping was considered under PKs</w:t>
      </w:r>
    </w:p>
  </w:footnote>
  <w:footnote w:id="21">
    <w:p w14:paraId="2812F771" w14:textId="655756B9" w:rsidR="007D26DB" w:rsidRPr="00F22E56" w:rsidRDefault="007D26DB" w:rsidP="002B79C2">
      <w:pPr>
        <w:pStyle w:val="FootnoteText"/>
      </w:pPr>
      <w:r w:rsidRPr="00F22E56">
        <w:rPr>
          <w:rStyle w:val="FootnoteReference"/>
          <w:szCs w:val="18"/>
        </w:rPr>
        <w:footnoteRef/>
      </w:r>
      <w:r>
        <w:t xml:space="preserve"> </w:t>
      </w:r>
      <w:r w:rsidRPr="00F22E56">
        <w:t>It would be very rare to start a patient on a depot preparation, as for example, dose titration is not possible, an acute effect may be needed or undesirable effects may occur, in which case the preparation cannot be withdrawn CPMP/EWP/49/01 Appendix to the Note for Guidance on the Clinical Investigation of Medicinal Products in the Treatment of Schizophrenia - Methodology of Clinical Trials Concerning the Development of Depot Preparations of Approved Medicinal Products in Schizophrenia.</w:t>
      </w:r>
    </w:p>
  </w:footnote>
  <w:footnote w:id="22">
    <w:p w14:paraId="2812F772" w14:textId="77777777" w:rsidR="007D26DB" w:rsidRDefault="007D26DB" w:rsidP="002B79C2">
      <w:pPr>
        <w:pStyle w:val="FootnoteText"/>
      </w:pPr>
      <w:r>
        <w:rPr>
          <w:rStyle w:val="FootnoteReference"/>
        </w:rPr>
        <w:footnoteRef/>
      </w:r>
      <w:r>
        <w:t xml:space="preserve"> ADHD=Attention Deficiency Hyperactivity Disorder</w:t>
      </w:r>
    </w:p>
  </w:footnote>
  <w:footnote w:id="23">
    <w:p w14:paraId="2812F773" w14:textId="3B50C6C1" w:rsidR="007D26DB" w:rsidRPr="002B79C2" w:rsidRDefault="007D26DB" w:rsidP="002B79C2">
      <w:pPr>
        <w:pStyle w:val="FootnoteText"/>
      </w:pPr>
      <w:r>
        <w:rPr>
          <w:rStyle w:val="FootnoteReference"/>
        </w:rPr>
        <w:footnoteRef/>
      </w:r>
      <w:r>
        <w:t xml:space="preserve"> </w:t>
      </w:r>
      <w:r w:rsidRPr="002B79C2">
        <w:t>CVA=cerebrovascular accident</w:t>
      </w:r>
    </w:p>
  </w:footnote>
  <w:footnote w:id="24">
    <w:p w14:paraId="2812F774" w14:textId="77777777" w:rsidR="007D26DB" w:rsidRDefault="007D26DB" w:rsidP="00A7503C">
      <w:pPr>
        <w:pStyle w:val="FootnoteText"/>
      </w:pPr>
      <w:r>
        <w:rPr>
          <w:rStyle w:val="FootnoteReference"/>
        </w:rPr>
        <w:footnoteRef/>
      </w:r>
      <w:r>
        <w:t xml:space="preserve"> Study 31-10-270 is an ongoing open-label, multi-centre study extending the treatment of </w:t>
      </w:r>
      <w:proofErr w:type="spellStart"/>
      <w:r>
        <w:t>aripiprazole</w:t>
      </w:r>
      <w:proofErr w:type="spellEnd"/>
      <w:r>
        <w:t xml:space="preserve"> IM Depot to patients with schizophrenia who have completed the 52 week open-label safety and tolerability study 31-08-248. The planned completion date of the study is the end of 2018 with final study report expected in 2019. The sponsor has advised in the ASA that three Australian sites will recruit patients for this study</w:t>
      </w:r>
    </w:p>
  </w:footnote>
  <w:footnote w:id="25">
    <w:p w14:paraId="2812F775" w14:textId="193B8014" w:rsidR="007D26DB" w:rsidRPr="009D5548" w:rsidRDefault="007D26DB" w:rsidP="00A7503C">
      <w:pPr>
        <w:pStyle w:val="FootnoteText"/>
      </w:pPr>
      <w:r w:rsidRPr="009D5548">
        <w:rPr>
          <w:rStyle w:val="FootnoteReference"/>
          <w:szCs w:val="18"/>
        </w:rPr>
        <w:footnoteRef/>
      </w:r>
      <w:r>
        <w:t xml:space="preserve"> </w:t>
      </w:r>
      <w:r w:rsidRPr="009D5548">
        <w:t xml:space="preserve">A post-authorisation safety study (PASS) is a cohort study on EPS in patients treated with </w:t>
      </w:r>
      <w:proofErr w:type="spellStart"/>
      <w:r w:rsidRPr="009D5548">
        <w:t>aripiprazole</w:t>
      </w:r>
      <w:proofErr w:type="spellEnd"/>
      <w:r w:rsidRPr="009D5548">
        <w:t xml:space="preserve"> IM Depot with a two year follow-up using three databases from European countries (Sweden, Germany and Spain). It is planned to include 500 patients per database with study reports expected in 2019 to 2020. The sponsor has advised in the ASA that although this study does not involve Australian patients, the findings will be of value under Au</w:t>
      </w:r>
      <w:r>
        <w:t>stralian context.</w:t>
      </w:r>
    </w:p>
  </w:footnote>
  <w:footnote w:id="26">
    <w:p w14:paraId="2812F776" w14:textId="77777777" w:rsidR="007D26DB" w:rsidRDefault="007D26DB" w:rsidP="00A7503C">
      <w:pPr>
        <w:pStyle w:val="FootnoteText"/>
      </w:pPr>
      <w:r>
        <w:rPr>
          <w:rStyle w:val="FootnoteReference"/>
        </w:rPr>
        <w:footnoteRef/>
      </w:r>
      <w:r>
        <w:t xml:space="preserve"> </w:t>
      </w:r>
      <w:r w:rsidRPr="007D3BB4">
        <w:t>Regulation [EU] No. 1235/2010 and Directive 2010/84/EU</w:t>
      </w:r>
    </w:p>
  </w:footnote>
  <w:footnote w:id="27">
    <w:p w14:paraId="2812F777" w14:textId="77777777" w:rsidR="007D26DB" w:rsidRDefault="007D26DB" w:rsidP="008D0CDD">
      <w:pPr>
        <w:pStyle w:val="FootnoteText"/>
      </w:pPr>
      <w:r>
        <w:rPr>
          <w:rStyle w:val="FootnoteReference"/>
        </w:rPr>
        <w:footnoteRef/>
      </w:r>
      <w:r>
        <w:t xml:space="preserve"> This part of the response has been inserted at </w:t>
      </w:r>
      <w:r w:rsidRPr="00F73A27">
        <w:rPr>
          <w:i/>
        </w:rPr>
        <w:t>Regulatory status</w:t>
      </w:r>
      <w:r>
        <w:t xml:space="preserve"> at the beginning of this </w:t>
      </w:r>
      <w:proofErr w:type="spellStart"/>
      <w:r>
        <w:t>AusPAR</w:t>
      </w:r>
      <w:proofErr w:type="spellEnd"/>
      <w:r>
        <w:t>.</w:t>
      </w:r>
    </w:p>
  </w:footnote>
  <w:footnote w:id="28">
    <w:p w14:paraId="2812F778" w14:textId="7ADF9ADC" w:rsidR="007D26DB" w:rsidRPr="00F73A27" w:rsidRDefault="007D26DB" w:rsidP="008D0CDD">
      <w:pPr>
        <w:pStyle w:val="FootnoteText"/>
      </w:pPr>
      <w:r w:rsidRPr="00F73A27">
        <w:rPr>
          <w:rStyle w:val="FootnoteReference"/>
          <w:szCs w:val="18"/>
        </w:rPr>
        <w:footnoteRef/>
      </w:r>
      <w:r>
        <w:t xml:space="preserve"> </w:t>
      </w:r>
      <w:r w:rsidRPr="00F73A27">
        <w:t>ICH Harmonised Tripartite Guideline E9: Statistical Principles for Clinical Trials. CPMP/ICH/363/96. 1998. Adopted by the TGA 1 October 1999.</w:t>
      </w:r>
    </w:p>
  </w:footnote>
  <w:footnote w:id="29">
    <w:p w14:paraId="2812F779" w14:textId="77777777" w:rsidR="007D26DB" w:rsidRPr="00904356" w:rsidRDefault="007D26DB" w:rsidP="008D0CDD">
      <w:pPr>
        <w:pStyle w:val="FootnoteText"/>
      </w:pPr>
      <w:r w:rsidRPr="00904356">
        <w:rPr>
          <w:rStyle w:val="FootnoteReference"/>
          <w:szCs w:val="18"/>
        </w:rPr>
        <w:footnoteRef/>
      </w:r>
      <w:r w:rsidRPr="00904356">
        <w:t xml:space="preserve"> European Medicines Agency (EMA). Committee for Medicinal Products for Human Use (CHMP). Guideline on clinical investigation of medicinal products, including depot preparations in the treatment of schizophrenia. EMA/CHMP/40072/ 2010 Rev. 1. 2012. Proposed for adoption by the TGA 15 April 2014.</w:t>
      </w:r>
    </w:p>
  </w:footnote>
  <w:footnote w:id="30">
    <w:p w14:paraId="2812F77A" w14:textId="402A5291" w:rsidR="007D26DB" w:rsidRPr="00904356" w:rsidRDefault="007D26DB" w:rsidP="008D0CDD">
      <w:pPr>
        <w:pStyle w:val="FootnoteText"/>
      </w:pPr>
      <w:r w:rsidRPr="00904356">
        <w:rPr>
          <w:rStyle w:val="FootnoteReference"/>
          <w:szCs w:val="18"/>
        </w:rPr>
        <w:footnoteRef/>
      </w:r>
      <w:r>
        <w:t xml:space="preserve"> </w:t>
      </w:r>
      <w:r w:rsidRPr="00904356">
        <w:t>European Medicines Agency (EMA). Committee for Proprietary Medicinal Products (CPMP). Appendix to the note for guidance on the clinical investigation of medicinal products in the treatment of schizophrenia - Methodology of clinical trials concerning the development of depot preparations of approved medicinal product in schizophrenia CPMP/EWP/49/01. 2003. Adopted by the TGA 17 September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28" w14:textId="77777777" w:rsidR="007D26DB" w:rsidRDefault="007D26DB"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2E" w14:textId="77777777" w:rsidR="007D26DB" w:rsidRDefault="007D26DB">
    <w:pPr>
      <w:rPr>
        <w:noProof/>
        <w:lang w:eastAsia="en-AU"/>
      </w:rPr>
    </w:pPr>
    <w:r w:rsidRPr="00347824">
      <w:rPr>
        <w:noProof/>
        <w:lang w:eastAsia="en-AU"/>
      </w:rPr>
      <w:drawing>
        <wp:anchor distT="0" distB="0" distL="114300" distR="114300" simplePos="0" relativeHeight="251658240" behindDoc="1" locked="0" layoutInCell="1" allowOverlap="1" wp14:anchorId="2812F752" wp14:editId="2812F753">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812F72F" w14:textId="77777777" w:rsidR="007D26DB" w:rsidRDefault="007D26DB" w:rsidP="00593AD1">
    <w:pPr>
      <w:pStyle w:val="HeaderNoLine"/>
    </w:pPr>
    <w:r>
      <w:rPr>
        <w:noProof/>
        <w:lang w:eastAsia="en-AU"/>
      </w:rPr>
      <w:drawing>
        <wp:inline distT="0" distB="0" distL="0" distR="0" wp14:anchorId="2812F754" wp14:editId="2812F755">
          <wp:extent cx="540004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46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0" w14:textId="77777777" w:rsidR="007D26DB" w:rsidRDefault="007D26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1" w14:textId="77777777" w:rsidR="007D26DB" w:rsidRDefault="007D26DB">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6" w14:textId="77777777" w:rsidR="007D26DB" w:rsidRDefault="007D26DB">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C" w14:textId="77777777" w:rsidR="007D26DB" w:rsidRDefault="007D26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D" w14:textId="77777777" w:rsidR="007D26DB" w:rsidRDefault="007D26DB"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F73F" w14:textId="77777777" w:rsidR="007D26DB" w:rsidRDefault="007D26DB" w:rsidP="006E08B3">
    <w:r>
      <w:t>Therapeutic Goods Administration</w:t>
    </w:r>
  </w:p>
  <w:p w14:paraId="2812F740" w14:textId="77777777" w:rsidR="007D26DB" w:rsidRDefault="007D26DB"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3AC02909"/>
    <w:multiLevelType w:val="hybridMultilevel"/>
    <w:tmpl w:val="70EEF766"/>
    <w:lvl w:ilvl="0" w:tplc="0C090001">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numFmt w:val="bullet"/>
      <w:lvlText w:val=""/>
      <w:lvlJc w:val="left"/>
      <w:pPr>
        <w:ind w:left="2444" w:hanging="360"/>
      </w:pPr>
      <w:rPr>
        <w:rFonts w:ascii="Symbol" w:eastAsia="Times New Roman" w:hAnsi="Symbol" w:cs="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4">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2"/>
  </w:num>
  <w:num w:numId="4">
    <w:abstractNumId w:val="0"/>
  </w:num>
  <w:num w:numId="5">
    <w:abstractNumId w:val="4"/>
  </w:num>
  <w:num w:numId="6">
    <w:abstractNumId w:val="3"/>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displayBackgroundShape/>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42"/>
    <w:rsid w:val="00002031"/>
    <w:rsid w:val="00004734"/>
    <w:rsid w:val="00006B22"/>
    <w:rsid w:val="0001276A"/>
    <w:rsid w:val="00015417"/>
    <w:rsid w:val="000246AE"/>
    <w:rsid w:val="00025C67"/>
    <w:rsid w:val="000341A6"/>
    <w:rsid w:val="0004632E"/>
    <w:rsid w:val="000521CB"/>
    <w:rsid w:val="0005559E"/>
    <w:rsid w:val="00066CBD"/>
    <w:rsid w:val="00077775"/>
    <w:rsid w:val="00090471"/>
    <w:rsid w:val="00096AA7"/>
    <w:rsid w:val="000A3AED"/>
    <w:rsid w:val="000B3532"/>
    <w:rsid w:val="000B3A75"/>
    <w:rsid w:val="000C690F"/>
    <w:rsid w:val="000D1295"/>
    <w:rsid w:val="000D391B"/>
    <w:rsid w:val="000D3D6D"/>
    <w:rsid w:val="000D4FC7"/>
    <w:rsid w:val="000D62DF"/>
    <w:rsid w:val="000E7A60"/>
    <w:rsid w:val="000F4869"/>
    <w:rsid w:val="000F503D"/>
    <w:rsid w:val="000F5B42"/>
    <w:rsid w:val="000F6E6F"/>
    <w:rsid w:val="0010601F"/>
    <w:rsid w:val="0010788A"/>
    <w:rsid w:val="00107A31"/>
    <w:rsid w:val="00110516"/>
    <w:rsid w:val="00110EA5"/>
    <w:rsid w:val="00112F56"/>
    <w:rsid w:val="0012163C"/>
    <w:rsid w:val="0012235A"/>
    <w:rsid w:val="00125318"/>
    <w:rsid w:val="001305A2"/>
    <w:rsid w:val="00131EC5"/>
    <w:rsid w:val="00133238"/>
    <w:rsid w:val="0014197B"/>
    <w:rsid w:val="001428DD"/>
    <w:rsid w:val="001447CD"/>
    <w:rsid w:val="001516B1"/>
    <w:rsid w:val="00154EBB"/>
    <w:rsid w:val="00156316"/>
    <w:rsid w:val="00162D14"/>
    <w:rsid w:val="00165389"/>
    <w:rsid w:val="00166781"/>
    <w:rsid w:val="001730A8"/>
    <w:rsid w:val="0017693F"/>
    <w:rsid w:val="0018110E"/>
    <w:rsid w:val="00181684"/>
    <w:rsid w:val="001843C6"/>
    <w:rsid w:val="001850E0"/>
    <w:rsid w:val="001853D7"/>
    <w:rsid w:val="0019010D"/>
    <w:rsid w:val="001A2158"/>
    <w:rsid w:val="001A525F"/>
    <w:rsid w:val="001A6AA2"/>
    <w:rsid w:val="001B09F9"/>
    <w:rsid w:val="001B5C90"/>
    <w:rsid w:val="001B6448"/>
    <w:rsid w:val="001C32CD"/>
    <w:rsid w:val="001D578B"/>
    <w:rsid w:val="001E07CF"/>
    <w:rsid w:val="001E59F1"/>
    <w:rsid w:val="001F49EB"/>
    <w:rsid w:val="001F6CBA"/>
    <w:rsid w:val="00201D4E"/>
    <w:rsid w:val="002076C9"/>
    <w:rsid w:val="00216846"/>
    <w:rsid w:val="00220B8A"/>
    <w:rsid w:val="00223239"/>
    <w:rsid w:val="002257F3"/>
    <w:rsid w:val="00233456"/>
    <w:rsid w:val="002339A5"/>
    <w:rsid w:val="0023517D"/>
    <w:rsid w:val="00243B83"/>
    <w:rsid w:val="00253F0C"/>
    <w:rsid w:val="00255E30"/>
    <w:rsid w:val="00257848"/>
    <w:rsid w:val="0027084A"/>
    <w:rsid w:val="00286434"/>
    <w:rsid w:val="00286C59"/>
    <w:rsid w:val="00290A64"/>
    <w:rsid w:val="00290BD2"/>
    <w:rsid w:val="00291957"/>
    <w:rsid w:val="002942D1"/>
    <w:rsid w:val="00294628"/>
    <w:rsid w:val="0029501A"/>
    <w:rsid w:val="002A7BC1"/>
    <w:rsid w:val="002B1638"/>
    <w:rsid w:val="002B2F75"/>
    <w:rsid w:val="002B58D6"/>
    <w:rsid w:val="002B79C2"/>
    <w:rsid w:val="002E33B4"/>
    <w:rsid w:val="002E4C9A"/>
    <w:rsid w:val="002E5133"/>
    <w:rsid w:val="002E5C73"/>
    <w:rsid w:val="002F11F8"/>
    <w:rsid w:val="002F1D84"/>
    <w:rsid w:val="002F39D1"/>
    <w:rsid w:val="002F3F56"/>
    <w:rsid w:val="002F44B5"/>
    <w:rsid w:val="00311AC0"/>
    <w:rsid w:val="0032011C"/>
    <w:rsid w:val="003211EF"/>
    <w:rsid w:val="0032583B"/>
    <w:rsid w:val="00327883"/>
    <w:rsid w:val="00335504"/>
    <w:rsid w:val="003421CB"/>
    <w:rsid w:val="00347824"/>
    <w:rsid w:val="00350567"/>
    <w:rsid w:val="003521E8"/>
    <w:rsid w:val="00364795"/>
    <w:rsid w:val="0036704D"/>
    <w:rsid w:val="003728F3"/>
    <w:rsid w:val="0037496E"/>
    <w:rsid w:val="00383EA8"/>
    <w:rsid w:val="00385C7E"/>
    <w:rsid w:val="00386150"/>
    <w:rsid w:val="003874CE"/>
    <w:rsid w:val="00390900"/>
    <w:rsid w:val="00391462"/>
    <w:rsid w:val="00393B90"/>
    <w:rsid w:val="003954A6"/>
    <w:rsid w:val="003A7F6C"/>
    <w:rsid w:val="003B355A"/>
    <w:rsid w:val="003B4D60"/>
    <w:rsid w:val="003B7E39"/>
    <w:rsid w:val="003C58DC"/>
    <w:rsid w:val="003D1E62"/>
    <w:rsid w:val="003E0DD7"/>
    <w:rsid w:val="003E166F"/>
    <w:rsid w:val="003E2486"/>
    <w:rsid w:val="003E3208"/>
    <w:rsid w:val="003F0465"/>
    <w:rsid w:val="003F0B04"/>
    <w:rsid w:val="0040134E"/>
    <w:rsid w:val="00421170"/>
    <w:rsid w:val="00430FC5"/>
    <w:rsid w:val="00440A2D"/>
    <w:rsid w:val="00446293"/>
    <w:rsid w:val="004508E5"/>
    <w:rsid w:val="004564A7"/>
    <w:rsid w:val="004617BF"/>
    <w:rsid w:val="00463658"/>
    <w:rsid w:val="004722CC"/>
    <w:rsid w:val="0047254B"/>
    <w:rsid w:val="0049082D"/>
    <w:rsid w:val="00493380"/>
    <w:rsid w:val="004936E4"/>
    <w:rsid w:val="00494E60"/>
    <w:rsid w:val="00497487"/>
    <w:rsid w:val="004A3B9F"/>
    <w:rsid w:val="004A6166"/>
    <w:rsid w:val="004B7B76"/>
    <w:rsid w:val="004C239D"/>
    <w:rsid w:val="004C2DCA"/>
    <w:rsid w:val="004C56E8"/>
    <w:rsid w:val="004C67AA"/>
    <w:rsid w:val="004D59B2"/>
    <w:rsid w:val="004D5C2F"/>
    <w:rsid w:val="004E654A"/>
    <w:rsid w:val="004F0F38"/>
    <w:rsid w:val="004F5EC1"/>
    <w:rsid w:val="00501921"/>
    <w:rsid w:val="00510CCA"/>
    <w:rsid w:val="005221E5"/>
    <w:rsid w:val="00525E14"/>
    <w:rsid w:val="00530354"/>
    <w:rsid w:val="005361E8"/>
    <w:rsid w:val="0053625B"/>
    <w:rsid w:val="005434C6"/>
    <w:rsid w:val="00543B39"/>
    <w:rsid w:val="00550096"/>
    <w:rsid w:val="00557FF9"/>
    <w:rsid w:val="00571450"/>
    <w:rsid w:val="00571D80"/>
    <w:rsid w:val="00576378"/>
    <w:rsid w:val="00577130"/>
    <w:rsid w:val="00577945"/>
    <w:rsid w:val="00577E38"/>
    <w:rsid w:val="00585322"/>
    <w:rsid w:val="005857C6"/>
    <w:rsid w:val="00586E1B"/>
    <w:rsid w:val="00592F6E"/>
    <w:rsid w:val="00593AD1"/>
    <w:rsid w:val="005A6766"/>
    <w:rsid w:val="005A68B6"/>
    <w:rsid w:val="005B76CD"/>
    <w:rsid w:val="005C4DFE"/>
    <w:rsid w:val="005C5570"/>
    <w:rsid w:val="005C79A4"/>
    <w:rsid w:val="005D5442"/>
    <w:rsid w:val="005D56B9"/>
    <w:rsid w:val="005D79E0"/>
    <w:rsid w:val="005E23C8"/>
    <w:rsid w:val="005E5248"/>
    <w:rsid w:val="005F35D5"/>
    <w:rsid w:val="005F3AB7"/>
    <w:rsid w:val="00600CE3"/>
    <w:rsid w:val="00601DC3"/>
    <w:rsid w:val="00603F32"/>
    <w:rsid w:val="00604324"/>
    <w:rsid w:val="00610934"/>
    <w:rsid w:val="0061161D"/>
    <w:rsid w:val="00613D0D"/>
    <w:rsid w:val="00615930"/>
    <w:rsid w:val="00616071"/>
    <w:rsid w:val="0062275E"/>
    <w:rsid w:val="006256CD"/>
    <w:rsid w:val="00625A6E"/>
    <w:rsid w:val="00625BB1"/>
    <w:rsid w:val="006319FC"/>
    <w:rsid w:val="00632398"/>
    <w:rsid w:val="006366E5"/>
    <w:rsid w:val="00640FC3"/>
    <w:rsid w:val="00642020"/>
    <w:rsid w:val="0065337B"/>
    <w:rsid w:val="0065419D"/>
    <w:rsid w:val="00656392"/>
    <w:rsid w:val="006604D8"/>
    <w:rsid w:val="00662E78"/>
    <w:rsid w:val="00664A5B"/>
    <w:rsid w:val="006656FE"/>
    <w:rsid w:val="006665DC"/>
    <w:rsid w:val="0066663B"/>
    <w:rsid w:val="006763D2"/>
    <w:rsid w:val="00680C08"/>
    <w:rsid w:val="00685B42"/>
    <w:rsid w:val="00686F85"/>
    <w:rsid w:val="006931B1"/>
    <w:rsid w:val="006A15C0"/>
    <w:rsid w:val="006A58FA"/>
    <w:rsid w:val="006A6B47"/>
    <w:rsid w:val="006C3E2A"/>
    <w:rsid w:val="006C642F"/>
    <w:rsid w:val="006D03E5"/>
    <w:rsid w:val="006D0603"/>
    <w:rsid w:val="006D5D3E"/>
    <w:rsid w:val="006E08B3"/>
    <w:rsid w:val="006F17AC"/>
    <w:rsid w:val="006F1E35"/>
    <w:rsid w:val="006F4D05"/>
    <w:rsid w:val="006F572E"/>
    <w:rsid w:val="006F5D89"/>
    <w:rsid w:val="0070032C"/>
    <w:rsid w:val="00704504"/>
    <w:rsid w:val="007046D6"/>
    <w:rsid w:val="00705DB0"/>
    <w:rsid w:val="00706153"/>
    <w:rsid w:val="00707670"/>
    <w:rsid w:val="00721359"/>
    <w:rsid w:val="00722B57"/>
    <w:rsid w:val="00731D9F"/>
    <w:rsid w:val="0073785E"/>
    <w:rsid w:val="007403C6"/>
    <w:rsid w:val="0074206A"/>
    <w:rsid w:val="0074253D"/>
    <w:rsid w:val="0074429B"/>
    <w:rsid w:val="00756A26"/>
    <w:rsid w:val="00760904"/>
    <w:rsid w:val="007615BC"/>
    <w:rsid w:val="00762F05"/>
    <w:rsid w:val="007652FF"/>
    <w:rsid w:val="00770EF1"/>
    <w:rsid w:val="00773EF7"/>
    <w:rsid w:val="00774E1D"/>
    <w:rsid w:val="0077675A"/>
    <w:rsid w:val="00776D60"/>
    <w:rsid w:val="00780355"/>
    <w:rsid w:val="00785721"/>
    <w:rsid w:val="00793A59"/>
    <w:rsid w:val="00797B70"/>
    <w:rsid w:val="007A5B1E"/>
    <w:rsid w:val="007B6E9F"/>
    <w:rsid w:val="007B7856"/>
    <w:rsid w:val="007C1216"/>
    <w:rsid w:val="007C19E2"/>
    <w:rsid w:val="007C1AF7"/>
    <w:rsid w:val="007C696B"/>
    <w:rsid w:val="007C71A5"/>
    <w:rsid w:val="007C74AB"/>
    <w:rsid w:val="007D1A02"/>
    <w:rsid w:val="007D26DB"/>
    <w:rsid w:val="007D3BB4"/>
    <w:rsid w:val="007D712B"/>
    <w:rsid w:val="007E5F50"/>
    <w:rsid w:val="007F3EE9"/>
    <w:rsid w:val="00800A2A"/>
    <w:rsid w:val="00805D27"/>
    <w:rsid w:val="00806EB7"/>
    <w:rsid w:val="00821776"/>
    <w:rsid w:val="0082373C"/>
    <w:rsid w:val="00831500"/>
    <w:rsid w:val="008321F5"/>
    <w:rsid w:val="00832369"/>
    <w:rsid w:val="00834660"/>
    <w:rsid w:val="00836BC2"/>
    <w:rsid w:val="0085641B"/>
    <w:rsid w:val="00857136"/>
    <w:rsid w:val="00873977"/>
    <w:rsid w:val="00883197"/>
    <w:rsid w:val="00885B11"/>
    <w:rsid w:val="00886D15"/>
    <w:rsid w:val="00887DD8"/>
    <w:rsid w:val="00892573"/>
    <w:rsid w:val="00895CF0"/>
    <w:rsid w:val="00896018"/>
    <w:rsid w:val="008960DD"/>
    <w:rsid w:val="0089635C"/>
    <w:rsid w:val="00897ACE"/>
    <w:rsid w:val="008A2B9D"/>
    <w:rsid w:val="008A59F9"/>
    <w:rsid w:val="008A5E0B"/>
    <w:rsid w:val="008A6835"/>
    <w:rsid w:val="008A6D59"/>
    <w:rsid w:val="008A73B5"/>
    <w:rsid w:val="008A7FE1"/>
    <w:rsid w:val="008B1E2A"/>
    <w:rsid w:val="008B42CB"/>
    <w:rsid w:val="008B4B03"/>
    <w:rsid w:val="008B596F"/>
    <w:rsid w:val="008C159F"/>
    <w:rsid w:val="008C1623"/>
    <w:rsid w:val="008C1850"/>
    <w:rsid w:val="008C370C"/>
    <w:rsid w:val="008C51A9"/>
    <w:rsid w:val="008D0CDD"/>
    <w:rsid w:val="008E244C"/>
    <w:rsid w:val="008E3283"/>
    <w:rsid w:val="008E34EB"/>
    <w:rsid w:val="008E7846"/>
    <w:rsid w:val="008F1CCC"/>
    <w:rsid w:val="008F2967"/>
    <w:rsid w:val="008F6943"/>
    <w:rsid w:val="00902A21"/>
    <w:rsid w:val="00904356"/>
    <w:rsid w:val="009073C3"/>
    <w:rsid w:val="00910D6B"/>
    <w:rsid w:val="0091768E"/>
    <w:rsid w:val="00920330"/>
    <w:rsid w:val="009205EE"/>
    <w:rsid w:val="00920C88"/>
    <w:rsid w:val="009219D7"/>
    <w:rsid w:val="00922D53"/>
    <w:rsid w:val="00923B70"/>
    <w:rsid w:val="00924482"/>
    <w:rsid w:val="009250BA"/>
    <w:rsid w:val="00925FEB"/>
    <w:rsid w:val="00927C20"/>
    <w:rsid w:val="00930037"/>
    <w:rsid w:val="00930237"/>
    <w:rsid w:val="00946EA5"/>
    <w:rsid w:val="00963C08"/>
    <w:rsid w:val="00975B41"/>
    <w:rsid w:val="00976FFF"/>
    <w:rsid w:val="0098585A"/>
    <w:rsid w:val="00986865"/>
    <w:rsid w:val="00990922"/>
    <w:rsid w:val="009952E6"/>
    <w:rsid w:val="009A001E"/>
    <w:rsid w:val="009A0F26"/>
    <w:rsid w:val="009A4CED"/>
    <w:rsid w:val="009A5EE7"/>
    <w:rsid w:val="009A690D"/>
    <w:rsid w:val="009B1D12"/>
    <w:rsid w:val="009B416B"/>
    <w:rsid w:val="009B7633"/>
    <w:rsid w:val="009C4BD5"/>
    <w:rsid w:val="009C7295"/>
    <w:rsid w:val="009D5548"/>
    <w:rsid w:val="009D7B77"/>
    <w:rsid w:val="009E03D9"/>
    <w:rsid w:val="009E0BB0"/>
    <w:rsid w:val="009E3FBB"/>
    <w:rsid w:val="009E6FD9"/>
    <w:rsid w:val="009F0F82"/>
    <w:rsid w:val="009F490D"/>
    <w:rsid w:val="00A102E4"/>
    <w:rsid w:val="00A12672"/>
    <w:rsid w:val="00A12C42"/>
    <w:rsid w:val="00A14DF7"/>
    <w:rsid w:val="00A209E8"/>
    <w:rsid w:val="00A3246D"/>
    <w:rsid w:val="00A346EB"/>
    <w:rsid w:val="00A36FA7"/>
    <w:rsid w:val="00A42FCD"/>
    <w:rsid w:val="00A475B7"/>
    <w:rsid w:val="00A47AF7"/>
    <w:rsid w:val="00A47C3E"/>
    <w:rsid w:val="00A50226"/>
    <w:rsid w:val="00A55BFD"/>
    <w:rsid w:val="00A60BAD"/>
    <w:rsid w:val="00A62120"/>
    <w:rsid w:val="00A63335"/>
    <w:rsid w:val="00A63D53"/>
    <w:rsid w:val="00A73F2E"/>
    <w:rsid w:val="00A7503C"/>
    <w:rsid w:val="00A75EBF"/>
    <w:rsid w:val="00A8453E"/>
    <w:rsid w:val="00A84E36"/>
    <w:rsid w:val="00A964D1"/>
    <w:rsid w:val="00AA0ED0"/>
    <w:rsid w:val="00AB5F29"/>
    <w:rsid w:val="00AC10EC"/>
    <w:rsid w:val="00AC13D7"/>
    <w:rsid w:val="00AC2B40"/>
    <w:rsid w:val="00AC2BB2"/>
    <w:rsid w:val="00AC2C3C"/>
    <w:rsid w:val="00AC512D"/>
    <w:rsid w:val="00AC543C"/>
    <w:rsid w:val="00AD0083"/>
    <w:rsid w:val="00AD060C"/>
    <w:rsid w:val="00AD348F"/>
    <w:rsid w:val="00AE0D26"/>
    <w:rsid w:val="00AE42F4"/>
    <w:rsid w:val="00AE5046"/>
    <w:rsid w:val="00AE65EB"/>
    <w:rsid w:val="00AE67A7"/>
    <w:rsid w:val="00AF1D35"/>
    <w:rsid w:val="00AF1D94"/>
    <w:rsid w:val="00AF60C5"/>
    <w:rsid w:val="00B009C6"/>
    <w:rsid w:val="00B01548"/>
    <w:rsid w:val="00B21D29"/>
    <w:rsid w:val="00B241FD"/>
    <w:rsid w:val="00B25034"/>
    <w:rsid w:val="00B277C4"/>
    <w:rsid w:val="00B33028"/>
    <w:rsid w:val="00B33588"/>
    <w:rsid w:val="00B33863"/>
    <w:rsid w:val="00B341AE"/>
    <w:rsid w:val="00B37D17"/>
    <w:rsid w:val="00B4175E"/>
    <w:rsid w:val="00B452CE"/>
    <w:rsid w:val="00B4542E"/>
    <w:rsid w:val="00B54C25"/>
    <w:rsid w:val="00B57801"/>
    <w:rsid w:val="00B6292C"/>
    <w:rsid w:val="00B76B91"/>
    <w:rsid w:val="00B77EB1"/>
    <w:rsid w:val="00B811C6"/>
    <w:rsid w:val="00B83025"/>
    <w:rsid w:val="00B84B6C"/>
    <w:rsid w:val="00B855B0"/>
    <w:rsid w:val="00B92E08"/>
    <w:rsid w:val="00BA5999"/>
    <w:rsid w:val="00BC04CD"/>
    <w:rsid w:val="00BC0950"/>
    <w:rsid w:val="00BC1E76"/>
    <w:rsid w:val="00BC2642"/>
    <w:rsid w:val="00BC622A"/>
    <w:rsid w:val="00BD4BA7"/>
    <w:rsid w:val="00BE024D"/>
    <w:rsid w:val="00BE0A78"/>
    <w:rsid w:val="00BE219B"/>
    <w:rsid w:val="00BE392A"/>
    <w:rsid w:val="00BE4B62"/>
    <w:rsid w:val="00BE79F0"/>
    <w:rsid w:val="00BF0129"/>
    <w:rsid w:val="00BF046D"/>
    <w:rsid w:val="00BF1190"/>
    <w:rsid w:val="00BF5D04"/>
    <w:rsid w:val="00C1164D"/>
    <w:rsid w:val="00C16861"/>
    <w:rsid w:val="00C17BC3"/>
    <w:rsid w:val="00C37F1B"/>
    <w:rsid w:val="00C404A6"/>
    <w:rsid w:val="00C40A36"/>
    <w:rsid w:val="00C44419"/>
    <w:rsid w:val="00C45E7B"/>
    <w:rsid w:val="00C46C69"/>
    <w:rsid w:val="00C471B1"/>
    <w:rsid w:val="00C56523"/>
    <w:rsid w:val="00C5733F"/>
    <w:rsid w:val="00C6316B"/>
    <w:rsid w:val="00C634A9"/>
    <w:rsid w:val="00C64586"/>
    <w:rsid w:val="00C65001"/>
    <w:rsid w:val="00C66B62"/>
    <w:rsid w:val="00C70D53"/>
    <w:rsid w:val="00C73D0B"/>
    <w:rsid w:val="00C772FF"/>
    <w:rsid w:val="00C80137"/>
    <w:rsid w:val="00C801AF"/>
    <w:rsid w:val="00C80256"/>
    <w:rsid w:val="00CA04A7"/>
    <w:rsid w:val="00CA383F"/>
    <w:rsid w:val="00CA4F06"/>
    <w:rsid w:val="00CB36DF"/>
    <w:rsid w:val="00CB6BC0"/>
    <w:rsid w:val="00CC1B7C"/>
    <w:rsid w:val="00CC42CD"/>
    <w:rsid w:val="00CC727F"/>
    <w:rsid w:val="00CD062A"/>
    <w:rsid w:val="00CD2097"/>
    <w:rsid w:val="00CF15C3"/>
    <w:rsid w:val="00CF2B6F"/>
    <w:rsid w:val="00CF58B6"/>
    <w:rsid w:val="00D017ED"/>
    <w:rsid w:val="00D040D3"/>
    <w:rsid w:val="00D04C65"/>
    <w:rsid w:val="00D05877"/>
    <w:rsid w:val="00D224FE"/>
    <w:rsid w:val="00D43C1F"/>
    <w:rsid w:val="00D6493E"/>
    <w:rsid w:val="00D7195D"/>
    <w:rsid w:val="00D7301E"/>
    <w:rsid w:val="00D81971"/>
    <w:rsid w:val="00D83AE1"/>
    <w:rsid w:val="00D855D4"/>
    <w:rsid w:val="00D90E2F"/>
    <w:rsid w:val="00D93466"/>
    <w:rsid w:val="00DA0A41"/>
    <w:rsid w:val="00DA1124"/>
    <w:rsid w:val="00DB6124"/>
    <w:rsid w:val="00DB75B7"/>
    <w:rsid w:val="00DC07D2"/>
    <w:rsid w:val="00DC291E"/>
    <w:rsid w:val="00DC6E02"/>
    <w:rsid w:val="00DD7D4D"/>
    <w:rsid w:val="00DE02AE"/>
    <w:rsid w:val="00DE0CF3"/>
    <w:rsid w:val="00DF1D7F"/>
    <w:rsid w:val="00DF2574"/>
    <w:rsid w:val="00DF4BE4"/>
    <w:rsid w:val="00DF4F1C"/>
    <w:rsid w:val="00E01F69"/>
    <w:rsid w:val="00E02FB4"/>
    <w:rsid w:val="00E039BE"/>
    <w:rsid w:val="00E06D94"/>
    <w:rsid w:val="00E0799B"/>
    <w:rsid w:val="00E116B4"/>
    <w:rsid w:val="00E14B8E"/>
    <w:rsid w:val="00E20571"/>
    <w:rsid w:val="00E235F7"/>
    <w:rsid w:val="00E23659"/>
    <w:rsid w:val="00E239D4"/>
    <w:rsid w:val="00E26130"/>
    <w:rsid w:val="00E40B22"/>
    <w:rsid w:val="00E44545"/>
    <w:rsid w:val="00E44A9A"/>
    <w:rsid w:val="00E45619"/>
    <w:rsid w:val="00E4588F"/>
    <w:rsid w:val="00E46DA3"/>
    <w:rsid w:val="00E518D3"/>
    <w:rsid w:val="00E51BB1"/>
    <w:rsid w:val="00E51E69"/>
    <w:rsid w:val="00E624A5"/>
    <w:rsid w:val="00E70115"/>
    <w:rsid w:val="00E7344E"/>
    <w:rsid w:val="00E84A4E"/>
    <w:rsid w:val="00E92C83"/>
    <w:rsid w:val="00EB0798"/>
    <w:rsid w:val="00EB40AD"/>
    <w:rsid w:val="00EB586E"/>
    <w:rsid w:val="00EB5FC8"/>
    <w:rsid w:val="00EC7A85"/>
    <w:rsid w:val="00ED3412"/>
    <w:rsid w:val="00ED3CAD"/>
    <w:rsid w:val="00ED539E"/>
    <w:rsid w:val="00ED5A41"/>
    <w:rsid w:val="00EE1DE8"/>
    <w:rsid w:val="00EE46D1"/>
    <w:rsid w:val="00EF1140"/>
    <w:rsid w:val="00EF2BBF"/>
    <w:rsid w:val="00EF4642"/>
    <w:rsid w:val="00EF5CD2"/>
    <w:rsid w:val="00F02E33"/>
    <w:rsid w:val="00F033EC"/>
    <w:rsid w:val="00F04F68"/>
    <w:rsid w:val="00F12670"/>
    <w:rsid w:val="00F14B27"/>
    <w:rsid w:val="00F22E56"/>
    <w:rsid w:val="00F3122B"/>
    <w:rsid w:val="00F3148D"/>
    <w:rsid w:val="00F325C5"/>
    <w:rsid w:val="00F32FE0"/>
    <w:rsid w:val="00F340B7"/>
    <w:rsid w:val="00F35298"/>
    <w:rsid w:val="00F37290"/>
    <w:rsid w:val="00F47333"/>
    <w:rsid w:val="00F47E37"/>
    <w:rsid w:val="00F53C07"/>
    <w:rsid w:val="00F54B65"/>
    <w:rsid w:val="00F640B6"/>
    <w:rsid w:val="00F73A27"/>
    <w:rsid w:val="00F80E40"/>
    <w:rsid w:val="00F848D9"/>
    <w:rsid w:val="00F92485"/>
    <w:rsid w:val="00FA1C0B"/>
    <w:rsid w:val="00FA5B82"/>
    <w:rsid w:val="00FA639E"/>
    <w:rsid w:val="00FC09A0"/>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12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qFormat="1"/>
    <w:lsdException w:name="caption" w:semiHidden="0" w:uiPriority="0" w:unhideWhenUsed="0" w:qFormat="1"/>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542E"/>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DF4F1C"/>
    <w:pPr>
      <w:keepNext/>
      <w:ind w:left="170" w:right="170"/>
    </w:pPr>
    <w:rPr>
      <w:b/>
      <w:color w:val="FFFFFF" w:themeColor="background1"/>
      <w:szCs w:val="21"/>
      <w:lang w:eastAsia="en-AU"/>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nhideWhenUsed/>
    <w:rsid w:val="005E23C8"/>
    <w:rPr>
      <w:sz w:val="16"/>
      <w:szCs w:val="16"/>
    </w:rPr>
  </w:style>
  <w:style w:type="paragraph" w:styleId="CommentText">
    <w:name w:val="annotation text"/>
    <w:basedOn w:val="Normal"/>
    <w:link w:val="CommentTextChar"/>
    <w:unhideWhenUsed/>
    <w:rsid w:val="005E23C8"/>
    <w:pPr>
      <w:spacing w:line="240" w:lineRule="auto"/>
    </w:pPr>
    <w:rPr>
      <w:sz w:val="20"/>
      <w:szCs w:val="20"/>
    </w:rPr>
  </w:style>
  <w:style w:type="character" w:customStyle="1" w:styleId="CommentTextChar">
    <w:name w:val="Comment Text Char"/>
    <w:basedOn w:val="DefaultParagraphFont"/>
    <w:link w:val="CommentText"/>
    <w:rsid w:val="005E23C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E23C8"/>
    <w:rPr>
      <w:b/>
      <w:bCs/>
    </w:rPr>
  </w:style>
  <w:style w:type="character" w:customStyle="1" w:styleId="CommentSubjectChar">
    <w:name w:val="Comment Subject Char"/>
    <w:basedOn w:val="CommentTextChar"/>
    <w:link w:val="CommentSubject"/>
    <w:uiPriority w:val="99"/>
    <w:semiHidden/>
    <w:rsid w:val="005E23C8"/>
    <w:rPr>
      <w:rFonts w:ascii="Cambria" w:eastAsia="Cambria" w:hAnsi="Cambria" w:cs="Times New Roman"/>
      <w:b/>
      <w:bCs/>
      <w:sz w:val="20"/>
      <w:szCs w:val="20"/>
    </w:rPr>
  </w:style>
  <w:style w:type="paragraph" w:customStyle="1" w:styleId="Instructionaltext">
    <w:name w:val="Instructional text"/>
    <w:basedOn w:val="Normal"/>
    <w:link w:val="InstructionaltextChar"/>
    <w:uiPriority w:val="1"/>
    <w:qFormat/>
    <w:rsid w:val="004C67AA"/>
    <w:rPr>
      <w:i/>
      <w:color w:val="22ABFF" w:themeColor="accent1" w:themeTint="80"/>
      <w:szCs w:val="24"/>
    </w:rPr>
  </w:style>
  <w:style w:type="character" w:customStyle="1" w:styleId="InstructionaltextChar">
    <w:name w:val="Instructional text Char"/>
    <w:basedOn w:val="DefaultParagraphFont"/>
    <w:link w:val="Instructionaltext"/>
    <w:uiPriority w:val="1"/>
    <w:rsid w:val="004C67AA"/>
    <w:rPr>
      <w:rFonts w:ascii="Cambria" w:eastAsia="Cambria" w:hAnsi="Cambria" w:cs="Times New Roman"/>
      <w:i/>
      <w:color w:val="22ABFF" w:themeColor="accent1" w:themeTint="80"/>
      <w:szCs w:val="24"/>
    </w:rPr>
  </w:style>
  <w:style w:type="paragraph" w:customStyle="1" w:styleId="Bulletpoint">
    <w:name w:val="Bullet point"/>
    <w:basedOn w:val="Normal"/>
    <w:rsid w:val="00E01F69"/>
    <w:pPr>
      <w:numPr>
        <w:numId w:val="5"/>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customStyle="1" w:styleId="Standard">
    <w:name w:val="Standard"/>
    <w:basedOn w:val="Normal"/>
    <w:link w:val="StandardChar"/>
    <w:rsid w:val="00E01F69"/>
    <w:pPr>
      <w:spacing w:before="0" w:after="220" w:line="252" w:lineRule="auto"/>
    </w:pPr>
    <w:rPr>
      <w:rFonts w:eastAsia="Times New Roman"/>
      <w:snapToGrid w:val="0"/>
      <w:kern w:val="16"/>
      <w:szCs w:val="24"/>
    </w:rPr>
  </w:style>
  <w:style w:type="paragraph" w:customStyle="1" w:styleId="SectionHeading">
    <w:name w:val="Section Heading"/>
    <w:basedOn w:val="Standard"/>
    <w:next w:val="Standard"/>
    <w:link w:val="SectionHeadingCharChar"/>
    <w:rsid w:val="00E01F69"/>
    <w:pPr>
      <w:keepNext/>
      <w:outlineLvl w:val="0"/>
    </w:pPr>
    <w:rPr>
      <w:b/>
      <w:caps/>
    </w:rPr>
  </w:style>
  <w:style w:type="character" w:customStyle="1" w:styleId="StandardChar">
    <w:name w:val="Standard Char"/>
    <w:basedOn w:val="DefaultParagraphFont"/>
    <w:link w:val="Standard"/>
    <w:rsid w:val="00E01F69"/>
    <w:rPr>
      <w:rFonts w:ascii="Cambria" w:eastAsia="Times New Roman" w:hAnsi="Cambria" w:cs="Times New Roman"/>
      <w:snapToGrid w:val="0"/>
      <w:kern w:val="16"/>
      <w:szCs w:val="24"/>
    </w:rPr>
  </w:style>
  <w:style w:type="character" w:customStyle="1" w:styleId="SectionHeadingCharChar">
    <w:name w:val="Section Heading Char Char"/>
    <w:basedOn w:val="DefaultParagraphFont"/>
    <w:link w:val="SectionHeading"/>
    <w:rsid w:val="00E01F69"/>
    <w:rPr>
      <w:rFonts w:ascii="Cambria" w:eastAsia="Times New Roman" w:hAnsi="Cambria" w:cs="Times New Roman"/>
      <w:b/>
      <w:caps/>
      <w:snapToGrid w:val="0"/>
      <w:kern w:val="16"/>
      <w:szCs w:val="24"/>
    </w:rPr>
  </w:style>
  <w:style w:type="paragraph" w:customStyle="1" w:styleId="WhiteSpace">
    <w:name w:val="White Space"/>
    <w:basedOn w:val="Standard"/>
    <w:link w:val="WhiteSpaceChar"/>
    <w:rsid w:val="00E01F69"/>
    <w:pPr>
      <w:spacing w:after="0"/>
    </w:pPr>
    <w:rPr>
      <w:sz w:val="16"/>
      <w:szCs w:val="16"/>
    </w:rPr>
  </w:style>
  <w:style w:type="paragraph" w:customStyle="1" w:styleId="AssessmentSubsection">
    <w:name w:val="Assessment Subsection"/>
    <w:basedOn w:val="Standard"/>
    <w:next w:val="Standard"/>
    <w:rsid w:val="00E01F69"/>
    <w:pPr>
      <w:keepNext/>
      <w:spacing w:after="110"/>
      <w:outlineLvl w:val="2"/>
    </w:pPr>
    <w:rPr>
      <w:b/>
      <w:i/>
    </w:rPr>
  </w:style>
  <w:style w:type="character" w:customStyle="1" w:styleId="WhiteSpaceChar">
    <w:name w:val="White Space Char"/>
    <w:basedOn w:val="DefaultParagraphFont"/>
    <w:link w:val="WhiteSpace"/>
    <w:rsid w:val="00E01F69"/>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E01F69"/>
    <w:pPr>
      <w:spacing w:before="60" w:after="440" w:line="215" w:lineRule="exact"/>
      <w:ind w:left="170"/>
    </w:pPr>
    <w:rPr>
      <w:rFonts w:eastAsia="Cambria"/>
      <w:snapToGrid/>
      <w:kern w:val="0"/>
      <w:sz w:val="19"/>
      <w:szCs w:val="22"/>
    </w:rPr>
  </w:style>
  <w:style w:type="character" w:customStyle="1" w:styleId="TabletextChar">
    <w:name w:val="Table text Char"/>
    <w:basedOn w:val="DefaultParagraphFont"/>
    <w:link w:val="Tabletext"/>
    <w:rsid w:val="00E01F69"/>
    <w:rPr>
      <w:rFonts w:ascii="Cambria" w:eastAsia="Cambria" w:hAnsi="Cambria" w:cs="Times New Roman"/>
      <w:sz w:val="19"/>
    </w:rPr>
  </w:style>
  <w:style w:type="character" w:customStyle="1" w:styleId="TableCaptionChar">
    <w:name w:val="Table Caption Char"/>
    <w:basedOn w:val="TabletextChar"/>
    <w:link w:val="TableCaption"/>
    <w:rsid w:val="00E01F69"/>
    <w:rPr>
      <w:rFonts w:ascii="Cambria" w:eastAsia="Cambria" w:hAnsi="Cambria" w:cs="Times New Roman"/>
      <w:sz w:val="19"/>
    </w:rPr>
  </w:style>
  <w:style w:type="paragraph" w:customStyle="1" w:styleId="AssessmentSection">
    <w:name w:val="Assessment Section"/>
    <w:basedOn w:val="AssessmentSubsection"/>
    <w:next w:val="Standard"/>
    <w:rsid w:val="00E01F69"/>
    <w:pPr>
      <w:outlineLvl w:val="1"/>
    </w:pPr>
    <w:rPr>
      <w:i w:val="0"/>
    </w:rPr>
  </w:style>
  <w:style w:type="paragraph" w:customStyle="1" w:styleId="AssessmentSubsection2">
    <w:name w:val="Assessment Subsection 2"/>
    <w:basedOn w:val="AssessmentSubsection"/>
    <w:next w:val="Standard"/>
    <w:rsid w:val="00E01F69"/>
    <w:pPr>
      <w:outlineLvl w:val="3"/>
    </w:pPr>
    <w:rPr>
      <w:b w:val="0"/>
    </w:rPr>
  </w:style>
  <w:style w:type="paragraph" w:customStyle="1" w:styleId="Abbreviations">
    <w:name w:val="Abbreviations"/>
    <w:basedOn w:val="Normal"/>
    <w:rsid w:val="00E01F69"/>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ListParagraph">
    <w:name w:val="List Paragraph"/>
    <w:basedOn w:val="Normal"/>
    <w:uiPriority w:val="34"/>
    <w:qFormat/>
    <w:rsid w:val="00E01F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E01F69"/>
    <w:pPr>
      <w:spacing w:after="0" w:line="240" w:lineRule="auto"/>
    </w:pPr>
    <w:rPr>
      <w:rFonts w:eastAsia="Times New Roman"/>
      <w:kern w:val="24"/>
      <w:szCs w:val="24"/>
      <w:lang w:eastAsia="en-AU"/>
    </w:rPr>
  </w:style>
  <w:style w:type="paragraph" w:customStyle="1" w:styleId="Bullet2">
    <w:name w:val="Bullet 2"/>
    <w:basedOn w:val="Bullet1"/>
    <w:rsid w:val="00E01F69"/>
    <w:pPr>
      <w:numPr>
        <w:numId w:val="6"/>
      </w:numPr>
    </w:pPr>
  </w:style>
  <w:style w:type="character" w:customStyle="1" w:styleId="st1">
    <w:name w:val="st1"/>
    <w:basedOn w:val="DefaultParagraphFont"/>
    <w:rsid w:val="00B33028"/>
  </w:style>
  <w:style w:type="paragraph" w:customStyle="1" w:styleId="BodyCopy">
    <w:name w:val="Body Copy"/>
    <w:basedOn w:val="Normal"/>
    <w:qFormat/>
    <w:rsid w:val="00B33028"/>
    <w:pPr>
      <w:adjustRightInd w:val="0"/>
      <w:snapToGrid w:val="0"/>
      <w:spacing w:before="180" w:after="180"/>
    </w:pPr>
    <w:rPr>
      <w:rFonts w:eastAsia="MS Mincho"/>
      <w:szCs w:val="20"/>
      <w:lang w:eastAsia="ja-JP"/>
    </w:rPr>
  </w:style>
  <w:style w:type="character" w:styleId="Emphasis">
    <w:name w:val="Emphasis"/>
    <w:basedOn w:val="DefaultParagraphFont"/>
    <w:uiPriority w:val="20"/>
    <w:qFormat/>
    <w:rsid w:val="0074206A"/>
    <w:rPr>
      <w:b/>
      <w:bCs/>
      <w:i w:val="0"/>
      <w:iCs w:val="0"/>
    </w:rPr>
  </w:style>
  <w:style w:type="character" w:customStyle="1" w:styleId="st">
    <w:name w:val="st"/>
    <w:basedOn w:val="DefaultParagraphFont"/>
    <w:rsid w:val="0074206A"/>
  </w:style>
  <w:style w:type="paragraph" w:customStyle="1" w:styleId="A-Head6">
    <w:name w:val="A-Head 6"/>
    <w:basedOn w:val="Normal"/>
    <w:rsid w:val="0073785E"/>
    <w:pPr>
      <w:spacing w:before="60" w:after="0" w:line="240" w:lineRule="auto"/>
    </w:pPr>
    <w:rPr>
      <w:rFonts w:ascii="Arial" w:eastAsia="Times New Roman" w:hAnsi="Arial"/>
      <w:b/>
      <w:szCs w:val="20"/>
    </w:rPr>
  </w:style>
  <w:style w:type="paragraph" w:styleId="BodyText">
    <w:name w:val="Body Text"/>
    <w:basedOn w:val="Normal"/>
    <w:link w:val="BodyTextChar"/>
    <w:rsid w:val="006A6B47"/>
    <w:pPr>
      <w:spacing w:before="60" w:after="60" w:line="240" w:lineRule="auto"/>
      <w:ind w:right="-108"/>
    </w:pPr>
    <w:rPr>
      <w:rFonts w:ascii="Times New Roman" w:eastAsia="Times New Roman" w:hAnsi="Times New Roman"/>
      <w:szCs w:val="20"/>
    </w:rPr>
  </w:style>
  <w:style w:type="character" w:customStyle="1" w:styleId="BodyTextChar">
    <w:name w:val="Body Text Char"/>
    <w:basedOn w:val="DefaultParagraphFont"/>
    <w:link w:val="BodyText"/>
    <w:rsid w:val="006A6B47"/>
    <w:rPr>
      <w:rFonts w:ascii="Times New Roman" w:eastAsia="Times New Roman" w:hAnsi="Times New Roman" w:cs="Times New Roman"/>
      <w:szCs w:val="20"/>
    </w:rPr>
  </w:style>
  <w:style w:type="paragraph" w:styleId="Revision">
    <w:name w:val="Revision"/>
    <w:hidden/>
    <w:uiPriority w:val="99"/>
    <w:semiHidden/>
    <w:rsid w:val="006F5D89"/>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qFormat="1"/>
    <w:lsdException w:name="caption" w:semiHidden="0" w:uiPriority="0" w:unhideWhenUsed="0" w:qFormat="1"/>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542E"/>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DF4F1C"/>
    <w:pPr>
      <w:keepNext/>
      <w:ind w:left="170" w:right="170"/>
    </w:pPr>
    <w:rPr>
      <w:b/>
      <w:color w:val="FFFFFF" w:themeColor="background1"/>
      <w:szCs w:val="21"/>
      <w:lang w:eastAsia="en-AU"/>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nhideWhenUsed/>
    <w:rsid w:val="005E23C8"/>
    <w:rPr>
      <w:sz w:val="16"/>
      <w:szCs w:val="16"/>
    </w:rPr>
  </w:style>
  <w:style w:type="paragraph" w:styleId="CommentText">
    <w:name w:val="annotation text"/>
    <w:basedOn w:val="Normal"/>
    <w:link w:val="CommentTextChar"/>
    <w:unhideWhenUsed/>
    <w:rsid w:val="005E23C8"/>
    <w:pPr>
      <w:spacing w:line="240" w:lineRule="auto"/>
    </w:pPr>
    <w:rPr>
      <w:sz w:val="20"/>
      <w:szCs w:val="20"/>
    </w:rPr>
  </w:style>
  <w:style w:type="character" w:customStyle="1" w:styleId="CommentTextChar">
    <w:name w:val="Comment Text Char"/>
    <w:basedOn w:val="DefaultParagraphFont"/>
    <w:link w:val="CommentText"/>
    <w:rsid w:val="005E23C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E23C8"/>
    <w:rPr>
      <w:b/>
      <w:bCs/>
    </w:rPr>
  </w:style>
  <w:style w:type="character" w:customStyle="1" w:styleId="CommentSubjectChar">
    <w:name w:val="Comment Subject Char"/>
    <w:basedOn w:val="CommentTextChar"/>
    <w:link w:val="CommentSubject"/>
    <w:uiPriority w:val="99"/>
    <w:semiHidden/>
    <w:rsid w:val="005E23C8"/>
    <w:rPr>
      <w:rFonts w:ascii="Cambria" w:eastAsia="Cambria" w:hAnsi="Cambria" w:cs="Times New Roman"/>
      <w:b/>
      <w:bCs/>
      <w:sz w:val="20"/>
      <w:szCs w:val="20"/>
    </w:rPr>
  </w:style>
  <w:style w:type="paragraph" w:customStyle="1" w:styleId="Instructionaltext">
    <w:name w:val="Instructional text"/>
    <w:basedOn w:val="Normal"/>
    <w:link w:val="InstructionaltextChar"/>
    <w:uiPriority w:val="1"/>
    <w:qFormat/>
    <w:rsid w:val="004C67AA"/>
    <w:rPr>
      <w:i/>
      <w:color w:val="22ABFF" w:themeColor="accent1" w:themeTint="80"/>
      <w:szCs w:val="24"/>
    </w:rPr>
  </w:style>
  <w:style w:type="character" w:customStyle="1" w:styleId="InstructionaltextChar">
    <w:name w:val="Instructional text Char"/>
    <w:basedOn w:val="DefaultParagraphFont"/>
    <w:link w:val="Instructionaltext"/>
    <w:uiPriority w:val="1"/>
    <w:rsid w:val="004C67AA"/>
    <w:rPr>
      <w:rFonts w:ascii="Cambria" w:eastAsia="Cambria" w:hAnsi="Cambria" w:cs="Times New Roman"/>
      <w:i/>
      <w:color w:val="22ABFF" w:themeColor="accent1" w:themeTint="80"/>
      <w:szCs w:val="24"/>
    </w:rPr>
  </w:style>
  <w:style w:type="paragraph" w:customStyle="1" w:styleId="Bulletpoint">
    <w:name w:val="Bullet point"/>
    <w:basedOn w:val="Normal"/>
    <w:rsid w:val="00E01F69"/>
    <w:pPr>
      <w:numPr>
        <w:numId w:val="5"/>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customStyle="1" w:styleId="Standard">
    <w:name w:val="Standard"/>
    <w:basedOn w:val="Normal"/>
    <w:link w:val="StandardChar"/>
    <w:rsid w:val="00E01F69"/>
    <w:pPr>
      <w:spacing w:before="0" w:after="220" w:line="252" w:lineRule="auto"/>
    </w:pPr>
    <w:rPr>
      <w:rFonts w:eastAsia="Times New Roman"/>
      <w:snapToGrid w:val="0"/>
      <w:kern w:val="16"/>
      <w:szCs w:val="24"/>
    </w:rPr>
  </w:style>
  <w:style w:type="paragraph" w:customStyle="1" w:styleId="SectionHeading">
    <w:name w:val="Section Heading"/>
    <w:basedOn w:val="Standard"/>
    <w:next w:val="Standard"/>
    <w:link w:val="SectionHeadingCharChar"/>
    <w:rsid w:val="00E01F69"/>
    <w:pPr>
      <w:keepNext/>
      <w:outlineLvl w:val="0"/>
    </w:pPr>
    <w:rPr>
      <w:b/>
      <w:caps/>
    </w:rPr>
  </w:style>
  <w:style w:type="character" w:customStyle="1" w:styleId="StandardChar">
    <w:name w:val="Standard Char"/>
    <w:basedOn w:val="DefaultParagraphFont"/>
    <w:link w:val="Standard"/>
    <w:rsid w:val="00E01F69"/>
    <w:rPr>
      <w:rFonts w:ascii="Cambria" w:eastAsia="Times New Roman" w:hAnsi="Cambria" w:cs="Times New Roman"/>
      <w:snapToGrid w:val="0"/>
      <w:kern w:val="16"/>
      <w:szCs w:val="24"/>
    </w:rPr>
  </w:style>
  <w:style w:type="character" w:customStyle="1" w:styleId="SectionHeadingCharChar">
    <w:name w:val="Section Heading Char Char"/>
    <w:basedOn w:val="DefaultParagraphFont"/>
    <w:link w:val="SectionHeading"/>
    <w:rsid w:val="00E01F69"/>
    <w:rPr>
      <w:rFonts w:ascii="Cambria" w:eastAsia="Times New Roman" w:hAnsi="Cambria" w:cs="Times New Roman"/>
      <w:b/>
      <w:caps/>
      <w:snapToGrid w:val="0"/>
      <w:kern w:val="16"/>
      <w:szCs w:val="24"/>
    </w:rPr>
  </w:style>
  <w:style w:type="paragraph" w:customStyle="1" w:styleId="WhiteSpace">
    <w:name w:val="White Space"/>
    <w:basedOn w:val="Standard"/>
    <w:link w:val="WhiteSpaceChar"/>
    <w:rsid w:val="00E01F69"/>
    <w:pPr>
      <w:spacing w:after="0"/>
    </w:pPr>
    <w:rPr>
      <w:sz w:val="16"/>
      <w:szCs w:val="16"/>
    </w:rPr>
  </w:style>
  <w:style w:type="paragraph" w:customStyle="1" w:styleId="AssessmentSubsection">
    <w:name w:val="Assessment Subsection"/>
    <w:basedOn w:val="Standard"/>
    <w:next w:val="Standard"/>
    <w:rsid w:val="00E01F69"/>
    <w:pPr>
      <w:keepNext/>
      <w:spacing w:after="110"/>
      <w:outlineLvl w:val="2"/>
    </w:pPr>
    <w:rPr>
      <w:b/>
      <w:i/>
    </w:rPr>
  </w:style>
  <w:style w:type="character" w:customStyle="1" w:styleId="WhiteSpaceChar">
    <w:name w:val="White Space Char"/>
    <w:basedOn w:val="DefaultParagraphFont"/>
    <w:link w:val="WhiteSpace"/>
    <w:rsid w:val="00E01F69"/>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E01F69"/>
    <w:pPr>
      <w:spacing w:before="60" w:after="440" w:line="215" w:lineRule="exact"/>
      <w:ind w:left="170"/>
    </w:pPr>
    <w:rPr>
      <w:rFonts w:eastAsia="Cambria"/>
      <w:snapToGrid/>
      <w:kern w:val="0"/>
      <w:sz w:val="19"/>
      <w:szCs w:val="22"/>
    </w:rPr>
  </w:style>
  <w:style w:type="character" w:customStyle="1" w:styleId="TabletextChar">
    <w:name w:val="Table text Char"/>
    <w:basedOn w:val="DefaultParagraphFont"/>
    <w:link w:val="Tabletext"/>
    <w:rsid w:val="00E01F69"/>
    <w:rPr>
      <w:rFonts w:ascii="Cambria" w:eastAsia="Cambria" w:hAnsi="Cambria" w:cs="Times New Roman"/>
      <w:sz w:val="19"/>
    </w:rPr>
  </w:style>
  <w:style w:type="character" w:customStyle="1" w:styleId="TableCaptionChar">
    <w:name w:val="Table Caption Char"/>
    <w:basedOn w:val="TabletextChar"/>
    <w:link w:val="TableCaption"/>
    <w:rsid w:val="00E01F69"/>
    <w:rPr>
      <w:rFonts w:ascii="Cambria" w:eastAsia="Cambria" w:hAnsi="Cambria" w:cs="Times New Roman"/>
      <w:sz w:val="19"/>
    </w:rPr>
  </w:style>
  <w:style w:type="paragraph" w:customStyle="1" w:styleId="AssessmentSection">
    <w:name w:val="Assessment Section"/>
    <w:basedOn w:val="AssessmentSubsection"/>
    <w:next w:val="Standard"/>
    <w:rsid w:val="00E01F69"/>
    <w:pPr>
      <w:outlineLvl w:val="1"/>
    </w:pPr>
    <w:rPr>
      <w:i w:val="0"/>
    </w:rPr>
  </w:style>
  <w:style w:type="paragraph" w:customStyle="1" w:styleId="AssessmentSubsection2">
    <w:name w:val="Assessment Subsection 2"/>
    <w:basedOn w:val="AssessmentSubsection"/>
    <w:next w:val="Standard"/>
    <w:rsid w:val="00E01F69"/>
    <w:pPr>
      <w:outlineLvl w:val="3"/>
    </w:pPr>
    <w:rPr>
      <w:b w:val="0"/>
    </w:rPr>
  </w:style>
  <w:style w:type="paragraph" w:customStyle="1" w:styleId="Abbreviations">
    <w:name w:val="Abbreviations"/>
    <w:basedOn w:val="Normal"/>
    <w:rsid w:val="00E01F69"/>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ListParagraph">
    <w:name w:val="List Paragraph"/>
    <w:basedOn w:val="Normal"/>
    <w:uiPriority w:val="34"/>
    <w:qFormat/>
    <w:rsid w:val="00E01F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E01F69"/>
    <w:pPr>
      <w:spacing w:after="0" w:line="240" w:lineRule="auto"/>
    </w:pPr>
    <w:rPr>
      <w:rFonts w:eastAsia="Times New Roman"/>
      <w:kern w:val="24"/>
      <w:szCs w:val="24"/>
      <w:lang w:eastAsia="en-AU"/>
    </w:rPr>
  </w:style>
  <w:style w:type="paragraph" w:customStyle="1" w:styleId="Bullet2">
    <w:name w:val="Bullet 2"/>
    <w:basedOn w:val="Bullet1"/>
    <w:rsid w:val="00E01F69"/>
    <w:pPr>
      <w:numPr>
        <w:numId w:val="6"/>
      </w:numPr>
    </w:pPr>
  </w:style>
  <w:style w:type="character" w:customStyle="1" w:styleId="st1">
    <w:name w:val="st1"/>
    <w:basedOn w:val="DefaultParagraphFont"/>
    <w:rsid w:val="00B33028"/>
  </w:style>
  <w:style w:type="paragraph" w:customStyle="1" w:styleId="BodyCopy">
    <w:name w:val="Body Copy"/>
    <w:basedOn w:val="Normal"/>
    <w:qFormat/>
    <w:rsid w:val="00B33028"/>
    <w:pPr>
      <w:adjustRightInd w:val="0"/>
      <w:snapToGrid w:val="0"/>
      <w:spacing w:before="180" w:after="180"/>
    </w:pPr>
    <w:rPr>
      <w:rFonts w:eastAsia="MS Mincho"/>
      <w:szCs w:val="20"/>
      <w:lang w:eastAsia="ja-JP"/>
    </w:rPr>
  </w:style>
  <w:style w:type="character" w:styleId="Emphasis">
    <w:name w:val="Emphasis"/>
    <w:basedOn w:val="DefaultParagraphFont"/>
    <w:uiPriority w:val="20"/>
    <w:qFormat/>
    <w:rsid w:val="0074206A"/>
    <w:rPr>
      <w:b/>
      <w:bCs/>
      <w:i w:val="0"/>
      <w:iCs w:val="0"/>
    </w:rPr>
  </w:style>
  <w:style w:type="character" w:customStyle="1" w:styleId="st">
    <w:name w:val="st"/>
    <w:basedOn w:val="DefaultParagraphFont"/>
    <w:rsid w:val="0074206A"/>
  </w:style>
  <w:style w:type="paragraph" w:customStyle="1" w:styleId="A-Head6">
    <w:name w:val="A-Head 6"/>
    <w:basedOn w:val="Normal"/>
    <w:rsid w:val="0073785E"/>
    <w:pPr>
      <w:spacing w:before="60" w:after="0" w:line="240" w:lineRule="auto"/>
    </w:pPr>
    <w:rPr>
      <w:rFonts w:ascii="Arial" w:eastAsia="Times New Roman" w:hAnsi="Arial"/>
      <w:b/>
      <w:szCs w:val="20"/>
    </w:rPr>
  </w:style>
  <w:style w:type="paragraph" w:styleId="BodyText">
    <w:name w:val="Body Text"/>
    <w:basedOn w:val="Normal"/>
    <w:link w:val="BodyTextChar"/>
    <w:rsid w:val="006A6B47"/>
    <w:pPr>
      <w:spacing w:before="60" w:after="60" w:line="240" w:lineRule="auto"/>
      <w:ind w:right="-108"/>
    </w:pPr>
    <w:rPr>
      <w:rFonts w:ascii="Times New Roman" w:eastAsia="Times New Roman" w:hAnsi="Times New Roman"/>
      <w:szCs w:val="20"/>
    </w:rPr>
  </w:style>
  <w:style w:type="character" w:customStyle="1" w:styleId="BodyTextChar">
    <w:name w:val="Body Text Char"/>
    <w:basedOn w:val="DefaultParagraphFont"/>
    <w:link w:val="BodyText"/>
    <w:rsid w:val="006A6B47"/>
    <w:rPr>
      <w:rFonts w:ascii="Times New Roman" w:eastAsia="Times New Roman" w:hAnsi="Times New Roman" w:cs="Times New Roman"/>
      <w:szCs w:val="20"/>
    </w:rPr>
  </w:style>
  <w:style w:type="paragraph" w:styleId="Revision">
    <w:name w:val="Revision"/>
    <w:hidden/>
    <w:uiPriority w:val="99"/>
    <w:semiHidden/>
    <w:rsid w:val="006F5D89"/>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7177">
      <w:bodyDiv w:val="1"/>
      <w:marLeft w:val="0"/>
      <w:marRight w:val="0"/>
      <w:marTop w:val="0"/>
      <w:marBottom w:val="0"/>
      <w:divBdr>
        <w:top w:val="none" w:sz="0" w:space="0" w:color="auto"/>
        <w:left w:val="none" w:sz="0" w:space="0" w:color="auto"/>
        <w:bottom w:val="none" w:sz="0" w:space="0" w:color="auto"/>
        <w:right w:val="none" w:sz="0" w:space="0" w:color="auto"/>
      </w:divBdr>
      <w:divsChild>
        <w:div w:id="1807579661">
          <w:marLeft w:val="0"/>
          <w:marRight w:val="0"/>
          <w:marTop w:val="0"/>
          <w:marBottom w:val="0"/>
          <w:divBdr>
            <w:top w:val="none" w:sz="0" w:space="0" w:color="auto"/>
            <w:left w:val="none" w:sz="0" w:space="0" w:color="auto"/>
            <w:bottom w:val="none" w:sz="0" w:space="0" w:color="auto"/>
            <w:right w:val="none" w:sz="0" w:space="0" w:color="auto"/>
          </w:divBdr>
          <w:divsChild>
            <w:div w:id="1665431303">
              <w:marLeft w:val="0"/>
              <w:marRight w:val="0"/>
              <w:marTop w:val="0"/>
              <w:marBottom w:val="0"/>
              <w:divBdr>
                <w:top w:val="none" w:sz="0" w:space="0" w:color="auto"/>
                <w:left w:val="none" w:sz="0" w:space="0" w:color="auto"/>
                <w:bottom w:val="none" w:sz="0" w:space="0" w:color="auto"/>
                <w:right w:val="none" w:sz="0" w:space="0" w:color="auto"/>
              </w:divBdr>
              <w:divsChild>
                <w:div w:id="10339653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5147314">
      <w:bodyDiv w:val="1"/>
      <w:marLeft w:val="0"/>
      <w:marRight w:val="0"/>
      <w:marTop w:val="0"/>
      <w:marBottom w:val="0"/>
      <w:divBdr>
        <w:top w:val="none" w:sz="0" w:space="0" w:color="auto"/>
        <w:left w:val="none" w:sz="0" w:space="0" w:color="auto"/>
        <w:bottom w:val="none" w:sz="0" w:space="0" w:color="auto"/>
        <w:right w:val="none" w:sz="0" w:space="0" w:color="auto"/>
      </w:divBdr>
    </w:div>
    <w:div w:id="147329708">
      <w:bodyDiv w:val="1"/>
      <w:marLeft w:val="0"/>
      <w:marRight w:val="0"/>
      <w:marTop w:val="0"/>
      <w:marBottom w:val="0"/>
      <w:divBdr>
        <w:top w:val="none" w:sz="0" w:space="0" w:color="auto"/>
        <w:left w:val="none" w:sz="0" w:space="0" w:color="auto"/>
        <w:bottom w:val="none" w:sz="0" w:space="0" w:color="auto"/>
        <w:right w:val="none" w:sz="0" w:space="0" w:color="auto"/>
      </w:divBdr>
    </w:div>
    <w:div w:id="212735998">
      <w:bodyDiv w:val="1"/>
      <w:marLeft w:val="0"/>
      <w:marRight w:val="0"/>
      <w:marTop w:val="0"/>
      <w:marBottom w:val="0"/>
      <w:divBdr>
        <w:top w:val="none" w:sz="0" w:space="0" w:color="auto"/>
        <w:left w:val="none" w:sz="0" w:space="0" w:color="auto"/>
        <w:bottom w:val="none" w:sz="0" w:space="0" w:color="auto"/>
        <w:right w:val="none" w:sz="0" w:space="0" w:color="auto"/>
      </w:divBdr>
    </w:div>
    <w:div w:id="429932154">
      <w:bodyDiv w:val="1"/>
      <w:marLeft w:val="0"/>
      <w:marRight w:val="0"/>
      <w:marTop w:val="0"/>
      <w:marBottom w:val="0"/>
      <w:divBdr>
        <w:top w:val="none" w:sz="0" w:space="0" w:color="auto"/>
        <w:left w:val="none" w:sz="0" w:space="0" w:color="auto"/>
        <w:bottom w:val="none" w:sz="0" w:space="0" w:color="auto"/>
        <w:right w:val="none" w:sz="0" w:space="0" w:color="auto"/>
      </w:divBdr>
    </w:div>
    <w:div w:id="608776639">
      <w:bodyDiv w:val="1"/>
      <w:marLeft w:val="0"/>
      <w:marRight w:val="0"/>
      <w:marTop w:val="0"/>
      <w:marBottom w:val="0"/>
      <w:divBdr>
        <w:top w:val="none" w:sz="0" w:space="0" w:color="auto"/>
        <w:left w:val="none" w:sz="0" w:space="0" w:color="auto"/>
        <w:bottom w:val="none" w:sz="0" w:space="0" w:color="auto"/>
        <w:right w:val="none" w:sz="0" w:space="0" w:color="auto"/>
      </w:divBdr>
    </w:div>
    <w:div w:id="622924432">
      <w:bodyDiv w:val="1"/>
      <w:marLeft w:val="0"/>
      <w:marRight w:val="0"/>
      <w:marTop w:val="0"/>
      <w:marBottom w:val="0"/>
      <w:divBdr>
        <w:top w:val="none" w:sz="0" w:space="0" w:color="auto"/>
        <w:left w:val="none" w:sz="0" w:space="0" w:color="auto"/>
        <w:bottom w:val="none" w:sz="0" w:space="0" w:color="auto"/>
        <w:right w:val="none" w:sz="0" w:space="0" w:color="auto"/>
      </w:divBdr>
    </w:div>
    <w:div w:id="729576420">
      <w:bodyDiv w:val="1"/>
      <w:marLeft w:val="0"/>
      <w:marRight w:val="0"/>
      <w:marTop w:val="0"/>
      <w:marBottom w:val="0"/>
      <w:divBdr>
        <w:top w:val="none" w:sz="0" w:space="0" w:color="auto"/>
        <w:left w:val="none" w:sz="0" w:space="0" w:color="auto"/>
        <w:bottom w:val="none" w:sz="0" w:space="0" w:color="auto"/>
        <w:right w:val="none" w:sz="0" w:space="0" w:color="auto"/>
      </w:divBdr>
    </w:div>
    <w:div w:id="742413569">
      <w:bodyDiv w:val="1"/>
      <w:marLeft w:val="0"/>
      <w:marRight w:val="0"/>
      <w:marTop w:val="0"/>
      <w:marBottom w:val="0"/>
      <w:divBdr>
        <w:top w:val="none" w:sz="0" w:space="0" w:color="auto"/>
        <w:left w:val="none" w:sz="0" w:space="0" w:color="auto"/>
        <w:bottom w:val="none" w:sz="0" w:space="0" w:color="auto"/>
        <w:right w:val="none" w:sz="0" w:space="0" w:color="auto"/>
      </w:divBdr>
    </w:div>
    <w:div w:id="932129067">
      <w:bodyDiv w:val="1"/>
      <w:marLeft w:val="0"/>
      <w:marRight w:val="0"/>
      <w:marTop w:val="0"/>
      <w:marBottom w:val="0"/>
      <w:divBdr>
        <w:top w:val="none" w:sz="0" w:space="0" w:color="auto"/>
        <w:left w:val="none" w:sz="0" w:space="0" w:color="auto"/>
        <w:bottom w:val="none" w:sz="0" w:space="0" w:color="auto"/>
        <w:right w:val="none" w:sz="0" w:space="0" w:color="auto"/>
      </w:divBdr>
    </w:div>
    <w:div w:id="960646644">
      <w:bodyDiv w:val="1"/>
      <w:marLeft w:val="0"/>
      <w:marRight w:val="0"/>
      <w:marTop w:val="0"/>
      <w:marBottom w:val="0"/>
      <w:divBdr>
        <w:top w:val="none" w:sz="0" w:space="0" w:color="auto"/>
        <w:left w:val="none" w:sz="0" w:space="0" w:color="auto"/>
        <w:bottom w:val="none" w:sz="0" w:space="0" w:color="auto"/>
        <w:right w:val="none" w:sz="0" w:space="0" w:color="auto"/>
      </w:divBdr>
    </w:div>
    <w:div w:id="978268306">
      <w:bodyDiv w:val="1"/>
      <w:marLeft w:val="0"/>
      <w:marRight w:val="0"/>
      <w:marTop w:val="0"/>
      <w:marBottom w:val="0"/>
      <w:divBdr>
        <w:top w:val="none" w:sz="0" w:space="0" w:color="auto"/>
        <w:left w:val="none" w:sz="0" w:space="0" w:color="auto"/>
        <w:bottom w:val="none" w:sz="0" w:space="0" w:color="auto"/>
        <w:right w:val="none" w:sz="0" w:space="0" w:color="auto"/>
      </w:divBdr>
    </w:div>
    <w:div w:id="1086148776">
      <w:bodyDiv w:val="1"/>
      <w:marLeft w:val="0"/>
      <w:marRight w:val="0"/>
      <w:marTop w:val="0"/>
      <w:marBottom w:val="0"/>
      <w:divBdr>
        <w:top w:val="none" w:sz="0" w:space="0" w:color="auto"/>
        <w:left w:val="none" w:sz="0" w:space="0" w:color="auto"/>
        <w:bottom w:val="none" w:sz="0" w:space="0" w:color="auto"/>
        <w:right w:val="none" w:sz="0" w:space="0" w:color="auto"/>
      </w:divBdr>
    </w:div>
    <w:div w:id="1262108902">
      <w:bodyDiv w:val="1"/>
      <w:marLeft w:val="0"/>
      <w:marRight w:val="0"/>
      <w:marTop w:val="0"/>
      <w:marBottom w:val="0"/>
      <w:divBdr>
        <w:top w:val="none" w:sz="0" w:space="0" w:color="auto"/>
        <w:left w:val="none" w:sz="0" w:space="0" w:color="auto"/>
        <w:bottom w:val="none" w:sz="0" w:space="0" w:color="auto"/>
        <w:right w:val="none" w:sz="0" w:space="0" w:color="auto"/>
      </w:divBdr>
    </w:div>
    <w:div w:id="1324316852">
      <w:bodyDiv w:val="1"/>
      <w:marLeft w:val="0"/>
      <w:marRight w:val="0"/>
      <w:marTop w:val="0"/>
      <w:marBottom w:val="0"/>
      <w:divBdr>
        <w:top w:val="none" w:sz="0" w:space="0" w:color="auto"/>
        <w:left w:val="none" w:sz="0" w:space="0" w:color="auto"/>
        <w:bottom w:val="none" w:sz="0" w:space="0" w:color="auto"/>
        <w:right w:val="none" w:sz="0" w:space="0" w:color="auto"/>
      </w:divBdr>
    </w:div>
    <w:div w:id="1357274260">
      <w:bodyDiv w:val="1"/>
      <w:marLeft w:val="0"/>
      <w:marRight w:val="0"/>
      <w:marTop w:val="0"/>
      <w:marBottom w:val="0"/>
      <w:divBdr>
        <w:top w:val="none" w:sz="0" w:space="0" w:color="auto"/>
        <w:left w:val="none" w:sz="0" w:space="0" w:color="auto"/>
        <w:bottom w:val="none" w:sz="0" w:space="0" w:color="auto"/>
        <w:right w:val="none" w:sz="0" w:space="0" w:color="auto"/>
      </w:divBdr>
    </w:div>
    <w:div w:id="1365209673">
      <w:bodyDiv w:val="1"/>
      <w:marLeft w:val="0"/>
      <w:marRight w:val="0"/>
      <w:marTop w:val="0"/>
      <w:marBottom w:val="0"/>
      <w:divBdr>
        <w:top w:val="none" w:sz="0" w:space="0" w:color="auto"/>
        <w:left w:val="none" w:sz="0" w:space="0" w:color="auto"/>
        <w:bottom w:val="none" w:sz="0" w:space="0" w:color="auto"/>
        <w:right w:val="none" w:sz="0" w:space="0" w:color="auto"/>
      </w:divBdr>
    </w:div>
    <w:div w:id="1372146707">
      <w:bodyDiv w:val="1"/>
      <w:marLeft w:val="0"/>
      <w:marRight w:val="0"/>
      <w:marTop w:val="0"/>
      <w:marBottom w:val="0"/>
      <w:divBdr>
        <w:top w:val="none" w:sz="0" w:space="0" w:color="auto"/>
        <w:left w:val="none" w:sz="0" w:space="0" w:color="auto"/>
        <w:bottom w:val="none" w:sz="0" w:space="0" w:color="auto"/>
        <w:right w:val="none" w:sz="0" w:space="0" w:color="auto"/>
      </w:divBdr>
      <w:divsChild>
        <w:div w:id="935210226">
          <w:marLeft w:val="0"/>
          <w:marRight w:val="0"/>
          <w:marTop w:val="0"/>
          <w:marBottom w:val="0"/>
          <w:divBdr>
            <w:top w:val="none" w:sz="0" w:space="0" w:color="auto"/>
            <w:left w:val="none" w:sz="0" w:space="0" w:color="auto"/>
            <w:bottom w:val="none" w:sz="0" w:space="0" w:color="auto"/>
            <w:right w:val="none" w:sz="0" w:space="0" w:color="auto"/>
          </w:divBdr>
          <w:divsChild>
            <w:div w:id="69624894">
              <w:marLeft w:val="0"/>
              <w:marRight w:val="0"/>
              <w:marTop w:val="0"/>
              <w:marBottom w:val="0"/>
              <w:divBdr>
                <w:top w:val="none" w:sz="0" w:space="0" w:color="auto"/>
                <w:left w:val="none" w:sz="0" w:space="0" w:color="auto"/>
                <w:bottom w:val="none" w:sz="0" w:space="0" w:color="auto"/>
                <w:right w:val="none" w:sz="0" w:space="0" w:color="auto"/>
              </w:divBdr>
              <w:divsChild>
                <w:div w:id="19097233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87872285">
      <w:bodyDiv w:val="1"/>
      <w:marLeft w:val="0"/>
      <w:marRight w:val="0"/>
      <w:marTop w:val="0"/>
      <w:marBottom w:val="0"/>
      <w:divBdr>
        <w:top w:val="none" w:sz="0" w:space="0" w:color="auto"/>
        <w:left w:val="none" w:sz="0" w:space="0" w:color="auto"/>
        <w:bottom w:val="none" w:sz="0" w:space="0" w:color="auto"/>
        <w:right w:val="none" w:sz="0" w:space="0" w:color="auto"/>
      </w:divBdr>
    </w:div>
    <w:div w:id="1495758286">
      <w:bodyDiv w:val="1"/>
      <w:marLeft w:val="0"/>
      <w:marRight w:val="0"/>
      <w:marTop w:val="0"/>
      <w:marBottom w:val="0"/>
      <w:divBdr>
        <w:top w:val="none" w:sz="0" w:space="0" w:color="auto"/>
        <w:left w:val="none" w:sz="0" w:space="0" w:color="auto"/>
        <w:bottom w:val="none" w:sz="0" w:space="0" w:color="auto"/>
        <w:right w:val="none" w:sz="0" w:space="0" w:color="auto"/>
      </w:divBdr>
    </w:div>
    <w:div w:id="1639918215">
      <w:bodyDiv w:val="1"/>
      <w:marLeft w:val="0"/>
      <w:marRight w:val="0"/>
      <w:marTop w:val="0"/>
      <w:marBottom w:val="0"/>
      <w:divBdr>
        <w:top w:val="none" w:sz="0" w:space="0" w:color="auto"/>
        <w:left w:val="none" w:sz="0" w:space="0" w:color="auto"/>
        <w:bottom w:val="none" w:sz="0" w:space="0" w:color="auto"/>
        <w:right w:val="none" w:sz="0" w:space="0" w:color="auto"/>
      </w:divBdr>
    </w:div>
    <w:div w:id="1989286906">
      <w:bodyDiv w:val="1"/>
      <w:marLeft w:val="0"/>
      <w:marRight w:val="0"/>
      <w:marTop w:val="0"/>
      <w:marBottom w:val="0"/>
      <w:divBdr>
        <w:top w:val="none" w:sz="0" w:space="0" w:color="auto"/>
        <w:left w:val="none" w:sz="0" w:space="0" w:color="auto"/>
        <w:bottom w:val="none" w:sz="0" w:space="0" w:color="auto"/>
        <w:right w:val="none" w:sz="0" w:space="0" w:color="auto"/>
      </w:divBdr>
    </w:div>
    <w:div w:id="2023042189">
      <w:bodyDiv w:val="1"/>
      <w:marLeft w:val="0"/>
      <w:marRight w:val="0"/>
      <w:marTop w:val="0"/>
      <w:marBottom w:val="0"/>
      <w:divBdr>
        <w:top w:val="none" w:sz="0" w:space="0" w:color="auto"/>
        <w:left w:val="none" w:sz="0" w:space="0" w:color="auto"/>
        <w:bottom w:val="none" w:sz="0" w:space="0" w:color="auto"/>
        <w:right w:val="none" w:sz="0" w:space="0" w:color="auto"/>
      </w:divBdr>
    </w:div>
    <w:div w:id="2107845221">
      <w:bodyDiv w:val="1"/>
      <w:marLeft w:val="0"/>
      <w:marRight w:val="0"/>
      <w:marTop w:val="0"/>
      <w:marBottom w:val="0"/>
      <w:divBdr>
        <w:top w:val="none" w:sz="0" w:space="0" w:color="auto"/>
        <w:left w:val="none" w:sz="0" w:space="0" w:color="auto"/>
        <w:bottom w:val="none" w:sz="0" w:space="0" w:color="auto"/>
        <w:right w:val="none" w:sz="0" w:space="0" w:color="auto"/>
      </w:divBdr>
    </w:div>
    <w:div w:id="2112124579">
      <w:bodyDiv w:val="1"/>
      <w:marLeft w:val="0"/>
      <w:marRight w:val="0"/>
      <w:marTop w:val="0"/>
      <w:marBottom w:val="0"/>
      <w:divBdr>
        <w:top w:val="none" w:sz="0" w:space="0" w:color="auto"/>
        <w:left w:val="none" w:sz="0" w:space="0" w:color="auto"/>
        <w:bottom w:val="none" w:sz="0" w:space="0" w:color="auto"/>
        <w:right w:val="none" w:sz="0" w:space="0" w:color="auto"/>
      </w:divBdr>
    </w:div>
    <w:div w:id="21421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image" Target="media/image3.emf"/><Relationship Id="rId26" Type="http://schemas.openxmlformats.org/officeDocument/2006/relationships/image" Target="media/image10.png"/><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www.tga.gov.au" TargetMode="External"/><Relationship Id="rId7" Type="http://schemas.microsoft.com/office/2007/relationships/stylesWithEffects" Target="stylesWithEffects.xml"/><Relationship Id="rId12" Type="http://schemas.openxmlformats.org/officeDocument/2006/relationships/hyperlink" Target="http://www.tga.gov.au" TargetMode="External"/><Relationship Id="rId17" Type="http://schemas.openxmlformats.org/officeDocument/2006/relationships/hyperlink" Target="http://www.tga.gov.au/product-information-pi" TargetMode="External"/><Relationship Id="rId25" Type="http://schemas.openxmlformats.org/officeDocument/2006/relationships/image" Target="media/image9.emf"/><Relationship Id="rId33" Type="http://schemas.openxmlformats.org/officeDocument/2006/relationships/hyperlink" Target="mailto:info@tga.gov.au"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www.ich.org/"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www.tga.gov.au/product-information-pi" TargetMode="External"/><Relationship Id="rId30" Type="http://schemas.openxmlformats.org/officeDocument/2006/relationships/footer" Target="footer2.xml"/><Relationship Id="rId35"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ja\AppData\Local\Hewlett-Packard\HP%20TRIM\TEMP\HPTRIM.1864\R12%20926607%20(Revision%2020)%20%20AusPAR%20-%20Aclasta(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28F67AE53AB44976B3F59E43690ED" ma:contentTypeVersion="0" ma:contentTypeDescription="Create a new document." ma:contentTypeScope="" ma:versionID="16cfa989f058a6b28b1fe64c91421d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47B4-3F83-4842-A4CC-E0FAC344D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AE4F34-C7B1-4685-AB3A-A05D64CD2416}">
  <ds:schemaRefs>
    <ds:schemaRef ds:uri="http://schemas.microsoft.com/sharepoint/v3/contenttype/forms"/>
  </ds:schemaRefs>
</ds:datastoreItem>
</file>

<file path=customXml/itemProps3.xml><?xml version="1.0" encoding="utf-8"?>
<ds:datastoreItem xmlns:ds="http://schemas.openxmlformats.org/officeDocument/2006/customXml" ds:itemID="{1C3F830A-9DCB-4E17-B766-16AB26F471A4}">
  <ds:schemaRef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88BF314-9316-4276-A9A2-F0963F58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(Revision 20)  AusPAR - Aclasta(2)</Template>
  <TotalTime>425</TotalTime>
  <Pages>52</Pages>
  <Words>19301</Words>
  <Characters>110018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Australian public assessment report for Aripiprazole Monohydrate</vt:lpstr>
    </vt:vector>
  </TitlesOfParts>
  <Company>Department of Health Therapeutic Goods Administration</Company>
  <LinksUpToDate>false</LinksUpToDate>
  <CharactersWithSpaces>129061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Aripiprazole Monohydrate</dc:title>
  <dc:subject>prescription medicine regulation</dc:subject>
  <dc:creator>Therapeutic Goods Administration</dc:creator>
  <cp:keywords>auspar, prescription, medicine, assessment, regulation, australia, aripiprazole, monohydrate, lundbeck</cp:keywords>
  <cp:lastModifiedBy>Sheppard, Fran</cp:lastModifiedBy>
  <cp:revision>26</cp:revision>
  <cp:lastPrinted>2014-10-30T04:22:00Z</cp:lastPrinted>
  <dcterms:created xsi:type="dcterms:W3CDTF">2015-01-05T01:47:00Z</dcterms:created>
  <dcterms:modified xsi:type="dcterms:W3CDTF">2015-01-13T04:12:00Z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0x01010059828F67AE53AB44976B3F59E43690ED</vt:lpwstr>
  </property>
</Properties>
</file>