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9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7"/>
      </w:tblGrid>
      <w:tr w:rsidR="008E7846" w:rsidRPr="00487162" w14:paraId="24A32E53" w14:textId="77777777" w:rsidTr="002B55D9">
        <w:trPr>
          <w:trHeight w:val="2032"/>
        </w:trPr>
        <w:tc>
          <w:tcPr>
            <w:tcW w:w="9187" w:type="dxa"/>
            <w:tcBorders>
              <w:top w:val="nil"/>
              <w:left w:val="nil"/>
              <w:bottom w:val="nil"/>
              <w:right w:val="nil"/>
            </w:tcBorders>
          </w:tcPr>
          <w:p w14:paraId="24A32E51" w14:textId="77777777" w:rsidR="002B55D9" w:rsidRDefault="002B55D9" w:rsidP="0017078F">
            <w:pPr>
              <w:rPr>
                <w:rFonts w:ascii="Arial" w:hAnsi="Arial" w:cs="Arial"/>
                <w:b/>
                <w:color w:val="002C47"/>
                <w:sz w:val="36"/>
                <w:szCs w:val="36"/>
              </w:rPr>
            </w:pPr>
            <w:r>
              <w:rPr>
                <w:rFonts w:ascii="Arial" w:hAnsi="Arial" w:cs="Arial"/>
                <w:b/>
                <w:color w:val="002C47"/>
                <w:sz w:val="36"/>
                <w:szCs w:val="36"/>
              </w:rPr>
              <w:t>First round clinical evaluation</w:t>
            </w:r>
            <w:r w:rsidR="006D6E57">
              <w:rPr>
                <w:rFonts w:ascii="Arial" w:hAnsi="Arial" w:cs="Arial"/>
                <w:b/>
                <w:color w:val="002C47"/>
                <w:sz w:val="36"/>
                <w:szCs w:val="36"/>
              </w:rPr>
              <w:t>:</w:t>
            </w:r>
            <w:r>
              <w:rPr>
                <w:rFonts w:ascii="Arial" w:hAnsi="Arial" w:cs="Arial"/>
                <w:b/>
                <w:color w:val="002C47"/>
                <w:sz w:val="36"/>
                <w:szCs w:val="36"/>
              </w:rPr>
              <w:t xml:space="preserve"> 23 July 2013</w:t>
            </w:r>
          </w:p>
          <w:p w14:paraId="24A32E52" w14:textId="77777777" w:rsidR="008E7846" w:rsidRPr="0017078F" w:rsidRDefault="002B55D9" w:rsidP="002B55D9">
            <w:pPr>
              <w:rPr>
                <w:rFonts w:ascii="Arial" w:hAnsi="Arial" w:cs="Arial"/>
                <w:b/>
                <w:color w:val="002C47"/>
                <w:sz w:val="36"/>
                <w:szCs w:val="36"/>
              </w:rPr>
            </w:pPr>
            <w:r>
              <w:rPr>
                <w:rFonts w:ascii="Arial" w:hAnsi="Arial" w:cs="Arial"/>
                <w:b/>
                <w:color w:val="002C47"/>
                <w:sz w:val="36"/>
                <w:szCs w:val="36"/>
              </w:rPr>
              <w:t>Second round clinical evaluation</w:t>
            </w:r>
            <w:r w:rsidR="006D6E57">
              <w:rPr>
                <w:rFonts w:ascii="Arial" w:hAnsi="Arial" w:cs="Arial"/>
                <w:b/>
                <w:color w:val="002C47"/>
                <w:sz w:val="36"/>
                <w:szCs w:val="36"/>
              </w:rPr>
              <w:t>:</w:t>
            </w:r>
            <w:r>
              <w:rPr>
                <w:rFonts w:ascii="Arial" w:hAnsi="Arial" w:cs="Arial"/>
                <w:b/>
                <w:color w:val="002C47"/>
                <w:sz w:val="36"/>
                <w:szCs w:val="36"/>
              </w:rPr>
              <w:t xml:space="preserve"> 17 February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24A32E55" w14:textId="77777777" w:rsidTr="00E07F15">
        <w:trPr>
          <w:trHeight w:val="1548"/>
        </w:trPr>
        <w:tc>
          <w:tcPr>
            <w:tcW w:w="9079" w:type="dxa"/>
          </w:tcPr>
          <w:p w14:paraId="24A32E54" w14:textId="77777777" w:rsidR="0032583B" w:rsidRPr="00A964D1" w:rsidRDefault="00E07F15" w:rsidP="00A964D1">
            <w:pPr>
              <w:pStyle w:val="Title"/>
              <w:rPr>
                <w:color w:val="FFFFFF" w:themeColor="background1"/>
              </w:rPr>
            </w:pPr>
            <w:r>
              <w:rPr>
                <w:color w:val="FFFFFF" w:themeColor="background1"/>
              </w:rPr>
              <w:t>AusPAR Attachment 2</w:t>
            </w:r>
          </w:p>
        </w:tc>
      </w:tr>
      <w:tr w:rsidR="00E07F15" w:rsidRPr="00A964D1" w14:paraId="24A32E57" w14:textId="77777777" w:rsidTr="00E07F15">
        <w:trPr>
          <w:trHeight w:val="868"/>
        </w:trPr>
        <w:tc>
          <w:tcPr>
            <w:tcW w:w="9079" w:type="dxa"/>
          </w:tcPr>
          <w:p w14:paraId="24A32E56" w14:textId="77777777" w:rsidR="00E07F15" w:rsidRPr="00A964D1" w:rsidRDefault="00E07F15" w:rsidP="002B55D9">
            <w:pPr>
              <w:pStyle w:val="Title"/>
              <w:rPr>
                <w:color w:val="FFFFFF" w:themeColor="background1"/>
              </w:rPr>
            </w:pPr>
            <w:r>
              <w:rPr>
                <w:color w:val="FFFFFF" w:themeColor="background1"/>
              </w:rPr>
              <w:t>Extract from the Clinical Evaluation Report</w:t>
            </w:r>
            <w:r w:rsidRPr="00A964D1">
              <w:rPr>
                <w:color w:val="FFFFFF" w:themeColor="background1"/>
              </w:rPr>
              <w:t xml:space="preserve"> for</w:t>
            </w:r>
            <w:r w:rsidR="002B55D9" w:rsidRPr="00B84B6C">
              <w:rPr>
                <w:rFonts w:asciiTheme="majorHAnsi" w:hAnsiTheme="majorHAnsi" w:cstheme="majorHAnsi"/>
                <w:color w:val="FFFFFF" w:themeColor="background1"/>
                <w:sz w:val="48"/>
                <w:szCs w:val="48"/>
              </w:rPr>
              <w:t xml:space="preserve"> </w:t>
            </w:r>
            <w:proofErr w:type="spellStart"/>
            <w:r w:rsidR="002B55D9" w:rsidRPr="002B55D9">
              <w:rPr>
                <w:rFonts w:asciiTheme="majorHAnsi" w:hAnsiTheme="majorHAnsi" w:cstheme="majorHAnsi"/>
                <w:color w:val="FFFFFF" w:themeColor="background1"/>
              </w:rPr>
              <w:t>Aripiprazole</w:t>
            </w:r>
            <w:proofErr w:type="spellEnd"/>
            <w:r w:rsidR="002B55D9" w:rsidRPr="002B55D9">
              <w:rPr>
                <w:rFonts w:asciiTheme="majorHAnsi" w:hAnsiTheme="majorHAnsi" w:cstheme="majorHAnsi"/>
                <w:color w:val="FFFFFF" w:themeColor="background1"/>
              </w:rPr>
              <w:t xml:space="preserve"> Monohydrate</w:t>
            </w:r>
          </w:p>
        </w:tc>
      </w:tr>
      <w:tr w:rsidR="00E07F15" w:rsidRPr="00B64760" w14:paraId="24A32E59" w14:textId="77777777" w:rsidTr="00E07F15">
        <w:tc>
          <w:tcPr>
            <w:tcW w:w="9079" w:type="dxa"/>
          </w:tcPr>
          <w:p w14:paraId="24A32E58" w14:textId="77777777" w:rsidR="00E07F15" w:rsidRPr="008E7846" w:rsidRDefault="00E07F15" w:rsidP="00E07F15">
            <w:pPr>
              <w:pStyle w:val="Subtitle"/>
              <w:rPr>
                <w:color w:val="FFFFFF" w:themeColor="background1"/>
              </w:rPr>
            </w:pPr>
            <w:r w:rsidRPr="008E7846">
              <w:rPr>
                <w:color w:val="FFFFFF" w:themeColor="background1"/>
              </w:rPr>
              <w:t xml:space="preserve">Proprietary Product Name: </w:t>
            </w:r>
            <w:r w:rsidR="002B55D9">
              <w:rPr>
                <w:color w:val="FFFFFF" w:themeColor="background1"/>
              </w:rPr>
              <w:t xml:space="preserve"> </w:t>
            </w:r>
            <w:proofErr w:type="spellStart"/>
            <w:r w:rsidR="002B55D9">
              <w:rPr>
                <w:color w:val="FFFFFF" w:themeColor="background1"/>
              </w:rPr>
              <w:t>Abilify</w:t>
            </w:r>
            <w:proofErr w:type="spellEnd"/>
            <w:r w:rsidR="002B55D9">
              <w:rPr>
                <w:color w:val="FFFFFF" w:themeColor="background1"/>
              </w:rPr>
              <w:t xml:space="preserve"> </w:t>
            </w:r>
            <w:proofErr w:type="spellStart"/>
            <w:r w:rsidR="002B55D9">
              <w:rPr>
                <w:color w:val="FFFFFF" w:themeColor="background1"/>
              </w:rPr>
              <w:t>Maintena</w:t>
            </w:r>
            <w:proofErr w:type="spellEnd"/>
          </w:p>
        </w:tc>
      </w:tr>
      <w:tr w:rsidR="00E07F15" w:rsidRPr="00B64760" w14:paraId="24A32E5B" w14:textId="77777777" w:rsidTr="00E07F15">
        <w:trPr>
          <w:trHeight w:val="486"/>
        </w:trPr>
        <w:tc>
          <w:tcPr>
            <w:tcW w:w="9079" w:type="dxa"/>
          </w:tcPr>
          <w:p w14:paraId="24A32E5A" w14:textId="21623F5A" w:rsidR="00E07F15" w:rsidRPr="008E7846" w:rsidRDefault="00E07F15" w:rsidP="00E07F15">
            <w:pPr>
              <w:pStyle w:val="Subtitle"/>
              <w:rPr>
                <w:color w:val="FFFFFF" w:themeColor="background1"/>
              </w:rPr>
            </w:pPr>
            <w:r w:rsidRPr="008E7846">
              <w:rPr>
                <w:color w:val="FFFFFF" w:themeColor="background1"/>
              </w:rPr>
              <w:t xml:space="preserve">Sponsor: </w:t>
            </w:r>
            <w:proofErr w:type="spellStart"/>
            <w:r w:rsidR="002B55D9" w:rsidRPr="00B84B6C">
              <w:rPr>
                <w:color w:val="FFFFFF" w:themeColor="background1"/>
              </w:rPr>
              <w:t>Lundbeck</w:t>
            </w:r>
            <w:proofErr w:type="spellEnd"/>
            <w:r w:rsidR="002B55D9" w:rsidRPr="00B84B6C">
              <w:rPr>
                <w:color w:val="FFFFFF" w:themeColor="background1"/>
              </w:rPr>
              <w:t xml:space="preserve"> (Australia) Pty Ltd</w:t>
            </w:r>
          </w:p>
        </w:tc>
      </w:tr>
    </w:tbl>
    <w:p w14:paraId="24A32E5C" w14:textId="77777777" w:rsidR="008E7846" w:rsidRDefault="008E7846" w:rsidP="008E7846">
      <w:pPr>
        <w:pStyle w:val="NonTOCHeading2"/>
      </w:pPr>
      <w:r>
        <w:br w:type="page"/>
      </w:r>
    </w:p>
    <w:p w14:paraId="24A32E5D" w14:textId="77777777" w:rsidR="008E7846" w:rsidRPr="001F6CBA" w:rsidRDefault="008E7846" w:rsidP="008E7846">
      <w:pPr>
        <w:pStyle w:val="NonTOCHeading2"/>
      </w:pPr>
      <w:r w:rsidRPr="001F6CBA">
        <w:lastRenderedPageBreak/>
        <w:t>About the Therapeutic Goods Administration (TGA)</w:t>
      </w:r>
    </w:p>
    <w:p w14:paraId="24A32E5E" w14:textId="77777777" w:rsidR="008E7846" w:rsidRDefault="008E7846" w:rsidP="002B55D9">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24A32E5F" w14:textId="77777777" w:rsidR="008E7846" w:rsidRDefault="00C811C0" w:rsidP="002B55D9">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24A32E60" w14:textId="77777777" w:rsidR="008E7846" w:rsidRDefault="008E7846" w:rsidP="002B55D9">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24A32E61" w14:textId="77777777" w:rsidR="008E7846" w:rsidRDefault="008E7846" w:rsidP="002B55D9">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24A32E62" w14:textId="77777777" w:rsidR="008E7846" w:rsidRDefault="008E7846" w:rsidP="002B55D9">
      <w:pPr>
        <w:pStyle w:val="ListBullet"/>
        <w:numPr>
          <w:ilvl w:val="0"/>
          <w:numId w:val="1"/>
        </w:numPr>
        <w:ind w:left="357" w:hanging="357"/>
      </w:pPr>
      <w:r>
        <w:t>To report a problem with a medicine or medical device, please see the information on the TGA website</w:t>
      </w:r>
      <w:r w:rsidR="00112F56">
        <w:t xml:space="preserve"> &lt;</w:t>
      </w:r>
      <w:hyperlink r:id="rId12" w:history="1">
        <w:r w:rsidR="007E6E27" w:rsidRPr="00607888">
          <w:rPr>
            <w:rStyle w:val="Hyperlink"/>
          </w:rPr>
          <w:t>http://www.tga.gov.au</w:t>
        </w:r>
      </w:hyperlink>
      <w:r w:rsidR="00112F56">
        <w:t>&gt;</w:t>
      </w:r>
      <w:r>
        <w:t>.</w:t>
      </w:r>
    </w:p>
    <w:p w14:paraId="24A32E63"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24A32E64"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24A32E65" w14:textId="17CB0892" w:rsidR="003D0A3B" w:rsidRDefault="00BC64E5" w:rsidP="003D0A3B">
      <w:pPr>
        <w:pStyle w:val="ListBullet"/>
      </w:pPr>
      <w:r>
        <w:t xml:space="preserve">This document has been amended from the original. </w:t>
      </w:r>
      <w:r w:rsidR="003D0A3B" w:rsidRPr="003D0A3B">
        <w:t>The words [Information redacted], where they appear in this document, indicate that confidential information has been deleted.</w:t>
      </w:r>
    </w:p>
    <w:p w14:paraId="24A32E66" w14:textId="1570FB8F"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3" w:history="1">
        <w:r w:rsidR="007669A1">
          <w:rPr>
            <w:rStyle w:val="Hyperlink"/>
          </w:rPr>
          <w:t>http://www.tga.gov.au/product-information-pi</w:t>
        </w:r>
      </w:hyperlink>
      <w:r w:rsidR="0017078F">
        <w:t>&gt;.</w:t>
      </w:r>
    </w:p>
    <w:p w14:paraId="24A32E67" w14:textId="77777777" w:rsidR="00924482" w:rsidRPr="00DF1D7F" w:rsidRDefault="00924482" w:rsidP="007669A1">
      <w:pPr>
        <w:pStyle w:val="LegalSubheading"/>
        <w:spacing w:before="3960"/>
      </w:pPr>
      <w:r w:rsidRPr="00DF1D7F">
        <w:t>Copyright</w:t>
      </w:r>
    </w:p>
    <w:p w14:paraId="24A32E68" w14:textId="77777777" w:rsidR="00924482" w:rsidRDefault="00924482" w:rsidP="00924482">
      <w:pPr>
        <w:pStyle w:val="LegalCopy"/>
      </w:pPr>
      <w:r w:rsidRPr="00191B3B">
        <w:rPr>
          <w:rFonts w:cs="Arial"/>
          <w:lang w:val="en-GB"/>
        </w:rPr>
        <w:t>© Comm</w:t>
      </w:r>
      <w:r>
        <w:rPr>
          <w:rFonts w:cs="Arial"/>
          <w:lang w:val="en-GB"/>
        </w:rPr>
        <w:t>onwealth of Australia 201</w:t>
      </w:r>
      <w:r w:rsidR="001B5D98">
        <w:rPr>
          <w:rFonts w:cs="Arial"/>
          <w:lang w:val="en-GB"/>
        </w:rPr>
        <w:t>4</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191B3B">
          <w:rPr>
            <w:rStyle w:val="Hyperlink"/>
            <w:rFonts w:cs="Arial"/>
            <w:lang w:val="en-GB"/>
          </w:rPr>
          <w:t>tga.copyright@tga.gov.au</w:t>
        </w:r>
      </w:hyperlink>
      <w:r w:rsidRPr="00191B3B">
        <w:rPr>
          <w:rFonts w:cs="Arial"/>
        </w:rPr>
        <w:t>&gt;.</w:t>
      </w:r>
    </w:p>
    <w:p w14:paraId="24A32E69" w14:textId="77777777" w:rsidR="00924482" w:rsidRDefault="00924482" w:rsidP="00924482">
      <w:pPr>
        <w:pStyle w:val="LegalCopy"/>
        <w:sectPr w:rsidR="00924482" w:rsidSect="003D1E62">
          <w:headerReference w:type="default" r:id="rId15"/>
          <w:footerReference w:type="default" r:id="rId16"/>
          <w:headerReference w:type="first" r:id="rId17"/>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4A32E6A" w14:textId="77777777" w:rsidR="0089635C" w:rsidRPr="0089635C" w:rsidRDefault="0089635C" w:rsidP="0010788A">
          <w:pPr>
            <w:pStyle w:val="Contents"/>
          </w:pPr>
          <w:r w:rsidRPr="0010788A">
            <w:t>Contents</w:t>
          </w:r>
        </w:p>
        <w:p w14:paraId="00C5DBD6" w14:textId="77777777" w:rsidR="000D6249" w:rsidRDefault="004F4AF5">
          <w:pPr>
            <w:pStyle w:val="TOC2"/>
            <w:tabs>
              <w:tab w:val="left" w:pos="1247"/>
            </w:tabs>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bookmarkStart w:id="2" w:name="_GoBack"/>
          <w:bookmarkEnd w:id="2"/>
          <w:r w:rsidR="000D6249" w:rsidRPr="003B3C99">
            <w:rPr>
              <w:rStyle w:val="Hyperlink"/>
              <w:noProof/>
            </w:rPr>
            <w:fldChar w:fldCharType="begin"/>
          </w:r>
          <w:r w:rsidR="000D6249" w:rsidRPr="003B3C99">
            <w:rPr>
              <w:rStyle w:val="Hyperlink"/>
              <w:noProof/>
            </w:rPr>
            <w:instrText xml:space="preserve"> </w:instrText>
          </w:r>
          <w:r w:rsidR="000D6249">
            <w:rPr>
              <w:noProof/>
            </w:rPr>
            <w:instrText>HYPERLINK \l "_Toc408930623"</w:instrText>
          </w:r>
          <w:r w:rsidR="000D6249" w:rsidRPr="003B3C99">
            <w:rPr>
              <w:rStyle w:val="Hyperlink"/>
              <w:noProof/>
            </w:rPr>
            <w:instrText xml:space="preserve"> </w:instrText>
          </w:r>
          <w:r w:rsidR="000D6249" w:rsidRPr="003B3C99">
            <w:rPr>
              <w:rStyle w:val="Hyperlink"/>
              <w:noProof/>
            </w:rPr>
          </w:r>
          <w:r w:rsidR="000D6249" w:rsidRPr="003B3C99">
            <w:rPr>
              <w:rStyle w:val="Hyperlink"/>
              <w:noProof/>
            </w:rPr>
            <w:fldChar w:fldCharType="separate"/>
          </w:r>
          <w:r w:rsidR="000D6249" w:rsidRPr="003B3C99">
            <w:rPr>
              <w:rStyle w:val="Hyperlink"/>
              <w:noProof/>
            </w:rPr>
            <w:t>1.</w:t>
          </w:r>
          <w:r w:rsidR="000D6249">
            <w:rPr>
              <w:rFonts w:asciiTheme="minorHAnsi" w:eastAsiaTheme="minorEastAsia" w:hAnsiTheme="minorHAnsi" w:cstheme="minorBidi"/>
              <w:b w:val="0"/>
              <w:noProof/>
              <w:sz w:val="22"/>
              <w:lang w:eastAsia="en-AU"/>
            </w:rPr>
            <w:tab/>
          </w:r>
          <w:r w:rsidR="000D6249" w:rsidRPr="003B3C99">
            <w:rPr>
              <w:rStyle w:val="Hyperlink"/>
              <w:noProof/>
            </w:rPr>
            <w:t>List of common abbreviations used in this AusPAR</w:t>
          </w:r>
          <w:r w:rsidR="000D6249">
            <w:rPr>
              <w:noProof/>
              <w:webHidden/>
            </w:rPr>
            <w:tab/>
          </w:r>
          <w:r w:rsidR="000D6249">
            <w:rPr>
              <w:noProof/>
              <w:webHidden/>
            </w:rPr>
            <w:fldChar w:fldCharType="begin"/>
          </w:r>
          <w:r w:rsidR="000D6249">
            <w:rPr>
              <w:noProof/>
              <w:webHidden/>
            </w:rPr>
            <w:instrText xml:space="preserve"> PAGEREF _Toc408930623 \h </w:instrText>
          </w:r>
          <w:r w:rsidR="000D6249">
            <w:rPr>
              <w:noProof/>
              <w:webHidden/>
            </w:rPr>
          </w:r>
          <w:r w:rsidR="000D6249">
            <w:rPr>
              <w:noProof/>
              <w:webHidden/>
            </w:rPr>
            <w:fldChar w:fldCharType="separate"/>
          </w:r>
          <w:r w:rsidR="000D6249">
            <w:rPr>
              <w:noProof/>
              <w:webHidden/>
            </w:rPr>
            <w:t>5</w:t>
          </w:r>
          <w:r w:rsidR="000D6249">
            <w:rPr>
              <w:noProof/>
              <w:webHidden/>
            </w:rPr>
            <w:fldChar w:fldCharType="end"/>
          </w:r>
          <w:r w:rsidR="000D6249" w:rsidRPr="003B3C99">
            <w:rPr>
              <w:rStyle w:val="Hyperlink"/>
              <w:noProof/>
            </w:rPr>
            <w:fldChar w:fldCharType="end"/>
          </w:r>
        </w:p>
        <w:p w14:paraId="418F4D1A" w14:textId="77777777" w:rsidR="000D6249" w:rsidRDefault="000D6249">
          <w:pPr>
            <w:pStyle w:val="TOC2"/>
            <w:tabs>
              <w:tab w:val="left" w:pos="1247"/>
            </w:tabs>
            <w:rPr>
              <w:rFonts w:asciiTheme="minorHAnsi" w:eastAsiaTheme="minorEastAsia" w:hAnsiTheme="minorHAnsi" w:cstheme="minorBidi"/>
              <w:b w:val="0"/>
              <w:noProof/>
              <w:sz w:val="22"/>
              <w:lang w:eastAsia="en-AU"/>
            </w:rPr>
          </w:pPr>
          <w:hyperlink w:anchor="_Toc408930624" w:history="1">
            <w:r w:rsidRPr="003B3C99">
              <w:rPr>
                <w:rStyle w:val="Hyperlink"/>
                <w:noProof/>
                <w:lang w:eastAsia="en-AU"/>
              </w:rPr>
              <w:t>2.</w:t>
            </w:r>
            <w:r>
              <w:rPr>
                <w:rFonts w:asciiTheme="minorHAnsi" w:eastAsiaTheme="minorEastAsia" w:hAnsiTheme="minorHAnsi" w:cstheme="minorBidi"/>
                <w:b w:val="0"/>
                <w:noProof/>
                <w:sz w:val="22"/>
                <w:lang w:eastAsia="en-AU"/>
              </w:rPr>
              <w:tab/>
            </w:r>
            <w:r w:rsidRPr="003B3C99">
              <w:rPr>
                <w:rStyle w:val="Hyperlink"/>
                <w:noProof/>
                <w:lang w:eastAsia="en-AU"/>
              </w:rPr>
              <w:t>Clinical rationale</w:t>
            </w:r>
            <w:r>
              <w:rPr>
                <w:noProof/>
                <w:webHidden/>
              </w:rPr>
              <w:tab/>
            </w:r>
            <w:r>
              <w:rPr>
                <w:noProof/>
                <w:webHidden/>
              </w:rPr>
              <w:fldChar w:fldCharType="begin"/>
            </w:r>
            <w:r>
              <w:rPr>
                <w:noProof/>
                <w:webHidden/>
              </w:rPr>
              <w:instrText xml:space="preserve"> PAGEREF _Toc408930624 \h </w:instrText>
            </w:r>
            <w:r>
              <w:rPr>
                <w:noProof/>
                <w:webHidden/>
              </w:rPr>
            </w:r>
            <w:r>
              <w:rPr>
                <w:noProof/>
                <w:webHidden/>
              </w:rPr>
              <w:fldChar w:fldCharType="separate"/>
            </w:r>
            <w:r>
              <w:rPr>
                <w:noProof/>
                <w:webHidden/>
              </w:rPr>
              <w:t>5</w:t>
            </w:r>
            <w:r>
              <w:rPr>
                <w:noProof/>
                <w:webHidden/>
              </w:rPr>
              <w:fldChar w:fldCharType="end"/>
            </w:r>
          </w:hyperlink>
        </w:p>
        <w:p w14:paraId="318DA64E" w14:textId="77777777" w:rsidR="000D6249" w:rsidRDefault="000D6249">
          <w:pPr>
            <w:pStyle w:val="TOC3"/>
            <w:tabs>
              <w:tab w:val="left" w:pos="1575"/>
            </w:tabs>
            <w:rPr>
              <w:rFonts w:asciiTheme="minorHAnsi" w:eastAsiaTheme="minorEastAsia" w:hAnsiTheme="minorHAnsi" w:cstheme="minorBidi"/>
              <w:noProof/>
              <w:lang w:eastAsia="en-AU"/>
            </w:rPr>
          </w:pPr>
          <w:hyperlink w:anchor="_Toc408930625" w:history="1">
            <w:r w:rsidRPr="003B3C99">
              <w:rPr>
                <w:rStyle w:val="Hyperlink"/>
                <w:noProof/>
              </w:rPr>
              <w:t>2.1.</w:t>
            </w:r>
            <w:r>
              <w:rPr>
                <w:rFonts w:asciiTheme="minorHAnsi" w:eastAsiaTheme="minorEastAsia" w:hAnsiTheme="minorHAnsi" w:cstheme="minorBidi"/>
                <w:noProof/>
                <w:lang w:eastAsia="en-AU"/>
              </w:rPr>
              <w:tab/>
            </w:r>
            <w:r w:rsidRPr="003B3C99">
              <w:rPr>
                <w:rStyle w:val="Hyperlink"/>
                <w:noProof/>
              </w:rPr>
              <w:t>Guidance</w:t>
            </w:r>
            <w:r>
              <w:rPr>
                <w:noProof/>
                <w:webHidden/>
              </w:rPr>
              <w:tab/>
            </w:r>
            <w:r>
              <w:rPr>
                <w:noProof/>
                <w:webHidden/>
              </w:rPr>
              <w:fldChar w:fldCharType="begin"/>
            </w:r>
            <w:r>
              <w:rPr>
                <w:noProof/>
                <w:webHidden/>
              </w:rPr>
              <w:instrText xml:space="preserve"> PAGEREF _Toc408930625 \h </w:instrText>
            </w:r>
            <w:r>
              <w:rPr>
                <w:noProof/>
                <w:webHidden/>
              </w:rPr>
            </w:r>
            <w:r>
              <w:rPr>
                <w:noProof/>
                <w:webHidden/>
              </w:rPr>
              <w:fldChar w:fldCharType="separate"/>
            </w:r>
            <w:r>
              <w:rPr>
                <w:noProof/>
                <w:webHidden/>
              </w:rPr>
              <w:t>5</w:t>
            </w:r>
            <w:r>
              <w:rPr>
                <w:noProof/>
                <w:webHidden/>
              </w:rPr>
              <w:fldChar w:fldCharType="end"/>
            </w:r>
          </w:hyperlink>
        </w:p>
        <w:p w14:paraId="2231C4B2" w14:textId="77777777" w:rsidR="000D6249" w:rsidRDefault="000D6249">
          <w:pPr>
            <w:pStyle w:val="TOC2"/>
            <w:tabs>
              <w:tab w:val="left" w:pos="1247"/>
            </w:tabs>
            <w:rPr>
              <w:rFonts w:asciiTheme="minorHAnsi" w:eastAsiaTheme="minorEastAsia" w:hAnsiTheme="minorHAnsi" w:cstheme="minorBidi"/>
              <w:b w:val="0"/>
              <w:noProof/>
              <w:sz w:val="22"/>
              <w:lang w:eastAsia="en-AU"/>
            </w:rPr>
          </w:pPr>
          <w:hyperlink w:anchor="_Toc408930626" w:history="1">
            <w:r w:rsidRPr="003B3C99">
              <w:rPr>
                <w:rStyle w:val="Hyperlink"/>
                <w:noProof/>
                <w:lang w:eastAsia="en-AU"/>
              </w:rPr>
              <w:t>3.</w:t>
            </w:r>
            <w:r>
              <w:rPr>
                <w:rFonts w:asciiTheme="minorHAnsi" w:eastAsiaTheme="minorEastAsia" w:hAnsiTheme="minorHAnsi" w:cstheme="minorBidi"/>
                <w:b w:val="0"/>
                <w:noProof/>
                <w:sz w:val="22"/>
                <w:lang w:eastAsia="en-AU"/>
              </w:rPr>
              <w:tab/>
            </w:r>
            <w:r w:rsidRPr="003B3C99">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_Toc408930626 \h </w:instrText>
            </w:r>
            <w:r>
              <w:rPr>
                <w:noProof/>
                <w:webHidden/>
              </w:rPr>
            </w:r>
            <w:r>
              <w:rPr>
                <w:noProof/>
                <w:webHidden/>
              </w:rPr>
              <w:fldChar w:fldCharType="separate"/>
            </w:r>
            <w:r>
              <w:rPr>
                <w:noProof/>
                <w:webHidden/>
              </w:rPr>
              <w:t>6</w:t>
            </w:r>
            <w:r>
              <w:rPr>
                <w:noProof/>
                <w:webHidden/>
              </w:rPr>
              <w:fldChar w:fldCharType="end"/>
            </w:r>
          </w:hyperlink>
        </w:p>
        <w:p w14:paraId="6A53A9A4" w14:textId="77777777" w:rsidR="000D6249" w:rsidRDefault="000D6249">
          <w:pPr>
            <w:pStyle w:val="TOC3"/>
            <w:tabs>
              <w:tab w:val="left" w:pos="1575"/>
            </w:tabs>
            <w:rPr>
              <w:rFonts w:asciiTheme="minorHAnsi" w:eastAsiaTheme="minorEastAsia" w:hAnsiTheme="minorHAnsi" w:cstheme="minorBidi"/>
              <w:noProof/>
              <w:lang w:eastAsia="en-AU"/>
            </w:rPr>
          </w:pPr>
          <w:hyperlink w:anchor="_Toc408930627" w:history="1">
            <w:r w:rsidRPr="003B3C99">
              <w:rPr>
                <w:rStyle w:val="Hyperlink"/>
                <w:noProof/>
              </w:rPr>
              <w:t>3.1.</w:t>
            </w:r>
            <w:r>
              <w:rPr>
                <w:rFonts w:asciiTheme="minorHAnsi" w:eastAsiaTheme="minorEastAsia" w:hAnsiTheme="minorHAnsi" w:cstheme="minorBidi"/>
                <w:noProof/>
                <w:lang w:eastAsia="en-AU"/>
              </w:rPr>
              <w:tab/>
            </w:r>
            <w:r w:rsidRPr="003B3C99">
              <w:rPr>
                <w:rStyle w:val="Hyperlink"/>
                <w:noProof/>
              </w:rPr>
              <w:t>Scope of the clinical dossier</w:t>
            </w:r>
            <w:r>
              <w:rPr>
                <w:noProof/>
                <w:webHidden/>
              </w:rPr>
              <w:tab/>
            </w:r>
            <w:r>
              <w:rPr>
                <w:noProof/>
                <w:webHidden/>
              </w:rPr>
              <w:fldChar w:fldCharType="begin"/>
            </w:r>
            <w:r>
              <w:rPr>
                <w:noProof/>
                <w:webHidden/>
              </w:rPr>
              <w:instrText xml:space="preserve"> PAGEREF _Toc408930627 \h </w:instrText>
            </w:r>
            <w:r>
              <w:rPr>
                <w:noProof/>
                <w:webHidden/>
              </w:rPr>
            </w:r>
            <w:r>
              <w:rPr>
                <w:noProof/>
                <w:webHidden/>
              </w:rPr>
              <w:fldChar w:fldCharType="separate"/>
            </w:r>
            <w:r>
              <w:rPr>
                <w:noProof/>
                <w:webHidden/>
              </w:rPr>
              <w:t>6</w:t>
            </w:r>
            <w:r>
              <w:rPr>
                <w:noProof/>
                <w:webHidden/>
              </w:rPr>
              <w:fldChar w:fldCharType="end"/>
            </w:r>
          </w:hyperlink>
        </w:p>
        <w:p w14:paraId="269FF5A3" w14:textId="77777777" w:rsidR="000D6249" w:rsidRDefault="000D6249">
          <w:pPr>
            <w:pStyle w:val="TOC3"/>
            <w:tabs>
              <w:tab w:val="left" w:pos="1575"/>
            </w:tabs>
            <w:rPr>
              <w:rFonts w:asciiTheme="minorHAnsi" w:eastAsiaTheme="minorEastAsia" w:hAnsiTheme="minorHAnsi" w:cstheme="minorBidi"/>
              <w:noProof/>
              <w:lang w:eastAsia="en-AU"/>
            </w:rPr>
          </w:pPr>
          <w:hyperlink w:anchor="_Toc408930628" w:history="1">
            <w:r w:rsidRPr="003B3C99">
              <w:rPr>
                <w:rStyle w:val="Hyperlink"/>
                <w:noProof/>
              </w:rPr>
              <w:t>3.2.</w:t>
            </w:r>
            <w:r>
              <w:rPr>
                <w:rFonts w:asciiTheme="minorHAnsi" w:eastAsiaTheme="minorEastAsia" w:hAnsiTheme="minorHAnsi" w:cstheme="minorBidi"/>
                <w:noProof/>
                <w:lang w:eastAsia="en-AU"/>
              </w:rPr>
              <w:tab/>
            </w:r>
            <w:r w:rsidRPr="003B3C99">
              <w:rPr>
                <w:rStyle w:val="Hyperlink"/>
                <w:noProof/>
              </w:rPr>
              <w:t>Paediatric data</w:t>
            </w:r>
            <w:r>
              <w:rPr>
                <w:noProof/>
                <w:webHidden/>
              </w:rPr>
              <w:tab/>
            </w:r>
            <w:r>
              <w:rPr>
                <w:noProof/>
                <w:webHidden/>
              </w:rPr>
              <w:fldChar w:fldCharType="begin"/>
            </w:r>
            <w:r>
              <w:rPr>
                <w:noProof/>
                <w:webHidden/>
              </w:rPr>
              <w:instrText xml:space="preserve"> PAGEREF _Toc408930628 \h </w:instrText>
            </w:r>
            <w:r>
              <w:rPr>
                <w:noProof/>
                <w:webHidden/>
              </w:rPr>
            </w:r>
            <w:r>
              <w:rPr>
                <w:noProof/>
                <w:webHidden/>
              </w:rPr>
              <w:fldChar w:fldCharType="separate"/>
            </w:r>
            <w:r>
              <w:rPr>
                <w:noProof/>
                <w:webHidden/>
              </w:rPr>
              <w:t>7</w:t>
            </w:r>
            <w:r>
              <w:rPr>
                <w:noProof/>
                <w:webHidden/>
              </w:rPr>
              <w:fldChar w:fldCharType="end"/>
            </w:r>
          </w:hyperlink>
        </w:p>
        <w:p w14:paraId="619F27C2" w14:textId="77777777" w:rsidR="000D6249" w:rsidRDefault="000D6249">
          <w:pPr>
            <w:pStyle w:val="TOC3"/>
            <w:tabs>
              <w:tab w:val="left" w:pos="1575"/>
            </w:tabs>
            <w:rPr>
              <w:rFonts w:asciiTheme="minorHAnsi" w:eastAsiaTheme="minorEastAsia" w:hAnsiTheme="minorHAnsi" w:cstheme="minorBidi"/>
              <w:noProof/>
              <w:lang w:eastAsia="en-AU"/>
            </w:rPr>
          </w:pPr>
          <w:hyperlink w:anchor="_Toc408930629" w:history="1">
            <w:r w:rsidRPr="003B3C99">
              <w:rPr>
                <w:rStyle w:val="Hyperlink"/>
                <w:noProof/>
              </w:rPr>
              <w:t>3.3.</w:t>
            </w:r>
            <w:r>
              <w:rPr>
                <w:rFonts w:asciiTheme="minorHAnsi" w:eastAsiaTheme="minorEastAsia" w:hAnsiTheme="minorHAnsi" w:cstheme="minorBidi"/>
                <w:noProof/>
                <w:lang w:eastAsia="en-AU"/>
              </w:rPr>
              <w:tab/>
            </w:r>
            <w:r w:rsidRPr="003B3C99">
              <w:rPr>
                <w:rStyle w:val="Hyperlink"/>
                <w:noProof/>
              </w:rPr>
              <w:t>Good clinical practice</w:t>
            </w:r>
            <w:r>
              <w:rPr>
                <w:noProof/>
                <w:webHidden/>
              </w:rPr>
              <w:tab/>
            </w:r>
            <w:r>
              <w:rPr>
                <w:noProof/>
                <w:webHidden/>
              </w:rPr>
              <w:fldChar w:fldCharType="begin"/>
            </w:r>
            <w:r>
              <w:rPr>
                <w:noProof/>
                <w:webHidden/>
              </w:rPr>
              <w:instrText xml:space="preserve"> PAGEREF _Toc408930629 \h </w:instrText>
            </w:r>
            <w:r>
              <w:rPr>
                <w:noProof/>
                <w:webHidden/>
              </w:rPr>
            </w:r>
            <w:r>
              <w:rPr>
                <w:noProof/>
                <w:webHidden/>
              </w:rPr>
              <w:fldChar w:fldCharType="separate"/>
            </w:r>
            <w:r>
              <w:rPr>
                <w:noProof/>
                <w:webHidden/>
              </w:rPr>
              <w:t>7</w:t>
            </w:r>
            <w:r>
              <w:rPr>
                <w:noProof/>
                <w:webHidden/>
              </w:rPr>
              <w:fldChar w:fldCharType="end"/>
            </w:r>
          </w:hyperlink>
        </w:p>
        <w:p w14:paraId="31C52A80" w14:textId="77777777" w:rsidR="000D6249" w:rsidRDefault="000D6249">
          <w:pPr>
            <w:pStyle w:val="TOC2"/>
            <w:tabs>
              <w:tab w:val="left" w:pos="1247"/>
            </w:tabs>
            <w:rPr>
              <w:rFonts w:asciiTheme="minorHAnsi" w:eastAsiaTheme="minorEastAsia" w:hAnsiTheme="minorHAnsi" w:cstheme="minorBidi"/>
              <w:b w:val="0"/>
              <w:noProof/>
              <w:sz w:val="22"/>
              <w:lang w:eastAsia="en-AU"/>
            </w:rPr>
          </w:pPr>
          <w:hyperlink w:anchor="_Toc408930630" w:history="1">
            <w:r w:rsidRPr="003B3C99">
              <w:rPr>
                <w:rStyle w:val="Hyperlink"/>
                <w:noProof/>
              </w:rPr>
              <w:t>4.</w:t>
            </w:r>
            <w:r>
              <w:rPr>
                <w:rFonts w:asciiTheme="minorHAnsi" w:eastAsiaTheme="minorEastAsia" w:hAnsiTheme="minorHAnsi" w:cstheme="minorBidi"/>
                <w:b w:val="0"/>
                <w:noProof/>
                <w:sz w:val="22"/>
                <w:lang w:eastAsia="en-AU"/>
              </w:rPr>
              <w:tab/>
            </w:r>
            <w:r w:rsidRPr="003B3C99">
              <w:rPr>
                <w:rStyle w:val="Hyperlink"/>
                <w:noProof/>
              </w:rPr>
              <w:t>Pharmacokinetics</w:t>
            </w:r>
            <w:r>
              <w:rPr>
                <w:noProof/>
                <w:webHidden/>
              </w:rPr>
              <w:tab/>
            </w:r>
            <w:r>
              <w:rPr>
                <w:noProof/>
                <w:webHidden/>
              </w:rPr>
              <w:fldChar w:fldCharType="begin"/>
            </w:r>
            <w:r>
              <w:rPr>
                <w:noProof/>
                <w:webHidden/>
              </w:rPr>
              <w:instrText xml:space="preserve"> PAGEREF _Toc408930630 \h </w:instrText>
            </w:r>
            <w:r>
              <w:rPr>
                <w:noProof/>
                <w:webHidden/>
              </w:rPr>
            </w:r>
            <w:r>
              <w:rPr>
                <w:noProof/>
                <w:webHidden/>
              </w:rPr>
              <w:fldChar w:fldCharType="separate"/>
            </w:r>
            <w:r>
              <w:rPr>
                <w:noProof/>
                <w:webHidden/>
              </w:rPr>
              <w:t>8</w:t>
            </w:r>
            <w:r>
              <w:rPr>
                <w:noProof/>
                <w:webHidden/>
              </w:rPr>
              <w:fldChar w:fldCharType="end"/>
            </w:r>
          </w:hyperlink>
        </w:p>
        <w:p w14:paraId="73FC2EFD" w14:textId="77777777" w:rsidR="000D6249" w:rsidRDefault="000D6249">
          <w:pPr>
            <w:pStyle w:val="TOC3"/>
            <w:tabs>
              <w:tab w:val="left" w:pos="1575"/>
            </w:tabs>
            <w:rPr>
              <w:rFonts w:asciiTheme="minorHAnsi" w:eastAsiaTheme="minorEastAsia" w:hAnsiTheme="minorHAnsi" w:cstheme="minorBidi"/>
              <w:noProof/>
              <w:lang w:eastAsia="en-AU"/>
            </w:rPr>
          </w:pPr>
          <w:hyperlink w:anchor="_Toc408930631" w:history="1">
            <w:r w:rsidRPr="003B3C99">
              <w:rPr>
                <w:rStyle w:val="Hyperlink"/>
                <w:noProof/>
              </w:rPr>
              <w:t>4.1.</w:t>
            </w:r>
            <w:r>
              <w:rPr>
                <w:rFonts w:asciiTheme="minorHAnsi" w:eastAsiaTheme="minorEastAsia" w:hAnsiTheme="minorHAnsi" w:cstheme="minorBidi"/>
                <w:noProof/>
                <w:lang w:eastAsia="en-AU"/>
              </w:rPr>
              <w:tab/>
            </w:r>
            <w:r w:rsidRPr="003B3C99">
              <w:rPr>
                <w:rStyle w:val="Hyperlink"/>
                <w:noProof/>
              </w:rPr>
              <w:t>Studies providing pharmacokinetic data</w:t>
            </w:r>
            <w:r>
              <w:rPr>
                <w:noProof/>
                <w:webHidden/>
              </w:rPr>
              <w:tab/>
            </w:r>
            <w:r>
              <w:rPr>
                <w:noProof/>
                <w:webHidden/>
              </w:rPr>
              <w:fldChar w:fldCharType="begin"/>
            </w:r>
            <w:r>
              <w:rPr>
                <w:noProof/>
                <w:webHidden/>
              </w:rPr>
              <w:instrText xml:space="preserve"> PAGEREF _Toc408930631 \h </w:instrText>
            </w:r>
            <w:r>
              <w:rPr>
                <w:noProof/>
                <w:webHidden/>
              </w:rPr>
            </w:r>
            <w:r>
              <w:rPr>
                <w:noProof/>
                <w:webHidden/>
              </w:rPr>
              <w:fldChar w:fldCharType="separate"/>
            </w:r>
            <w:r>
              <w:rPr>
                <w:noProof/>
                <w:webHidden/>
              </w:rPr>
              <w:t>8</w:t>
            </w:r>
            <w:r>
              <w:rPr>
                <w:noProof/>
                <w:webHidden/>
              </w:rPr>
              <w:fldChar w:fldCharType="end"/>
            </w:r>
          </w:hyperlink>
        </w:p>
        <w:p w14:paraId="2CA38C7C" w14:textId="77777777" w:rsidR="000D6249" w:rsidRDefault="000D6249">
          <w:pPr>
            <w:pStyle w:val="TOC3"/>
            <w:tabs>
              <w:tab w:val="left" w:pos="1575"/>
            </w:tabs>
            <w:rPr>
              <w:rFonts w:asciiTheme="minorHAnsi" w:eastAsiaTheme="minorEastAsia" w:hAnsiTheme="minorHAnsi" w:cstheme="minorBidi"/>
              <w:noProof/>
              <w:lang w:eastAsia="en-AU"/>
            </w:rPr>
          </w:pPr>
          <w:hyperlink w:anchor="_Toc408930632" w:history="1">
            <w:r w:rsidRPr="003B3C99">
              <w:rPr>
                <w:rStyle w:val="Hyperlink"/>
                <w:noProof/>
              </w:rPr>
              <w:t>4.2.</w:t>
            </w:r>
            <w:r>
              <w:rPr>
                <w:rFonts w:asciiTheme="minorHAnsi" w:eastAsiaTheme="minorEastAsia" w:hAnsiTheme="minorHAnsi" w:cstheme="minorBidi"/>
                <w:noProof/>
                <w:lang w:eastAsia="en-AU"/>
              </w:rPr>
              <w:tab/>
            </w:r>
            <w:r w:rsidRPr="003B3C99">
              <w:rPr>
                <w:rStyle w:val="Hyperlink"/>
                <w:noProof/>
              </w:rPr>
              <w:t>Summary of pharmacokinetics</w:t>
            </w:r>
            <w:r>
              <w:rPr>
                <w:noProof/>
                <w:webHidden/>
              </w:rPr>
              <w:tab/>
            </w:r>
            <w:r>
              <w:rPr>
                <w:noProof/>
                <w:webHidden/>
              </w:rPr>
              <w:fldChar w:fldCharType="begin"/>
            </w:r>
            <w:r>
              <w:rPr>
                <w:noProof/>
                <w:webHidden/>
              </w:rPr>
              <w:instrText xml:space="preserve"> PAGEREF _Toc408930632 \h </w:instrText>
            </w:r>
            <w:r>
              <w:rPr>
                <w:noProof/>
                <w:webHidden/>
              </w:rPr>
            </w:r>
            <w:r>
              <w:rPr>
                <w:noProof/>
                <w:webHidden/>
              </w:rPr>
              <w:fldChar w:fldCharType="separate"/>
            </w:r>
            <w:r>
              <w:rPr>
                <w:noProof/>
                <w:webHidden/>
              </w:rPr>
              <w:t>9</w:t>
            </w:r>
            <w:r>
              <w:rPr>
                <w:noProof/>
                <w:webHidden/>
              </w:rPr>
              <w:fldChar w:fldCharType="end"/>
            </w:r>
          </w:hyperlink>
        </w:p>
        <w:p w14:paraId="19512C2B" w14:textId="77777777" w:rsidR="000D6249" w:rsidRDefault="000D6249">
          <w:pPr>
            <w:pStyle w:val="TOC3"/>
            <w:tabs>
              <w:tab w:val="left" w:pos="1575"/>
            </w:tabs>
            <w:rPr>
              <w:rFonts w:asciiTheme="minorHAnsi" w:eastAsiaTheme="minorEastAsia" w:hAnsiTheme="minorHAnsi" w:cstheme="minorBidi"/>
              <w:noProof/>
              <w:lang w:eastAsia="en-AU"/>
            </w:rPr>
          </w:pPr>
          <w:hyperlink w:anchor="_Toc408930633" w:history="1">
            <w:r w:rsidRPr="003B3C99">
              <w:rPr>
                <w:rStyle w:val="Hyperlink"/>
                <w:noProof/>
              </w:rPr>
              <w:t>4.3.</w:t>
            </w:r>
            <w:r>
              <w:rPr>
                <w:rFonts w:asciiTheme="minorHAnsi" w:eastAsiaTheme="minorEastAsia" w:hAnsiTheme="minorHAnsi" w:cstheme="minorBidi"/>
                <w:noProof/>
                <w:lang w:eastAsia="en-AU"/>
              </w:rPr>
              <w:tab/>
            </w:r>
            <w:r w:rsidRPr="003B3C99">
              <w:rPr>
                <w:rStyle w:val="Hyperlink"/>
                <w:noProof/>
              </w:rPr>
              <w:t>Population PK studies</w:t>
            </w:r>
            <w:r>
              <w:rPr>
                <w:noProof/>
                <w:webHidden/>
              </w:rPr>
              <w:tab/>
            </w:r>
            <w:r>
              <w:rPr>
                <w:noProof/>
                <w:webHidden/>
              </w:rPr>
              <w:fldChar w:fldCharType="begin"/>
            </w:r>
            <w:r>
              <w:rPr>
                <w:noProof/>
                <w:webHidden/>
              </w:rPr>
              <w:instrText xml:space="preserve"> PAGEREF _Toc408930633 \h </w:instrText>
            </w:r>
            <w:r>
              <w:rPr>
                <w:noProof/>
                <w:webHidden/>
              </w:rPr>
            </w:r>
            <w:r>
              <w:rPr>
                <w:noProof/>
                <w:webHidden/>
              </w:rPr>
              <w:fldChar w:fldCharType="separate"/>
            </w:r>
            <w:r>
              <w:rPr>
                <w:noProof/>
                <w:webHidden/>
              </w:rPr>
              <w:t>9</w:t>
            </w:r>
            <w:r>
              <w:rPr>
                <w:noProof/>
                <w:webHidden/>
              </w:rPr>
              <w:fldChar w:fldCharType="end"/>
            </w:r>
          </w:hyperlink>
        </w:p>
        <w:p w14:paraId="5A182D29" w14:textId="77777777" w:rsidR="000D6249" w:rsidRDefault="000D6249">
          <w:pPr>
            <w:pStyle w:val="TOC3"/>
            <w:tabs>
              <w:tab w:val="left" w:pos="1575"/>
            </w:tabs>
            <w:rPr>
              <w:rFonts w:asciiTheme="minorHAnsi" w:eastAsiaTheme="minorEastAsia" w:hAnsiTheme="minorHAnsi" w:cstheme="minorBidi"/>
              <w:noProof/>
              <w:lang w:eastAsia="en-AU"/>
            </w:rPr>
          </w:pPr>
          <w:hyperlink w:anchor="_Toc408930634" w:history="1">
            <w:r w:rsidRPr="003B3C99">
              <w:rPr>
                <w:rStyle w:val="Hyperlink"/>
                <w:noProof/>
              </w:rPr>
              <w:t>4.4.</w:t>
            </w:r>
            <w:r>
              <w:rPr>
                <w:rFonts w:asciiTheme="minorHAnsi" w:eastAsiaTheme="minorEastAsia" w:hAnsiTheme="minorHAnsi" w:cstheme="minorBidi"/>
                <w:noProof/>
                <w:lang w:eastAsia="en-AU"/>
              </w:rPr>
              <w:tab/>
            </w:r>
            <w:r w:rsidRPr="003B3C99">
              <w:rPr>
                <w:rStyle w:val="Hyperlink"/>
                <w:noProof/>
              </w:rPr>
              <w:t>Pharmacokinetics in patients and healthy subjects</w:t>
            </w:r>
            <w:r>
              <w:rPr>
                <w:noProof/>
                <w:webHidden/>
              </w:rPr>
              <w:tab/>
            </w:r>
            <w:r>
              <w:rPr>
                <w:noProof/>
                <w:webHidden/>
              </w:rPr>
              <w:fldChar w:fldCharType="begin"/>
            </w:r>
            <w:r>
              <w:rPr>
                <w:noProof/>
                <w:webHidden/>
              </w:rPr>
              <w:instrText xml:space="preserve"> PAGEREF _Toc408930634 \h </w:instrText>
            </w:r>
            <w:r>
              <w:rPr>
                <w:noProof/>
                <w:webHidden/>
              </w:rPr>
            </w:r>
            <w:r>
              <w:rPr>
                <w:noProof/>
                <w:webHidden/>
              </w:rPr>
              <w:fldChar w:fldCharType="separate"/>
            </w:r>
            <w:r>
              <w:rPr>
                <w:noProof/>
                <w:webHidden/>
              </w:rPr>
              <w:t>20</w:t>
            </w:r>
            <w:r>
              <w:rPr>
                <w:noProof/>
                <w:webHidden/>
              </w:rPr>
              <w:fldChar w:fldCharType="end"/>
            </w:r>
          </w:hyperlink>
        </w:p>
        <w:p w14:paraId="6C8958EE" w14:textId="77777777" w:rsidR="000D6249" w:rsidRDefault="000D6249">
          <w:pPr>
            <w:pStyle w:val="TOC3"/>
            <w:tabs>
              <w:tab w:val="left" w:pos="1575"/>
            </w:tabs>
            <w:rPr>
              <w:rFonts w:asciiTheme="minorHAnsi" w:eastAsiaTheme="minorEastAsia" w:hAnsiTheme="minorHAnsi" w:cstheme="minorBidi"/>
              <w:noProof/>
              <w:lang w:eastAsia="en-AU"/>
            </w:rPr>
          </w:pPr>
          <w:hyperlink w:anchor="_Toc408930635" w:history="1">
            <w:r w:rsidRPr="003B3C99">
              <w:rPr>
                <w:rStyle w:val="Hyperlink"/>
                <w:noProof/>
              </w:rPr>
              <w:t>4.5.</w:t>
            </w:r>
            <w:r>
              <w:rPr>
                <w:rFonts w:asciiTheme="minorHAnsi" w:eastAsiaTheme="minorEastAsia" w:hAnsiTheme="minorHAnsi" w:cstheme="minorBidi"/>
                <w:noProof/>
                <w:lang w:eastAsia="en-AU"/>
              </w:rPr>
              <w:tab/>
            </w:r>
            <w:r w:rsidRPr="003B3C99">
              <w:rPr>
                <w:rStyle w:val="Hyperlink"/>
                <w:noProof/>
              </w:rPr>
              <w:t>Pharmacokinetics in other special populations</w:t>
            </w:r>
            <w:r>
              <w:rPr>
                <w:noProof/>
                <w:webHidden/>
              </w:rPr>
              <w:tab/>
            </w:r>
            <w:r>
              <w:rPr>
                <w:noProof/>
                <w:webHidden/>
              </w:rPr>
              <w:fldChar w:fldCharType="begin"/>
            </w:r>
            <w:r>
              <w:rPr>
                <w:noProof/>
                <w:webHidden/>
              </w:rPr>
              <w:instrText xml:space="preserve"> PAGEREF _Toc408930635 \h </w:instrText>
            </w:r>
            <w:r>
              <w:rPr>
                <w:noProof/>
                <w:webHidden/>
              </w:rPr>
            </w:r>
            <w:r>
              <w:rPr>
                <w:noProof/>
                <w:webHidden/>
              </w:rPr>
              <w:fldChar w:fldCharType="separate"/>
            </w:r>
            <w:r>
              <w:rPr>
                <w:noProof/>
                <w:webHidden/>
              </w:rPr>
              <w:t>24</w:t>
            </w:r>
            <w:r>
              <w:rPr>
                <w:noProof/>
                <w:webHidden/>
              </w:rPr>
              <w:fldChar w:fldCharType="end"/>
            </w:r>
          </w:hyperlink>
        </w:p>
        <w:p w14:paraId="6C2596E6" w14:textId="77777777" w:rsidR="000D6249" w:rsidRDefault="000D6249">
          <w:pPr>
            <w:pStyle w:val="TOC3"/>
            <w:tabs>
              <w:tab w:val="left" w:pos="1575"/>
            </w:tabs>
            <w:rPr>
              <w:rFonts w:asciiTheme="minorHAnsi" w:eastAsiaTheme="minorEastAsia" w:hAnsiTheme="minorHAnsi" w:cstheme="minorBidi"/>
              <w:noProof/>
              <w:lang w:eastAsia="en-AU"/>
            </w:rPr>
          </w:pPr>
          <w:hyperlink w:anchor="_Toc408930636" w:history="1">
            <w:r w:rsidRPr="003B3C99">
              <w:rPr>
                <w:rStyle w:val="Hyperlink"/>
                <w:noProof/>
              </w:rPr>
              <w:t>4.6.</w:t>
            </w:r>
            <w:r>
              <w:rPr>
                <w:rFonts w:asciiTheme="minorHAnsi" w:eastAsiaTheme="minorEastAsia" w:hAnsiTheme="minorHAnsi" w:cstheme="minorBidi"/>
                <w:noProof/>
                <w:lang w:eastAsia="en-AU"/>
              </w:rPr>
              <w:tab/>
            </w:r>
            <w:r w:rsidRPr="003B3C99">
              <w:rPr>
                <w:rStyle w:val="Hyperlink"/>
                <w:noProof/>
              </w:rPr>
              <w:t>Pharmacokinetic interactions</w:t>
            </w:r>
            <w:r>
              <w:rPr>
                <w:noProof/>
                <w:webHidden/>
              </w:rPr>
              <w:tab/>
            </w:r>
            <w:r>
              <w:rPr>
                <w:noProof/>
                <w:webHidden/>
              </w:rPr>
              <w:fldChar w:fldCharType="begin"/>
            </w:r>
            <w:r>
              <w:rPr>
                <w:noProof/>
                <w:webHidden/>
              </w:rPr>
              <w:instrText xml:space="preserve"> PAGEREF _Toc408930636 \h </w:instrText>
            </w:r>
            <w:r>
              <w:rPr>
                <w:noProof/>
                <w:webHidden/>
              </w:rPr>
            </w:r>
            <w:r>
              <w:rPr>
                <w:noProof/>
                <w:webHidden/>
              </w:rPr>
              <w:fldChar w:fldCharType="separate"/>
            </w:r>
            <w:r>
              <w:rPr>
                <w:noProof/>
                <w:webHidden/>
              </w:rPr>
              <w:t>24</w:t>
            </w:r>
            <w:r>
              <w:rPr>
                <w:noProof/>
                <w:webHidden/>
              </w:rPr>
              <w:fldChar w:fldCharType="end"/>
            </w:r>
          </w:hyperlink>
        </w:p>
        <w:p w14:paraId="791AD9BB" w14:textId="77777777" w:rsidR="000D6249" w:rsidRDefault="000D6249">
          <w:pPr>
            <w:pStyle w:val="TOC3"/>
            <w:tabs>
              <w:tab w:val="left" w:pos="1575"/>
            </w:tabs>
            <w:rPr>
              <w:rFonts w:asciiTheme="minorHAnsi" w:eastAsiaTheme="minorEastAsia" w:hAnsiTheme="minorHAnsi" w:cstheme="minorBidi"/>
              <w:noProof/>
              <w:lang w:eastAsia="en-AU"/>
            </w:rPr>
          </w:pPr>
          <w:hyperlink w:anchor="_Toc408930637" w:history="1">
            <w:r w:rsidRPr="003B3C99">
              <w:rPr>
                <w:rStyle w:val="Hyperlink"/>
                <w:noProof/>
              </w:rPr>
              <w:t>4.7.</w:t>
            </w:r>
            <w:r>
              <w:rPr>
                <w:rFonts w:asciiTheme="minorHAnsi" w:eastAsiaTheme="minorEastAsia" w:hAnsiTheme="minorHAnsi" w:cstheme="minorBidi"/>
                <w:noProof/>
                <w:lang w:eastAsia="en-AU"/>
              </w:rPr>
              <w:tab/>
            </w:r>
            <w:r w:rsidRPr="003B3C99">
              <w:rPr>
                <w:rStyle w:val="Hyperlink"/>
                <w:noProof/>
              </w:rPr>
              <w:t>Evaluator’s overall conclusions on pharmacokinetics</w:t>
            </w:r>
            <w:r>
              <w:rPr>
                <w:noProof/>
                <w:webHidden/>
              </w:rPr>
              <w:tab/>
            </w:r>
            <w:r>
              <w:rPr>
                <w:noProof/>
                <w:webHidden/>
              </w:rPr>
              <w:fldChar w:fldCharType="begin"/>
            </w:r>
            <w:r>
              <w:rPr>
                <w:noProof/>
                <w:webHidden/>
              </w:rPr>
              <w:instrText xml:space="preserve"> PAGEREF _Toc408930637 \h </w:instrText>
            </w:r>
            <w:r>
              <w:rPr>
                <w:noProof/>
                <w:webHidden/>
              </w:rPr>
            </w:r>
            <w:r>
              <w:rPr>
                <w:noProof/>
                <w:webHidden/>
              </w:rPr>
              <w:fldChar w:fldCharType="separate"/>
            </w:r>
            <w:r>
              <w:rPr>
                <w:noProof/>
                <w:webHidden/>
              </w:rPr>
              <w:t>24</w:t>
            </w:r>
            <w:r>
              <w:rPr>
                <w:noProof/>
                <w:webHidden/>
              </w:rPr>
              <w:fldChar w:fldCharType="end"/>
            </w:r>
          </w:hyperlink>
        </w:p>
        <w:p w14:paraId="161FD598" w14:textId="77777777" w:rsidR="000D6249" w:rsidRDefault="000D6249">
          <w:pPr>
            <w:pStyle w:val="TOC2"/>
            <w:tabs>
              <w:tab w:val="left" w:pos="1247"/>
            </w:tabs>
            <w:rPr>
              <w:rFonts w:asciiTheme="minorHAnsi" w:eastAsiaTheme="minorEastAsia" w:hAnsiTheme="minorHAnsi" w:cstheme="minorBidi"/>
              <w:b w:val="0"/>
              <w:noProof/>
              <w:sz w:val="22"/>
              <w:lang w:eastAsia="en-AU"/>
            </w:rPr>
          </w:pPr>
          <w:hyperlink w:anchor="_Toc408930638" w:history="1">
            <w:r w:rsidRPr="003B3C99">
              <w:rPr>
                <w:rStyle w:val="Hyperlink"/>
                <w:noProof/>
              </w:rPr>
              <w:t>5.</w:t>
            </w:r>
            <w:r>
              <w:rPr>
                <w:rFonts w:asciiTheme="minorHAnsi" w:eastAsiaTheme="minorEastAsia" w:hAnsiTheme="minorHAnsi" w:cstheme="minorBidi"/>
                <w:b w:val="0"/>
                <w:noProof/>
                <w:sz w:val="22"/>
                <w:lang w:eastAsia="en-AU"/>
              </w:rPr>
              <w:tab/>
            </w:r>
            <w:r w:rsidRPr="003B3C99">
              <w:rPr>
                <w:rStyle w:val="Hyperlink"/>
                <w:noProof/>
              </w:rPr>
              <w:t>Pharmacodynamics</w:t>
            </w:r>
            <w:r>
              <w:rPr>
                <w:noProof/>
                <w:webHidden/>
              </w:rPr>
              <w:tab/>
            </w:r>
            <w:r>
              <w:rPr>
                <w:noProof/>
                <w:webHidden/>
              </w:rPr>
              <w:fldChar w:fldCharType="begin"/>
            </w:r>
            <w:r>
              <w:rPr>
                <w:noProof/>
                <w:webHidden/>
              </w:rPr>
              <w:instrText xml:space="preserve"> PAGEREF _Toc408930638 \h </w:instrText>
            </w:r>
            <w:r>
              <w:rPr>
                <w:noProof/>
                <w:webHidden/>
              </w:rPr>
            </w:r>
            <w:r>
              <w:rPr>
                <w:noProof/>
                <w:webHidden/>
              </w:rPr>
              <w:fldChar w:fldCharType="separate"/>
            </w:r>
            <w:r>
              <w:rPr>
                <w:noProof/>
                <w:webHidden/>
              </w:rPr>
              <w:t>25</w:t>
            </w:r>
            <w:r>
              <w:rPr>
                <w:noProof/>
                <w:webHidden/>
              </w:rPr>
              <w:fldChar w:fldCharType="end"/>
            </w:r>
          </w:hyperlink>
        </w:p>
        <w:p w14:paraId="5E51E908" w14:textId="77777777" w:rsidR="000D6249" w:rsidRDefault="000D6249">
          <w:pPr>
            <w:pStyle w:val="TOC3"/>
            <w:tabs>
              <w:tab w:val="left" w:pos="1575"/>
            </w:tabs>
            <w:rPr>
              <w:rFonts w:asciiTheme="minorHAnsi" w:eastAsiaTheme="minorEastAsia" w:hAnsiTheme="minorHAnsi" w:cstheme="minorBidi"/>
              <w:noProof/>
              <w:lang w:eastAsia="en-AU"/>
            </w:rPr>
          </w:pPr>
          <w:hyperlink w:anchor="_Toc408930639" w:history="1">
            <w:r w:rsidRPr="003B3C99">
              <w:rPr>
                <w:rStyle w:val="Hyperlink"/>
                <w:noProof/>
              </w:rPr>
              <w:t>5.1.</w:t>
            </w:r>
            <w:r>
              <w:rPr>
                <w:rFonts w:asciiTheme="minorHAnsi" w:eastAsiaTheme="minorEastAsia" w:hAnsiTheme="minorHAnsi" w:cstheme="minorBidi"/>
                <w:noProof/>
                <w:lang w:eastAsia="en-AU"/>
              </w:rPr>
              <w:tab/>
            </w:r>
            <w:r w:rsidRPr="003B3C99">
              <w:rPr>
                <w:rStyle w:val="Hyperlink"/>
                <w:noProof/>
              </w:rPr>
              <w:t>Summary of pharmacodynamics</w:t>
            </w:r>
            <w:r>
              <w:rPr>
                <w:noProof/>
                <w:webHidden/>
              </w:rPr>
              <w:tab/>
            </w:r>
            <w:r>
              <w:rPr>
                <w:noProof/>
                <w:webHidden/>
              </w:rPr>
              <w:fldChar w:fldCharType="begin"/>
            </w:r>
            <w:r>
              <w:rPr>
                <w:noProof/>
                <w:webHidden/>
              </w:rPr>
              <w:instrText xml:space="preserve"> PAGEREF _Toc408930639 \h </w:instrText>
            </w:r>
            <w:r>
              <w:rPr>
                <w:noProof/>
                <w:webHidden/>
              </w:rPr>
            </w:r>
            <w:r>
              <w:rPr>
                <w:noProof/>
                <w:webHidden/>
              </w:rPr>
              <w:fldChar w:fldCharType="separate"/>
            </w:r>
            <w:r>
              <w:rPr>
                <w:noProof/>
                <w:webHidden/>
              </w:rPr>
              <w:t>25</w:t>
            </w:r>
            <w:r>
              <w:rPr>
                <w:noProof/>
                <w:webHidden/>
              </w:rPr>
              <w:fldChar w:fldCharType="end"/>
            </w:r>
          </w:hyperlink>
        </w:p>
        <w:p w14:paraId="0765B652" w14:textId="77777777" w:rsidR="000D6249" w:rsidRDefault="000D6249">
          <w:pPr>
            <w:pStyle w:val="TOC2"/>
            <w:tabs>
              <w:tab w:val="left" w:pos="1247"/>
            </w:tabs>
            <w:rPr>
              <w:rFonts w:asciiTheme="minorHAnsi" w:eastAsiaTheme="minorEastAsia" w:hAnsiTheme="minorHAnsi" w:cstheme="minorBidi"/>
              <w:b w:val="0"/>
              <w:noProof/>
              <w:sz w:val="22"/>
              <w:lang w:eastAsia="en-AU"/>
            </w:rPr>
          </w:pPr>
          <w:hyperlink w:anchor="_Toc408930640" w:history="1">
            <w:r w:rsidRPr="003B3C99">
              <w:rPr>
                <w:rStyle w:val="Hyperlink"/>
                <w:noProof/>
              </w:rPr>
              <w:t>6.</w:t>
            </w:r>
            <w:r>
              <w:rPr>
                <w:rFonts w:asciiTheme="minorHAnsi" w:eastAsiaTheme="minorEastAsia" w:hAnsiTheme="minorHAnsi" w:cstheme="minorBidi"/>
                <w:b w:val="0"/>
                <w:noProof/>
                <w:sz w:val="22"/>
                <w:lang w:eastAsia="en-AU"/>
              </w:rPr>
              <w:tab/>
            </w:r>
            <w:r w:rsidRPr="003B3C99">
              <w:rPr>
                <w:rStyle w:val="Hyperlink"/>
                <w:noProof/>
              </w:rPr>
              <w:t>Dosage selection for the pivotal studies</w:t>
            </w:r>
            <w:r>
              <w:rPr>
                <w:noProof/>
                <w:webHidden/>
              </w:rPr>
              <w:tab/>
            </w:r>
            <w:r>
              <w:rPr>
                <w:noProof/>
                <w:webHidden/>
              </w:rPr>
              <w:fldChar w:fldCharType="begin"/>
            </w:r>
            <w:r>
              <w:rPr>
                <w:noProof/>
                <w:webHidden/>
              </w:rPr>
              <w:instrText xml:space="preserve"> PAGEREF _Toc408930640 \h </w:instrText>
            </w:r>
            <w:r>
              <w:rPr>
                <w:noProof/>
                <w:webHidden/>
              </w:rPr>
            </w:r>
            <w:r>
              <w:rPr>
                <w:noProof/>
                <w:webHidden/>
              </w:rPr>
              <w:fldChar w:fldCharType="separate"/>
            </w:r>
            <w:r>
              <w:rPr>
                <w:noProof/>
                <w:webHidden/>
              </w:rPr>
              <w:t>25</w:t>
            </w:r>
            <w:r>
              <w:rPr>
                <w:noProof/>
                <w:webHidden/>
              </w:rPr>
              <w:fldChar w:fldCharType="end"/>
            </w:r>
          </w:hyperlink>
        </w:p>
        <w:p w14:paraId="6410162B" w14:textId="77777777" w:rsidR="000D6249" w:rsidRDefault="000D6249">
          <w:pPr>
            <w:pStyle w:val="TOC2"/>
            <w:tabs>
              <w:tab w:val="left" w:pos="1247"/>
            </w:tabs>
            <w:rPr>
              <w:rFonts w:asciiTheme="minorHAnsi" w:eastAsiaTheme="minorEastAsia" w:hAnsiTheme="minorHAnsi" w:cstheme="minorBidi"/>
              <w:b w:val="0"/>
              <w:noProof/>
              <w:sz w:val="22"/>
              <w:lang w:eastAsia="en-AU"/>
            </w:rPr>
          </w:pPr>
          <w:hyperlink w:anchor="_Toc408930641" w:history="1">
            <w:r w:rsidRPr="003B3C99">
              <w:rPr>
                <w:rStyle w:val="Hyperlink"/>
                <w:noProof/>
              </w:rPr>
              <w:t>7.</w:t>
            </w:r>
            <w:r>
              <w:rPr>
                <w:rFonts w:asciiTheme="minorHAnsi" w:eastAsiaTheme="minorEastAsia" w:hAnsiTheme="minorHAnsi" w:cstheme="minorBidi"/>
                <w:b w:val="0"/>
                <w:noProof/>
                <w:sz w:val="22"/>
                <w:lang w:eastAsia="en-AU"/>
              </w:rPr>
              <w:tab/>
            </w:r>
            <w:r w:rsidRPr="003B3C99">
              <w:rPr>
                <w:rStyle w:val="Hyperlink"/>
                <w:noProof/>
              </w:rPr>
              <w:t>Clinical efficacy</w:t>
            </w:r>
            <w:r>
              <w:rPr>
                <w:noProof/>
                <w:webHidden/>
              </w:rPr>
              <w:tab/>
            </w:r>
            <w:r>
              <w:rPr>
                <w:noProof/>
                <w:webHidden/>
              </w:rPr>
              <w:fldChar w:fldCharType="begin"/>
            </w:r>
            <w:r>
              <w:rPr>
                <w:noProof/>
                <w:webHidden/>
              </w:rPr>
              <w:instrText xml:space="preserve"> PAGEREF _Toc408930641 \h </w:instrText>
            </w:r>
            <w:r>
              <w:rPr>
                <w:noProof/>
                <w:webHidden/>
              </w:rPr>
            </w:r>
            <w:r>
              <w:rPr>
                <w:noProof/>
                <w:webHidden/>
              </w:rPr>
              <w:fldChar w:fldCharType="separate"/>
            </w:r>
            <w:r>
              <w:rPr>
                <w:noProof/>
                <w:webHidden/>
              </w:rPr>
              <w:t>26</w:t>
            </w:r>
            <w:r>
              <w:rPr>
                <w:noProof/>
                <w:webHidden/>
              </w:rPr>
              <w:fldChar w:fldCharType="end"/>
            </w:r>
          </w:hyperlink>
        </w:p>
        <w:p w14:paraId="582F5A2B" w14:textId="77777777" w:rsidR="000D6249" w:rsidRDefault="000D6249">
          <w:pPr>
            <w:pStyle w:val="TOC3"/>
            <w:tabs>
              <w:tab w:val="left" w:pos="1575"/>
            </w:tabs>
            <w:rPr>
              <w:rFonts w:asciiTheme="minorHAnsi" w:eastAsiaTheme="minorEastAsia" w:hAnsiTheme="minorHAnsi" w:cstheme="minorBidi"/>
              <w:noProof/>
              <w:lang w:eastAsia="en-AU"/>
            </w:rPr>
          </w:pPr>
          <w:hyperlink w:anchor="_Toc408930642" w:history="1">
            <w:r w:rsidRPr="003B3C99">
              <w:rPr>
                <w:rStyle w:val="Hyperlink"/>
                <w:noProof/>
              </w:rPr>
              <w:t>7.1.</w:t>
            </w:r>
            <w:r>
              <w:rPr>
                <w:rFonts w:asciiTheme="minorHAnsi" w:eastAsiaTheme="minorEastAsia" w:hAnsiTheme="minorHAnsi" w:cstheme="minorBidi"/>
                <w:noProof/>
                <w:lang w:eastAsia="en-AU"/>
              </w:rPr>
              <w:tab/>
            </w:r>
            <w:r w:rsidRPr="003B3C99">
              <w:rPr>
                <w:rStyle w:val="Hyperlink"/>
                <w:noProof/>
              </w:rPr>
              <w:t>For the treatment of schizophrenia</w:t>
            </w:r>
            <w:r>
              <w:rPr>
                <w:noProof/>
                <w:webHidden/>
              </w:rPr>
              <w:tab/>
            </w:r>
            <w:r>
              <w:rPr>
                <w:noProof/>
                <w:webHidden/>
              </w:rPr>
              <w:fldChar w:fldCharType="begin"/>
            </w:r>
            <w:r>
              <w:rPr>
                <w:noProof/>
                <w:webHidden/>
              </w:rPr>
              <w:instrText xml:space="preserve"> PAGEREF _Toc408930642 \h </w:instrText>
            </w:r>
            <w:r>
              <w:rPr>
                <w:noProof/>
                <w:webHidden/>
              </w:rPr>
            </w:r>
            <w:r>
              <w:rPr>
                <w:noProof/>
                <w:webHidden/>
              </w:rPr>
              <w:fldChar w:fldCharType="separate"/>
            </w:r>
            <w:r>
              <w:rPr>
                <w:noProof/>
                <w:webHidden/>
              </w:rPr>
              <w:t>26</w:t>
            </w:r>
            <w:r>
              <w:rPr>
                <w:noProof/>
                <w:webHidden/>
              </w:rPr>
              <w:fldChar w:fldCharType="end"/>
            </w:r>
          </w:hyperlink>
        </w:p>
        <w:p w14:paraId="2BA308B3" w14:textId="77777777" w:rsidR="000D6249" w:rsidRDefault="000D6249">
          <w:pPr>
            <w:pStyle w:val="TOC3"/>
            <w:tabs>
              <w:tab w:val="left" w:pos="1575"/>
            </w:tabs>
            <w:rPr>
              <w:rFonts w:asciiTheme="minorHAnsi" w:eastAsiaTheme="minorEastAsia" w:hAnsiTheme="minorHAnsi" w:cstheme="minorBidi"/>
              <w:noProof/>
              <w:lang w:eastAsia="en-AU"/>
            </w:rPr>
          </w:pPr>
          <w:hyperlink w:anchor="_Toc408930643" w:history="1">
            <w:r w:rsidRPr="003B3C99">
              <w:rPr>
                <w:rStyle w:val="Hyperlink"/>
                <w:noProof/>
              </w:rPr>
              <w:t>7.2.</w:t>
            </w:r>
            <w:r>
              <w:rPr>
                <w:rFonts w:asciiTheme="minorHAnsi" w:eastAsiaTheme="minorEastAsia" w:hAnsiTheme="minorHAnsi" w:cstheme="minorBidi"/>
                <w:noProof/>
                <w:lang w:eastAsia="en-AU"/>
              </w:rPr>
              <w:tab/>
            </w:r>
            <w:r w:rsidRPr="003B3C99">
              <w:rPr>
                <w:rStyle w:val="Hyperlink"/>
                <w:noProof/>
              </w:rPr>
              <w:t>Other efficacy studies</w:t>
            </w:r>
            <w:r>
              <w:rPr>
                <w:noProof/>
                <w:webHidden/>
              </w:rPr>
              <w:tab/>
            </w:r>
            <w:r>
              <w:rPr>
                <w:noProof/>
                <w:webHidden/>
              </w:rPr>
              <w:fldChar w:fldCharType="begin"/>
            </w:r>
            <w:r>
              <w:rPr>
                <w:noProof/>
                <w:webHidden/>
              </w:rPr>
              <w:instrText xml:space="preserve"> PAGEREF _Toc408930643 \h </w:instrText>
            </w:r>
            <w:r>
              <w:rPr>
                <w:noProof/>
                <w:webHidden/>
              </w:rPr>
            </w:r>
            <w:r>
              <w:rPr>
                <w:noProof/>
                <w:webHidden/>
              </w:rPr>
              <w:fldChar w:fldCharType="separate"/>
            </w:r>
            <w:r>
              <w:rPr>
                <w:noProof/>
                <w:webHidden/>
              </w:rPr>
              <w:t>43</w:t>
            </w:r>
            <w:r>
              <w:rPr>
                <w:noProof/>
                <w:webHidden/>
              </w:rPr>
              <w:fldChar w:fldCharType="end"/>
            </w:r>
          </w:hyperlink>
        </w:p>
        <w:p w14:paraId="28919624" w14:textId="77777777" w:rsidR="000D6249" w:rsidRDefault="000D6249">
          <w:pPr>
            <w:pStyle w:val="TOC3"/>
            <w:tabs>
              <w:tab w:val="left" w:pos="1575"/>
            </w:tabs>
            <w:rPr>
              <w:rFonts w:asciiTheme="minorHAnsi" w:eastAsiaTheme="minorEastAsia" w:hAnsiTheme="minorHAnsi" w:cstheme="minorBidi"/>
              <w:noProof/>
              <w:lang w:eastAsia="en-AU"/>
            </w:rPr>
          </w:pPr>
          <w:hyperlink w:anchor="_Toc408930644" w:history="1">
            <w:r w:rsidRPr="003B3C99">
              <w:rPr>
                <w:rStyle w:val="Hyperlink"/>
                <w:noProof/>
              </w:rPr>
              <w:t>7.3.</w:t>
            </w:r>
            <w:r>
              <w:rPr>
                <w:rFonts w:asciiTheme="minorHAnsi" w:eastAsiaTheme="minorEastAsia" w:hAnsiTheme="minorHAnsi" w:cstheme="minorBidi"/>
                <w:noProof/>
                <w:lang w:eastAsia="en-AU"/>
              </w:rPr>
              <w:tab/>
            </w:r>
            <w:r w:rsidRPr="003B3C99">
              <w:rPr>
                <w:rStyle w:val="Hyperlink"/>
                <w:noProof/>
              </w:rPr>
              <w:t>Evaluator’s conclusions on clinical efficacy for the treatment of schizophrenia</w:t>
            </w:r>
            <w:r>
              <w:rPr>
                <w:noProof/>
                <w:webHidden/>
              </w:rPr>
              <w:tab/>
            </w:r>
            <w:r>
              <w:rPr>
                <w:noProof/>
                <w:webHidden/>
              </w:rPr>
              <w:fldChar w:fldCharType="begin"/>
            </w:r>
            <w:r>
              <w:rPr>
                <w:noProof/>
                <w:webHidden/>
              </w:rPr>
              <w:instrText xml:space="preserve"> PAGEREF _Toc408930644 \h </w:instrText>
            </w:r>
            <w:r>
              <w:rPr>
                <w:noProof/>
                <w:webHidden/>
              </w:rPr>
            </w:r>
            <w:r>
              <w:rPr>
                <w:noProof/>
                <w:webHidden/>
              </w:rPr>
              <w:fldChar w:fldCharType="separate"/>
            </w:r>
            <w:r>
              <w:rPr>
                <w:noProof/>
                <w:webHidden/>
              </w:rPr>
              <w:t>43</w:t>
            </w:r>
            <w:r>
              <w:rPr>
                <w:noProof/>
                <w:webHidden/>
              </w:rPr>
              <w:fldChar w:fldCharType="end"/>
            </w:r>
          </w:hyperlink>
        </w:p>
        <w:p w14:paraId="7439B81E" w14:textId="77777777" w:rsidR="000D6249" w:rsidRDefault="000D6249">
          <w:pPr>
            <w:pStyle w:val="TOC2"/>
            <w:tabs>
              <w:tab w:val="left" w:pos="1247"/>
            </w:tabs>
            <w:rPr>
              <w:rFonts w:asciiTheme="minorHAnsi" w:eastAsiaTheme="minorEastAsia" w:hAnsiTheme="minorHAnsi" w:cstheme="minorBidi"/>
              <w:b w:val="0"/>
              <w:noProof/>
              <w:sz w:val="22"/>
              <w:lang w:eastAsia="en-AU"/>
            </w:rPr>
          </w:pPr>
          <w:hyperlink w:anchor="_Toc408930645" w:history="1">
            <w:r w:rsidRPr="003B3C99">
              <w:rPr>
                <w:rStyle w:val="Hyperlink"/>
                <w:noProof/>
              </w:rPr>
              <w:t>8.</w:t>
            </w:r>
            <w:r>
              <w:rPr>
                <w:rFonts w:asciiTheme="minorHAnsi" w:eastAsiaTheme="minorEastAsia" w:hAnsiTheme="minorHAnsi" w:cstheme="minorBidi"/>
                <w:b w:val="0"/>
                <w:noProof/>
                <w:sz w:val="22"/>
                <w:lang w:eastAsia="en-AU"/>
              </w:rPr>
              <w:tab/>
            </w:r>
            <w:r w:rsidRPr="003B3C99">
              <w:rPr>
                <w:rStyle w:val="Hyperlink"/>
                <w:noProof/>
              </w:rPr>
              <w:t>Clinical safety</w:t>
            </w:r>
            <w:r>
              <w:rPr>
                <w:noProof/>
                <w:webHidden/>
              </w:rPr>
              <w:tab/>
            </w:r>
            <w:r>
              <w:rPr>
                <w:noProof/>
                <w:webHidden/>
              </w:rPr>
              <w:fldChar w:fldCharType="begin"/>
            </w:r>
            <w:r>
              <w:rPr>
                <w:noProof/>
                <w:webHidden/>
              </w:rPr>
              <w:instrText xml:space="preserve"> PAGEREF _Toc408930645 \h </w:instrText>
            </w:r>
            <w:r>
              <w:rPr>
                <w:noProof/>
                <w:webHidden/>
              </w:rPr>
            </w:r>
            <w:r>
              <w:rPr>
                <w:noProof/>
                <w:webHidden/>
              </w:rPr>
              <w:fldChar w:fldCharType="separate"/>
            </w:r>
            <w:r>
              <w:rPr>
                <w:noProof/>
                <w:webHidden/>
              </w:rPr>
              <w:t>45</w:t>
            </w:r>
            <w:r>
              <w:rPr>
                <w:noProof/>
                <w:webHidden/>
              </w:rPr>
              <w:fldChar w:fldCharType="end"/>
            </w:r>
          </w:hyperlink>
        </w:p>
        <w:p w14:paraId="65595D51" w14:textId="77777777" w:rsidR="000D6249" w:rsidRDefault="000D6249">
          <w:pPr>
            <w:pStyle w:val="TOC3"/>
            <w:tabs>
              <w:tab w:val="left" w:pos="1575"/>
            </w:tabs>
            <w:rPr>
              <w:rFonts w:asciiTheme="minorHAnsi" w:eastAsiaTheme="minorEastAsia" w:hAnsiTheme="minorHAnsi" w:cstheme="minorBidi"/>
              <w:noProof/>
              <w:lang w:eastAsia="en-AU"/>
            </w:rPr>
          </w:pPr>
          <w:hyperlink w:anchor="_Toc408930646" w:history="1">
            <w:r w:rsidRPr="003B3C99">
              <w:rPr>
                <w:rStyle w:val="Hyperlink"/>
                <w:noProof/>
              </w:rPr>
              <w:t>8.1.</w:t>
            </w:r>
            <w:r>
              <w:rPr>
                <w:rFonts w:asciiTheme="minorHAnsi" w:eastAsiaTheme="minorEastAsia" w:hAnsiTheme="minorHAnsi" w:cstheme="minorBidi"/>
                <w:noProof/>
                <w:lang w:eastAsia="en-AU"/>
              </w:rPr>
              <w:tab/>
            </w:r>
            <w:r w:rsidRPr="003B3C99">
              <w:rPr>
                <w:rStyle w:val="Hyperlink"/>
                <w:noProof/>
              </w:rPr>
              <w:t>Studies providing evaluable safety data</w:t>
            </w:r>
            <w:r>
              <w:rPr>
                <w:noProof/>
                <w:webHidden/>
              </w:rPr>
              <w:tab/>
            </w:r>
            <w:r>
              <w:rPr>
                <w:noProof/>
                <w:webHidden/>
              </w:rPr>
              <w:fldChar w:fldCharType="begin"/>
            </w:r>
            <w:r>
              <w:rPr>
                <w:noProof/>
                <w:webHidden/>
              </w:rPr>
              <w:instrText xml:space="preserve"> PAGEREF _Toc408930646 \h </w:instrText>
            </w:r>
            <w:r>
              <w:rPr>
                <w:noProof/>
                <w:webHidden/>
              </w:rPr>
            </w:r>
            <w:r>
              <w:rPr>
                <w:noProof/>
                <w:webHidden/>
              </w:rPr>
              <w:fldChar w:fldCharType="separate"/>
            </w:r>
            <w:r>
              <w:rPr>
                <w:noProof/>
                <w:webHidden/>
              </w:rPr>
              <w:t>45</w:t>
            </w:r>
            <w:r>
              <w:rPr>
                <w:noProof/>
                <w:webHidden/>
              </w:rPr>
              <w:fldChar w:fldCharType="end"/>
            </w:r>
          </w:hyperlink>
        </w:p>
        <w:p w14:paraId="305DE762" w14:textId="77777777" w:rsidR="000D6249" w:rsidRDefault="000D6249">
          <w:pPr>
            <w:pStyle w:val="TOC3"/>
            <w:tabs>
              <w:tab w:val="left" w:pos="1575"/>
            </w:tabs>
            <w:rPr>
              <w:rFonts w:asciiTheme="minorHAnsi" w:eastAsiaTheme="minorEastAsia" w:hAnsiTheme="minorHAnsi" w:cstheme="minorBidi"/>
              <w:noProof/>
              <w:lang w:eastAsia="en-AU"/>
            </w:rPr>
          </w:pPr>
          <w:hyperlink w:anchor="_Toc408930647" w:history="1">
            <w:r w:rsidRPr="003B3C99">
              <w:rPr>
                <w:rStyle w:val="Hyperlink"/>
                <w:noProof/>
              </w:rPr>
              <w:t>8.2.</w:t>
            </w:r>
            <w:r>
              <w:rPr>
                <w:rFonts w:asciiTheme="minorHAnsi" w:eastAsiaTheme="minorEastAsia" w:hAnsiTheme="minorHAnsi" w:cstheme="minorBidi"/>
                <w:noProof/>
                <w:lang w:eastAsia="en-AU"/>
              </w:rPr>
              <w:tab/>
            </w:r>
            <w:r w:rsidRPr="003B3C99">
              <w:rPr>
                <w:rStyle w:val="Hyperlink"/>
                <w:noProof/>
              </w:rPr>
              <w:t>Patient exposure</w:t>
            </w:r>
            <w:r>
              <w:rPr>
                <w:noProof/>
                <w:webHidden/>
              </w:rPr>
              <w:tab/>
            </w:r>
            <w:r>
              <w:rPr>
                <w:noProof/>
                <w:webHidden/>
              </w:rPr>
              <w:fldChar w:fldCharType="begin"/>
            </w:r>
            <w:r>
              <w:rPr>
                <w:noProof/>
                <w:webHidden/>
              </w:rPr>
              <w:instrText xml:space="preserve"> PAGEREF _Toc408930647 \h </w:instrText>
            </w:r>
            <w:r>
              <w:rPr>
                <w:noProof/>
                <w:webHidden/>
              </w:rPr>
            </w:r>
            <w:r>
              <w:rPr>
                <w:noProof/>
                <w:webHidden/>
              </w:rPr>
              <w:fldChar w:fldCharType="separate"/>
            </w:r>
            <w:r>
              <w:rPr>
                <w:noProof/>
                <w:webHidden/>
              </w:rPr>
              <w:t>47</w:t>
            </w:r>
            <w:r>
              <w:rPr>
                <w:noProof/>
                <w:webHidden/>
              </w:rPr>
              <w:fldChar w:fldCharType="end"/>
            </w:r>
          </w:hyperlink>
        </w:p>
        <w:p w14:paraId="1D827737" w14:textId="77777777" w:rsidR="000D6249" w:rsidRDefault="000D6249">
          <w:pPr>
            <w:pStyle w:val="TOC3"/>
            <w:tabs>
              <w:tab w:val="left" w:pos="1575"/>
            </w:tabs>
            <w:rPr>
              <w:rFonts w:asciiTheme="minorHAnsi" w:eastAsiaTheme="minorEastAsia" w:hAnsiTheme="minorHAnsi" w:cstheme="minorBidi"/>
              <w:noProof/>
              <w:lang w:eastAsia="en-AU"/>
            </w:rPr>
          </w:pPr>
          <w:hyperlink w:anchor="_Toc408930648" w:history="1">
            <w:r w:rsidRPr="003B3C99">
              <w:rPr>
                <w:rStyle w:val="Hyperlink"/>
                <w:noProof/>
              </w:rPr>
              <w:t>8.3.</w:t>
            </w:r>
            <w:r>
              <w:rPr>
                <w:rFonts w:asciiTheme="minorHAnsi" w:eastAsiaTheme="minorEastAsia" w:hAnsiTheme="minorHAnsi" w:cstheme="minorBidi"/>
                <w:noProof/>
                <w:lang w:eastAsia="en-AU"/>
              </w:rPr>
              <w:tab/>
            </w:r>
            <w:r w:rsidRPr="003B3C99">
              <w:rPr>
                <w:rStyle w:val="Hyperlink"/>
                <w:noProof/>
              </w:rPr>
              <w:t>Adverse events</w:t>
            </w:r>
            <w:r>
              <w:rPr>
                <w:noProof/>
                <w:webHidden/>
              </w:rPr>
              <w:tab/>
            </w:r>
            <w:r>
              <w:rPr>
                <w:noProof/>
                <w:webHidden/>
              </w:rPr>
              <w:fldChar w:fldCharType="begin"/>
            </w:r>
            <w:r>
              <w:rPr>
                <w:noProof/>
                <w:webHidden/>
              </w:rPr>
              <w:instrText xml:space="preserve"> PAGEREF _Toc408930648 \h </w:instrText>
            </w:r>
            <w:r>
              <w:rPr>
                <w:noProof/>
                <w:webHidden/>
              </w:rPr>
            </w:r>
            <w:r>
              <w:rPr>
                <w:noProof/>
                <w:webHidden/>
              </w:rPr>
              <w:fldChar w:fldCharType="separate"/>
            </w:r>
            <w:r>
              <w:rPr>
                <w:noProof/>
                <w:webHidden/>
              </w:rPr>
              <w:t>48</w:t>
            </w:r>
            <w:r>
              <w:rPr>
                <w:noProof/>
                <w:webHidden/>
              </w:rPr>
              <w:fldChar w:fldCharType="end"/>
            </w:r>
          </w:hyperlink>
        </w:p>
        <w:p w14:paraId="31243FF0" w14:textId="77777777" w:rsidR="000D6249" w:rsidRDefault="000D6249">
          <w:pPr>
            <w:pStyle w:val="TOC3"/>
            <w:tabs>
              <w:tab w:val="left" w:pos="1575"/>
            </w:tabs>
            <w:rPr>
              <w:rFonts w:asciiTheme="minorHAnsi" w:eastAsiaTheme="minorEastAsia" w:hAnsiTheme="minorHAnsi" w:cstheme="minorBidi"/>
              <w:noProof/>
              <w:lang w:eastAsia="en-AU"/>
            </w:rPr>
          </w:pPr>
          <w:hyperlink w:anchor="_Toc408930649" w:history="1">
            <w:r w:rsidRPr="003B3C99">
              <w:rPr>
                <w:rStyle w:val="Hyperlink"/>
                <w:noProof/>
              </w:rPr>
              <w:t>8.4.</w:t>
            </w:r>
            <w:r>
              <w:rPr>
                <w:rFonts w:asciiTheme="minorHAnsi" w:eastAsiaTheme="minorEastAsia" w:hAnsiTheme="minorHAnsi" w:cstheme="minorBidi"/>
                <w:noProof/>
                <w:lang w:eastAsia="en-AU"/>
              </w:rPr>
              <w:tab/>
            </w:r>
            <w:r w:rsidRPr="003B3C99">
              <w:rPr>
                <w:rStyle w:val="Hyperlink"/>
                <w:noProof/>
              </w:rPr>
              <w:t>Laboratory tests</w:t>
            </w:r>
            <w:r>
              <w:rPr>
                <w:noProof/>
                <w:webHidden/>
              </w:rPr>
              <w:tab/>
            </w:r>
            <w:r>
              <w:rPr>
                <w:noProof/>
                <w:webHidden/>
              </w:rPr>
              <w:fldChar w:fldCharType="begin"/>
            </w:r>
            <w:r>
              <w:rPr>
                <w:noProof/>
                <w:webHidden/>
              </w:rPr>
              <w:instrText xml:space="preserve"> PAGEREF _Toc408930649 \h </w:instrText>
            </w:r>
            <w:r>
              <w:rPr>
                <w:noProof/>
                <w:webHidden/>
              </w:rPr>
            </w:r>
            <w:r>
              <w:rPr>
                <w:noProof/>
                <w:webHidden/>
              </w:rPr>
              <w:fldChar w:fldCharType="separate"/>
            </w:r>
            <w:r>
              <w:rPr>
                <w:noProof/>
                <w:webHidden/>
              </w:rPr>
              <w:t>51</w:t>
            </w:r>
            <w:r>
              <w:rPr>
                <w:noProof/>
                <w:webHidden/>
              </w:rPr>
              <w:fldChar w:fldCharType="end"/>
            </w:r>
          </w:hyperlink>
        </w:p>
        <w:p w14:paraId="56B5B48D" w14:textId="77777777" w:rsidR="000D6249" w:rsidRDefault="000D6249">
          <w:pPr>
            <w:pStyle w:val="TOC3"/>
            <w:tabs>
              <w:tab w:val="left" w:pos="1575"/>
            </w:tabs>
            <w:rPr>
              <w:rFonts w:asciiTheme="minorHAnsi" w:eastAsiaTheme="minorEastAsia" w:hAnsiTheme="minorHAnsi" w:cstheme="minorBidi"/>
              <w:noProof/>
              <w:lang w:eastAsia="en-AU"/>
            </w:rPr>
          </w:pPr>
          <w:hyperlink w:anchor="_Toc408930650" w:history="1">
            <w:r w:rsidRPr="003B3C99">
              <w:rPr>
                <w:rStyle w:val="Hyperlink"/>
                <w:noProof/>
              </w:rPr>
              <w:t>8.5.</w:t>
            </w:r>
            <w:r>
              <w:rPr>
                <w:rFonts w:asciiTheme="minorHAnsi" w:eastAsiaTheme="minorEastAsia" w:hAnsiTheme="minorHAnsi" w:cstheme="minorBidi"/>
                <w:noProof/>
                <w:lang w:eastAsia="en-AU"/>
              </w:rPr>
              <w:tab/>
            </w:r>
            <w:r w:rsidRPr="003B3C99">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_Toc408930650 \h </w:instrText>
            </w:r>
            <w:r>
              <w:rPr>
                <w:noProof/>
                <w:webHidden/>
              </w:rPr>
            </w:r>
            <w:r>
              <w:rPr>
                <w:noProof/>
                <w:webHidden/>
              </w:rPr>
              <w:fldChar w:fldCharType="separate"/>
            </w:r>
            <w:r>
              <w:rPr>
                <w:noProof/>
                <w:webHidden/>
              </w:rPr>
              <w:t>53</w:t>
            </w:r>
            <w:r>
              <w:rPr>
                <w:noProof/>
                <w:webHidden/>
              </w:rPr>
              <w:fldChar w:fldCharType="end"/>
            </w:r>
          </w:hyperlink>
        </w:p>
        <w:p w14:paraId="13DC6150" w14:textId="77777777" w:rsidR="000D6249" w:rsidRDefault="000D6249">
          <w:pPr>
            <w:pStyle w:val="TOC3"/>
            <w:tabs>
              <w:tab w:val="left" w:pos="1575"/>
            </w:tabs>
            <w:rPr>
              <w:rFonts w:asciiTheme="minorHAnsi" w:eastAsiaTheme="minorEastAsia" w:hAnsiTheme="minorHAnsi" w:cstheme="minorBidi"/>
              <w:noProof/>
              <w:lang w:eastAsia="en-AU"/>
            </w:rPr>
          </w:pPr>
          <w:hyperlink w:anchor="_Toc408930651" w:history="1">
            <w:r w:rsidRPr="003B3C99">
              <w:rPr>
                <w:rStyle w:val="Hyperlink"/>
                <w:noProof/>
              </w:rPr>
              <w:t>8.6.</w:t>
            </w:r>
            <w:r>
              <w:rPr>
                <w:rFonts w:asciiTheme="minorHAnsi" w:eastAsiaTheme="minorEastAsia" w:hAnsiTheme="minorHAnsi" w:cstheme="minorBidi"/>
                <w:noProof/>
                <w:lang w:eastAsia="en-AU"/>
              </w:rPr>
              <w:tab/>
            </w:r>
            <w:r w:rsidRPr="003B3C99">
              <w:rPr>
                <w:rStyle w:val="Hyperlink"/>
                <w:noProof/>
              </w:rPr>
              <w:t>Other safety issues</w:t>
            </w:r>
            <w:r>
              <w:rPr>
                <w:noProof/>
                <w:webHidden/>
              </w:rPr>
              <w:tab/>
            </w:r>
            <w:r>
              <w:rPr>
                <w:noProof/>
                <w:webHidden/>
              </w:rPr>
              <w:fldChar w:fldCharType="begin"/>
            </w:r>
            <w:r>
              <w:rPr>
                <w:noProof/>
                <w:webHidden/>
              </w:rPr>
              <w:instrText xml:space="preserve"> PAGEREF _Toc408930651 \h </w:instrText>
            </w:r>
            <w:r>
              <w:rPr>
                <w:noProof/>
                <w:webHidden/>
              </w:rPr>
            </w:r>
            <w:r>
              <w:rPr>
                <w:noProof/>
                <w:webHidden/>
              </w:rPr>
              <w:fldChar w:fldCharType="separate"/>
            </w:r>
            <w:r>
              <w:rPr>
                <w:noProof/>
                <w:webHidden/>
              </w:rPr>
              <w:t>55</w:t>
            </w:r>
            <w:r>
              <w:rPr>
                <w:noProof/>
                <w:webHidden/>
              </w:rPr>
              <w:fldChar w:fldCharType="end"/>
            </w:r>
          </w:hyperlink>
        </w:p>
        <w:p w14:paraId="088DF69C" w14:textId="77777777" w:rsidR="000D6249" w:rsidRDefault="000D6249">
          <w:pPr>
            <w:pStyle w:val="TOC3"/>
            <w:tabs>
              <w:tab w:val="left" w:pos="1575"/>
            </w:tabs>
            <w:rPr>
              <w:rFonts w:asciiTheme="minorHAnsi" w:eastAsiaTheme="minorEastAsia" w:hAnsiTheme="minorHAnsi" w:cstheme="minorBidi"/>
              <w:noProof/>
              <w:lang w:eastAsia="en-AU"/>
            </w:rPr>
          </w:pPr>
          <w:hyperlink w:anchor="_Toc408930652" w:history="1">
            <w:r w:rsidRPr="003B3C99">
              <w:rPr>
                <w:rStyle w:val="Hyperlink"/>
                <w:noProof/>
              </w:rPr>
              <w:t>8.7.</w:t>
            </w:r>
            <w:r>
              <w:rPr>
                <w:rFonts w:asciiTheme="minorHAnsi" w:eastAsiaTheme="minorEastAsia" w:hAnsiTheme="minorHAnsi" w:cstheme="minorBidi"/>
                <w:noProof/>
                <w:lang w:eastAsia="en-AU"/>
              </w:rPr>
              <w:tab/>
            </w:r>
            <w:r w:rsidRPr="003B3C99">
              <w:rPr>
                <w:rStyle w:val="Hyperlink"/>
                <w:noProof/>
              </w:rPr>
              <w:t>Evaluator’s overall conclusions on clinical safety</w:t>
            </w:r>
            <w:r>
              <w:rPr>
                <w:noProof/>
                <w:webHidden/>
              </w:rPr>
              <w:tab/>
            </w:r>
            <w:r>
              <w:rPr>
                <w:noProof/>
                <w:webHidden/>
              </w:rPr>
              <w:fldChar w:fldCharType="begin"/>
            </w:r>
            <w:r>
              <w:rPr>
                <w:noProof/>
                <w:webHidden/>
              </w:rPr>
              <w:instrText xml:space="preserve"> PAGEREF _Toc408930652 \h </w:instrText>
            </w:r>
            <w:r>
              <w:rPr>
                <w:noProof/>
                <w:webHidden/>
              </w:rPr>
            </w:r>
            <w:r>
              <w:rPr>
                <w:noProof/>
                <w:webHidden/>
              </w:rPr>
              <w:fldChar w:fldCharType="separate"/>
            </w:r>
            <w:r>
              <w:rPr>
                <w:noProof/>
                <w:webHidden/>
              </w:rPr>
              <w:t>58</w:t>
            </w:r>
            <w:r>
              <w:rPr>
                <w:noProof/>
                <w:webHidden/>
              </w:rPr>
              <w:fldChar w:fldCharType="end"/>
            </w:r>
          </w:hyperlink>
        </w:p>
        <w:p w14:paraId="493A6928" w14:textId="77777777" w:rsidR="000D6249" w:rsidRDefault="000D6249">
          <w:pPr>
            <w:pStyle w:val="TOC2"/>
            <w:tabs>
              <w:tab w:val="left" w:pos="1247"/>
            </w:tabs>
            <w:rPr>
              <w:rFonts w:asciiTheme="minorHAnsi" w:eastAsiaTheme="minorEastAsia" w:hAnsiTheme="minorHAnsi" w:cstheme="minorBidi"/>
              <w:b w:val="0"/>
              <w:noProof/>
              <w:sz w:val="22"/>
              <w:lang w:eastAsia="en-AU"/>
            </w:rPr>
          </w:pPr>
          <w:hyperlink w:anchor="_Toc408930653" w:history="1">
            <w:r w:rsidRPr="003B3C99">
              <w:rPr>
                <w:rStyle w:val="Hyperlink"/>
                <w:noProof/>
              </w:rPr>
              <w:t>9.</w:t>
            </w:r>
            <w:r>
              <w:rPr>
                <w:rFonts w:asciiTheme="minorHAnsi" w:eastAsiaTheme="minorEastAsia" w:hAnsiTheme="minorHAnsi" w:cstheme="minorBidi"/>
                <w:b w:val="0"/>
                <w:noProof/>
                <w:sz w:val="22"/>
                <w:lang w:eastAsia="en-AU"/>
              </w:rPr>
              <w:tab/>
            </w:r>
            <w:r w:rsidRPr="003B3C99">
              <w:rPr>
                <w:rStyle w:val="Hyperlink"/>
                <w:noProof/>
              </w:rPr>
              <w:t>First round benefit-risk assessment</w:t>
            </w:r>
            <w:r>
              <w:rPr>
                <w:noProof/>
                <w:webHidden/>
              </w:rPr>
              <w:tab/>
            </w:r>
            <w:r>
              <w:rPr>
                <w:noProof/>
                <w:webHidden/>
              </w:rPr>
              <w:fldChar w:fldCharType="begin"/>
            </w:r>
            <w:r>
              <w:rPr>
                <w:noProof/>
                <w:webHidden/>
              </w:rPr>
              <w:instrText xml:space="preserve"> PAGEREF _Toc408930653 \h </w:instrText>
            </w:r>
            <w:r>
              <w:rPr>
                <w:noProof/>
                <w:webHidden/>
              </w:rPr>
            </w:r>
            <w:r>
              <w:rPr>
                <w:noProof/>
                <w:webHidden/>
              </w:rPr>
              <w:fldChar w:fldCharType="separate"/>
            </w:r>
            <w:r>
              <w:rPr>
                <w:noProof/>
                <w:webHidden/>
              </w:rPr>
              <w:t>58</w:t>
            </w:r>
            <w:r>
              <w:rPr>
                <w:noProof/>
                <w:webHidden/>
              </w:rPr>
              <w:fldChar w:fldCharType="end"/>
            </w:r>
          </w:hyperlink>
        </w:p>
        <w:p w14:paraId="60E0FCFE" w14:textId="77777777" w:rsidR="000D6249" w:rsidRDefault="000D6249">
          <w:pPr>
            <w:pStyle w:val="TOC3"/>
            <w:tabs>
              <w:tab w:val="left" w:pos="1575"/>
            </w:tabs>
            <w:rPr>
              <w:rFonts w:asciiTheme="minorHAnsi" w:eastAsiaTheme="minorEastAsia" w:hAnsiTheme="minorHAnsi" w:cstheme="minorBidi"/>
              <w:noProof/>
              <w:lang w:eastAsia="en-AU"/>
            </w:rPr>
          </w:pPr>
          <w:hyperlink w:anchor="_Toc408930654" w:history="1">
            <w:r w:rsidRPr="003B3C99">
              <w:rPr>
                <w:rStyle w:val="Hyperlink"/>
                <w:noProof/>
              </w:rPr>
              <w:t>9.1.</w:t>
            </w:r>
            <w:r>
              <w:rPr>
                <w:rFonts w:asciiTheme="minorHAnsi" w:eastAsiaTheme="minorEastAsia" w:hAnsiTheme="minorHAnsi" w:cstheme="minorBidi"/>
                <w:noProof/>
                <w:lang w:eastAsia="en-AU"/>
              </w:rPr>
              <w:tab/>
            </w:r>
            <w:r w:rsidRPr="003B3C99">
              <w:rPr>
                <w:rStyle w:val="Hyperlink"/>
                <w:noProof/>
              </w:rPr>
              <w:t>First round assessment of benefits</w:t>
            </w:r>
            <w:r>
              <w:rPr>
                <w:noProof/>
                <w:webHidden/>
              </w:rPr>
              <w:tab/>
            </w:r>
            <w:r>
              <w:rPr>
                <w:noProof/>
                <w:webHidden/>
              </w:rPr>
              <w:fldChar w:fldCharType="begin"/>
            </w:r>
            <w:r>
              <w:rPr>
                <w:noProof/>
                <w:webHidden/>
              </w:rPr>
              <w:instrText xml:space="preserve"> PAGEREF _Toc408930654 \h </w:instrText>
            </w:r>
            <w:r>
              <w:rPr>
                <w:noProof/>
                <w:webHidden/>
              </w:rPr>
            </w:r>
            <w:r>
              <w:rPr>
                <w:noProof/>
                <w:webHidden/>
              </w:rPr>
              <w:fldChar w:fldCharType="separate"/>
            </w:r>
            <w:r>
              <w:rPr>
                <w:noProof/>
                <w:webHidden/>
              </w:rPr>
              <w:t>58</w:t>
            </w:r>
            <w:r>
              <w:rPr>
                <w:noProof/>
                <w:webHidden/>
              </w:rPr>
              <w:fldChar w:fldCharType="end"/>
            </w:r>
          </w:hyperlink>
        </w:p>
        <w:p w14:paraId="325697D5" w14:textId="77777777" w:rsidR="000D6249" w:rsidRDefault="000D6249">
          <w:pPr>
            <w:pStyle w:val="TOC3"/>
            <w:tabs>
              <w:tab w:val="left" w:pos="1575"/>
            </w:tabs>
            <w:rPr>
              <w:rFonts w:asciiTheme="minorHAnsi" w:eastAsiaTheme="minorEastAsia" w:hAnsiTheme="minorHAnsi" w:cstheme="minorBidi"/>
              <w:noProof/>
              <w:lang w:eastAsia="en-AU"/>
            </w:rPr>
          </w:pPr>
          <w:hyperlink w:anchor="_Toc408930655" w:history="1">
            <w:r w:rsidRPr="003B3C99">
              <w:rPr>
                <w:rStyle w:val="Hyperlink"/>
                <w:noProof/>
              </w:rPr>
              <w:t>9.2.</w:t>
            </w:r>
            <w:r>
              <w:rPr>
                <w:rFonts w:asciiTheme="minorHAnsi" w:eastAsiaTheme="minorEastAsia" w:hAnsiTheme="minorHAnsi" w:cstheme="minorBidi"/>
                <w:noProof/>
                <w:lang w:eastAsia="en-AU"/>
              </w:rPr>
              <w:tab/>
            </w:r>
            <w:r w:rsidRPr="003B3C99">
              <w:rPr>
                <w:rStyle w:val="Hyperlink"/>
                <w:noProof/>
              </w:rPr>
              <w:t>First round assessment of risks</w:t>
            </w:r>
            <w:r>
              <w:rPr>
                <w:noProof/>
                <w:webHidden/>
              </w:rPr>
              <w:tab/>
            </w:r>
            <w:r>
              <w:rPr>
                <w:noProof/>
                <w:webHidden/>
              </w:rPr>
              <w:fldChar w:fldCharType="begin"/>
            </w:r>
            <w:r>
              <w:rPr>
                <w:noProof/>
                <w:webHidden/>
              </w:rPr>
              <w:instrText xml:space="preserve"> PAGEREF _Toc408930655 \h </w:instrText>
            </w:r>
            <w:r>
              <w:rPr>
                <w:noProof/>
                <w:webHidden/>
              </w:rPr>
            </w:r>
            <w:r>
              <w:rPr>
                <w:noProof/>
                <w:webHidden/>
              </w:rPr>
              <w:fldChar w:fldCharType="separate"/>
            </w:r>
            <w:r>
              <w:rPr>
                <w:noProof/>
                <w:webHidden/>
              </w:rPr>
              <w:t>59</w:t>
            </w:r>
            <w:r>
              <w:rPr>
                <w:noProof/>
                <w:webHidden/>
              </w:rPr>
              <w:fldChar w:fldCharType="end"/>
            </w:r>
          </w:hyperlink>
        </w:p>
        <w:p w14:paraId="3F0B8E03" w14:textId="77777777" w:rsidR="000D6249" w:rsidRDefault="000D6249">
          <w:pPr>
            <w:pStyle w:val="TOC3"/>
            <w:tabs>
              <w:tab w:val="left" w:pos="1575"/>
            </w:tabs>
            <w:rPr>
              <w:rFonts w:asciiTheme="minorHAnsi" w:eastAsiaTheme="minorEastAsia" w:hAnsiTheme="minorHAnsi" w:cstheme="minorBidi"/>
              <w:noProof/>
              <w:lang w:eastAsia="en-AU"/>
            </w:rPr>
          </w:pPr>
          <w:hyperlink w:anchor="_Toc408930656" w:history="1">
            <w:r w:rsidRPr="003B3C99">
              <w:rPr>
                <w:rStyle w:val="Hyperlink"/>
                <w:noProof/>
              </w:rPr>
              <w:t>9.3.</w:t>
            </w:r>
            <w:r>
              <w:rPr>
                <w:rFonts w:asciiTheme="minorHAnsi" w:eastAsiaTheme="minorEastAsia" w:hAnsiTheme="minorHAnsi" w:cstheme="minorBidi"/>
                <w:noProof/>
                <w:lang w:eastAsia="en-AU"/>
              </w:rPr>
              <w:tab/>
            </w:r>
            <w:r w:rsidRPr="003B3C99">
              <w:rPr>
                <w:rStyle w:val="Hyperlink"/>
                <w:noProof/>
              </w:rPr>
              <w:t>First round assessment of benefit-risk balance</w:t>
            </w:r>
            <w:r>
              <w:rPr>
                <w:noProof/>
                <w:webHidden/>
              </w:rPr>
              <w:tab/>
            </w:r>
            <w:r>
              <w:rPr>
                <w:noProof/>
                <w:webHidden/>
              </w:rPr>
              <w:fldChar w:fldCharType="begin"/>
            </w:r>
            <w:r>
              <w:rPr>
                <w:noProof/>
                <w:webHidden/>
              </w:rPr>
              <w:instrText xml:space="preserve"> PAGEREF _Toc408930656 \h </w:instrText>
            </w:r>
            <w:r>
              <w:rPr>
                <w:noProof/>
                <w:webHidden/>
              </w:rPr>
            </w:r>
            <w:r>
              <w:rPr>
                <w:noProof/>
                <w:webHidden/>
              </w:rPr>
              <w:fldChar w:fldCharType="separate"/>
            </w:r>
            <w:r>
              <w:rPr>
                <w:noProof/>
                <w:webHidden/>
              </w:rPr>
              <w:t>59</w:t>
            </w:r>
            <w:r>
              <w:rPr>
                <w:noProof/>
                <w:webHidden/>
              </w:rPr>
              <w:fldChar w:fldCharType="end"/>
            </w:r>
          </w:hyperlink>
        </w:p>
        <w:p w14:paraId="3953D571" w14:textId="77777777" w:rsidR="000D6249" w:rsidRDefault="000D6249">
          <w:pPr>
            <w:pStyle w:val="TOC2"/>
            <w:tabs>
              <w:tab w:val="left" w:pos="1247"/>
            </w:tabs>
            <w:rPr>
              <w:rFonts w:asciiTheme="minorHAnsi" w:eastAsiaTheme="minorEastAsia" w:hAnsiTheme="minorHAnsi" w:cstheme="minorBidi"/>
              <w:b w:val="0"/>
              <w:noProof/>
              <w:sz w:val="22"/>
              <w:lang w:eastAsia="en-AU"/>
            </w:rPr>
          </w:pPr>
          <w:hyperlink w:anchor="_Toc408930657" w:history="1">
            <w:r w:rsidRPr="003B3C99">
              <w:rPr>
                <w:rStyle w:val="Hyperlink"/>
                <w:noProof/>
              </w:rPr>
              <w:t>10.</w:t>
            </w:r>
            <w:r>
              <w:rPr>
                <w:rFonts w:asciiTheme="minorHAnsi" w:eastAsiaTheme="minorEastAsia" w:hAnsiTheme="minorHAnsi" w:cstheme="minorBidi"/>
                <w:b w:val="0"/>
                <w:noProof/>
                <w:sz w:val="22"/>
                <w:lang w:eastAsia="en-AU"/>
              </w:rPr>
              <w:tab/>
            </w:r>
            <w:r w:rsidRPr="003B3C99">
              <w:rPr>
                <w:rStyle w:val="Hyperlink"/>
                <w:noProof/>
              </w:rPr>
              <w:t>First round recommendation regarding authorisation</w:t>
            </w:r>
            <w:r>
              <w:rPr>
                <w:noProof/>
                <w:webHidden/>
              </w:rPr>
              <w:tab/>
            </w:r>
            <w:r>
              <w:rPr>
                <w:noProof/>
                <w:webHidden/>
              </w:rPr>
              <w:fldChar w:fldCharType="begin"/>
            </w:r>
            <w:r>
              <w:rPr>
                <w:noProof/>
                <w:webHidden/>
              </w:rPr>
              <w:instrText xml:space="preserve"> PAGEREF _Toc408930657 \h </w:instrText>
            </w:r>
            <w:r>
              <w:rPr>
                <w:noProof/>
                <w:webHidden/>
              </w:rPr>
            </w:r>
            <w:r>
              <w:rPr>
                <w:noProof/>
                <w:webHidden/>
              </w:rPr>
              <w:fldChar w:fldCharType="separate"/>
            </w:r>
            <w:r>
              <w:rPr>
                <w:noProof/>
                <w:webHidden/>
              </w:rPr>
              <w:t>59</w:t>
            </w:r>
            <w:r>
              <w:rPr>
                <w:noProof/>
                <w:webHidden/>
              </w:rPr>
              <w:fldChar w:fldCharType="end"/>
            </w:r>
          </w:hyperlink>
        </w:p>
        <w:p w14:paraId="60302D69" w14:textId="77777777" w:rsidR="000D6249" w:rsidRDefault="000D6249">
          <w:pPr>
            <w:pStyle w:val="TOC2"/>
            <w:tabs>
              <w:tab w:val="left" w:pos="1247"/>
            </w:tabs>
            <w:rPr>
              <w:rFonts w:asciiTheme="minorHAnsi" w:eastAsiaTheme="minorEastAsia" w:hAnsiTheme="minorHAnsi" w:cstheme="minorBidi"/>
              <w:b w:val="0"/>
              <w:noProof/>
              <w:sz w:val="22"/>
              <w:lang w:eastAsia="en-AU"/>
            </w:rPr>
          </w:pPr>
          <w:hyperlink w:anchor="_Toc408930658" w:history="1">
            <w:r w:rsidRPr="003B3C99">
              <w:rPr>
                <w:rStyle w:val="Hyperlink"/>
                <w:noProof/>
              </w:rPr>
              <w:t>11.</w:t>
            </w:r>
            <w:r>
              <w:rPr>
                <w:rFonts w:asciiTheme="minorHAnsi" w:eastAsiaTheme="minorEastAsia" w:hAnsiTheme="minorHAnsi" w:cstheme="minorBidi"/>
                <w:b w:val="0"/>
                <w:noProof/>
                <w:sz w:val="22"/>
                <w:lang w:eastAsia="en-AU"/>
              </w:rPr>
              <w:tab/>
            </w:r>
            <w:r w:rsidRPr="003B3C99">
              <w:rPr>
                <w:rStyle w:val="Hyperlink"/>
                <w:noProof/>
              </w:rPr>
              <w:t>Clinical questions</w:t>
            </w:r>
            <w:r>
              <w:rPr>
                <w:noProof/>
                <w:webHidden/>
              </w:rPr>
              <w:tab/>
            </w:r>
            <w:r>
              <w:rPr>
                <w:noProof/>
                <w:webHidden/>
              </w:rPr>
              <w:fldChar w:fldCharType="begin"/>
            </w:r>
            <w:r>
              <w:rPr>
                <w:noProof/>
                <w:webHidden/>
              </w:rPr>
              <w:instrText xml:space="preserve"> PAGEREF _Toc408930658 \h </w:instrText>
            </w:r>
            <w:r>
              <w:rPr>
                <w:noProof/>
                <w:webHidden/>
              </w:rPr>
            </w:r>
            <w:r>
              <w:rPr>
                <w:noProof/>
                <w:webHidden/>
              </w:rPr>
              <w:fldChar w:fldCharType="separate"/>
            </w:r>
            <w:r>
              <w:rPr>
                <w:noProof/>
                <w:webHidden/>
              </w:rPr>
              <w:t>60</w:t>
            </w:r>
            <w:r>
              <w:rPr>
                <w:noProof/>
                <w:webHidden/>
              </w:rPr>
              <w:fldChar w:fldCharType="end"/>
            </w:r>
          </w:hyperlink>
        </w:p>
        <w:p w14:paraId="334AFB6C" w14:textId="77777777" w:rsidR="000D6249" w:rsidRDefault="000D6249">
          <w:pPr>
            <w:pStyle w:val="TOC2"/>
            <w:tabs>
              <w:tab w:val="left" w:pos="1247"/>
            </w:tabs>
            <w:rPr>
              <w:rFonts w:asciiTheme="minorHAnsi" w:eastAsiaTheme="minorEastAsia" w:hAnsiTheme="minorHAnsi" w:cstheme="minorBidi"/>
              <w:b w:val="0"/>
              <w:noProof/>
              <w:sz w:val="22"/>
              <w:lang w:eastAsia="en-AU"/>
            </w:rPr>
          </w:pPr>
          <w:hyperlink w:anchor="_Toc408930659" w:history="1">
            <w:r w:rsidRPr="003B3C99">
              <w:rPr>
                <w:rStyle w:val="Hyperlink"/>
                <w:noProof/>
              </w:rPr>
              <w:t>12.</w:t>
            </w:r>
            <w:r>
              <w:rPr>
                <w:rFonts w:asciiTheme="minorHAnsi" w:eastAsiaTheme="minorEastAsia" w:hAnsiTheme="minorHAnsi" w:cstheme="minorBidi"/>
                <w:b w:val="0"/>
                <w:noProof/>
                <w:sz w:val="22"/>
                <w:lang w:eastAsia="en-AU"/>
              </w:rPr>
              <w:tab/>
            </w:r>
            <w:r w:rsidRPr="003B3C99">
              <w:rPr>
                <w:rStyle w:val="Hyperlink"/>
                <w:noProof/>
              </w:rPr>
              <w:t>Second round benefit-risk assessment</w:t>
            </w:r>
            <w:r>
              <w:rPr>
                <w:noProof/>
                <w:webHidden/>
              </w:rPr>
              <w:tab/>
            </w:r>
            <w:r>
              <w:rPr>
                <w:noProof/>
                <w:webHidden/>
              </w:rPr>
              <w:fldChar w:fldCharType="begin"/>
            </w:r>
            <w:r>
              <w:rPr>
                <w:noProof/>
                <w:webHidden/>
              </w:rPr>
              <w:instrText xml:space="preserve"> PAGEREF _Toc408930659 \h </w:instrText>
            </w:r>
            <w:r>
              <w:rPr>
                <w:noProof/>
                <w:webHidden/>
              </w:rPr>
            </w:r>
            <w:r>
              <w:rPr>
                <w:noProof/>
                <w:webHidden/>
              </w:rPr>
              <w:fldChar w:fldCharType="separate"/>
            </w:r>
            <w:r>
              <w:rPr>
                <w:noProof/>
                <w:webHidden/>
              </w:rPr>
              <w:t>60</w:t>
            </w:r>
            <w:r>
              <w:rPr>
                <w:noProof/>
                <w:webHidden/>
              </w:rPr>
              <w:fldChar w:fldCharType="end"/>
            </w:r>
          </w:hyperlink>
        </w:p>
        <w:p w14:paraId="5E9C35C0" w14:textId="77777777" w:rsidR="000D6249" w:rsidRDefault="000D6249">
          <w:pPr>
            <w:pStyle w:val="TOC2"/>
            <w:tabs>
              <w:tab w:val="left" w:pos="1247"/>
            </w:tabs>
            <w:rPr>
              <w:rFonts w:asciiTheme="minorHAnsi" w:eastAsiaTheme="minorEastAsia" w:hAnsiTheme="minorHAnsi" w:cstheme="minorBidi"/>
              <w:b w:val="0"/>
              <w:noProof/>
              <w:sz w:val="22"/>
              <w:lang w:eastAsia="en-AU"/>
            </w:rPr>
          </w:pPr>
          <w:hyperlink w:anchor="_Toc408930660" w:history="1">
            <w:r w:rsidRPr="003B3C99">
              <w:rPr>
                <w:rStyle w:val="Hyperlink"/>
                <w:noProof/>
              </w:rPr>
              <w:t>13.</w:t>
            </w:r>
            <w:r>
              <w:rPr>
                <w:rFonts w:asciiTheme="minorHAnsi" w:eastAsiaTheme="minorEastAsia" w:hAnsiTheme="minorHAnsi" w:cstheme="minorBidi"/>
                <w:b w:val="0"/>
                <w:noProof/>
                <w:sz w:val="22"/>
                <w:lang w:eastAsia="en-AU"/>
              </w:rPr>
              <w:tab/>
            </w:r>
            <w:r w:rsidRPr="003B3C99">
              <w:rPr>
                <w:rStyle w:val="Hyperlink"/>
                <w:noProof/>
              </w:rPr>
              <w:t>Second round recommendation regarding authorisation</w:t>
            </w:r>
            <w:r>
              <w:rPr>
                <w:noProof/>
                <w:webHidden/>
              </w:rPr>
              <w:tab/>
            </w:r>
            <w:r>
              <w:rPr>
                <w:noProof/>
                <w:webHidden/>
              </w:rPr>
              <w:fldChar w:fldCharType="begin"/>
            </w:r>
            <w:r>
              <w:rPr>
                <w:noProof/>
                <w:webHidden/>
              </w:rPr>
              <w:instrText xml:space="preserve"> PAGEREF _Toc408930660 \h </w:instrText>
            </w:r>
            <w:r>
              <w:rPr>
                <w:noProof/>
                <w:webHidden/>
              </w:rPr>
            </w:r>
            <w:r>
              <w:rPr>
                <w:noProof/>
                <w:webHidden/>
              </w:rPr>
              <w:fldChar w:fldCharType="separate"/>
            </w:r>
            <w:r>
              <w:rPr>
                <w:noProof/>
                <w:webHidden/>
              </w:rPr>
              <w:t>60</w:t>
            </w:r>
            <w:r>
              <w:rPr>
                <w:noProof/>
                <w:webHidden/>
              </w:rPr>
              <w:fldChar w:fldCharType="end"/>
            </w:r>
          </w:hyperlink>
        </w:p>
        <w:p w14:paraId="24A32E91" w14:textId="77777777" w:rsidR="003A7F6C" w:rsidRPr="00B811C6" w:rsidRDefault="004F4AF5" w:rsidP="00B811C6">
          <w:pPr>
            <w:pStyle w:val="TOC2"/>
          </w:pPr>
          <w:r>
            <w:fldChar w:fldCharType="end"/>
          </w:r>
        </w:p>
      </w:sdtContent>
    </w:sdt>
    <w:bookmarkStart w:id="3" w:name="_Toc314842482" w:displacedByCustomXml="prev"/>
    <w:p w14:paraId="24A32E92" w14:textId="77777777" w:rsidR="006D6E57" w:rsidRDefault="006D6E57">
      <w:pPr>
        <w:spacing w:before="0" w:after="200" w:line="0" w:lineRule="auto"/>
        <w:rPr>
          <w:rFonts w:ascii="Arial" w:eastAsia="Times New Roman" w:hAnsi="Arial"/>
          <w:b/>
          <w:bCs/>
          <w:sz w:val="32"/>
          <w:szCs w:val="26"/>
          <w:lang w:eastAsia="ja-JP"/>
        </w:rPr>
      </w:pPr>
      <w:bookmarkStart w:id="4" w:name="_Toc351718900"/>
      <w:bookmarkStart w:id="5" w:name="_Toc355338635"/>
      <w:r>
        <w:br w:type="page"/>
      </w:r>
    </w:p>
    <w:p w14:paraId="24A32E93" w14:textId="77777777" w:rsidR="002B55D9" w:rsidRDefault="002B55D9" w:rsidP="007669A1">
      <w:pPr>
        <w:pStyle w:val="Heading2"/>
      </w:pPr>
      <w:bookmarkStart w:id="6" w:name="_Toc408930623"/>
      <w:r>
        <w:lastRenderedPageBreak/>
        <w:t>List of common abbreviations used in this AusPAR</w:t>
      </w:r>
      <w:bookmarkEnd w:id="6"/>
    </w:p>
    <w:tbl>
      <w:tblPr>
        <w:tblStyle w:val="TableTGAblue"/>
        <w:tblW w:w="0" w:type="auto"/>
        <w:tblLook w:val="04A0" w:firstRow="1" w:lastRow="0" w:firstColumn="1" w:lastColumn="0" w:noHBand="0" w:noVBand="1"/>
      </w:tblPr>
      <w:tblGrid>
        <w:gridCol w:w="3510"/>
        <w:gridCol w:w="4962"/>
      </w:tblGrid>
      <w:tr w:rsidR="002B55D9" w:rsidRPr="008C1BC0" w14:paraId="24A32E96" w14:textId="77777777" w:rsidTr="002A3494">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3510" w:type="dxa"/>
          </w:tcPr>
          <w:p w14:paraId="24A32E94" w14:textId="77777777" w:rsidR="002B55D9" w:rsidRPr="008C1BC0" w:rsidRDefault="002B55D9" w:rsidP="002A3494">
            <w:r>
              <w:t>Abbreviation</w:t>
            </w:r>
          </w:p>
        </w:tc>
        <w:tc>
          <w:tcPr>
            <w:tcW w:w="4962" w:type="dxa"/>
          </w:tcPr>
          <w:p w14:paraId="24A32E95" w14:textId="77777777" w:rsidR="002B55D9" w:rsidRPr="008C1BC0" w:rsidRDefault="002B55D9" w:rsidP="002A3494">
            <w:pPr>
              <w:cnfStyle w:val="100000000000" w:firstRow="1" w:lastRow="0" w:firstColumn="0" w:lastColumn="0" w:oddVBand="0" w:evenVBand="0" w:oddHBand="0" w:evenHBand="0" w:firstRowFirstColumn="0" w:firstRowLastColumn="0" w:lastRowFirstColumn="0" w:lastRowLastColumn="0"/>
            </w:pPr>
            <w:r>
              <w:t>Meaning</w:t>
            </w:r>
          </w:p>
        </w:tc>
      </w:tr>
      <w:tr w:rsidR="002B55D9" w:rsidRPr="008C1BC0" w14:paraId="24A32E99" w14:textId="77777777" w:rsidTr="006D6E57">
        <w:trPr>
          <w:trHeight w:val="510"/>
        </w:trPr>
        <w:tc>
          <w:tcPr>
            <w:cnfStyle w:val="001000000000" w:firstRow="0" w:lastRow="0" w:firstColumn="1" w:lastColumn="0" w:oddVBand="0" w:evenVBand="0" w:oddHBand="0" w:evenHBand="0" w:firstRowFirstColumn="0" w:firstRowLastColumn="0" w:lastRowFirstColumn="0" w:lastRowLastColumn="0"/>
            <w:tcW w:w="3510" w:type="dxa"/>
          </w:tcPr>
          <w:p w14:paraId="24A32E97" w14:textId="77777777" w:rsidR="002B55D9" w:rsidRPr="008C1BC0" w:rsidRDefault="002B55D9" w:rsidP="002A3494">
            <w:r w:rsidRPr="008C1BC0">
              <w:t>OPC-14597</w:t>
            </w:r>
          </w:p>
        </w:tc>
        <w:tc>
          <w:tcPr>
            <w:tcW w:w="4962" w:type="dxa"/>
          </w:tcPr>
          <w:p w14:paraId="24A32E98" w14:textId="77777777" w:rsidR="002B55D9" w:rsidRPr="008C1BC0" w:rsidRDefault="002B55D9" w:rsidP="002A3494">
            <w:pPr>
              <w:cnfStyle w:val="000000000000" w:firstRow="0" w:lastRow="0" w:firstColumn="0" w:lastColumn="0" w:oddVBand="0" w:evenVBand="0" w:oddHBand="0" w:evenHBand="0" w:firstRowFirstColumn="0" w:firstRowLastColumn="0" w:lastRowFirstColumn="0" w:lastRowLastColumn="0"/>
              <w:rPr>
                <w:bCs/>
              </w:rPr>
            </w:pPr>
            <w:proofErr w:type="spellStart"/>
            <w:r w:rsidRPr="008C1BC0">
              <w:t>aripiprazole</w:t>
            </w:r>
            <w:proofErr w:type="spellEnd"/>
          </w:p>
        </w:tc>
      </w:tr>
      <w:tr w:rsidR="002B55D9" w:rsidRPr="008C1BC0" w14:paraId="24A32E9C" w14:textId="77777777" w:rsidTr="006D6E57">
        <w:trPr>
          <w:trHeight w:val="510"/>
        </w:trPr>
        <w:tc>
          <w:tcPr>
            <w:cnfStyle w:val="001000000000" w:firstRow="0" w:lastRow="0" w:firstColumn="1" w:lastColumn="0" w:oddVBand="0" w:evenVBand="0" w:oddHBand="0" w:evenHBand="0" w:firstRowFirstColumn="0" w:firstRowLastColumn="0" w:lastRowFirstColumn="0" w:lastRowLastColumn="0"/>
            <w:tcW w:w="3510" w:type="dxa"/>
          </w:tcPr>
          <w:p w14:paraId="24A32E9A" w14:textId="77777777" w:rsidR="002B55D9" w:rsidRPr="008C1BC0" w:rsidRDefault="002B55D9" w:rsidP="002A3494">
            <w:r w:rsidRPr="008C1BC0">
              <w:rPr>
                <w:bCs/>
              </w:rPr>
              <w:t>OPC</w:t>
            </w:r>
            <w:r w:rsidRPr="008C1BC0">
              <w:t>-</w:t>
            </w:r>
            <w:r w:rsidRPr="008C1BC0">
              <w:rPr>
                <w:bCs/>
              </w:rPr>
              <w:t>14857</w:t>
            </w:r>
            <w:r w:rsidRPr="008C1BC0">
              <w:t xml:space="preserve"> or BMC-337044</w:t>
            </w:r>
          </w:p>
        </w:tc>
        <w:tc>
          <w:tcPr>
            <w:tcW w:w="4962" w:type="dxa"/>
          </w:tcPr>
          <w:p w14:paraId="24A32E9B" w14:textId="77777777" w:rsidR="002B55D9" w:rsidRPr="008C1BC0" w:rsidRDefault="002B55D9" w:rsidP="002A3494">
            <w:pPr>
              <w:cnfStyle w:val="000000000000" w:firstRow="0" w:lastRow="0" w:firstColumn="0" w:lastColumn="0" w:oddVBand="0" w:evenVBand="0" w:oddHBand="0" w:evenHBand="0" w:firstRowFirstColumn="0" w:firstRowLastColumn="0" w:lastRowFirstColumn="0" w:lastRowLastColumn="0"/>
            </w:pPr>
            <w:proofErr w:type="spellStart"/>
            <w:r w:rsidRPr="008C1BC0">
              <w:t>dehydroaripiprazole</w:t>
            </w:r>
            <w:proofErr w:type="spellEnd"/>
            <w:r w:rsidRPr="008C1BC0">
              <w:t xml:space="preserve"> a major active metabolite</w:t>
            </w:r>
          </w:p>
        </w:tc>
      </w:tr>
      <w:tr w:rsidR="002B55D9" w:rsidRPr="008C1BC0" w14:paraId="24A32E9F" w14:textId="77777777" w:rsidTr="006D6E57">
        <w:trPr>
          <w:trHeight w:val="510"/>
        </w:trPr>
        <w:tc>
          <w:tcPr>
            <w:cnfStyle w:val="001000000000" w:firstRow="0" w:lastRow="0" w:firstColumn="1" w:lastColumn="0" w:oddVBand="0" w:evenVBand="0" w:oddHBand="0" w:evenHBand="0" w:firstRowFirstColumn="0" w:firstRowLastColumn="0" w:lastRowFirstColumn="0" w:lastRowLastColumn="0"/>
            <w:tcW w:w="3510" w:type="dxa"/>
          </w:tcPr>
          <w:p w14:paraId="24A32E9D" w14:textId="77777777" w:rsidR="002B55D9" w:rsidRPr="008C1BC0" w:rsidRDefault="002B55D9" w:rsidP="002A3494">
            <w:r w:rsidRPr="008C1BC0">
              <w:t xml:space="preserve">OPC-3373 </w:t>
            </w:r>
          </w:p>
        </w:tc>
        <w:tc>
          <w:tcPr>
            <w:tcW w:w="4962" w:type="dxa"/>
          </w:tcPr>
          <w:p w14:paraId="24A32E9E" w14:textId="77777777" w:rsidR="002B55D9" w:rsidRPr="008C1BC0" w:rsidRDefault="002B55D9" w:rsidP="002A3494">
            <w:pPr>
              <w:cnfStyle w:val="000000000000" w:firstRow="0" w:lastRow="0" w:firstColumn="0" w:lastColumn="0" w:oddVBand="0" w:evenVBand="0" w:oddHBand="0" w:evenHBand="0" w:firstRowFirstColumn="0" w:firstRowLastColumn="0" w:lastRowFirstColumn="0" w:lastRowLastColumn="0"/>
            </w:pPr>
            <w:r w:rsidRPr="008C1BC0">
              <w:t xml:space="preserve">a </w:t>
            </w:r>
            <w:proofErr w:type="spellStart"/>
            <w:r w:rsidRPr="008C1BC0">
              <w:t>quinolinone</w:t>
            </w:r>
            <w:proofErr w:type="spellEnd"/>
            <w:r w:rsidRPr="008C1BC0">
              <w:t xml:space="preserve"> acid metabolite</w:t>
            </w:r>
          </w:p>
        </w:tc>
      </w:tr>
      <w:tr w:rsidR="002B55D9" w:rsidRPr="008C1BC0" w14:paraId="24A32EA2" w14:textId="77777777" w:rsidTr="006D6E57">
        <w:trPr>
          <w:trHeight w:val="510"/>
        </w:trPr>
        <w:tc>
          <w:tcPr>
            <w:cnfStyle w:val="001000000000" w:firstRow="0" w:lastRow="0" w:firstColumn="1" w:lastColumn="0" w:oddVBand="0" w:evenVBand="0" w:oddHBand="0" w:evenHBand="0" w:firstRowFirstColumn="0" w:firstRowLastColumn="0" w:lastRowFirstColumn="0" w:lastRowLastColumn="0"/>
            <w:tcW w:w="3510" w:type="dxa"/>
          </w:tcPr>
          <w:p w14:paraId="24A32EA0" w14:textId="77777777" w:rsidR="002B55D9" w:rsidRPr="008C1BC0" w:rsidRDefault="002B55D9" w:rsidP="002A3494">
            <w:r w:rsidRPr="008C1BC0">
              <w:t>PANSS</w:t>
            </w:r>
          </w:p>
        </w:tc>
        <w:tc>
          <w:tcPr>
            <w:tcW w:w="4962" w:type="dxa"/>
          </w:tcPr>
          <w:p w14:paraId="24A32EA1" w14:textId="77777777" w:rsidR="002B55D9" w:rsidRPr="008C1BC0" w:rsidRDefault="002B55D9" w:rsidP="002A3494">
            <w:pPr>
              <w:cnfStyle w:val="000000000000" w:firstRow="0" w:lastRow="0" w:firstColumn="0" w:lastColumn="0" w:oddVBand="0" w:evenVBand="0" w:oddHBand="0" w:evenHBand="0" w:firstRowFirstColumn="0" w:firstRowLastColumn="0" w:lastRowFirstColumn="0" w:lastRowLastColumn="0"/>
            </w:pPr>
            <w:r w:rsidRPr="008C1BC0">
              <w:t xml:space="preserve">Positive and Negative Syndrome Scale </w:t>
            </w:r>
          </w:p>
        </w:tc>
      </w:tr>
      <w:tr w:rsidR="002B55D9" w:rsidRPr="008C1BC0" w14:paraId="24A32EA5" w14:textId="77777777" w:rsidTr="006D6E57">
        <w:trPr>
          <w:trHeight w:val="510"/>
        </w:trPr>
        <w:tc>
          <w:tcPr>
            <w:cnfStyle w:val="001000000000" w:firstRow="0" w:lastRow="0" w:firstColumn="1" w:lastColumn="0" w:oddVBand="0" w:evenVBand="0" w:oddHBand="0" w:evenHBand="0" w:firstRowFirstColumn="0" w:firstRowLastColumn="0" w:lastRowFirstColumn="0" w:lastRowLastColumn="0"/>
            <w:tcW w:w="3510" w:type="dxa"/>
          </w:tcPr>
          <w:p w14:paraId="24A32EA3" w14:textId="77777777" w:rsidR="002B55D9" w:rsidRPr="008C1BC0" w:rsidRDefault="002B55D9" w:rsidP="002A3494">
            <w:r w:rsidRPr="008C1BC0">
              <w:t>PSP</w:t>
            </w:r>
          </w:p>
        </w:tc>
        <w:tc>
          <w:tcPr>
            <w:tcW w:w="4962" w:type="dxa"/>
          </w:tcPr>
          <w:p w14:paraId="24A32EA4" w14:textId="77777777" w:rsidR="002B55D9" w:rsidRPr="008C1BC0" w:rsidRDefault="002B55D9" w:rsidP="002A3494">
            <w:pPr>
              <w:cnfStyle w:val="000000000000" w:firstRow="0" w:lastRow="0" w:firstColumn="0" w:lastColumn="0" w:oddVBand="0" w:evenVBand="0" w:oddHBand="0" w:evenHBand="0" w:firstRowFirstColumn="0" w:firstRowLastColumn="0" w:lastRowFirstColumn="0" w:lastRowLastColumn="0"/>
            </w:pPr>
            <w:r w:rsidRPr="008C1BC0">
              <w:t>Personal and Social Performance Scale</w:t>
            </w:r>
          </w:p>
        </w:tc>
      </w:tr>
    </w:tbl>
    <w:p w14:paraId="24A32EA7" w14:textId="77777777" w:rsidR="00586F98" w:rsidRDefault="00586F98" w:rsidP="007669A1">
      <w:pPr>
        <w:pStyle w:val="Heading2"/>
        <w:rPr>
          <w:lang w:eastAsia="en-AU"/>
        </w:rPr>
      </w:pPr>
      <w:bookmarkStart w:id="7" w:name="_Toc408930624"/>
      <w:r>
        <w:rPr>
          <w:lang w:eastAsia="en-AU"/>
        </w:rPr>
        <w:t>Clinical rationale</w:t>
      </w:r>
      <w:bookmarkEnd w:id="7"/>
    </w:p>
    <w:p w14:paraId="24A32EA8" w14:textId="77777777" w:rsidR="002B55D9" w:rsidRDefault="002B55D9" w:rsidP="007669A1">
      <w:r>
        <w:t>Non-adherence to treatment has been identified as a major risk factor for relapse in schizophrenia;</w:t>
      </w:r>
      <w:r w:rsidRPr="00B54632">
        <w:t xml:space="preserve"> </w:t>
      </w:r>
      <w:r>
        <w:t>it is estimated that approximately 50% of patients miss taking 30% or more of their medications for schizophrenia.</w:t>
      </w:r>
      <w:r w:rsidRPr="00B54632">
        <w:t xml:space="preserve"> Limited data comparing oral and depot </w:t>
      </w:r>
      <w:r>
        <w:t>formulations suggest that depot formulations may have an advantage over oral antipsychotics for relapse prevention and rates of hospitalization.</w:t>
      </w:r>
      <w:r>
        <w:rPr>
          <w:rStyle w:val="FootnoteReference"/>
        </w:rPr>
        <w:footnoteReference w:id="1"/>
      </w:r>
    </w:p>
    <w:p w14:paraId="24A32EA9" w14:textId="77777777" w:rsidR="002B55D9" w:rsidRPr="00DB56D3" w:rsidRDefault="002B55D9" w:rsidP="007669A1">
      <w:pPr>
        <w:pStyle w:val="Heading3"/>
      </w:pPr>
      <w:bookmarkStart w:id="8" w:name="_Toc272414609"/>
      <w:bookmarkStart w:id="9" w:name="_Toc290846231"/>
      <w:bookmarkStart w:id="10" w:name="_Toc381104168"/>
      <w:bookmarkStart w:id="11" w:name="_Toc408930625"/>
      <w:r w:rsidRPr="007669A1">
        <w:t>Guidance</w:t>
      </w:r>
      <w:bookmarkEnd w:id="8"/>
      <w:bookmarkEnd w:id="9"/>
      <w:bookmarkEnd w:id="10"/>
      <w:bookmarkEnd w:id="11"/>
    </w:p>
    <w:p w14:paraId="24A32EAA" w14:textId="77777777" w:rsidR="002B55D9" w:rsidRDefault="002B55D9" w:rsidP="002A3494">
      <w:pPr>
        <w:pStyle w:val="ListBullet"/>
      </w:pPr>
      <w:r w:rsidRPr="00DF04FF">
        <w:t xml:space="preserve">pp. 127 - 132 of Rules 1998 (3C) - 3CC6a </w:t>
      </w:r>
      <w:r w:rsidRPr="00AC588E">
        <w:t>Clinical Investigation of Medicinal Products for Long-Term Use</w:t>
      </w:r>
    </w:p>
    <w:p w14:paraId="24A32EAB" w14:textId="78723383" w:rsidR="002B55D9" w:rsidRPr="00AC588E" w:rsidRDefault="002B55D9" w:rsidP="002A3494">
      <w:pPr>
        <w:pStyle w:val="ListBullet"/>
      </w:pPr>
      <w:bookmarkStart w:id="12" w:name="vol3cc5a"/>
      <w:bookmarkEnd w:id="12"/>
      <w:r w:rsidRPr="00DF04FF">
        <w:t xml:space="preserve">pp. 121 - </w:t>
      </w:r>
      <w:r>
        <w:t xml:space="preserve">125 of Rules 1998 (3C) - 3CC5a </w:t>
      </w:r>
      <w:r w:rsidRPr="00AC588E">
        <w:t>The Extent of Population Exposure to Assess Clinical Safety for Medicines Intended for Long-Term Treatment of Non-Life-Threatening Conditions</w:t>
      </w:r>
      <w:r w:rsidRPr="00AC588E">
        <w:br/>
        <w:t>Adopted by the TGA with the following conditions:</w:t>
      </w:r>
    </w:p>
    <w:p w14:paraId="24A32EAC" w14:textId="77777777" w:rsidR="002B55D9" w:rsidRPr="00AC588E" w:rsidRDefault="002B55D9" w:rsidP="002A3494">
      <w:r w:rsidRPr="00AC588E">
        <w:t>Attention is drawn to:</w:t>
      </w:r>
    </w:p>
    <w:p w14:paraId="24A32EAD" w14:textId="7C284BFC" w:rsidR="002B55D9" w:rsidRPr="00AC588E" w:rsidRDefault="002B55D9" w:rsidP="002A3494">
      <w:pPr>
        <w:pStyle w:val="Numberbullet2"/>
      </w:pPr>
      <w:r w:rsidRPr="00AC588E">
        <w:t>Applicability, Section 7, which states that circumstances exist in which the Guidelines may not be applicable. It should be noted that the listing of exceptional circumstances is not exhaustive. Sponsors should give careful attention to whether, in any particular instance, the clinical safety of the product would be adequately supported by the numbers of subjects propo</w:t>
      </w:r>
      <w:r w:rsidR="002A3494">
        <w:t>sed</w:t>
      </w:r>
    </w:p>
    <w:p w14:paraId="24A32EAE" w14:textId="36298A84" w:rsidR="002B55D9" w:rsidRPr="00833F48" w:rsidRDefault="002B55D9" w:rsidP="002A3494">
      <w:pPr>
        <w:pStyle w:val="Numberbullet2"/>
      </w:pPr>
      <w:r w:rsidRPr="00833F48">
        <w:t>Supplementary data, Section 8 is NOT ADOPTED. To permit decisions within legislated timeframes, the sponsor should include in the initial submission all clinical safety data ne</w:t>
      </w:r>
      <w:r w:rsidR="002A3494">
        <w:t>cessary to support registration</w:t>
      </w:r>
    </w:p>
    <w:p w14:paraId="24A32EAF" w14:textId="72B3AB96" w:rsidR="002B55D9" w:rsidRDefault="002B55D9" w:rsidP="002A3494">
      <w:pPr>
        <w:pStyle w:val="Numberbullet2"/>
      </w:pPr>
      <w:r w:rsidRPr="007D32E6">
        <w:t>CP</w:t>
      </w:r>
      <w:r>
        <w:t>MP/EWP/559/95</w:t>
      </w:r>
      <w:r w:rsidRPr="007D32E6">
        <w:t xml:space="preserve"> Note for Guidance on the Clinical Investigation of Medicinal Products in the Treatment of Schizophrenia</w:t>
      </w:r>
    </w:p>
    <w:p w14:paraId="24A32EB0" w14:textId="71CA9E30" w:rsidR="002B55D9" w:rsidRDefault="002B55D9" w:rsidP="002A3494">
      <w:pPr>
        <w:pStyle w:val="Numberbullet2"/>
      </w:pPr>
      <w:r w:rsidRPr="007D32E6">
        <w:t xml:space="preserve">CPMP/EWP/49/01 Appendix to the Note for Guidance on the Clinical Investigation of Medicinal Products in </w:t>
      </w:r>
      <w:r>
        <w:t>the Treatment of Schizophrenia -</w:t>
      </w:r>
      <w:r w:rsidRPr="007D32E6">
        <w:t xml:space="preserve"> Methodology of Clinical Trials Concerning the Development of Depot Preparations of Approved Medicinal Products in Schizophrenia</w:t>
      </w:r>
    </w:p>
    <w:p w14:paraId="24A32EB1" w14:textId="77777777" w:rsidR="00586F98" w:rsidRDefault="00586F98" w:rsidP="004A56A6">
      <w:pPr>
        <w:pStyle w:val="Heading2"/>
        <w:rPr>
          <w:lang w:eastAsia="en-AU"/>
        </w:rPr>
      </w:pPr>
      <w:bookmarkStart w:id="13" w:name="_Toc408930626"/>
      <w:r>
        <w:rPr>
          <w:lang w:eastAsia="en-AU"/>
        </w:rPr>
        <w:lastRenderedPageBreak/>
        <w:t>Contents of the clinical dossier</w:t>
      </w:r>
      <w:bookmarkEnd w:id="4"/>
      <w:bookmarkEnd w:id="5"/>
      <w:bookmarkEnd w:id="13"/>
    </w:p>
    <w:p w14:paraId="24A32EB2" w14:textId="77777777" w:rsidR="00586F98" w:rsidRDefault="00586F98" w:rsidP="004A56A6">
      <w:pPr>
        <w:pStyle w:val="Heading3"/>
      </w:pPr>
      <w:bookmarkStart w:id="14" w:name="_Toc408930627"/>
      <w:r>
        <w:t>Scope of the clinical dossier</w:t>
      </w:r>
      <w:bookmarkEnd w:id="14"/>
    </w:p>
    <w:p w14:paraId="24A32EB3" w14:textId="77777777" w:rsidR="002B55D9" w:rsidRDefault="002B55D9" w:rsidP="004A56A6">
      <w:r>
        <w:t>There were 34 studies referred to in the submission that had been previously submitted</w:t>
      </w:r>
      <w:r>
        <w:rPr>
          <w:rStyle w:val="FootnoteReference"/>
        </w:rPr>
        <w:footnoteReference w:id="2"/>
      </w:r>
      <w:r>
        <w:t xml:space="preserve"> but were not included with this submission:</w:t>
      </w:r>
    </w:p>
    <w:p w14:paraId="24A32EB4" w14:textId="77777777" w:rsidR="002B55D9" w:rsidRDefault="002B55D9" w:rsidP="004A56A6">
      <w:r>
        <w:t>The submission contained the following clinical information:</w:t>
      </w:r>
    </w:p>
    <w:p w14:paraId="24A32EB5" w14:textId="77777777" w:rsidR="002B55D9" w:rsidRPr="006A08A1" w:rsidRDefault="002B55D9" w:rsidP="004A56A6">
      <w:r w:rsidRPr="006A08A1">
        <w:t>Module 5</w:t>
      </w:r>
    </w:p>
    <w:p w14:paraId="24A32EB6" w14:textId="77777777" w:rsidR="002B55D9" w:rsidRDefault="002B55D9" w:rsidP="002A3494">
      <w:pPr>
        <w:pStyle w:val="ListBullet"/>
      </w:pPr>
      <w:r>
        <w:t>Clinical pharmacology studies:</w:t>
      </w:r>
    </w:p>
    <w:p w14:paraId="24A32EB7" w14:textId="3EDACE2C" w:rsidR="002B55D9" w:rsidRDefault="002B55D9" w:rsidP="002A3494">
      <w:pPr>
        <w:pStyle w:val="ListBullet2"/>
      </w:pPr>
      <w:r>
        <w:t xml:space="preserve">CN138-020 - Assessment Of The In Vivo Release Characteristics And Safety Of An </w:t>
      </w:r>
      <w:r w:rsidRPr="00977E7F">
        <w:t>Intramuscular Depot</w:t>
      </w:r>
      <w:r>
        <w:t xml:space="preserve"> Formulation Of </w:t>
      </w:r>
      <w:proofErr w:type="spellStart"/>
      <w:r>
        <w:t>Aripiprazole</w:t>
      </w:r>
      <w:proofErr w:type="spellEnd"/>
      <w:r>
        <w:t xml:space="preserve"> In Subjects With Schizophre</w:t>
      </w:r>
      <w:r w:rsidR="002A3494">
        <w:t>nia Or Schizoaffective Disorder</w:t>
      </w:r>
    </w:p>
    <w:p w14:paraId="24A32EB8" w14:textId="77777777" w:rsidR="002B55D9" w:rsidRPr="002A3494" w:rsidRDefault="002B55D9" w:rsidP="002A3494">
      <w:pPr>
        <w:pStyle w:val="ListBullet2"/>
      </w:pPr>
      <w:r w:rsidRPr="002A3494">
        <w:t xml:space="preserve">31-07-002 - Assessment of the Safety, Tolerability, and Pharmacokinetics of </w:t>
      </w:r>
      <w:proofErr w:type="spellStart"/>
      <w:r w:rsidRPr="002A3494">
        <w:t>Aripiprazole</w:t>
      </w:r>
      <w:proofErr w:type="spellEnd"/>
      <w:r w:rsidRPr="002A3494">
        <w:t xml:space="preserve"> IM Depot Formulation by Single Administration in Patients with Schizophrenia - A </w:t>
      </w:r>
      <w:proofErr w:type="spellStart"/>
      <w:r w:rsidRPr="002A3494">
        <w:t>multicenter</w:t>
      </w:r>
      <w:proofErr w:type="spellEnd"/>
      <w:r w:rsidRPr="002A3494">
        <w:t>, uncontrolled, open-label, single-dose trial of OPC-14597 IMD</w:t>
      </w:r>
    </w:p>
    <w:p w14:paraId="24A32EB9" w14:textId="77777777" w:rsidR="002B55D9" w:rsidRPr="002A3494" w:rsidRDefault="002B55D9" w:rsidP="002A3494">
      <w:pPr>
        <w:pStyle w:val="ListBullet2"/>
      </w:pPr>
      <w:r w:rsidRPr="002A3494">
        <w:t xml:space="preserve">31-05-244 - An Open-label, Parallel Arm, Multiple Dose Tolerability, Pharmacokinetics and Safety Study in Adult Patients with Schizophrenia Following Administration of </w:t>
      </w:r>
      <w:proofErr w:type="spellStart"/>
      <w:r w:rsidRPr="002A3494">
        <w:t>Aripiprazole</w:t>
      </w:r>
      <w:proofErr w:type="spellEnd"/>
      <w:r w:rsidRPr="002A3494">
        <w:t xml:space="preserve"> Intramuscular Depot Formulation Once Every Four Weeks</w:t>
      </w:r>
    </w:p>
    <w:p w14:paraId="24A32EBA" w14:textId="77777777" w:rsidR="002B55D9" w:rsidRPr="002A3494" w:rsidRDefault="002B55D9" w:rsidP="002A3494">
      <w:pPr>
        <w:pStyle w:val="ListBullet2"/>
      </w:pPr>
      <w:r w:rsidRPr="002A3494">
        <w:t xml:space="preserve">31-11-289 - An Open-label, Safety and Tolerability Trial of </w:t>
      </w:r>
      <w:proofErr w:type="spellStart"/>
      <w:r w:rsidRPr="002A3494">
        <w:t>Aripiprazole</w:t>
      </w:r>
      <w:proofErr w:type="spellEnd"/>
      <w:r w:rsidRPr="002A3494">
        <w:t xml:space="preserve"> IM Depot Treatment Initiation in Adult Subjects With Schizophrenia Stabilized on Atypical Oral Antipsychotics Other Than </w:t>
      </w:r>
      <w:proofErr w:type="spellStart"/>
      <w:r w:rsidRPr="002A3494">
        <w:t>Aripiprazole</w:t>
      </w:r>
      <w:proofErr w:type="spellEnd"/>
    </w:p>
    <w:p w14:paraId="24A32EBB" w14:textId="77777777" w:rsidR="002B55D9" w:rsidRPr="002A3494" w:rsidRDefault="002B55D9" w:rsidP="002A3494">
      <w:pPr>
        <w:pStyle w:val="ListBullet2"/>
      </w:pPr>
      <w:r w:rsidRPr="002A3494">
        <w:t xml:space="preserve">031-10-002 - Open-label, </w:t>
      </w:r>
      <w:proofErr w:type="spellStart"/>
      <w:r w:rsidRPr="002A3494">
        <w:t>multicenter</w:t>
      </w:r>
      <w:proofErr w:type="spellEnd"/>
      <w:r w:rsidRPr="002A3494">
        <w:t xml:space="preserve">, multiple-dose trial to investigate the pharmacokinetics of </w:t>
      </w:r>
      <w:proofErr w:type="spellStart"/>
      <w:r w:rsidRPr="002A3494">
        <w:t>aripiprazole</w:t>
      </w:r>
      <w:proofErr w:type="spellEnd"/>
      <w:r w:rsidRPr="002A3494">
        <w:t xml:space="preserve"> IM depot (OPC-14597IMD) in patients with schizophrenia</w:t>
      </w:r>
      <w:r w:rsidRPr="002A3494">
        <w:rPr>
          <w:rStyle w:val="FootnoteReference"/>
        </w:rPr>
        <w:footnoteReference w:id="3"/>
      </w:r>
    </w:p>
    <w:p w14:paraId="24A32EBC" w14:textId="77777777" w:rsidR="002B55D9" w:rsidRPr="002A3494" w:rsidRDefault="002B55D9" w:rsidP="002A3494">
      <w:pPr>
        <w:pStyle w:val="ListBullet2"/>
      </w:pPr>
      <w:r w:rsidRPr="002A3494">
        <w:t xml:space="preserve">CN138-402 - Effects of </w:t>
      </w:r>
      <w:proofErr w:type="spellStart"/>
      <w:r w:rsidRPr="002A3494">
        <w:t>Aripiprazole</w:t>
      </w:r>
      <w:proofErr w:type="spellEnd"/>
      <w:r w:rsidRPr="002A3494">
        <w:t xml:space="preserve"> On the Steady-State Pharmacokinetics of </w:t>
      </w:r>
      <w:proofErr w:type="spellStart"/>
      <w:r w:rsidRPr="002A3494">
        <w:t>Lamotrigine</w:t>
      </w:r>
      <w:proofErr w:type="spellEnd"/>
      <w:r w:rsidRPr="002A3494">
        <w:t xml:space="preserve"> In Subjects with Bipolar I Disorder</w:t>
      </w:r>
      <w:r w:rsidRPr="002368EF">
        <w:rPr>
          <w:rStyle w:val="FootnoteReference"/>
        </w:rPr>
        <w:footnoteReference w:id="4"/>
      </w:r>
    </w:p>
    <w:p w14:paraId="24A32EBD" w14:textId="77777777" w:rsidR="002B55D9" w:rsidRPr="002A3494" w:rsidRDefault="002B55D9" w:rsidP="002A3494">
      <w:pPr>
        <w:pStyle w:val="ListBullet2"/>
      </w:pPr>
      <w:r w:rsidRPr="002A3494">
        <w:t xml:space="preserve">CN138-139: Assessment of the potential for drug-drug interactions between </w:t>
      </w:r>
      <w:proofErr w:type="spellStart"/>
      <w:r w:rsidRPr="002A3494">
        <w:t>aripiprazole</w:t>
      </w:r>
      <w:proofErr w:type="spellEnd"/>
      <w:r w:rsidRPr="002A3494">
        <w:t xml:space="preserve"> and five antidepressants in a </w:t>
      </w:r>
      <w:proofErr w:type="spellStart"/>
      <w:r w:rsidRPr="002A3494">
        <w:t>multicenter</w:t>
      </w:r>
      <w:proofErr w:type="spellEnd"/>
      <w:r w:rsidRPr="002A3494">
        <w:t xml:space="preserve">, randomized, double-blind, placebo-controlled study of the safety and efficacy of </w:t>
      </w:r>
      <w:proofErr w:type="spellStart"/>
      <w:r w:rsidRPr="002A3494">
        <w:t>aripiprazole</w:t>
      </w:r>
      <w:proofErr w:type="spellEnd"/>
      <w:r w:rsidRPr="002A3494">
        <w:t xml:space="preserve"> as adjunctive therapy in the treatment of patients with MDD</w:t>
      </w:r>
      <w:r w:rsidRPr="002368EF">
        <w:rPr>
          <w:rStyle w:val="FootnoteReference"/>
        </w:rPr>
        <w:footnoteReference w:id="5"/>
      </w:r>
    </w:p>
    <w:p w14:paraId="24A32EBE" w14:textId="3A158618" w:rsidR="002B55D9" w:rsidRDefault="002B55D9" w:rsidP="002368EF">
      <w:pPr>
        <w:pStyle w:val="ListBullet"/>
      </w:pPr>
      <w:r>
        <w:t>Population pharmacokinetic analyses:</w:t>
      </w:r>
    </w:p>
    <w:p w14:paraId="24A32EBF" w14:textId="77777777" w:rsidR="002B55D9" w:rsidRPr="002368EF" w:rsidRDefault="002B55D9" w:rsidP="002368EF">
      <w:pPr>
        <w:pStyle w:val="ListBullet2"/>
      </w:pPr>
      <w:r w:rsidRPr="002368EF">
        <w:t xml:space="preserve">31-11-287 - Population pharmacokinetic modelling for the </w:t>
      </w:r>
      <w:proofErr w:type="spellStart"/>
      <w:r w:rsidRPr="002368EF">
        <w:t>aripiprazole</w:t>
      </w:r>
      <w:proofErr w:type="spellEnd"/>
      <w:r w:rsidRPr="002368EF">
        <w:t xml:space="preserve"> IM depot formulation as maintenance treatment in subjects with schizophrenia</w:t>
      </w:r>
    </w:p>
    <w:p w14:paraId="24A32EC0" w14:textId="77777777" w:rsidR="002B55D9" w:rsidRPr="002368EF" w:rsidRDefault="002B55D9" w:rsidP="002368EF">
      <w:pPr>
        <w:pStyle w:val="ListBullet2"/>
      </w:pPr>
      <w:r w:rsidRPr="002368EF">
        <w:t xml:space="preserve">31-12-292 - </w:t>
      </w:r>
      <w:proofErr w:type="spellStart"/>
      <w:r w:rsidRPr="002368EF">
        <w:t>Aripiprazole</w:t>
      </w:r>
      <w:proofErr w:type="spellEnd"/>
      <w:r w:rsidRPr="002368EF">
        <w:t xml:space="preserve"> Validation of a Previously Developed Population Pharmacokinetic Model for </w:t>
      </w:r>
      <w:proofErr w:type="spellStart"/>
      <w:r w:rsidRPr="002368EF">
        <w:t>Aripiprazole</w:t>
      </w:r>
      <w:proofErr w:type="spellEnd"/>
      <w:r w:rsidRPr="002368EF">
        <w:t xml:space="preserve"> IM Depot Formulation as Maintenance Treatment in Subjects With Schizophrenia Using Data From Protocol 31-07-247</w:t>
      </w:r>
    </w:p>
    <w:p w14:paraId="24A32EC1" w14:textId="66C60728" w:rsidR="002B55D9" w:rsidRDefault="002B55D9" w:rsidP="002368EF">
      <w:pPr>
        <w:pStyle w:val="ListBullet"/>
      </w:pPr>
      <w:r>
        <w:t>P</w:t>
      </w:r>
      <w:r w:rsidRPr="006A08A1">
        <w:t xml:space="preserve">ivotal </w:t>
      </w:r>
      <w:r>
        <w:t>efficacy/safety studies:</w:t>
      </w:r>
    </w:p>
    <w:p w14:paraId="24A32EC2" w14:textId="77777777" w:rsidR="002B55D9" w:rsidRDefault="002B55D9" w:rsidP="002368EF">
      <w:pPr>
        <w:pStyle w:val="ListBullet2"/>
      </w:pPr>
      <w:r>
        <w:lastRenderedPageBreak/>
        <w:t xml:space="preserve">31-07-246 - A 52-week, </w:t>
      </w:r>
      <w:proofErr w:type="spellStart"/>
      <w:r>
        <w:t>Multicenter</w:t>
      </w:r>
      <w:proofErr w:type="spellEnd"/>
      <w:r>
        <w:t xml:space="preserve">, Randomized, Double-blind, Placebo-controlled Study to Evaluate the Efficacy, Safety, and Tolerability of an Intramuscular Depot Formulation of </w:t>
      </w:r>
      <w:proofErr w:type="spellStart"/>
      <w:r>
        <w:t>Aripiprazole</w:t>
      </w:r>
      <w:proofErr w:type="spellEnd"/>
      <w:r>
        <w:t xml:space="preserve"> as Maintenance Treatment in Patients with Schizophrenia ˝ASPIRE US</w:t>
      </w:r>
      <w:r w:rsidR="00D43EBA">
        <w:t>’</w:t>
      </w:r>
    </w:p>
    <w:p w14:paraId="24A32EC3" w14:textId="77777777" w:rsidR="002B55D9" w:rsidRDefault="002B55D9" w:rsidP="002368EF">
      <w:pPr>
        <w:pStyle w:val="ListBullet2"/>
      </w:pPr>
      <w:r>
        <w:t xml:space="preserve">31-07-247 - 38-week, </w:t>
      </w:r>
      <w:proofErr w:type="spellStart"/>
      <w:r>
        <w:t>Multicenter</w:t>
      </w:r>
      <w:proofErr w:type="spellEnd"/>
      <w:r>
        <w:t xml:space="preserve">, Randomized, Double-blind, Active-controlled Study to Evaluate the Efficacy, Safety, and Tolerability of an Intramuscular Depot Formulation of </w:t>
      </w:r>
      <w:proofErr w:type="spellStart"/>
      <w:r>
        <w:t>Aripiprazole</w:t>
      </w:r>
      <w:proofErr w:type="spellEnd"/>
      <w:r>
        <w:t xml:space="preserve"> as Maintenance Treatment in Patients with Schizophrenia</w:t>
      </w:r>
      <w:r>
        <w:rPr>
          <w:rStyle w:val="FootnoteReference"/>
        </w:rPr>
        <w:footnoteReference w:id="6"/>
      </w:r>
      <w:r>
        <w:t xml:space="preserve"> ˝ASPIRE EU</w:t>
      </w:r>
      <w:r w:rsidR="00D43EBA">
        <w:t>’</w:t>
      </w:r>
    </w:p>
    <w:p w14:paraId="24A32EC4" w14:textId="1BE3A82C" w:rsidR="002B55D9" w:rsidRPr="00150721" w:rsidRDefault="002B55D9" w:rsidP="002368EF">
      <w:pPr>
        <w:pStyle w:val="ListBullet"/>
      </w:pPr>
      <w:r>
        <w:t xml:space="preserve">Other </w:t>
      </w:r>
      <w:r w:rsidRPr="006A08A1">
        <w:t>efficacy/</w:t>
      </w:r>
      <w:r w:rsidRPr="00150721">
        <w:t>safety studies.</w:t>
      </w:r>
      <w:r w:rsidRPr="00150721">
        <w:rPr>
          <w:rStyle w:val="FootnoteReference"/>
        </w:rPr>
        <w:footnoteReference w:id="7"/>
      </w:r>
    </w:p>
    <w:p w14:paraId="24A32EC5" w14:textId="77777777" w:rsidR="002B55D9" w:rsidRPr="002368EF" w:rsidRDefault="002B55D9" w:rsidP="002368EF">
      <w:pPr>
        <w:pStyle w:val="ListBullet2"/>
      </w:pPr>
      <w:r w:rsidRPr="002368EF">
        <w:t xml:space="preserve">31-08-003 - A </w:t>
      </w:r>
      <w:proofErr w:type="spellStart"/>
      <w:r w:rsidRPr="002368EF">
        <w:t>Multicenter</w:t>
      </w:r>
      <w:proofErr w:type="spellEnd"/>
      <w:r w:rsidRPr="002368EF">
        <w:t xml:space="preserve">, Active-controlled Double-blind, Parallel Group-comparison Trial to Investigate the Efficacy and Safety of </w:t>
      </w:r>
      <w:proofErr w:type="spellStart"/>
      <w:r w:rsidRPr="002368EF">
        <w:t>Aripiprazole</w:t>
      </w:r>
      <w:proofErr w:type="spellEnd"/>
      <w:r w:rsidRPr="002368EF">
        <w:t xml:space="preserve"> IM Depot (OPC-14597IMD) Compared with </w:t>
      </w:r>
      <w:proofErr w:type="spellStart"/>
      <w:r w:rsidRPr="002368EF">
        <w:t>Aripiprazole</w:t>
      </w:r>
      <w:proofErr w:type="spellEnd"/>
      <w:r w:rsidRPr="002368EF">
        <w:t xml:space="preserve"> Tablets in Patients with Schizophrenia</w:t>
      </w:r>
    </w:p>
    <w:p w14:paraId="24A32EC6" w14:textId="2242A26D" w:rsidR="002B55D9" w:rsidRPr="002368EF" w:rsidRDefault="002B55D9" w:rsidP="002368EF">
      <w:pPr>
        <w:pStyle w:val="ListBullet2"/>
      </w:pPr>
      <w:r w:rsidRPr="002368EF">
        <w:t xml:space="preserve">31-08-248 - A 52-week, </w:t>
      </w:r>
      <w:proofErr w:type="spellStart"/>
      <w:r w:rsidRPr="002368EF">
        <w:t>Multicenter</w:t>
      </w:r>
      <w:proofErr w:type="spellEnd"/>
      <w:r w:rsidRPr="002368EF">
        <w:t xml:space="preserve">, Open-label Study to Evaluate the Effectiveness of </w:t>
      </w:r>
      <w:proofErr w:type="spellStart"/>
      <w:r w:rsidRPr="002368EF">
        <w:t>Aripiprazole</w:t>
      </w:r>
      <w:proofErr w:type="spellEnd"/>
      <w:r w:rsidRPr="002368EF">
        <w:t xml:space="preserve"> Intramuscular Depot as Maintenance Treatment in Patients with Schizophrenia ˝ASPIRE OPEN-LABEL˛ (</w:t>
      </w:r>
      <w:proofErr w:type="spellStart"/>
      <w:r w:rsidRPr="002368EF">
        <w:t>Aripiprazole</w:t>
      </w:r>
      <w:proofErr w:type="spellEnd"/>
      <w:r w:rsidRPr="002368EF">
        <w:t xml:space="preserve"> Intramuscular </w:t>
      </w:r>
      <w:r w:rsidR="004A56A6">
        <w:t>Depot Program in Schizophrenia)</w:t>
      </w:r>
    </w:p>
    <w:p w14:paraId="24A32EC7" w14:textId="77777777" w:rsidR="002B55D9" w:rsidRPr="002368EF" w:rsidRDefault="002B55D9" w:rsidP="002368EF">
      <w:pPr>
        <w:pStyle w:val="ListBullet2"/>
      </w:pPr>
      <w:r w:rsidRPr="002368EF">
        <w:t xml:space="preserve">31-11-283 - A </w:t>
      </w:r>
      <w:proofErr w:type="spellStart"/>
      <w:r w:rsidRPr="002368EF">
        <w:t>Multicenter</w:t>
      </w:r>
      <w:proofErr w:type="spellEnd"/>
      <w:r w:rsidRPr="002368EF">
        <w:t xml:space="preserve">, Open-label Study to Assess Hospitalization Rates in Adult Subjects with Schizophrenia Treated Prospectively for 6 Months with </w:t>
      </w:r>
      <w:proofErr w:type="spellStart"/>
      <w:r w:rsidRPr="002368EF">
        <w:t>Aripiprazole</w:t>
      </w:r>
      <w:proofErr w:type="spellEnd"/>
      <w:r w:rsidRPr="002368EF">
        <w:t xml:space="preserve"> IM Depot Compared with 6-month Retrospective Treatment with Oral Antipsychotics in a Naturalistic Community Setting in the US</w:t>
      </w:r>
    </w:p>
    <w:p w14:paraId="24A32EC8" w14:textId="77777777" w:rsidR="002B55D9" w:rsidRPr="002368EF" w:rsidRDefault="002B55D9" w:rsidP="002368EF">
      <w:pPr>
        <w:pStyle w:val="ListBullet2"/>
      </w:pPr>
      <w:r w:rsidRPr="002368EF">
        <w:t xml:space="preserve">31-10-270 - An Open-Label, </w:t>
      </w:r>
      <w:proofErr w:type="spellStart"/>
      <w:r w:rsidRPr="002368EF">
        <w:t>Multicenter</w:t>
      </w:r>
      <w:proofErr w:type="spellEnd"/>
      <w:r w:rsidRPr="002368EF">
        <w:t xml:space="preserve">, Rollover, Long-term Study of </w:t>
      </w:r>
      <w:proofErr w:type="spellStart"/>
      <w:r w:rsidRPr="002368EF">
        <w:t>Aripiprazole</w:t>
      </w:r>
      <w:proofErr w:type="spellEnd"/>
      <w:r w:rsidRPr="002368EF">
        <w:t xml:space="preserve"> Intramuscular Depot in Patients with Schizophrenia</w:t>
      </w:r>
    </w:p>
    <w:p w14:paraId="24A32EC9" w14:textId="77777777" w:rsidR="002B55D9" w:rsidRPr="002368EF" w:rsidRDefault="002B55D9" w:rsidP="002368EF">
      <w:pPr>
        <w:pStyle w:val="ListBullet2"/>
      </w:pPr>
      <w:r w:rsidRPr="002368EF">
        <w:t xml:space="preserve">31-11-284 - A </w:t>
      </w:r>
      <w:proofErr w:type="spellStart"/>
      <w:r w:rsidRPr="002368EF">
        <w:t>Multicenter</w:t>
      </w:r>
      <w:proofErr w:type="spellEnd"/>
      <w:r w:rsidRPr="002368EF">
        <w:t>, Open-label Study to Assess Hospitalization Rates in Adult Subjects with Schizophrenia</w:t>
      </w:r>
    </w:p>
    <w:p w14:paraId="24A32ECA" w14:textId="77777777" w:rsidR="002B55D9" w:rsidRPr="006A08A1" w:rsidRDefault="002B55D9" w:rsidP="002368EF">
      <w:pPr>
        <w:pStyle w:val="ListBullet"/>
      </w:pPr>
      <w:r w:rsidRPr="006A08A1">
        <w:t>PSURs</w:t>
      </w:r>
      <w:r>
        <w:t xml:space="preserve"> </w:t>
      </w:r>
      <w:r w:rsidRPr="00AC766F">
        <w:t>17</w:t>
      </w:r>
      <w:r>
        <w:t xml:space="preserve"> </w:t>
      </w:r>
      <w:r w:rsidRPr="00AC766F">
        <w:t>Jul</w:t>
      </w:r>
      <w:r>
        <w:t xml:space="preserve"> </w:t>
      </w:r>
      <w:r w:rsidRPr="00AC766F">
        <w:t>2002</w:t>
      </w:r>
      <w:r>
        <w:t xml:space="preserve"> to </w:t>
      </w:r>
      <w:r w:rsidRPr="00AC766F">
        <w:t>16</w:t>
      </w:r>
      <w:r>
        <w:t xml:space="preserve"> </w:t>
      </w:r>
      <w:r w:rsidRPr="00AC766F">
        <w:t>Jul</w:t>
      </w:r>
      <w:r>
        <w:t xml:space="preserve"> </w:t>
      </w:r>
      <w:r w:rsidRPr="00AC766F">
        <w:t>2012</w:t>
      </w:r>
      <w:r>
        <w:t xml:space="preserve">, </w:t>
      </w:r>
      <w:r w:rsidRPr="00AC766F">
        <w:t>Integrated Summary of Efficacy</w:t>
      </w:r>
      <w:r>
        <w:t>,</w:t>
      </w:r>
      <w:r w:rsidRPr="001717E7">
        <w:t xml:space="preserve"> </w:t>
      </w:r>
      <w:r w:rsidRPr="00AC766F">
        <w:t>Integrated Summary of Safety</w:t>
      </w:r>
      <w:r>
        <w:t>.</w:t>
      </w:r>
    </w:p>
    <w:p w14:paraId="24A32ECB" w14:textId="77777777" w:rsidR="00586F98" w:rsidRDefault="00586F98" w:rsidP="002368EF">
      <w:pPr>
        <w:pStyle w:val="Heading3"/>
      </w:pPr>
      <w:bookmarkStart w:id="15" w:name="_Toc408930628"/>
      <w:r>
        <w:t>Paediatric data</w:t>
      </w:r>
      <w:bookmarkEnd w:id="15"/>
    </w:p>
    <w:p w14:paraId="24A32ECC" w14:textId="34FAFD35" w:rsidR="002B55D9" w:rsidRPr="006A08A1" w:rsidRDefault="002B55D9" w:rsidP="002368EF">
      <w:r>
        <w:t xml:space="preserve">The submission included EU approval of a paediatric investigation plan deferral </w:t>
      </w:r>
      <w:r w:rsidR="00B92631" w:rsidRPr="00B92631">
        <w:t xml:space="preserve">(for tablets, </w:t>
      </w:r>
      <w:proofErr w:type="spellStart"/>
      <w:r w:rsidR="00B92631" w:rsidRPr="00B92631">
        <w:t>orodispersable</w:t>
      </w:r>
      <w:proofErr w:type="spellEnd"/>
      <w:r w:rsidR="00B92631" w:rsidRPr="00B92631">
        <w:t xml:space="preserve"> tablets, and oral solution for oral use</w:t>
      </w:r>
      <w:r w:rsidR="00B92631">
        <w:t xml:space="preserve">) </w:t>
      </w:r>
      <w:r>
        <w:t>and waiver</w:t>
      </w:r>
      <w:r w:rsidR="00B92631">
        <w:t xml:space="preserve"> </w:t>
      </w:r>
      <w:r w:rsidR="00B92631" w:rsidRPr="00B92631">
        <w:t xml:space="preserve"> (for solution for injection, and powder for suspension for injection for intramuscular use [</w:t>
      </w:r>
      <w:proofErr w:type="spellStart"/>
      <w:r w:rsidR="00B92631" w:rsidRPr="00B92631">
        <w:t>Abilify</w:t>
      </w:r>
      <w:proofErr w:type="spellEnd"/>
      <w:r w:rsidR="00B92631" w:rsidRPr="00B92631">
        <w:t xml:space="preserve"> </w:t>
      </w:r>
      <w:proofErr w:type="spellStart"/>
      <w:r w:rsidR="00B92631" w:rsidRPr="00B92631">
        <w:t>Maintena</w:t>
      </w:r>
      <w:proofErr w:type="spellEnd"/>
      <w:r w:rsidR="00B92631" w:rsidRPr="00B92631">
        <w:t>])</w:t>
      </w:r>
      <w:r>
        <w:t>. The submission d</w:t>
      </w:r>
      <w:r w:rsidR="002368EF">
        <w:t>id not include paediatric data.</w:t>
      </w:r>
    </w:p>
    <w:p w14:paraId="24A32ECD" w14:textId="77777777" w:rsidR="00586F98" w:rsidRDefault="00586F98" w:rsidP="002368EF">
      <w:pPr>
        <w:pStyle w:val="Heading3"/>
      </w:pPr>
      <w:bookmarkStart w:id="16" w:name="_Toc408930629"/>
      <w:r>
        <w:t>Good clinical practice</w:t>
      </w:r>
      <w:bookmarkEnd w:id="16"/>
    </w:p>
    <w:p w14:paraId="24A32ECE" w14:textId="77777777" w:rsidR="002B55D9" w:rsidRDefault="002B55D9" w:rsidP="002368EF">
      <w:bookmarkStart w:id="17" w:name="_Toc355338639"/>
      <w:r>
        <w:t xml:space="preserve">All trials in the clinical program for </w:t>
      </w:r>
      <w:proofErr w:type="spellStart"/>
      <w:r>
        <w:t>aripiprazole</w:t>
      </w:r>
      <w:proofErr w:type="spellEnd"/>
      <w:r>
        <w:t xml:space="preserve"> IM depot were conducted in compliance with Good Clinical Practice (GCP).</w:t>
      </w:r>
      <w:r>
        <w:rPr>
          <w:rStyle w:val="FootnoteReference"/>
        </w:rPr>
        <w:footnoteReference w:id="8"/>
      </w:r>
    </w:p>
    <w:p w14:paraId="24A32ECF" w14:textId="7656049B" w:rsidR="00586F98" w:rsidRDefault="00586F98" w:rsidP="002368EF">
      <w:pPr>
        <w:pStyle w:val="Heading2"/>
      </w:pPr>
      <w:bookmarkStart w:id="18" w:name="_Toc408930630"/>
      <w:r>
        <w:lastRenderedPageBreak/>
        <w:t>Pharmacokinetics</w:t>
      </w:r>
      <w:bookmarkEnd w:id="17"/>
      <w:bookmarkEnd w:id="18"/>
    </w:p>
    <w:p w14:paraId="24A32ED0" w14:textId="77777777" w:rsidR="002B55D9" w:rsidRDefault="002B55D9" w:rsidP="002368EF">
      <w:pPr>
        <w:pStyle w:val="Heading3"/>
      </w:pPr>
      <w:bookmarkStart w:id="19" w:name="_Ref271017296"/>
      <w:bookmarkStart w:id="20" w:name="_Ref271018924"/>
      <w:bookmarkStart w:id="21" w:name="_Ref271018934"/>
      <w:bookmarkStart w:id="22" w:name="_Toc272414614"/>
      <w:bookmarkStart w:id="23" w:name="_Toc290846238"/>
      <w:bookmarkStart w:id="24" w:name="_Toc381104176"/>
      <w:bookmarkStart w:id="25" w:name="_Toc408930631"/>
      <w:r>
        <w:t>Studies</w:t>
      </w:r>
      <w:bookmarkEnd w:id="19"/>
      <w:bookmarkEnd w:id="20"/>
      <w:bookmarkEnd w:id="21"/>
      <w:r>
        <w:t xml:space="preserve"> providing pharmacokinetic data</w:t>
      </w:r>
      <w:bookmarkEnd w:id="22"/>
      <w:bookmarkEnd w:id="23"/>
      <w:bookmarkEnd w:id="24"/>
      <w:bookmarkEnd w:id="25"/>
    </w:p>
    <w:p w14:paraId="24A32ED1" w14:textId="77777777" w:rsidR="002B55D9" w:rsidRDefault="002B55D9" w:rsidP="002368EF">
      <w:r>
        <w:t>New studies in healthy adults were not undertaken</w:t>
      </w:r>
      <w:r w:rsidRPr="00566664">
        <w:t xml:space="preserve"> </w:t>
      </w:r>
      <w:r>
        <w:t>which, with the long half</w:t>
      </w:r>
      <w:r w:rsidR="00485910">
        <w:t>-</w:t>
      </w:r>
      <w:r>
        <w:t>life of the formulation, is not unreasonable.</w:t>
      </w:r>
    </w:p>
    <w:p w14:paraId="24A32ED2" w14:textId="77777777" w:rsidR="002B55D9" w:rsidRDefault="00383AAD" w:rsidP="002368EF">
      <w:r>
        <w:t>Table 1</w:t>
      </w:r>
      <w:r w:rsidR="002B55D9">
        <w:t xml:space="preserve"> shows the studies relating to each pharmacokinetic topic and the location of each study summary.</w:t>
      </w:r>
    </w:p>
    <w:p w14:paraId="24A32ED3" w14:textId="77777777" w:rsidR="002B55D9" w:rsidRPr="00795FFE" w:rsidRDefault="002B55D9" w:rsidP="002368EF">
      <w:pPr>
        <w:pStyle w:val="TableTitle"/>
      </w:pPr>
      <w:bookmarkStart w:id="26" w:name="_Ref272426277"/>
      <w:bookmarkStart w:id="27" w:name="_Toc381104177"/>
      <w:bookmarkStart w:id="28" w:name="_Toc381104320"/>
      <w:r w:rsidRPr="00795FFE">
        <w:t xml:space="preserve">Table </w:t>
      </w:r>
      <w:r w:rsidR="000D6249">
        <w:fldChar w:fldCharType="begin"/>
      </w:r>
      <w:r w:rsidR="000D6249">
        <w:instrText xml:space="preserve"> SEQ Table \* ARABIC </w:instrText>
      </w:r>
      <w:r w:rsidR="000D6249">
        <w:fldChar w:fldCharType="separate"/>
      </w:r>
      <w:r w:rsidR="00C476F4">
        <w:rPr>
          <w:noProof/>
        </w:rPr>
        <w:t>1</w:t>
      </w:r>
      <w:r w:rsidR="000D6249">
        <w:rPr>
          <w:noProof/>
        </w:rPr>
        <w:fldChar w:fldCharType="end"/>
      </w:r>
      <w:bookmarkEnd w:id="26"/>
      <w:r w:rsidRPr="00795FFE">
        <w:t>. Submitted pharmacokinetic studies.</w:t>
      </w:r>
      <w:bookmarkEnd w:id="27"/>
      <w:bookmarkEnd w:id="28"/>
    </w:p>
    <w:tbl>
      <w:tblPr>
        <w:tblStyle w:val="TableTGAblue"/>
        <w:tblW w:w="8931" w:type="dxa"/>
        <w:tblInd w:w="108" w:type="dxa"/>
        <w:tblLayout w:type="fixed"/>
        <w:tblLook w:val="04A0" w:firstRow="1" w:lastRow="0" w:firstColumn="1" w:lastColumn="0" w:noHBand="0" w:noVBand="1"/>
      </w:tblPr>
      <w:tblGrid>
        <w:gridCol w:w="2835"/>
        <w:gridCol w:w="3686"/>
        <w:gridCol w:w="1701"/>
        <w:gridCol w:w="709"/>
      </w:tblGrid>
      <w:tr w:rsidR="00485910" w14:paraId="24A32ED8" w14:textId="77777777" w:rsidTr="00BC06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tcPr>
          <w:p w14:paraId="24A32ED4" w14:textId="77777777" w:rsidR="00485910" w:rsidRPr="00485910" w:rsidRDefault="00485910" w:rsidP="00BC06F8">
            <w:r w:rsidRPr="00485910">
              <w:t>PK topic</w:t>
            </w:r>
          </w:p>
        </w:tc>
        <w:tc>
          <w:tcPr>
            <w:tcW w:w="3686" w:type="dxa"/>
          </w:tcPr>
          <w:p w14:paraId="24A32ED5" w14:textId="77777777" w:rsidR="00485910" w:rsidRPr="00485910" w:rsidRDefault="00485910" w:rsidP="00BC06F8">
            <w:pPr>
              <w:cnfStyle w:val="100000000000" w:firstRow="1" w:lastRow="0" w:firstColumn="0" w:lastColumn="0" w:oddVBand="0" w:evenVBand="0" w:oddHBand="0" w:evenHBand="0" w:firstRowFirstColumn="0" w:firstRowLastColumn="0" w:lastRowFirstColumn="0" w:lastRowLastColumn="0"/>
            </w:pPr>
            <w:r w:rsidRPr="00485910">
              <w:t>Subtopic</w:t>
            </w:r>
          </w:p>
        </w:tc>
        <w:tc>
          <w:tcPr>
            <w:tcW w:w="1701" w:type="dxa"/>
          </w:tcPr>
          <w:p w14:paraId="24A32ED6" w14:textId="77777777" w:rsidR="00485910" w:rsidRPr="00485910" w:rsidRDefault="00485910" w:rsidP="00BC06F8">
            <w:pPr>
              <w:cnfStyle w:val="100000000000" w:firstRow="1" w:lastRow="0" w:firstColumn="0" w:lastColumn="0" w:oddVBand="0" w:evenVBand="0" w:oddHBand="0" w:evenHBand="0" w:firstRowFirstColumn="0" w:firstRowLastColumn="0" w:lastRowFirstColumn="0" w:lastRowLastColumn="0"/>
            </w:pPr>
            <w:r w:rsidRPr="00485910">
              <w:t>Study ID</w:t>
            </w:r>
          </w:p>
        </w:tc>
        <w:tc>
          <w:tcPr>
            <w:tcW w:w="709" w:type="dxa"/>
          </w:tcPr>
          <w:p w14:paraId="24A32ED7" w14:textId="77777777" w:rsidR="00485910" w:rsidRPr="00485910" w:rsidRDefault="00485910" w:rsidP="00BC06F8">
            <w:pPr>
              <w:cnfStyle w:val="100000000000" w:firstRow="1" w:lastRow="0" w:firstColumn="0" w:lastColumn="0" w:oddVBand="0" w:evenVBand="0" w:oddHBand="0" w:evenHBand="0" w:firstRowFirstColumn="0" w:firstRowLastColumn="0" w:lastRowFirstColumn="0" w:lastRowLastColumn="0"/>
            </w:pPr>
            <w:r w:rsidRPr="00485910">
              <w:t>*</w:t>
            </w:r>
          </w:p>
        </w:tc>
      </w:tr>
      <w:tr w:rsidR="00485910" w14:paraId="24A32EDD" w14:textId="77777777" w:rsidTr="00A344B7">
        <w:tc>
          <w:tcPr>
            <w:cnfStyle w:val="001000000000" w:firstRow="0" w:lastRow="0" w:firstColumn="1" w:lastColumn="0" w:oddVBand="0" w:evenVBand="0" w:oddHBand="0" w:evenHBand="0" w:firstRowFirstColumn="0" w:firstRowLastColumn="0" w:lastRowFirstColumn="0" w:lastRowLastColumn="0"/>
            <w:tcW w:w="2835" w:type="dxa"/>
          </w:tcPr>
          <w:p w14:paraId="24A32ED9" w14:textId="77777777" w:rsidR="00485910" w:rsidRPr="008625DD" w:rsidRDefault="00485910" w:rsidP="00BC06F8">
            <w:r w:rsidRPr="008625DD">
              <w:t>PK in healthy adults</w:t>
            </w:r>
          </w:p>
        </w:tc>
        <w:tc>
          <w:tcPr>
            <w:tcW w:w="3686" w:type="dxa"/>
          </w:tcPr>
          <w:p w14:paraId="24A32EDA" w14:textId="451D71E8" w:rsidR="00485910" w:rsidRPr="000800CC" w:rsidRDefault="00485910" w:rsidP="00BC06F8">
            <w:pPr>
              <w:cnfStyle w:val="000000000000" w:firstRow="0" w:lastRow="0" w:firstColumn="0" w:lastColumn="0" w:oddVBand="0" w:evenVBand="0" w:oddHBand="0" w:evenHBand="0" w:firstRowFirstColumn="0" w:firstRowLastColumn="0" w:lastRowFirstColumn="0" w:lastRowLastColumn="0"/>
            </w:pPr>
            <w:r>
              <w:t>Ther</w:t>
            </w:r>
            <w:r w:rsidR="004A56A6">
              <w:t>e were no new studies submitted</w:t>
            </w:r>
          </w:p>
        </w:tc>
        <w:tc>
          <w:tcPr>
            <w:tcW w:w="1701" w:type="dxa"/>
          </w:tcPr>
          <w:p w14:paraId="24A32EDB" w14:textId="77777777" w:rsidR="00485910" w:rsidRPr="000800CC" w:rsidRDefault="00485910" w:rsidP="00BC06F8">
            <w:pPr>
              <w:cnfStyle w:val="000000000000" w:firstRow="0" w:lastRow="0" w:firstColumn="0" w:lastColumn="0" w:oddVBand="0" w:evenVBand="0" w:oddHBand="0" w:evenHBand="0" w:firstRowFirstColumn="0" w:firstRowLastColumn="0" w:lastRowFirstColumn="0" w:lastRowLastColumn="0"/>
            </w:pPr>
          </w:p>
        </w:tc>
        <w:tc>
          <w:tcPr>
            <w:tcW w:w="709" w:type="dxa"/>
          </w:tcPr>
          <w:p w14:paraId="24A32EDC" w14:textId="77777777" w:rsidR="00485910" w:rsidRPr="000800CC" w:rsidRDefault="00485910" w:rsidP="00BC06F8">
            <w:pPr>
              <w:cnfStyle w:val="000000000000" w:firstRow="0" w:lastRow="0" w:firstColumn="0" w:lastColumn="0" w:oddVBand="0" w:evenVBand="0" w:oddHBand="0" w:evenHBand="0" w:firstRowFirstColumn="0" w:firstRowLastColumn="0" w:lastRowFirstColumn="0" w:lastRowLastColumn="0"/>
            </w:pPr>
          </w:p>
        </w:tc>
      </w:tr>
      <w:tr w:rsidR="00485910" w14:paraId="24A32EE2" w14:textId="77777777" w:rsidTr="00A344B7">
        <w:tc>
          <w:tcPr>
            <w:cnfStyle w:val="001000000000" w:firstRow="0" w:lastRow="0" w:firstColumn="1" w:lastColumn="0" w:oddVBand="0" w:evenVBand="0" w:oddHBand="0" w:evenHBand="0" w:firstRowFirstColumn="0" w:firstRowLastColumn="0" w:lastRowFirstColumn="0" w:lastRowLastColumn="0"/>
            <w:tcW w:w="2835" w:type="dxa"/>
            <w:vMerge w:val="restart"/>
          </w:tcPr>
          <w:p w14:paraId="24A32EDE" w14:textId="77777777" w:rsidR="00485910" w:rsidRPr="008625DD" w:rsidRDefault="00485910" w:rsidP="00BC06F8">
            <w:r>
              <w:t>PK in schizophrenic patients</w:t>
            </w:r>
          </w:p>
        </w:tc>
        <w:tc>
          <w:tcPr>
            <w:tcW w:w="3686" w:type="dxa"/>
          </w:tcPr>
          <w:p w14:paraId="24A32EDF" w14:textId="69005C57" w:rsidR="00485910" w:rsidRPr="000800CC" w:rsidRDefault="00485910" w:rsidP="00BC06F8">
            <w:pPr>
              <w:cnfStyle w:val="000000000000" w:firstRow="0" w:lastRow="0" w:firstColumn="0" w:lastColumn="0" w:oddVBand="0" w:evenVBand="0" w:oddHBand="0" w:evenHBand="0" w:firstRowFirstColumn="0" w:firstRowLastColumn="0" w:lastRowFirstColumn="0" w:lastRowLastColumn="0"/>
            </w:pPr>
            <w:r w:rsidRPr="000800CC">
              <w:t>General PK</w:t>
            </w:r>
            <w:r w:rsidRPr="000800CC">
              <w:tab/>
              <w:t>Single dose</w:t>
            </w:r>
          </w:p>
        </w:tc>
        <w:tc>
          <w:tcPr>
            <w:tcW w:w="1701" w:type="dxa"/>
          </w:tcPr>
          <w:p w14:paraId="24A32EE0" w14:textId="77777777" w:rsidR="00485910" w:rsidRPr="000800CC" w:rsidRDefault="00485910" w:rsidP="00BC06F8">
            <w:pPr>
              <w:cnfStyle w:val="000000000000" w:firstRow="0" w:lastRow="0" w:firstColumn="0" w:lastColumn="0" w:oddVBand="0" w:evenVBand="0" w:oddHBand="0" w:evenHBand="0" w:firstRowFirstColumn="0" w:firstRowLastColumn="0" w:lastRowFirstColumn="0" w:lastRowLastColumn="0"/>
            </w:pPr>
            <w:r>
              <w:t>CN138-020</w:t>
            </w:r>
          </w:p>
        </w:tc>
        <w:tc>
          <w:tcPr>
            <w:tcW w:w="709" w:type="dxa"/>
          </w:tcPr>
          <w:p w14:paraId="24A32EE1" w14:textId="77777777" w:rsidR="00485910" w:rsidRPr="000800CC" w:rsidRDefault="00485910" w:rsidP="00BC06F8">
            <w:pPr>
              <w:cnfStyle w:val="000000000000" w:firstRow="0" w:lastRow="0" w:firstColumn="0" w:lastColumn="0" w:oddVBand="0" w:evenVBand="0" w:oddHBand="0" w:evenHBand="0" w:firstRowFirstColumn="0" w:firstRowLastColumn="0" w:lastRowFirstColumn="0" w:lastRowLastColumn="0"/>
            </w:pPr>
          </w:p>
        </w:tc>
      </w:tr>
      <w:tr w:rsidR="00485910" w14:paraId="24A32EE7" w14:textId="77777777" w:rsidTr="00A344B7">
        <w:tc>
          <w:tcPr>
            <w:cnfStyle w:val="001000000000" w:firstRow="0" w:lastRow="0" w:firstColumn="1" w:lastColumn="0" w:oddVBand="0" w:evenVBand="0" w:oddHBand="0" w:evenHBand="0" w:firstRowFirstColumn="0" w:firstRowLastColumn="0" w:lastRowFirstColumn="0" w:lastRowLastColumn="0"/>
            <w:tcW w:w="2835" w:type="dxa"/>
            <w:vMerge/>
          </w:tcPr>
          <w:p w14:paraId="24A32EE3" w14:textId="77777777" w:rsidR="00485910" w:rsidRPr="000800CC" w:rsidRDefault="00485910" w:rsidP="00BC06F8"/>
        </w:tc>
        <w:tc>
          <w:tcPr>
            <w:tcW w:w="3686" w:type="dxa"/>
          </w:tcPr>
          <w:p w14:paraId="24A32EE4" w14:textId="77777777" w:rsidR="00485910" w:rsidRPr="000800CC" w:rsidRDefault="00485910" w:rsidP="00BC06F8">
            <w:pPr>
              <w:cnfStyle w:val="000000000000" w:firstRow="0" w:lastRow="0" w:firstColumn="0" w:lastColumn="0" w:oddVBand="0" w:evenVBand="0" w:oddHBand="0" w:evenHBand="0" w:firstRowFirstColumn="0" w:firstRowLastColumn="0" w:lastRowFirstColumn="0" w:lastRowLastColumn="0"/>
            </w:pPr>
          </w:p>
        </w:tc>
        <w:tc>
          <w:tcPr>
            <w:tcW w:w="1701" w:type="dxa"/>
          </w:tcPr>
          <w:p w14:paraId="24A32EE5" w14:textId="77777777" w:rsidR="00485910" w:rsidRPr="000800CC" w:rsidRDefault="00485910" w:rsidP="00BC06F8">
            <w:pPr>
              <w:cnfStyle w:val="000000000000" w:firstRow="0" w:lastRow="0" w:firstColumn="0" w:lastColumn="0" w:oddVBand="0" w:evenVBand="0" w:oddHBand="0" w:evenHBand="0" w:firstRowFirstColumn="0" w:firstRowLastColumn="0" w:lastRowFirstColumn="0" w:lastRowLastColumn="0"/>
            </w:pPr>
            <w:r>
              <w:t>31-07-002</w:t>
            </w:r>
          </w:p>
        </w:tc>
        <w:tc>
          <w:tcPr>
            <w:tcW w:w="709" w:type="dxa"/>
          </w:tcPr>
          <w:p w14:paraId="24A32EE6" w14:textId="77777777" w:rsidR="00485910" w:rsidRPr="000800CC" w:rsidRDefault="00485910" w:rsidP="00BC06F8">
            <w:pPr>
              <w:cnfStyle w:val="000000000000" w:firstRow="0" w:lastRow="0" w:firstColumn="0" w:lastColumn="0" w:oddVBand="0" w:evenVBand="0" w:oddHBand="0" w:evenHBand="0" w:firstRowFirstColumn="0" w:firstRowLastColumn="0" w:lastRowFirstColumn="0" w:lastRowLastColumn="0"/>
            </w:pPr>
            <w:r>
              <w:t>*</w:t>
            </w:r>
          </w:p>
        </w:tc>
      </w:tr>
      <w:tr w:rsidR="00485910" w14:paraId="24A32EEC" w14:textId="77777777" w:rsidTr="00672430">
        <w:tc>
          <w:tcPr>
            <w:cnfStyle w:val="001000000000" w:firstRow="0" w:lastRow="0" w:firstColumn="1" w:lastColumn="0" w:oddVBand="0" w:evenVBand="0" w:oddHBand="0" w:evenHBand="0" w:firstRowFirstColumn="0" w:firstRowLastColumn="0" w:lastRowFirstColumn="0" w:lastRowLastColumn="0"/>
            <w:tcW w:w="2835" w:type="dxa"/>
            <w:vMerge/>
          </w:tcPr>
          <w:p w14:paraId="24A32EE8" w14:textId="77777777" w:rsidR="00485910" w:rsidRPr="000800CC" w:rsidRDefault="00485910" w:rsidP="00BC06F8"/>
        </w:tc>
        <w:tc>
          <w:tcPr>
            <w:tcW w:w="3686" w:type="dxa"/>
            <w:tcBorders>
              <w:bottom w:val="single" w:sz="8" w:space="0" w:color="000000" w:themeColor="text1"/>
            </w:tcBorders>
          </w:tcPr>
          <w:p w14:paraId="24A32EE9" w14:textId="77777777" w:rsidR="00485910" w:rsidRPr="000800CC" w:rsidRDefault="00485910" w:rsidP="00BC06F8">
            <w:pPr>
              <w:cnfStyle w:val="000000000000" w:firstRow="0" w:lastRow="0" w:firstColumn="0" w:lastColumn="0" w:oddVBand="0" w:evenVBand="0" w:oddHBand="0" w:evenHBand="0" w:firstRowFirstColumn="0" w:firstRowLastColumn="0" w:lastRowFirstColumn="0" w:lastRowLastColumn="0"/>
            </w:pPr>
          </w:p>
        </w:tc>
        <w:tc>
          <w:tcPr>
            <w:tcW w:w="1701" w:type="dxa"/>
          </w:tcPr>
          <w:p w14:paraId="24A32EEA" w14:textId="77777777" w:rsidR="00485910" w:rsidRPr="000800CC" w:rsidRDefault="00485910" w:rsidP="00BC06F8">
            <w:pPr>
              <w:cnfStyle w:val="000000000000" w:firstRow="0" w:lastRow="0" w:firstColumn="0" w:lastColumn="0" w:oddVBand="0" w:evenVBand="0" w:oddHBand="0" w:evenHBand="0" w:firstRowFirstColumn="0" w:firstRowLastColumn="0" w:lastRowFirstColumn="0" w:lastRowLastColumn="0"/>
            </w:pPr>
            <w:r>
              <w:t>31-11-289</w:t>
            </w:r>
          </w:p>
        </w:tc>
        <w:tc>
          <w:tcPr>
            <w:tcW w:w="709" w:type="dxa"/>
          </w:tcPr>
          <w:p w14:paraId="24A32EEB" w14:textId="77777777" w:rsidR="00485910" w:rsidRPr="000800CC" w:rsidRDefault="00485910" w:rsidP="00BC06F8">
            <w:pPr>
              <w:cnfStyle w:val="000000000000" w:firstRow="0" w:lastRow="0" w:firstColumn="0" w:lastColumn="0" w:oddVBand="0" w:evenVBand="0" w:oddHBand="0" w:evenHBand="0" w:firstRowFirstColumn="0" w:firstRowLastColumn="0" w:lastRowFirstColumn="0" w:lastRowLastColumn="0"/>
            </w:pPr>
            <w:r>
              <w:t>*</w:t>
            </w:r>
          </w:p>
        </w:tc>
      </w:tr>
      <w:tr w:rsidR="002600F6" w14:paraId="42848AA0" w14:textId="77777777" w:rsidTr="002A6522">
        <w:tc>
          <w:tcPr>
            <w:cnfStyle w:val="001000000000" w:firstRow="0" w:lastRow="0" w:firstColumn="1" w:lastColumn="0" w:oddVBand="0" w:evenVBand="0" w:oddHBand="0" w:evenHBand="0" w:firstRowFirstColumn="0" w:firstRowLastColumn="0" w:lastRowFirstColumn="0" w:lastRowLastColumn="0"/>
            <w:tcW w:w="2835" w:type="dxa"/>
            <w:vMerge/>
          </w:tcPr>
          <w:p w14:paraId="5B11EBE9" w14:textId="77777777" w:rsidR="002600F6" w:rsidRPr="000800CC" w:rsidRDefault="002600F6" w:rsidP="00BC06F8"/>
        </w:tc>
        <w:tc>
          <w:tcPr>
            <w:tcW w:w="3686" w:type="dxa"/>
            <w:tcBorders>
              <w:bottom w:val="nil"/>
            </w:tcBorders>
          </w:tcPr>
          <w:p w14:paraId="59942E6C" w14:textId="77777777" w:rsidR="002600F6" w:rsidRPr="000800CC" w:rsidRDefault="002600F6" w:rsidP="00BC06F8">
            <w:pPr>
              <w:cnfStyle w:val="000000000000" w:firstRow="0" w:lastRow="0" w:firstColumn="0" w:lastColumn="0" w:oddVBand="0" w:evenVBand="0" w:oddHBand="0" w:evenHBand="0" w:firstRowFirstColumn="0" w:firstRowLastColumn="0" w:lastRowFirstColumn="0" w:lastRowLastColumn="0"/>
            </w:pPr>
          </w:p>
        </w:tc>
        <w:tc>
          <w:tcPr>
            <w:tcW w:w="1701" w:type="dxa"/>
          </w:tcPr>
          <w:p w14:paraId="24C5CAD7" w14:textId="15A7B8E9" w:rsidR="002B3B9A" w:rsidRPr="00B44949" w:rsidRDefault="002B3B9A" w:rsidP="00BC06F8">
            <w:pPr>
              <w:cnfStyle w:val="000000000000" w:firstRow="0" w:lastRow="0" w:firstColumn="0" w:lastColumn="0" w:oddVBand="0" w:evenVBand="0" w:oddHBand="0" w:evenHBand="0" w:firstRowFirstColumn="0" w:firstRowLastColumn="0" w:lastRowFirstColumn="0" w:lastRowLastColumn="0"/>
            </w:pPr>
            <w:r>
              <w:t>31-05-244</w:t>
            </w:r>
          </w:p>
        </w:tc>
        <w:tc>
          <w:tcPr>
            <w:tcW w:w="709" w:type="dxa"/>
          </w:tcPr>
          <w:p w14:paraId="53035945" w14:textId="7C5FA7F2" w:rsidR="002600F6" w:rsidRPr="000800CC" w:rsidRDefault="002600F6" w:rsidP="00BC06F8">
            <w:pPr>
              <w:cnfStyle w:val="000000000000" w:firstRow="0" w:lastRow="0" w:firstColumn="0" w:lastColumn="0" w:oddVBand="0" w:evenVBand="0" w:oddHBand="0" w:evenHBand="0" w:firstRowFirstColumn="0" w:firstRowLastColumn="0" w:lastRowFirstColumn="0" w:lastRowLastColumn="0"/>
            </w:pPr>
            <w:r>
              <w:t>*</w:t>
            </w:r>
          </w:p>
        </w:tc>
      </w:tr>
      <w:tr w:rsidR="00485910" w14:paraId="24A32EF1" w14:textId="77777777" w:rsidTr="00672430">
        <w:tc>
          <w:tcPr>
            <w:cnfStyle w:val="001000000000" w:firstRow="0" w:lastRow="0" w:firstColumn="1" w:lastColumn="0" w:oddVBand="0" w:evenVBand="0" w:oddHBand="0" w:evenHBand="0" w:firstRowFirstColumn="0" w:firstRowLastColumn="0" w:lastRowFirstColumn="0" w:lastRowLastColumn="0"/>
            <w:tcW w:w="2835" w:type="dxa"/>
            <w:vMerge/>
          </w:tcPr>
          <w:p w14:paraId="24A32EED" w14:textId="77777777" w:rsidR="00485910" w:rsidRPr="000800CC" w:rsidRDefault="00485910" w:rsidP="00BC06F8"/>
        </w:tc>
        <w:tc>
          <w:tcPr>
            <w:tcW w:w="3686" w:type="dxa"/>
            <w:tcBorders>
              <w:top w:val="nil"/>
              <w:bottom w:val="nil"/>
            </w:tcBorders>
          </w:tcPr>
          <w:p w14:paraId="24A32EEE" w14:textId="20EF6132" w:rsidR="00485910" w:rsidRPr="000800CC" w:rsidRDefault="00485910" w:rsidP="00BC06F8">
            <w:pPr>
              <w:cnfStyle w:val="000000000000" w:firstRow="0" w:lastRow="0" w:firstColumn="0" w:lastColumn="0" w:oddVBand="0" w:evenVBand="0" w:oddHBand="0" w:evenHBand="0" w:firstRowFirstColumn="0" w:firstRowLastColumn="0" w:lastRowFirstColumn="0" w:lastRowLastColumn="0"/>
            </w:pPr>
            <w:r w:rsidRPr="000800CC">
              <w:t>Multi-dose</w:t>
            </w:r>
          </w:p>
        </w:tc>
        <w:tc>
          <w:tcPr>
            <w:tcW w:w="1701" w:type="dxa"/>
          </w:tcPr>
          <w:p w14:paraId="24A32EEF" w14:textId="77777777" w:rsidR="00485910" w:rsidRPr="000800CC" w:rsidRDefault="00485910" w:rsidP="00BC06F8">
            <w:pPr>
              <w:cnfStyle w:val="000000000000" w:firstRow="0" w:lastRow="0" w:firstColumn="0" w:lastColumn="0" w:oddVBand="0" w:evenVBand="0" w:oddHBand="0" w:evenHBand="0" w:firstRowFirstColumn="0" w:firstRowLastColumn="0" w:lastRowFirstColumn="0" w:lastRowLastColumn="0"/>
            </w:pPr>
            <w:r w:rsidRPr="00B44949">
              <w:t>31-07-246</w:t>
            </w:r>
          </w:p>
        </w:tc>
        <w:tc>
          <w:tcPr>
            <w:tcW w:w="709" w:type="dxa"/>
          </w:tcPr>
          <w:p w14:paraId="24A32EF0" w14:textId="77777777" w:rsidR="00485910" w:rsidRPr="000800CC" w:rsidRDefault="00485910" w:rsidP="00BC06F8">
            <w:pPr>
              <w:cnfStyle w:val="000000000000" w:firstRow="0" w:lastRow="0" w:firstColumn="0" w:lastColumn="0" w:oddVBand="0" w:evenVBand="0" w:oddHBand="0" w:evenHBand="0" w:firstRowFirstColumn="0" w:firstRowLastColumn="0" w:lastRowFirstColumn="0" w:lastRowLastColumn="0"/>
            </w:pPr>
          </w:p>
        </w:tc>
      </w:tr>
      <w:tr w:rsidR="00485910" w14:paraId="24A32EF6" w14:textId="77777777" w:rsidTr="00672430">
        <w:tc>
          <w:tcPr>
            <w:cnfStyle w:val="001000000000" w:firstRow="0" w:lastRow="0" w:firstColumn="1" w:lastColumn="0" w:oddVBand="0" w:evenVBand="0" w:oddHBand="0" w:evenHBand="0" w:firstRowFirstColumn="0" w:firstRowLastColumn="0" w:lastRowFirstColumn="0" w:lastRowLastColumn="0"/>
            <w:tcW w:w="2835" w:type="dxa"/>
            <w:vMerge/>
          </w:tcPr>
          <w:p w14:paraId="24A32EF2" w14:textId="77777777" w:rsidR="00485910" w:rsidRPr="000800CC" w:rsidRDefault="00485910" w:rsidP="00BC06F8"/>
        </w:tc>
        <w:tc>
          <w:tcPr>
            <w:tcW w:w="3686" w:type="dxa"/>
            <w:tcBorders>
              <w:top w:val="nil"/>
            </w:tcBorders>
          </w:tcPr>
          <w:p w14:paraId="24A32EF3" w14:textId="77777777" w:rsidR="00485910" w:rsidRPr="000800CC" w:rsidRDefault="00485910" w:rsidP="00BC06F8">
            <w:pPr>
              <w:cnfStyle w:val="000000000000" w:firstRow="0" w:lastRow="0" w:firstColumn="0" w:lastColumn="0" w:oddVBand="0" w:evenVBand="0" w:oddHBand="0" w:evenHBand="0" w:firstRowFirstColumn="0" w:firstRowLastColumn="0" w:lastRowFirstColumn="0" w:lastRowLastColumn="0"/>
            </w:pPr>
          </w:p>
        </w:tc>
        <w:tc>
          <w:tcPr>
            <w:tcW w:w="1701" w:type="dxa"/>
          </w:tcPr>
          <w:p w14:paraId="24A32EF4" w14:textId="298CE719" w:rsidR="00485910" w:rsidRPr="000800CC" w:rsidRDefault="004A56A6" w:rsidP="00BC06F8">
            <w:pPr>
              <w:cnfStyle w:val="000000000000" w:firstRow="0" w:lastRow="0" w:firstColumn="0" w:lastColumn="0" w:oddVBand="0" w:evenVBand="0" w:oddHBand="0" w:evenHBand="0" w:firstRowFirstColumn="0" w:firstRowLastColumn="0" w:lastRowFirstColumn="0" w:lastRowLastColumn="0"/>
            </w:pPr>
            <w:r>
              <w:t>31-07-247</w:t>
            </w:r>
          </w:p>
        </w:tc>
        <w:tc>
          <w:tcPr>
            <w:tcW w:w="709" w:type="dxa"/>
          </w:tcPr>
          <w:p w14:paraId="24A32EF5" w14:textId="77777777" w:rsidR="00485910" w:rsidRPr="000800CC" w:rsidRDefault="00485910" w:rsidP="00BC06F8">
            <w:pPr>
              <w:cnfStyle w:val="000000000000" w:firstRow="0" w:lastRow="0" w:firstColumn="0" w:lastColumn="0" w:oddVBand="0" w:evenVBand="0" w:oddHBand="0" w:evenHBand="0" w:firstRowFirstColumn="0" w:firstRowLastColumn="0" w:lastRowFirstColumn="0" w:lastRowLastColumn="0"/>
            </w:pPr>
          </w:p>
        </w:tc>
      </w:tr>
      <w:tr w:rsidR="00485910" w14:paraId="24A32EFB" w14:textId="77777777" w:rsidTr="00A344B7">
        <w:tc>
          <w:tcPr>
            <w:cnfStyle w:val="001000000000" w:firstRow="0" w:lastRow="0" w:firstColumn="1" w:lastColumn="0" w:oddVBand="0" w:evenVBand="0" w:oddHBand="0" w:evenHBand="0" w:firstRowFirstColumn="0" w:firstRowLastColumn="0" w:lastRowFirstColumn="0" w:lastRowLastColumn="0"/>
            <w:tcW w:w="2835" w:type="dxa"/>
            <w:vMerge/>
          </w:tcPr>
          <w:p w14:paraId="24A32EF7" w14:textId="77777777" w:rsidR="00485910" w:rsidRPr="000800CC" w:rsidRDefault="00485910" w:rsidP="00BC06F8"/>
        </w:tc>
        <w:tc>
          <w:tcPr>
            <w:tcW w:w="3686" w:type="dxa"/>
          </w:tcPr>
          <w:p w14:paraId="24A32EF8" w14:textId="77777777" w:rsidR="00485910" w:rsidRPr="000800CC" w:rsidRDefault="00485910" w:rsidP="00BC06F8">
            <w:pPr>
              <w:cnfStyle w:val="000000000000" w:firstRow="0" w:lastRow="0" w:firstColumn="0" w:lastColumn="0" w:oddVBand="0" w:evenVBand="0" w:oddHBand="0" w:evenHBand="0" w:firstRowFirstColumn="0" w:firstRowLastColumn="0" w:lastRowFirstColumn="0" w:lastRowLastColumn="0"/>
            </w:pPr>
            <w:r w:rsidRPr="000800CC">
              <w:t>Bioequivalence† - Single dose</w:t>
            </w:r>
          </w:p>
        </w:tc>
        <w:tc>
          <w:tcPr>
            <w:tcW w:w="1701" w:type="dxa"/>
          </w:tcPr>
          <w:p w14:paraId="24A32EF9" w14:textId="77777777" w:rsidR="00485910" w:rsidRPr="000800CC" w:rsidRDefault="00485910" w:rsidP="00BC06F8">
            <w:pPr>
              <w:cnfStyle w:val="000000000000" w:firstRow="0" w:lastRow="0" w:firstColumn="0" w:lastColumn="0" w:oddVBand="0" w:evenVBand="0" w:oddHBand="0" w:evenHBand="0" w:firstRowFirstColumn="0" w:firstRowLastColumn="0" w:lastRowFirstColumn="0" w:lastRowLastColumn="0"/>
            </w:pPr>
            <w:r>
              <w:t>CN138-020</w:t>
            </w:r>
          </w:p>
        </w:tc>
        <w:tc>
          <w:tcPr>
            <w:tcW w:w="709" w:type="dxa"/>
          </w:tcPr>
          <w:p w14:paraId="24A32EFA" w14:textId="77777777" w:rsidR="00485910" w:rsidRPr="000800CC" w:rsidRDefault="00485910" w:rsidP="00BC06F8">
            <w:pPr>
              <w:cnfStyle w:val="000000000000" w:firstRow="0" w:lastRow="0" w:firstColumn="0" w:lastColumn="0" w:oddVBand="0" w:evenVBand="0" w:oddHBand="0" w:evenHBand="0" w:firstRowFirstColumn="0" w:firstRowLastColumn="0" w:lastRowFirstColumn="0" w:lastRowLastColumn="0"/>
            </w:pPr>
            <w:r>
              <w:t>*</w:t>
            </w:r>
          </w:p>
        </w:tc>
      </w:tr>
      <w:tr w:rsidR="00485910" w14:paraId="24A32F00" w14:textId="77777777" w:rsidTr="00A344B7">
        <w:tc>
          <w:tcPr>
            <w:cnfStyle w:val="001000000000" w:firstRow="0" w:lastRow="0" w:firstColumn="1" w:lastColumn="0" w:oddVBand="0" w:evenVBand="0" w:oddHBand="0" w:evenHBand="0" w:firstRowFirstColumn="0" w:firstRowLastColumn="0" w:lastRowFirstColumn="0" w:lastRowLastColumn="0"/>
            <w:tcW w:w="2835" w:type="dxa"/>
          </w:tcPr>
          <w:p w14:paraId="24A32EFC" w14:textId="77777777" w:rsidR="00485910" w:rsidRPr="003C1E70" w:rsidRDefault="00485910" w:rsidP="00BC06F8">
            <w:r w:rsidRPr="008625DD">
              <w:t>PK in special populations</w:t>
            </w:r>
          </w:p>
        </w:tc>
        <w:tc>
          <w:tcPr>
            <w:tcW w:w="3686" w:type="dxa"/>
          </w:tcPr>
          <w:p w14:paraId="24A32EFD" w14:textId="77777777" w:rsidR="00485910" w:rsidRPr="000800CC" w:rsidRDefault="00485910" w:rsidP="00BC06F8">
            <w:pPr>
              <w:cnfStyle w:val="000000000000" w:firstRow="0" w:lastRow="0" w:firstColumn="0" w:lastColumn="0" w:oddVBand="0" w:evenVBand="0" w:oddHBand="0" w:evenHBand="0" w:firstRowFirstColumn="0" w:firstRowLastColumn="0" w:lastRowFirstColumn="0" w:lastRowLastColumn="0"/>
            </w:pPr>
            <w:r w:rsidRPr="000800CC">
              <w:t>Renal impairment</w:t>
            </w:r>
            <w:r>
              <w:t xml:space="preserve"> - oral</w:t>
            </w:r>
          </w:p>
        </w:tc>
        <w:tc>
          <w:tcPr>
            <w:tcW w:w="1701" w:type="dxa"/>
          </w:tcPr>
          <w:p w14:paraId="24A32EFE" w14:textId="77777777" w:rsidR="00485910" w:rsidRPr="000800CC" w:rsidRDefault="00485910" w:rsidP="00BC06F8">
            <w:pPr>
              <w:cnfStyle w:val="000000000000" w:firstRow="0" w:lastRow="0" w:firstColumn="0" w:lastColumn="0" w:oddVBand="0" w:evenVBand="0" w:oddHBand="0" w:evenHBand="0" w:firstRowFirstColumn="0" w:firstRowLastColumn="0" w:lastRowFirstColumn="0" w:lastRowLastColumn="0"/>
            </w:pPr>
            <w:r>
              <w:t>31-98-208</w:t>
            </w:r>
          </w:p>
        </w:tc>
        <w:tc>
          <w:tcPr>
            <w:tcW w:w="709" w:type="dxa"/>
          </w:tcPr>
          <w:p w14:paraId="24A32EFF" w14:textId="77777777" w:rsidR="00485910" w:rsidRPr="000800CC" w:rsidRDefault="00485910" w:rsidP="00BC06F8">
            <w:pPr>
              <w:cnfStyle w:val="000000000000" w:firstRow="0" w:lastRow="0" w:firstColumn="0" w:lastColumn="0" w:oddVBand="0" w:evenVBand="0" w:oddHBand="0" w:evenHBand="0" w:firstRowFirstColumn="0" w:firstRowLastColumn="0" w:lastRowFirstColumn="0" w:lastRowLastColumn="0"/>
            </w:pPr>
            <w:r>
              <w:t>*</w:t>
            </w:r>
          </w:p>
        </w:tc>
      </w:tr>
      <w:tr w:rsidR="00485910" w14:paraId="24A32F05" w14:textId="77777777" w:rsidTr="00A344B7">
        <w:tc>
          <w:tcPr>
            <w:cnfStyle w:val="001000000000" w:firstRow="0" w:lastRow="0" w:firstColumn="1" w:lastColumn="0" w:oddVBand="0" w:evenVBand="0" w:oddHBand="0" w:evenHBand="0" w:firstRowFirstColumn="0" w:firstRowLastColumn="0" w:lastRowFirstColumn="0" w:lastRowLastColumn="0"/>
            <w:tcW w:w="2835" w:type="dxa"/>
            <w:vMerge w:val="restart"/>
          </w:tcPr>
          <w:p w14:paraId="24A32F01" w14:textId="77777777" w:rsidR="00485910" w:rsidRPr="008625DD" w:rsidRDefault="00485910" w:rsidP="00BC06F8">
            <w:r w:rsidRPr="008625DD">
              <w:t>Population PK analyses</w:t>
            </w:r>
          </w:p>
        </w:tc>
        <w:tc>
          <w:tcPr>
            <w:tcW w:w="3686" w:type="dxa"/>
          </w:tcPr>
          <w:p w14:paraId="24A32F02" w14:textId="77777777" w:rsidR="00485910" w:rsidRPr="000800CC" w:rsidRDefault="00485910" w:rsidP="00BC06F8">
            <w:pPr>
              <w:cnfStyle w:val="000000000000" w:firstRow="0" w:lastRow="0" w:firstColumn="0" w:lastColumn="0" w:oddVBand="0" w:evenVBand="0" w:oddHBand="0" w:evenHBand="0" w:firstRowFirstColumn="0" w:firstRowLastColumn="0" w:lastRowFirstColumn="0" w:lastRowLastColumn="0"/>
            </w:pPr>
            <w:r w:rsidRPr="000800CC">
              <w:t>Healthy subjects</w:t>
            </w:r>
            <w:r>
              <w:t xml:space="preserve"> </w:t>
            </w:r>
            <w:r w:rsidR="0052799D">
              <w:t>and</w:t>
            </w:r>
            <w:r>
              <w:t xml:space="preserve"> </w:t>
            </w:r>
            <w:r w:rsidRPr="000800CC">
              <w:t>Target population</w:t>
            </w:r>
          </w:p>
        </w:tc>
        <w:tc>
          <w:tcPr>
            <w:tcW w:w="1701" w:type="dxa"/>
          </w:tcPr>
          <w:p w14:paraId="24A32F03" w14:textId="77777777" w:rsidR="00485910" w:rsidRPr="000800CC" w:rsidRDefault="00485910" w:rsidP="00BC06F8">
            <w:pPr>
              <w:cnfStyle w:val="000000000000" w:firstRow="0" w:lastRow="0" w:firstColumn="0" w:lastColumn="0" w:oddVBand="0" w:evenVBand="0" w:oddHBand="0" w:evenHBand="0" w:firstRowFirstColumn="0" w:firstRowLastColumn="0" w:lastRowFirstColumn="0" w:lastRowLastColumn="0"/>
            </w:pPr>
            <w:r>
              <w:t>31-11-287</w:t>
            </w:r>
          </w:p>
        </w:tc>
        <w:tc>
          <w:tcPr>
            <w:tcW w:w="709" w:type="dxa"/>
          </w:tcPr>
          <w:p w14:paraId="24A32F04" w14:textId="77777777" w:rsidR="00485910" w:rsidRPr="000800CC" w:rsidRDefault="00485910" w:rsidP="00BC06F8">
            <w:pPr>
              <w:cnfStyle w:val="000000000000" w:firstRow="0" w:lastRow="0" w:firstColumn="0" w:lastColumn="0" w:oddVBand="0" w:evenVBand="0" w:oddHBand="0" w:evenHBand="0" w:firstRowFirstColumn="0" w:firstRowLastColumn="0" w:lastRowFirstColumn="0" w:lastRowLastColumn="0"/>
            </w:pPr>
            <w:r>
              <w:t>*</w:t>
            </w:r>
          </w:p>
        </w:tc>
      </w:tr>
      <w:tr w:rsidR="00485910" w14:paraId="24A32F0A" w14:textId="77777777" w:rsidTr="00A344B7">
        <w:tc>
          <w:tcPr>
            <w:cnfStyle w:val="001000000000" w:firstRow="0" w:lastRow="0" w:firstColumn="1" w:lastColumn="0" w:oddVBand="0" w:evenVBand="0" w:oddHBand="0" w:evenHBand="0" w:firstRowFirstColumn="0" w:firstRowLastColumn="0" w:lastRowFirstColumn="0" w:lastRowLastColumn="0"/>
            <w:tcW w:w="2835" w:type="dxa"/>
            <w:vMerge/>
          </w:tcPr>
          <w:p w14:paraId="24A32F06" w14:textId="77777777" w:rsidR="00485910" w:rsidRPr="000800CC" w:rsidRDefault="00485910" w:rsidP="00BC06F8"/>
        </w:tc>
        <w:tc>
          <w:tcPr>
            <w:tcW w:w="3686" w:type="dxa"/>
          </w:tcPr>
          <w:p w14:paraId="24A32F07" w14:textId="77777777" w:rsidR="00485910" w:rsidRPr="000800CC" w:rsidRDefault="00485910" w:rsidP="00BC06F8">
            <w:pPr>
              <w:cnfStyle w:val="000000000000" w:firstRow="0" w:lastRow="0" w:firstColumn="0" w:lastColumn="0" w:oddVBand="0" w:evenVBand="0" w:oddHBand="0" w:evenHBand="0" w:firstRowFirstColumn="0" w:firstRowLastColumn="0" w:lastRowFirstColumn="0" w:lastRowLastColumn="0"/>
            </w:pPr>
            <w:r w:rsidRPr="000800CC">
              <w:t>Target population</w:t>
            </w:r>
          </w:p>
        </w:tc>
        <w:tc>
          <w:tcPr>
            <w:tcW w:w="1701" w:type="dxa"/>
          </w:tcPr>
          <w:p w14:paraId="24A32F08" w14:textId="77777777" w:rsidR="00485910" w:rsidRPr="000800CC" w:rsidRDefault="00485910" w:rsidP="00BC06F8">
            <w:pPr>
              <w:cnfStyle w:val="000000000000" w:firstRow="0" w:lastRow="0" w:firstColumn="0" w:lastColumn="0" w:oddVBand="0" w:evenVBand="0" w:oddHBand="0" w:evenHBand="0" w:firstRowFirstColumn="0" w:firstRowLastColumn="0" w:lastRowFirstColumn="0" w:lastRowLastColumn="0"/>
            </w:pPr>
            <w:r>
              <w:t>31-12-292</w:t>
            </w:r>
          </w:p>
        </w:tc>
        <w:tc>
          <w:tcPr>
            <w:tcW w:w="709" w:type="dxa"/>
          </w:tcPr>
          <w:p w14:paraId="24A32F09" w14:textId="77777777" w:rsidR="00485910" w:rsidRPr="000800CC" w:rsidRDefault="00485910" w:rsidP="00BC06F8">
            <w:pPr>
              <w:cnfStyle w:val="000000000000" w:firstRow="0" w:lastRow="0" w:firstColumn="0" w:lastColumn="0" w:oddVBand="0" w:evenVBand="0" w:oddHBand="0" w:evenHBand="0" w:firstRowFirstColumn="0" w:firstRowLastColumn="0" w:lastRowFirstColumn="0" w:lastRowLastColumn="0"/>
            </w:pPr>
            <w:r>
              <w:t>*</w:t>
            </w:r>
          </w:p>
        </w:tc>
      </w:tr>
    </w:tbl>
    <w:p w14:paraId="31F9A34A" w14:textId="77777777" w:rsidR="004A56A6" w:rsidRDefault="002B55D9" w:rsidP="00BC06F8">
      <w:pPr>
        <w:pStyle w:val="TableDescription"/>
      </w:pPr>
      <w:r w:rsidRPr="00485910">
        <w:t>* Indicates the primary aim of the study.</w:t>
      </w:r>
    </w:p>
    <w:p w14:paraId="24A32F0B" w14:textId="2596AF9E" w:rsidR="002B55D9" w:rsidRPr="00485910" w:rsidRDefault="002B55D9" w:rsidP="004A56A6">
      <w:pPr>
        <w:pStyle w:val="TableDescription"/>
        <w:spacing w:before="0"/>
      </w:pPr>
      <w:r w:rsidRPr="00485910">
        <w:t>† Bioequivalence of different formulations.</w:t>
      </w:r>
    </w:p>
    <w:p w14:paraId="24A32F0C" w14:textId="7AB9D90D" w:rsidR="002B55D9" w:rsidRDefault="00383AAD" w:rsidP="00BC06F8">
      <w:r>
        <w:t>Table 2</w:t>
      </w:r>
      <w:r w:rsidR="002B55D9">
        <w:t xml:space="preserve"> lists pharmacokinetic studies that were excluded from consideration due to </w:t>
      </w:r>
      <w:r w:rsidR="004A56A6">
        <w:t>study deficiencies.</w:t>
      </w:r>
    </w:p>
    <w:p w14:paraId="24A32F0D" w14:textId="1187BA89" w:rsidR="002B55D9" w:rsidRPr="00795FFE" w:rsidRDefault="002B55D9" w:rsidP="00BC06F8">
      <w:pPr>
        <w:pStyle w:val="TableTitle"/>
      </w:pPr>
      <w:bookmarkStart w:id="29" w:name="_Ref271031346"/>
      <w:bookmarkStart w:id="30" w:name="_Toc381104178"/>
      <w:bookmarkStart w:id="31" w:name="_Toc381104321"/>
      <w:r w:rsidRPr="00795FFE">
        <w:t xml:space="preserve">Table </w:t>
      </w:r>
      <w:r w:rsidR="000D6249">
        <w:fldChar w:fldCharType="begin"/>
      </w:r>
      <w:r w:rsidR="000D6249">
        <w:instrText xml:space="preserve"> SEQ Table \* ARABIC </w:instrText>
      </w:r>
      <w:r w:rsidR="000D6249">
        <w:fldChar w:fldCharType="separate"/>
      </w:r>
      <w:r w:rsidR="00C476F4">
        <w:rPr>
          <w:noProof/>
        </w:rPr>
        <w:t>2</w:t>
      </w:r>
      <w:r w:rsidR="000D6249">
        <w:rPr>
          <w:noProof/>
        </w:rPr>
        <w:fldChar w:fldCharType="end"/>
      </w:r>
      <w:bookmarkEnd w:id="29"/>
      <w:r w:rsidRPr="00795FFE">
        <w:t>. Pharmacokinetic studies excluded from consideration.</w:t>
      </w:r>
      <w:bookmarkEnd w:id="30"/>
      <w:bookmarkEnd w:id="31"/>
    </w:p>
    <w:tbl>
      <w:tblPr>
        <w:tblStyle w:val="TableTGAblue"/>
        <w:tblW w:w="7655" w:type="dxa"/>
        <w:tblInd w:w="250" w:type="dxa"/>
        <w:tblLayout w:type="fixed"/>
        <w:tblLook w:val="04A0" w:firstRow="1" w:lastRow="0" w:firstColumn="1" w:lastColumn="0" w:noHBand="0" w:noVBand="1"/>
      </w:tblPr>
      <w:tblGrid>
        <w:gridCol w:w="2268"/>
        <w:gridCol w:w="3119"/>
        <w:gridCol w:w="2268"/>
      </w:tblGrid>
      <w:tr w:rsidR="00485910" w14:paraId="24A32F11" w14:textId="6A78091C" w:rsidTr="00BC06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Pr>
          <w:p w14:paraId="24A32F0E" w14:textId="233816C7" w:rsidR="00485910" w:rsidRPr="00485910" w:rsidRDefault="00485910" w:rsidP="00BC06F8">
            <w:r w:rsidRPr="00485910">
              <w:t>Study ID</w:t>
            </w:r>
          </w:p>
        </w:tc>
        <w:tc>
          <w:tcPr>
            <w:tcW w:w="3119" w:type="dxa"/>
          </w:tcPr>
          <w:p w14:paraId="24A32F0F" w14:textId="69551A43" w:rsidR="00485910" w:rsidRPr="00485910" w:rsidRDefault="0039447B" w:rsidP="00BC06F8">
            <w:pPr>
              <w:cnfStyle w:val="100000000000" w:firstRow="1" w:lastRow="0" w:firstColumn="0" w:lastColumn="0" w:oddVBand="0" w:evenVBand="0" w:oddHBand="0" w:evenHBand="0" w:firstRowFirstColumn="0" w:firstRowLastColumn="0" w:lastRowFirstColumn="0" w:lastRowLastColumn="0"/>
            </w:pPr>
            <w:r>
              <w:t>Indication</w:t>
            </w:r>
          </w:p>
        </w:tc>
        <w:tc>
          <w:tcPr>
            <w:tcW w:w="2268" w:type="dxa"/>
          </w:tcPr>
          <w:p w14:paraId="24A32F10" w14:textId="48061FF3" w:rsidR="00485910" w:rsidRPr="00485910" w:rsidRDefault="0039447B" w:rsidP="00BC06F8">
            <w:pPr>
              <w:cnfStyle w:val="100000000000" w:firstRow="1" w:lastRow="0" w:firstColumn="0" w:lastColumn="0" w:oddVBand="0" w:evenVBand="0" w:oddHBand="0" w:evenHBand="0" w:firstRowFirstColumn="0" w:firstRowLastColumn="0" w:lastRowFirstColumn="0" w:lastRowLastColumn="0"/>
            </w:pPr>
            <w:r>
              <w:t>Formulation</w:t>
            </w:r>
          </w:p>
        </w:tc>
      </w:tr>
      <w:tr w:rsidR="00485910" w14:paraId="24A32F15" w14:textId="7034773F" w:rsidTr="00A344B7">
        <w:tc>
          <w:tcPr>
            <w:cnfStyle w:val="001000000000" w:firstRow="0" w:lastRow="0" w:firstColumn="1" w:lastColumn="0" w:oddVBand="0" w:evenVBand="0" w:oddHBand="0" w:evenHBand="0" w:firstRowFirstColumn="0" w:firstRowLastColumn="0" w:lastRowFirstColumn="0" w:lastRowLastColumn="0"/>
            <w:tcW w:w="2268" w:type="dxa"/>
          </w:tcPr>
          <w:p w14:paraId="24A32F12" w14:textId="6AF83790" w:rsidR="00485910" w:rsidRPr="000800CC" w:rsidRDefault="00485910" w:rsidP="00BC06F8">
            <w:r>
              <w:t>31-10-002</w:t>
            </w:r>
          </w:p>
        </w:tc>
        <w:tc>
          <w:tcPr>
            <w:tcW w:w="3119" w:type="dxa"/>
          </w:tcPr>
          <w:p w14:paraId="24A32F13" w14:textId="5D2123FA" w:rsidR="00485910" w:rsidRPr="000800CC" w:rsidRDefault="00485910" w:rsidP="00BC06F8">
            <w:pPr>
              <w:cnfStyle w:val="000000000000" w:firstRow="0" w:lastRow="0" w:firstColumn="0" w:lastColumn="0" w:oddVBand="0" w:evenVBand="0" w:oddHBand="0" w:evenHBand="0" w:firstRowFirstColumn="0" w:firstRowLastColumn="0" w:lastRowFirstColumn="0" w:lastRowLastColumn="0"/>
            </w:pPr>
            <w:r w:rsidRPr="00B44949">
              <w:t>schizophrenia</w:t>
            </w:r>
          </w:p>
        </w:tc>
        <w:tc>
          <w:tcPr>
            <w:tcW w:w="2268" w:type="dxa"/>
          </w:tcPr>
          <w:p w14:paraId="24A32F14" w14:textId="2A112E93" w:rsidR="00485910" w:rsidRPr="000800CC" w:rsidRDefault="00485910" w:rsidP="00BC06F8">
            <w:pPr>
              <w:cnfStyle w:val="000000000000" w:firstRow="0" w:lastRow="0" w:firstColumn="0" w:lastColumn="0" w:oddVBand="0" w:evenVBand="0" w:oddHBand="0" w:evenHBand="0" w:firstRowFirstColumn="0" w:firstRowLastColumn="0" w:lastRowFirstColumn="0" w:lastRowLastColumn="0"/>
            </w:pPr>
            <w:r>
              <w:t>IM depot</w:t>
            </w:r>
          </w:p>
        </w:tc>
      </w:tr>
      <w:tr w:rsidR="00485910" w14:paraId="24A32F19" w14:textId="6B2D8C3B" w:rsidTr="00A344B7">
        <w:tc>
          <w:tcPr>
            <w:cnfStyle w:val="001000000000" w:firstRow="0" w:lastRow="0" w:firstColumn="1" w:lastColumn="0" w:oddVBand="0" w:evenVBand="0" w:oddHBand="0" w:evenHBand="0" w:firstRowFirstColumn="0" w:firstRowLastColumn="0" w:lastRowFirstColumn="0" w:lastRowLastColumn="0"/>
            <w:tcW w:w="2268" w:type="dxa"/>
          </w:tcPr>
          <w:p w14:paraId="24A32F16" w14:textId="60977350" w:rsidR="00485910" w:rsidRPr="000800CC" w:rsidRDefault="00485910" w:rsidP="00BC06F8">
            <w:r>
              <w:t>CN138-139</w:t>
            </w:r>
          </w:p>
        </w:tc>
        <w:tc>
          <w:tcPr>
            <w:tcW w:w="3119" w:type="dxa"/>
          </w:tcPr>
          <w:p w14:paraId="24A32F17" w14:textId="1ADCE9A6" w:rsidR="00485910" w:rsidRPr="000800CC" w:rsidRDefault="00485910" w:rsidP="00BC06F8">
            <w:pPr>
              <w:cnfStyle w:val="000000000000" w:firstRow="0" w:lastRow="0" w:firstColumn="0" w:lastColumn="0" w:oddVBand="0" w:evenVBand="0" w:oddHBand="0" w:evenHBand="0" w:firstRowFirstColumn="0" w:firstRowLastColumn="0" w:lastRowFirstColumn="0" w:lastRowLastColumn="0"/>
            </w:pPr>
            <w:r w:rsidRPr="00B44949">
              <w:t>MDD</w:t>
            </w:r>
          </w:p>
        </w:tc>
        <w:tc>
          <w:tcPr>
            <w:tcW w:w="2268" w:type="dxa"/>
          </w:tcPr>
          <w:p w14:paraId="24A32F18" w14:textId="121282B8" w:rsidR="00485910" w:rsidRPr="000800CC" w:rsidRDefault="00485910" w:rsidP="00BC06F8">
            <w:pPr>
              <w:cnfStyle w:val="000000000000" w:firstRow="0" w:lastRow="0" w:firstColumn="0" w:lastColumn="0" w:oddVBand="0" w:evenVBand="0" w:oddHBand="0" w:evenHBand="0" w:firstRowFirstColumn="0" w:firstRowLastColumn="0" w:lastRowFirstColumn="0" w:lastRowLastColumn="0"/>
            </w:pPr>
            <w:r>
              <w:t>oral</w:t>
            </w:r>
          </w:p>
        </w:tc>
      </w:tr>
      <w:tr w:rsidR="00485910" w14:paraId="24A32F1D" w14:textId="6167ABD0" w:rsidTr="00A344B7">
        <w:tc>
          <w:tcPr>
            <w:cnfStyle w:val="001000000000" w:firstRow="0" w:lastRow="0" w:firstColumn="1" w:lastColumn="0" w:oddVBand="0" w:evenVBand="0" w:oddHBand="0" w:evenHBand="0" w:firstRowFirstColumn="0" w:firstRowLastColumn="0" w:lastRowFirstColumn="0" w:lastRowLastColumn="0"/>
            <w:tcW w:w="2268" w:type="dxa"/>
          </w:tcPr>
          <w:p w14:paraId="24A32F1A" w14:textId="69349BF2" w:rsidR="00485910" w:rsidRPr="000800CC" w:rsidRDefault="00485910" w:rsidP="00BC06F8">
            <w:r>
              <w:t>CN138-402</w:t>
            </w:r>
          </w:p>
        </w:tc>
        <w:tc>
          <w:tcPr>
            <w:tcW w:w="3119" w:type="dxa"/>
          </w:tcPr>
          <w:p w14:paraId="24A32F1B" w14:textId="5E873D34" w:rsidR="00485910" w:rsidRPr="000800CC" w:rsidRDefault="00485910" w:rsidP="00BC06F8">
            <w:pPr>
              <w:cnfStyle w:val="000000000000" w:firstRow="0" w:lastRow="0" w:firstColumn="0" w:lastColumn="0" w:oddVBand="0" w:evenVBand="0" w:oddHBand="0" w:evenHBand="0" w:firstRowFirstColumn="0" w:firstRowLastColumn="0" w:lastRowFirstColumn="0" w:lastRowLastColumn="0"/>
            </w:pPr>
            <w:r w:rsidRPr="00B44949">
              <w:t>Bipolar I Disorder</w:t>
            </w:r>
          </w:p>
        </w:tc>
        <w:tc>
          <w:tcPr>
            <w:tcW w:w="2268" w:type="dxa"/>
          </w:tcPr>
          <w:p w14:paraId="24A32F1C" w14:textId="16A5602F" w:rsidR="00485910" w:rsidRPr="000800CC" w:rsidRDefault="00485910" w:rsidP="00BC06F8">
            <w:pPr>
              <w:cnfStyle w:val="000000000000" w:firstRow="0" w:lastRow="0" w:firstColumn="0" w:lastColumn="0" w:oddVBand="0" w:evenVBand="0" w:oddHBand="0" w:evenHBand="0" w:firstRowFirstColumn="0" w:firstRowLastColumn="0" w:lastRowFirstColumn="0" w:lastRowLastColumn="0"/>
            </w:pPr>
            <w:r>
              <w:t>oral</w:t>
            </w:r>
          </w:p>
        </w:tc>
      </w:tr>
    </w:tbl>
    <w:p w14:paraId="24A32F1E" w14:textId="77777777" w:rsidR="002B55D9" w:rsidRDefault="002B55D9" w:rsidP="00BC06F8">
      <w:pPr>
        <w:pStyle w:val="Heading3"/>
      </w:pPr>
      <w:bookmarkStart w:id="32" w:name="_Ref269118175"/>
      <w:bookmarkStart w:id="33" w:name="_Toc272414616"/>
      <w:bookmarkStart w:id="34" w:name="_Toc290846239"/>
      <w:bookmarkStart w:id="35" w:name="_Toc381104179"/>
      <w:bookmarkStart w:id="36" w:name="_Toc408930632"/>
      <w:r>
        <w:lastRenderedPageBreak/>
        <w:t>Summary of pharmacokinetics</w:t>
      </w:r>
      <w:bookmarkEnd w:id="32"/>
      <w:bookmarkEnd w:id="33"/>
      <w:bookmarkEnd w:id="34"/>
      <w:bookmarkEnd w:id="35"/>
      <w:bookmarkEnd w:id="36"/>
    </w:p>
    <w:p w14:paraId="24A32F1F" w14:textId="77777777" w:rsidR="002B55D9" w:rsidRPr="005C1A8F" w:rsidRDefault="002B55D9" w:rsidP="00BC06F8">
      <w:r>
        <w:t>The information in the following summary is derived from conventional pharmacokinetic studies unless otherwise stated.</w:t>
      </w:r>
    </w:p>
    <w:p w14:paraId="24A32F20" w14:textId="77777777" w:rsidR="002B55D9" w:rsidRPr="001C19E1" w:rsidRDefault="002B55D9" w:rsidP="00BC06F8">
      <w:pPr>
        <w:pStyle w:val="Heading4"/>
      </w:pPr>
      <w:bookmarkStart w:id="37" w:name="_Toc272414617"/>
      <w:bookmarkStart w:id="38" w:name="_Toc290846240"/>
      <w:bookmarkStart w:id="39" w:name="_Toc381104180"/>
      <w:r w:rsidRPr="001C19E1">
        <w:t>Physicochemical characteristics of the active substance</w:t>
      </w:r>
      <w:bookmarkEnd w:id="37"/>
      <w:bookmarkEnd w:id="38"/>
      <w:bookmarkEnd w:id="39"/>
    </w:p>
    <w:p w14:paraId="24A32F21" w14:textId="77777777" w:rsidR="002B55D9" w:rsidRDefault="002B55D9" w:rsidP="0039447B">
      <w:r>
        <w:t>The following information is derived from the Sponsor’s summaries in Module 2.</w:t>
      </w:r>
    </w:p>
    <w:p w14:paraId="24A32F22" w14:textId="77777777" w:rsidR="002B55D9" w:rsidRDefault="002B55D9" w:rsidP="0039447B">
      <w:proofErr w:type="spellStart"/>
      <w:r>
        <w:t>Aripiprazole</w:t>
      </w:r>
      <w:proofErr w:type="spellEnd"/>
      <w:r>
        <w:t xml:space="preserve"> drug substance used for </w:t>
      </w:r>
      <w:proofErr w:type="spellStart"/>
      <w:r>
        <w:t>Aripiprazole</w:t>
      </w:r>
      <w:proofErr w:type="spellEnd"/>
      <w:r>
        <w:t xml:space="preserve"> Intramuscular (IM) Depot is the sterile </w:t>
      </w:r>
      <w:proofErr w:type="spellStart"/>
      <w:r>
        <w:t>aripiprazole</w:t>
      </w:r>
      <w:proofErr w:type="spellEnd"/>
      <w:r>
        <w:t xml:space="preserve"> monohydrate, which is aseptically manufactured by recrystallization from the </w:t>
      </w:r>
      <w:proofErr w:type="spellStart"/>
      <w:r>
        <w:t>aripiprazole</w:t>
      </w:r>
      <w:proofErr w:type="spellEnd"/>
      <w:r>
        <w:t xml:space="preserve"> oral grade drug substance.</w:t>
      </w:r>
    </w:p>
    <w:p w14:paraId="24A32F23" w14:textId="77777777" w:rsidR="002B55D9" w:rsidRDefault="002B55D9" w:rsidP="0039447B">
      <w:proofErr w:type="spellStart"/>
      <w:r>
        <w:t>Aripiprazole</w:t>
      </w:r>
      <w:proofErr w:type="spellEnd"/>
      <w:r>
        <w:t xml:space="preserve"> monohydrate is practically insoluble in water; it is also the most stable crystal form in water.</w:t>
      </w:r>
    </w:p>
    <w:p w14:paraId="24A32F24" w14:textId="77777777" w:rsidR="002B55D9" w:rsidRDefault="002B55D9" w:rsidP="00BC06F8">
      <w:r>
        <w:t xml:space="preserve">A deflocculated suspension showed lower local site irritation as compared to the flocculated suspension. Thus the deflocculated and homogeneous aqueous suspension was chosen. When the deflocculated suspension was stored for long time, the sedimentation of particles (hard cake) occurred, resulting in difficulty in their </w:t>
      </w:r>
      <w:proofErr w:type="spellStart"/>
      <w:r>
        <w:t>redispersion</w:t>
      </w:r>
      <w:proofErr w:type="spellEnd"/>
      <w:r>
        <w:t>.</w:t>
      </w:r>
    </w:p>
    <w:p w14:paraId="24A32F25" w14:textId="77777777" w:rsidR="002B55D9" w:rsidRPr="005D3C98" w:rsidRDefault="002B55D9" w:rsidP="00BC06F8">
      <w:r>
        <w:t xml:space="preserve">However, when the suspension was homogenized and then lyophilized, it could be reconstituted into a homogeneous suspension easily with Sterile Water for Injection prior to use, and the resulting suspension had no aggregated masses (coarse particles), and the suspension exhibited excellent </w:t>
      </w:r>
      <w:proofErr w:type="spellStart"/>
      <w:r>
        <w:t>syringeability</w:t>
      </w:r>
      <w:proofErr w:type="spellEnd"/>
      <w:r>
        <w:t xml:space="preserve">. Thus, the final drug product chosen is a homogenized, deflocculated lyophilized product which is reconstituted with Sterile Water </w:t>
      </w:r>
      <w:r w:rsidRPr="001C19E1">
        <w:t>immediately prior to injection</w:t>
      </w:r>
      <w:r>
        <w:t>.</w:t>
      </w:r>
    </w:p>
    <w:p w14:paraId="24A32F26" w14:textId="3B78ABB1" w:rsidR="002B55D9" w:rsidRDefault="002B55D9" w:rsidP="00BC06F8">
      <w:pPr>
        <w:pStyle w:val="Heading3"/>
      </w:pPr>
      <w:bookmarkStart w:id="40" w:name="_Toc381104181"/>
      <w:bookmarkStart w:id="41" w:name="_Ref271189106"/>
      <w:bookmarkStart w:id="42" w:name="_Ref271189143"/>
      <w:bookmarkStart w:id="43" w:name="_Toc272414618"/>
      <w:bookmarkStart w:id="44" w:name="_Toc290846241"/>
      <w:bookmarkStart w:id="45" w:name="_Toc408930633"/>
      <w:r w:rsidRPr="00CB2760">
        <w:t xml:space="preserve">Population PK </w:t>
      </w:r>
      <w:r w:rsidR="00BC06F8">
        <w:t>s</w:t>
      </w:r>
      <w:r w:rsidRPr="00CB2760">
        <w:t>tudies</w:t>
      </w:r>
      <w:bookmarkEnd w:id="40"/>
      <w:bookmarkEnd w:id="45"/>
    </w:p>
    <w:p w14:paraId="24A32F27" w14:textId="78DB0618" w:rsidR="002B55D9" w:rsidRDefault="002B55D9" w:rsidP="00BC06F8">
      <w:pPr>
        <w:pStyle w:val="Heading4"/>
      </w:pPr>
      <w:bookmarkStart w:id="46" w:name="_Ref364078805"/>
      <w:bookmarkStart w:id="47" w:name="_Ref364079505"/>
      <w:bookmarkStart w:id="48" w:name="_Toc381104182"/>
      <w:r>
        <w:t>Report 31-11-287</w:t>
      </w:r>
      <w:bookmarkEnd w:id="46"/>
      <w:bookmarkEnd w:id="47"/>
      <w:bookmarkEnd w:id="48"/>
    </w:p>
    <w:p w14:paraId="24A32F28" w14:textId="77777777" w:rsidR="002B55D9" w:rsidRDefault="002B55D9" w:rsidP="00BC06F8">
      <w:r w:rsidRPr="00CB2760">
        <w:t xml:space="preserve">Population pharmacokinetic modelling for the </w:t>
      </w:r>
      <w:proofErr w:type="spellStart"/>
      <w:r w:rsidRPr="00CB2760">
        <w:t>aripiprazole</w:t>
      </w:r>
      <w:proofErr w:type="spellEnd"/>
      <w:r w:rsidRPr="00CB2760">
        <w:t xml:space="preserve"> IM depot formulation as maintenance treatment in subjects with schizophrenia</w:t>
      </w:r>
      <w:r>
        <w:t xml:space="preserve"> (studies used included Phase I trials in Healthy volunteers).</w:t>
      </w:r>
    </w:p>
    <w:p w14:paraId="24A32F29" w14:textId="77777777" w:rsidR="002B55D9" w:rsidRDefault="002B55D9" w:rsidP="00BC06F8">
      <w:r>
        <w:t>Report August 3, 2011; Amended: October 24, 2012.</w:t>
      </w:r>
    </w:p>
    <w:p w14:paraId="24A32F2A" w14:textId="77777777" w:rsidR="002B55D9" w:rsidRDefault="002B55D9" w:rsidP="00BC06F8">
      <w:r>
        <w:t>Data Source:</w:t>
      </w:r>
      <w:r w:rsidRPr="00FA144D">
        <w:t xml:space="preserve"> </w:t>
      </w:r>
      <w:r w:rsidR="00485910">
        <w:t>Phase I</w:t>
      </w:r>
      <w:r>
        <w:t xml:space="preserve"> single dose trials of oral </w:t>
      </w:r>
      <w:proofErr w:type="spellStart"/>
      <w:r>
        <w:t>aripiprazole</w:t>
      </w:r>
      <w:proofErr w:type="spellEnd"/>
      <w:r>
        <w:t xml:space="preserve"> (31-98-206, 31-98-207</w:t>
      </w:r>
      <w:r>
        <w:rPr>
          <w:rStyle w:val="FootnoteReference"/>
        </w:rPr>
        <w:footnoteReference w:id="9"/>
      </w:r>
      <w:r>
        <w:t xml:space="preserve">); </w:t>
      </w:r>
      <w:r w:rsidR="00485910">
        <w:t>Phase I</w:t>
      </w:r>
      <w:r>
        <w:t xml:space="preserve"> single and multiple doses trials of </w:t>
      </w:r>
      <w:proofErr w:type="spellStart"/>
      <w:r>
        <w:t>aripiprazole</w:t>
      </w:r>
      <w:proofErr w:type="spellEnd"/>
      <w:r>
        <w:t xml:space="preserve"> IM Depot (CN138020 and 31-05-244); and a </w:t>
      </w:r>
      <w:r w:rsidR="0053374E">
        <w:t>Phase III</w:t>
      </w:r>
      <w:r>
        <w:t xml:space="preserve"> trial of </w:t>
      </w:r>
      <w:proofErr w:type="spellStart"/>
      <w:r>
        <w:t>aripiprazole</w:t>
      </w:r>
      <w:proofErr w:type="spellEnd"/>
      <w:r>
        <w:t xml:space="preserve"> IM Depot (31-07-246).</w:t>
      </w:r>
    </w:p>
    <w:p w14:paraId="24A32F2B" w14:textId="77777777" w:rsidR="002B55D9" w:rsidRDefault="002B55D9" w:rsidP="00BC06F8">
      <w:r>
        <w:t xml:space="preserve">The objectives included refining the population PK model to describe the PK disposition of </w:t>
      </w:r>
      <w:proofErr w:type="spellStart"/>
      <w:r>
        <w:t>aripiprazole</w:t>
      </w:r>
      <w:proofErr w:type="spellEnd"/>
      <w:r>
        <w:t xml:space="preserve"> IM Depot in subjects with schizophrenia. The model would then be used to simulate the effects of:</w:t>
      </w:r>
    </w:p>
    <w:p w14:paraId="24A32F2C" w14:textId="77777777" w:rsidR="002B55D9" w:rsidRDefault="002B55D9" w:rsidP="00BC06F8">
      <w:pPr>
        <w:pStyle w:val="ListBullet"/>
      </w:pPr>
      <w:r>
        <w:t>the influence of CYP-2D6 metabolizing status,</w:t>
      </w:r>
    </w:p>
    <w:p w14:paraId="24A32F2D" w14:textId="77777777" w:rsidR="002B55D9" w:rsidRDefault="002B55D9" w:rsidP="00BC06F8">
      <w:pPr>
        <w:pStyle w:val="ListBullet"/>
      </w:pPr>
      <w:r>
        <w:t>long-term (chronic) and short-term (14 days) concomitant administration of CYP-2D6, CYP-3A4, and both inhibitors,</w:t>
      </w:r>
    </w:p>
    <w:p w14:paraId="24A32F2E" w14:textId="77777777" w:rsidR="002B55D9" w:rsidRDefault="002B55D9" w:rsidP="00BC06F8">
      <w:pPr>
        <w:pStyle w:val="ListBullet"/>
      </w:pPr>
      <w:r>
        <w:t>missed doses both prior to and after achieving steady-state conditions,</w:t>
      </w:r>
    </w:p>
    <w:p w14:paraId="24A32F2F" w14:textId="77777777" w:rsidR="002B55D9" w:rsidRDefault="002B55D9" w:rsidP="00BC06F8">
      <w:pPr>
        <w:pStyle w:val="ListBullet"/>
      </w:pPr>
      <w:r>
        <w:t xml:space="preserve">initiation of IM Depot administration without concomitant </w:t>
      </w:r>
      <w:proofErr w:type="spellStart"/>
      <w:r>
        <w:t>aripiprazole</w:t>
      </w:r>
      <w:proofErr w:type="spellEnd"/>
      <w:r>
        <w:t xml:space="preserve"> oral administration,</w:t>
      </w:r>
    </w:p>
    <w:p w14:paraId="24A32F30" w14:textId="77777777" w:rsidR="002B55D9" w:rsidRDefault="002B55D9" w:rsidP="00BC06F8">
      <w:pPr>
        <w:pStyle w:val="ListBullet"/>
      </w:pPr>
      <w:r>
        <w:t>dose dumping.</w:t>
      </w:r>
    </w:p>
    <w:p w14:paraId="24A32F31" w14:textId="77777777" w:rsidR="002B55D9" w:rsidRDefault="002B55D9" w:rsidP="00BC06F8">
      <w:r>
        <w:t>The actual elapsed time from the previous dose was calculated and provided in the PK datasets. For trials including an IM Depot treatment arm, elapsed time was relative to the first IM Depot dose, not the first oral dose.</w:t>
      </w:r>
    </w:p>
    <w:p w14:paraId="24A32F32" w14:textId="77777777" w:rsidR="002B55D9" w:rsidRDefault="002B55D9" w:rsidP="00BC06F8">
      <w:r>
        <w:lastRenderedPageBreak/>
        <w:t xml:space="preserve">Plasma samples were analysed for </w:t>
      </w:r>
      <w:proofErr w:type="spellStart"/>
      <w:r>
        <w:t>aripiprazole</w:t>
      </w:r>
      <w:proofErr w:type="spellEnd"/>
      <w:r>
        <w:t xml:space="preserve"> and </w:t>
      </w:r>
      <w:proofErr w:type="spellStart"/>
      <w:r>
        <w:t>dehydro-aripiprazole</w:t>
      </w:r>
      <w:proofErr w:type="spellEnd"/>
      <w:r>
        <w:t xml:space="preserve"> using high performance liquid chromatography with mass spectroscopy detection. LLOQ was 1.00</w:t>
      </w:r>
      <w:r w:rsidRPr="009F1D47">
        <w:t>ng/mL</w:t>
      </w:r>
      <w:r>
        <w:t xml:space="preserve"> </w:t>
      </w:r>
      <w:r w:rsidRPr="009F1D47">
        <w:t>in Trial</w:t>
      </w:r>
      <w:r>
        <w:t>s</w:t>
      </w:r>
      <w:r w:rsidRPr="009F1D47">
        <w:t xml:space="preserve"> 31-98-206, 207, and CN138020</w:t>
      </w:r>
      <w:r>
        <w:t xml:space="preserve"> it was improved to 0.50ng/mL in Trials 31-05-244 and 246.</w:t>
      </w:r>
      <w:r w:rsidRPr="009F1D47">
        <w:t xml:space="preserve"> Concentration measurements reported as below the LLOQ were deleted from the analysis</w:t>
      </w:r>
      <w:r>
        <w:t>.</w:t>
      </w:r>
    </w:p>
    <w:p w14:paraId="24A32F33" w14:textId="1F5F70AE" w:rsidR="002B55D9" w:rsidRDefault="002B55D9" w:rsidP="00BC06F8">
      <w:r>
        <w:t xml:space="preserve">Data pooled for population analysis included demographics, clinical laboratory values, IM Depot dosing covariates, concomitant administration of CYP inhibitor by trial design, and CYP-2D6 status. These data were further pooled with treatment assignment, dosing information, PK sampling information, and plasma </w:t>
      </w:r>
      <w:proofErr w:type="spellStart"/>
      <w:r>
        <w:t>aripiprazole</w:t>
      </w:r>
      <w:proofErr w:type="spellEnd"/>
      <w:r>
        <w:t xml:space="preserve"> concentrations. Observations were deemed outliers and excluded from the analysis based upon the known PK behaviour of the compound or based upon clear evidence of sample mislabelling.</w:t>
      </w:r>
    </w:p>
    <w:p w14:paraId="24A32F34" w14:textId="77777777" w:rsidR="002B55D9" w:rsidRDefault="002B55D9" w:rsidP="00BC06F8">
      <w:r>
        <w:t xml:space="preserve">The </w:t>
      </w:r>
      <w:proofErr w:type="spellStart"/>
      <w:r>
        <w:t>interindividual</w:t>
      </w:r>
      <w:proofErr w:type="spellEnd"/>
      <w:r>
        <w:t xml:space="preserve"> variability (IIV) in PK parameters was modelled using exponential error models. A combined additive plus constant coefficient of variation error model was used to describe the RV.</w:t>
      </w:r>
    </w:p>
    <w:p w14:paraId="24A32F35" w14:textId="77777777" w:rsidR="002B55D9" w:rsidRDefault="002B55D9" w:rsidP="00BC06F8">
      <w:r w:rsidRPr="00B9618A">
        <w:rPr>
          <w:b/>
        </w:rPr>
        <w:t>Base model:</w:t>
      </w:r>
      <w:r>
        <w:t xml:space="preserve"> A previous population PK analysis found a 1-compartment model with linear elimination and first-order absorption to adequately describe the PKs of </w:t>
      </w:r>
      <w:proofErr w:type="spellStart"/>
      <w:r>
        <w:t>aripiprazole</w:t>
      </w:r>
      <w:proofErr w:type="spellEnd"/>
      <w:r>
        <w:t xml:space="preserve"> oral administration. The previous analysis also indicated that LBW is a linear predictor of clearance and that body weight and age are exponential predictors of the volume of distribution.</w:t>
      </w:r>
    </w:p>
    <w:p w14:paraId="24A32F36" w14:textId="77777777" w:rsidR="00485910" w:rsidRDefault="00485910" w:rsidP="00BC06F8">
      <w:pPr>
        <w:rPr>
          <w:vertAlign w:val="superscript"/>
        </w:rPr>
      </w:pPr>
      <w:r>
        <w:t>Cl=CL</w:t>
      </w:r>
      <w:r w:rsidRPr="00485910">
        <w:rPr>
          <w:vertAlign w:val="subscript"/>
        </w:rPr>
        <w:t>0</w:t>
      </w:r>
      <w:r>
        <w:t>+CL</w:t>
      </w:r>
      <w:r w:rsidRPr="00485910">
        <w:rPr>
          <w:vertAlign w:val="subscript"/>
        </w:rPr>
        <w:t>0</w:t>
      </w:r>
      <w:r>
        <w:t xml:space="preserve"> x CL</w:t>
      </w:r>
      <w:r w:rsidRPr="00485910">
        <w:rPr>
          <w:vertAlign w:val="subscript"/>
        </w:rPr>
        <w:t>LBW</w:t>
      </w:r>
      <w:r>
        <w:t xml:space="preserve"> x (LBW-65)/65 x </w:t>
      </w:r>
      <w:proofErr w:type="spellStart"/>
      <w:r>
        <w:t>e</w:t>
      </w:r>
      <w:r w:rsidRPr="00485910">
        <w:rPr>
          <w:vertAlign w:val="superscript"/>
        </w:rPr>
        <w:t>ŋCL</w:t>
      </w:r>
      <w:proofErr w:type="spellEnd"/>
    </w:p>
    <w:p w14:paraId="24A32F37" w14:textId="77777777" w:rsidR="00485910" w:rsidRPr="00485910" w:rsidRDefault="00485910" w:rsidP="00BC06F8">
      <w:r>
        <w:t>V=V</w:t>
      </w:r>
      <w:r w:rsidRPr="00485910">
        <w:rPr>
          <w:vertAlign w:val="subscript"/>
        </w:rPr>
        <w:t>0</w:t>
      </w:r>
      <w:r>
        <w:t xml:space="preserve"> x e V</w:t>
      </w:r>
      <w:r w:rsidRPr="00485910">
        <w:rPr>
          <w:vertAlign w:val="subscript"/>
        </w:rPr>
        <w:t>AGE</w:t>
      </w:r>
      <w:r>
        <w:t xml:space="preserve"> x (AGE-39)/39 x V</w:t>
      </w:r>
      <w:r w:rsidRPr="00485910">
        <w:rPr>
          <w:vertAlign w:val="subscript"/>
        </w:rPr>
        <w:t>WTKG</w:t>
      </w:r>
      <w:r>
        <w:t xml:space="preserve"> x (WTKG-81)/81 x </w:t>
      </w:r>
      <w:proofErr w:type="spellStart"/>
      <w:r>
        <w:t>e</w:t>
      </w:r>
      <w:r w:rsidRPr="00485910">
        <w:rPr>
          <w:vertAlign w:val="superscript"/>
        </w:rPr>
        <w:t>ŋ</w:t>
      </w:r>
      <w:r>
        <w:rPr>
          <w:vertAlign w:val="superscript"/>
        </w:rPr>
        <w:t>v</w:t>
      </w:r>
      <w:proofErr w:type="spellEnd"/>
    </w:p>
    <w:p w14:paraId="24A32F38" w14:textId="77777777" w:rsidR="002B55D9" w:rsidRDefault="002B55D9" w:rsidP="00BC06F8">
      <w:r>
        <w:t xml:space="preserve">Since the previous analysis did not include data using the IM Depot formulation, data on </w:t>
      </w:r>
      <w:proofErr w:type="spellStart"/>
      <w:r>
        <w:t>metabolizer</w:t>
      </w:r>
      <w:proofErr w:type="spellEnd"/>
      <w:r>
        <w:t xml:space="preserve"> status, nor data from subjects with concomitant administration of CYP-3A4 and CYP-2D6 inhibitors, as a first development step data was added from subjects with extensive CYP-2D6 </w:t>
      </w:r>
      <w:proofErr w:type="spellStart"/>
      <w:r>
        <w:t>metabolizer</w:t>
      </w:r>
      <w:proofErr w:type="spellEnd"/>
      <w:r>
        <w:t xml:space="preserve"> status who received oral </w:t>
      </w:r>
      <w:proofErr w:type="spellStart"/>
      <w:r>
        <w:t>aripiprazole</w:t>
      </w:r>
      <w:proofErr w:type="spellEnd"/>
      <w:r>
        <w:t xml:space="preserve"> alone in Trial 31-98-207. </w:t>
      </w:r>
      <w:r w:rsidRPr="00DE6887">
        <w:t xml:space="preserve">Data from subjects </w:t>
      </w:r>
      <w:r>
        <w:t>(</w:t>
      </w:r>
      <w:r w:rsidRPr="00DE6887">
        <w:t>in the same trial</w:t>
      </w:r>
      <w:r>
        <w:t>)</w:t>
      </w:r>
      <w:r w:rsidRPr="00DE6887">
        <w:t xml:space="preserve"> with poor CYP-2D6</w:t>
      </w:r>
      <w:r>
        <w:t xml:space="preserve"> </w:t>
      </w:r>
      <w:proofErr w:type="spellStart"/>
      <w:r w:rsidRPr="00DE6887">
        <w:t>metabolizer</w:t>
      </w:r>
      <w:proofErr w:type="spellEnd"/>
      <w:r w:rsidRPr="00DE6887">
        <w:t xml:space="preserve"> status </w:t>
      </w:r>
      <w:r>
        <w:t>was then</w:t>
      </w:r>
      <w:r w:rsidRPr="00DE6887">
        <w:t xml:space="preserve"> added</w:t>
      </w:r>
      <w:r>
        <w:t>.</w:t>
      </w:r>
      <w:r w:rsidRPr="00DE6887">
        <w:t xml:space="preserve"> </w:t>
      </w:r>
      <w:r>
        <w:t xml:space="preserve">The effect of CYP-2D6 </w:t>
      </w:r>
      <w:proofErr w:type="spellStart"/>
      <w:r>
        <w:t>metabolizer</w:t>
      </w:r>
      <w:proofErr w:type="spellEnd"/>
      <w:r>
        <w:t xml:space="preserve"> status on PKs was thus seen. Data was then added and assigned to </w:t>
      </w:r>
      <w:proofErr w:type="spellStart"/>
      <w:r>
        <w:t>metabolizer</w:t>
      </w:r>
      <w:proofErr w:type="spellEnd"/>
      <w:r>
        <w:t xml:space="preserve"> status grouping based on known status or </w:t>
      </w:r>
      <w:r w:rsidRPr="00D82C12">
        <w:t>predicted status based upon their observed data</w:t>
      </w:r>
      <w:r>
        <w:t>.</w:t>
      </w:r>
    </w:p>
    <w:p w14:paraId="24A32F39" w14:textId="77777777" w:rsidR="002B55D9" w:rsidRDefault="002B55D9" w:rsidP="00BC06F8">
      <w:r>
        <w:t>After the model was determined to adequately describe the data, the model-assigned CYP-2D6 status was added to the dataset as a covariate (AG2D6).</w:t>
      </w:r>
    </w:p>
    <w:p w14:paraId="24A32F3A" w14:textId="77777777" w:rsidR="002B55D9" w:rsidRDefault="002B55D9" w:rsidP="00BC06F8">
      <w:r>
        <w:t xml:space="preserve">To the model </w:t>
      </w:r>
      <w:r w:rsidRPr="00D82C12">
        <w:t>the absorption of the IM Depot formulation</w:t>
      </w:r>
      <w:r>
        <w:t xml:space="preserve"> was then added. First data from subjects enrolled in the single-dose IM Depot treatment period of Trial CN138020 was added (with CYP-2D6 status as above).</w:t>
      </w:r>
      <w:r w:rsidRPr="00D82C12">
        <w:t xml:space="preserve"> </w:t>
      </w:r>
      <w:r>
        <w:t>Absorption components for the IM Depot formulation were then added to the model.</w:t>
      </w:r>
    </w:p>
    <w:p w14:paraId="24A32F3B" w14:textId="77777777" w:rsidR="002B55D9" w:rsidRDefault="002B55D9" w:rsidP="00BC06F8">
      <w:r>
        <w:t xml:space="preserve">Data from the </w:t>
      </w:r>
      <w:r w:rsidR="0053374E">
        <w:t>Phase I</w:t>
      </w:r>
      <w:r>
        <w:t>b trial of multiple IM Depot dosing in schizophrenic subjects, Trial 31-05-244, were added to the dataset in the same manner.</w:t>
      </w:r>
    </w:p>
    <w:p w14:paraId="24A32F3C" w14:textId="77777777" w:rsidR="002B55D9" w:rsidRDefault="002B55D9" w:rsidP="00BC06F8">
      <w:r>
        <w:t>Finally data on the effects of the CYP-2D6 inhibitor (</w:t>
      </w:r>
      <w:r w:rsidRPr="0006070F">
        <w:t>Trial 31-98-207</w:t>
      </w:r>
      <w:r>
        <w:t>) and CYP-3A4 inhibitor (</w:t>
      </w:r>
      <w:r w:rsidRPr="0006070F">
        <w:t>Trial 31-98-206</w:t>
      </w:r>
      <w:r>
        <w:t>) on the PKs were added again in the same manner.</w:t>
      </w:r>
    </w:p>
    <w:p w14:paraId="24A32F3D" w14:textId="77777777" w:rsidR="002B55D9" w:rsidRDefault="002B55D9" w:rsidP="00BC06F8">
      <w:r>
        <w:t xml:space="preserve">Covariate analysis was performed to explore measurable sources of </w:t>
      </w:r>
      <w:proofErr w:type="spellStart"/>
      <w:r>
        <w:t>aripiprazole</w:t>
      </w:r>
      <w:proofErr w:type="spellEnd"/>
      <w:r>
        <w:t xml:space="preserve"> variability.</w:t>
      </w:r>
    </w:p>
    <w:p w14:paraId="24A32F3E" w14:textId="77777777" w:rsidR="002B55D9" w:rsidRDefault="002B55D9" w:rsidP="00BC06F8">
      <w:r>
        <w:t>The error models for IIV and RV in the full multivariable model were evaluated following completion of forward selection.</w:t>
      </w:r>
      <w:r w:rsidRPr="006A7AC3">
        <w:t xml:space="preserve"> </w:t>
      </w:r>
      <w:proofErr w:type="spellStart"/>
      <w:r>
        <w:t>Univariate</w:t>
      </w:r>
      <w:proofErr w:type="spellEnd"/>
      <w:r>
        <w:t xml:space="preserve"> step-wise backward elimination proceeded after all adjustments were made to the IIV and RV error models.</w:t>
      </w:r>
      <w:r w:rsidRPr="006A7AC3">
        <w:t xml:space="preserve"> </w:t>
      </w:r>
      <w:r>
        <w:t>The reduced multivariable model, with all significant covariates, was evaluated for any remaining biases in the IIV and RV error models. Diagnostic plots of the unexplained IIV in the parameters versus all covariates were evaluated to detect any inadequacies or biases in the covariate models and to assure no trends remained that indicated a potential relationship not sufficiently described by the model. The model was checked for possible simplifications of covariate equations.</w:t>
      </w:r>
      <w:r w:rsidRPr="006A7AC3">
        <w:t xml:space="preserve"> </w:t>
      </w:r>
      <w:r>
        <w:t>Goodness-of-fit diagnostic plots were also examined for model misfit.</w:t>
      </w:r>
      <w:r w:rsidRPr="006A7AC3">
        <w:t xml:space="preserve"> The final model was used to simulate 1,000 replicates</w:t>
      </w:r>
      <w:r>
        <w:t>.</w:t>
      </w:r>
    </w:p>
    <w:p w14:paraId="24A32F3F" w14:textId="77777777" w:rsidR="002B55D9" w:rsidRDefault="002B55D9" w:rsidP="00BC06F8">
      <w:r>
        <w:lastRenderedPageBreak/>
        <w:t>Covariates included in the final model were tested to determine if the magnitude of the covariate effect was potentially clinically significant.</w:t>
      </w:r>
    </w:p>
    <w:p w14:paraId="24A32F40" w14:textId="77777777" w:rsidR="002B55D9" w:rsidRDefault="002B55D9" w:rsidP="00BC06F8">
      <w:r>
        <w:t xml:space="preserve">A series of simulations were performed to generate estimates of </w:t>
      </w:r>
      <w:proofErr w:type="spellStart"/>
      <w:r>
        <w:t>C</w:t>
      </w:r>
      <w:r w:rsidRPr="006A7AC3">
        <w:rPr>
          <w:vertAlign w:val="subscript"/>
        </w:rPr>
        <w:t>min</w:t>
      </w:r>
      <w:proofErr w:type="spellEnd"/>
      <w:r>
        <w:t xml:space="preserve">, </w:t>
      </w:r>
      <w:proofErr w:type="spellStart"/>
      <w:r>
        <w:t>C</w:t>
      </w:r>
      <w:r w:rsidRPr="006A7AC3">
        <w:rPr>
          <w:vertAlign w:val="subscript"/>
        </w:rPr>
        <w:t>max</w:t>
      </w:r>
      <w:proofErr w:type="spellEnd"/>
      <w:r>
        <w:t xml:space="preserve">, </w:t>
      </w:r>
      <w:proofErr w:type="spellStart"/>
      <w:r>
        <w:t>C</w:t>
      </w:r>
      <w:r w:rsidRPr="006A7AC3">
        <w:rPr>
          <w:vertAlign w:val="subscript"/>
        </w:rPr>
        <w:t>avg</w:t>
      </w:r>
      <w:proofErr w:type="spellEnd"/>
      <w:r>
        <w:t>, and AUC</w:t>
      </w:r>
      <w:r w:rsidRPr="006A7AC3">
        <w:rPr>
          <w:vertAlign w:val="subscript"/>
        </w:rPr>
        <w:t xml:space="preserve">0-τ </w:t>
      </w:r>
      <w:r>
        <w:t xml:space="preserve">values for various dosing scenarios, considering the influence of CYP-2D6 metabolizing status, long-term (chronic) and short-term (14 day) concomitant administration of CYP-2D6, CYP-3A4, and both inhibitors, with </w:t>
      </w:r>
      <w:proofErr w:type="spellStart"/>
      <w:r>
        <w:t>aripiprazole</w:t>
      </w:r>
      <w:proofErr w:type="spellEnd"/>
      <w:r>
        <w:t xml:space="preserve"> IM Depot and missed doses at the 2nd, 3rd, 4th, and 10th dose, as well as dose dumping and</w:t>
      </w:r>
      <w:r w:rsidRPr="006A7AC3">
        <w:t xml:space="preserve"> </w:t>
      </w:r>
      <w:r>
        <w:t xml:space="preserve">initiation of IM Depot administration without concomitant </w:t>
      </w:r>
      <w:proofErr w:type="spellStart"/>
      <w:r>
        <w:t>aripiprazole</w:t>
      </w:r>
      <w:proofErr w:type="spellEnd"/>
      <w:r>
        <w:t xml:space="preserve"> oral administration.</w:t>
      </w:r>
    </w:p>
    <w:p w14:paraId="24A32F41" w14:textId="77777777" w:rsidR="002B55D9" w:rsidRPr="006C151C" w:rsidRDefault="0053374E" w:rsidP="00BC06F8">
      <w:pPr>
        <w:pStyle w:val="Heading5"/>
      </w:pPr>
      <w:r w:rsidRPr="006C151C">
        <w:t>Results</w:t>
      </w:r>
    </w:p>
    <w:p w14:paraId="24A32F42" w14:textId="77777777" w:rsidR="002B55D9" w:rsidRDefault="002B55D9" w:rsidP="00BC06F8">
      <w:r>
        <w:t xml:space="preserve">A total of 6,153 </w:t>
      </w:r>
      <w:proofErr w:type="spellStart"/>
      <w:r>
        <w:t>aripiprazole</w:t>
      </w:r>
      <w:proofErr w:type="spellEnd"/>
      <w:r>
        <w:t xml:space="preserve"> concentrations from 663 subjects were used.</w:t>
      </w:r>
    </w:p>
    <w:p w14:paraId="24A32F43" w14:textId="0585C25B" w:rsidR="002B55D9" w:rsidRDefault="002B55D9" w:rsidP="00BC06F8">
      <w:r w:rsidRPr="00894E03">
        <w:t>The population was approximately 64% male</w:t>
      </w:r>
      <w:r>
        <w:t>,</w:t>
      </w:r>
      <w:r w:rsidRPr="00894E03">
        <w:t xml:space="preserve"> </w:t>
      </w:r>
      <w:r>
        <w:t>mean age was 39 years (range from 18 to 62y), mean (SD)</w:t>
      </w:r>
      <w:r w:rsidRPr="00894E03">
        <w:t xml:space="preserve"> weight was 81.0 (20.7) kg</w:t>
      </w:r>
      <w:r>
        <w:t xml:space="preserve">, 15%, 4%, and 1% of the subjects had 1, 2, or 3, respectively, liver function tests above the upper limit of normal. The mean (SD) </w:t>
      </w:r>
      <w:proofErr w:type="spellStart"/>
      <w:r>
        <w:t>CrCL</w:t>
      </w:r>
      <w:proofErr w:type="spellEnd"/>
      <w:r>
        <w:t xml:space="preserve"> was 119 (27.2) mL/min</w:t>
      </w:r>
      <w:r w:rsidRPr="00894E03">
        <w:t xml:space="preserve"> </w:t>
      </w:r>
      <w:r>
        <w:t>with 6% of subjects exhibiting</w:t>
      </w:r>
      <w:r w:rsidRPr="00894E03">
        <w:t xml:space="preserve"> renal impairment</w:t>
      </w:r>
      <w:r>
        <w:t>. The dose</w:t>
      </w:r>
      <w:r w:rsidR="00140872">
        <w:t>s</w:t>
      </w:r>
      <w:r>
        <w:t xml:space="preserve"> </w:t>
      </w:r>
      <w:r w:rsidR="00140872">
        <w:t xml:space="preserve">listed as </w:t>
      </w:r>
      <w:r>
        <w:t xml:space="preserve"> </w:t>
      </w:r>
      <w:r w:rsidR="00B31423">
        <w:t>‘</w:t>
      </w:r>
      <w:r>
        <w:t>unknown</w:t>
      </w:r>
      <w:r w:rsidR="00B31423">
        <w:t>’</w:t>
      </w:r>
      <w:r>
        <w:t xml:space="preserve"> in</w:t>
      </w:r>
      <w:r w:rsidR="00140872">
        <w:t xml:space="preserve"> </w:t>
      </w:r>
      <w:r w:rsidR="002A7624">
        <w:t>T</w:t>
      </w:r>
      <w:r w:rsidR="00140872">
        <w:t>able 3</w:t>
      </w:r>
      <w:r>
        <w:t xml:space="preserve"> </w:t>
      </w:r>
      <w:r w:rsidR="00140872">
        <w:t>(</w:t>
      </w:r>
      <w:r w:rsidR="002B3B9A">
        <w:t>9.8% of patients</w:t>
      </w:r>
      <w:r w:rsidR="00140872">
        <w:t xml:space="preserve">) refers patients receiving oral </w:t>
      </w:r>
      <w:proofErr w:type="spellStart"/>
      <w:r w:rsidR="002875F5">
        <w:t>aripiprazole</w:t>
      </w:r>
      <w:proofErr w:type="spellEnd"/>
      <w:r w:rsidR="002875F5">
        <w:t xml:space="preserve"> in doses of 5-15</w:t>
      </w:r>
      <w:r w:rsidR="00140872">
        <w:t xml:space="preserve"> mg.</w:t>
      </w:r>
    </w:p>
    <w:p w14:paraId="2F6AF0DE" w14:textId="00B038E0" w:rsidR="002B3B9A" w:rsidRDefault="002B55D9" w:rsidP="00BC06F8">
      <w:pPr>
        <w:pStyle w:val="TableTitle"/>
      </w:pPr>
      <w:bookmarkStart w:id="49" w:name="_Toc381104322"/>
      <w:r w:rsidRPr="00A618E9">
        <w:t xml:space="preserve">Table </w:t>
      </w:r>
      <w:r w:rsidR="000D6249">
        <w:fldChar w:fldCharType="begin"/>
      </w:r>
      <w:r w:rsidR="000D6249">
        <w:instrText xml:space="preserve"> SEQ Table \* ARABIC </w:instrText>
      </w:r>
      <w:r w:rsidR="000D6249">
        <w:fldChar w:fldCharType="separate"/>
      </w:r>
      <w:r w:rsidR="00C476F4">
        <w:rPr>
          <w:noProof/>
        </w:rPr>
        <w:t>3</w:t>
      </w:r>
      <w:r w:rsidR="000D6249">
        <w:rPr>
          <w:noProof/>
        </w:rPr>
        <w:fldChar w:fldCharType="end"/>
      </w:r>
      <w:r w:rsidR="0053374E">
        <w:rPr>
          <w:noProof/>
        </w:rPr>
        <w:t>.</w:t>
      </w:r>
      <w:r w:rsidRPr="00A618E9">
        <w:t xml:space="preserve"> Overall </w:t>
      </w:r>
      <w:r w:rsidR="00BC06F8">
        <w:t>p</w:t>
      </w:r>
      <w:r w:rsidRPr="00A618E9">
        <w:t xml:space="preserve">opulation </w:t>
      </w:r>
      <w:r w:rsidR="00BC06F8">
        <w:t>d</w:t>
      </w:r>
      <w:r w:rsidRPr="00A618E9">
        <w:t>ose</w:t>
      </w:r>
      <w:bookmarkEnd w:id="49"/>
    </w:p>
    <w:p w14:paraId="24A32F45" w14:textId="46EA7E8D" w:rsidR="0053374E" w:rsidRPr="00A618E9" w:rsidRDefault="002B3B9A" w:rsidP="00BC06F8">
      <w:r>
        <w:rPr>
          <w:noProof/>
          <w:lang w:eastAsia="en-AU"/>
        </w:rPr>
        <w:drawing>
          <wp:inline distT="0" distB="0" distL="0" distR="0" wp14:anchorId="2D2E3E41" wp14:editId="6F941744">
            <wp:extent cx="3381375" cy="1847850"/>
            <wp:effectExtent l="19050" t="19050" r="28575" b="19050"/>
            <wp:docPr id="9" name="Picture 9" descr="Table 3. Overall population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146" r="3887" b="3264"/>
                    <a:stretch/>
                  </pic:blipFill>
                  <pic:spPr bwMode="auto">
                    <a:xfrm>
                      <a:off x="0" y="0"/>
                      <a:ext cx="3394563" cy="1855057"/>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2B55D9" w:rsidRPr="00A618E9">
        <w:t xml:space="preserve"> </w:t>
      </w:r>
    </w:p>
    <w:p w14:paraId="24A32F46" w14:textId="77777777" w:rsidR="002B55D9" w:rsidRDefault="002B55D9" w:rsidP="00BC06F8">
      <w:r>
        <w:t>Base model was a</w:t>
      </w:r>
      <w:r w:rsidRPr="004A1E2D">
        <w:t xml:space="preserve"> 3-compartment model</w:t>
      </w:r>
      <w:r>
        <w:t xml:space="preserve"> with sigmoid absorption (where the oral dose enters the depot compartment as an infusion and then transfers to the central compartment via a first-order process) best fit the oral data. The </w:t>
      </w:r>
      <w:r w:rsidRPr="004A1E2D">
        <w:t>3-compartment model with first-order absorption for the IM Depot dose best described the IM Depot data</w:t>
      </w:r>
      <w:r>
        <w:t>.</w:t>
      </w:r>
      <w:r w:rsidRPr="004A1E2D">
        <w:t xml:space="preserve"> </w:t>
      </w:r>
      <w:r>
        <w:t>The absorption rate for the IM Depot formulation was estimated to be 0.00108 (L/h) with a half-life of approximately 27 days.</w:t>
      </w:r>
    </w:p>
    <w:p w14:paraId="24A32F47" w14:textId="77777777" w:rsidR="002B55D9" w:rsidRDefault="002B55D9" w:rsidP="00BC06F8">
      <w:r>
        <w:t xml:space="preserve">Based on oral data CYP-2D6 inhibitors and CYP-3A4 inhibitors was found to significantly reduce the CL of </w:t>
      </w:r>
      <w:proofErr w:type="spellStart"/>
      <w:r>
        <w:t>aripiprazole</w:t>
      </w:r>
      <w:proofErr w:type="spellEnd"/>
      <w:r>
        <w:t xml:space="preserve"> (P value &lt; 0.001).</w:t>
      </w:r>
    </w:p>
    <w:p w14:paraId="24A32F48" w14:textId="1F4D8FA7" w:rsidR="002B55D9" w:rsidRDefault="002B55D9" w:rsidP="00BC06F8">
      <w:r>
        <w:t>In the final model Clearance in the presence of strong CYP-2D6 inhibitors and strong CYP-3A4 inhibitors was estimated to be 51% lower and 24% lower, respectively, than the CL of 3.71 L/h in the absence of inhibitors for EM subjects. Clearance for the PM subjects in the absence of inhibitors was estimated to be 1.88 L/h or approximately 51% (1.88/3.71) of the CL for the EM subjects in the absence of inhibitors.</w:t>
      </w:r>
    </w:p>
    <w:p w14:paraId="24A32F49" w14:textId="77777777" w:rsidR="002B55D9" w:rsidRDefault="002B55D9" w:rsidP="00BC06F8">
      <w:r>
        <w:t xml:space="preserve">The residual variability for the </w:t>
      </w:r>
      <w:r w:rsidR="0053374E">
        <w:t>Phase I</w:t>
      </w:r>
      <w:r>
        <w:t xml:space="preserve"> and </w:t>
      </w:r>
      <w:r w:rsidR="0053374E">
        <w:t>Phase III</w:t>
      </w:r>
      <w:r>
        <w:t xml:space="preserve"> trials was 24 %CV and 28 %CV.</w:t>
      </w:r>
    </w:p>
    <w:p w14:paraId="24A32F4A" w14:textId="77777777" w:rsidR="002B55D9" w:rsidRDefault="002B55D9" w:rsidP="00BC06F8">
      <w:r>
        <w:t>The typical value of the IM Depot absorption rate for a female with a BMI of 28 kg/m</w:t>
      </w:r>
      <w:r w:rsidRPr="00B65C25">
        <w:rPr>
          <w:vertAlign w:val="superscript"/>
        </w:rPr>
        <w:t>2</w:t>
      </w:r>
      <w:r>
        <w:t xml:space="preserve"> is 0.000904L/h (half-life </w:t>
      </w:r>
      <w:r w:rsidR="0053374E">
        <w:t>~</w:t>
      </w:r>
      <w:r>
        <w:t xml:space="preserve">32 days), whereas the typical value for a male with the same BMI is 0.00122L/h (half-life </w:t>
      </w:r>
      <w:r w:rsidR="0053374E">
        <w:t>~</w:t>
      </w:r>
      <w:r>
        <w:t>24 days). The rate of IM Depot absorption declines as BMI increases nearly proportional to (BMI/28) for both genders.</w:t>
      </w:r>
    </w:p>
    <w:p w14:paraId="24A32F4B" w14:textId="1DDD3C70" w:rsidR="002B55D9" w:rsidRDefault="002B55D9" w:rsidP="00BC06F8">
      <w:r>
        <w:t xml:space="preserve">The goodness-of-fit plots show an under-prediction bias for observed concentrations &gt; 600ng/mL. However, the inclusion of the covariates has diminished this under-prediction bias a small degree as evidenced by a slightly greater spread of the predicted values for these </w:t>
      </w:r>
      <w:r>
        <w:lastRenderedPageBreak/>
        <w:t xml:space="preserve">observed concentrations. The weighted residuals </w:t>
      </w:r>
      <w:r w:rsidR="00BF2105">
        <w:t>versus</w:t>
      </w:r>
      <w:r>
        <w:t xml:space="preserve"> time since first dose now show a uniform spread about zero over the full duration of sampling (</w:t>
      </w:r>
      <w:r w:rsidR="0053374E">
        <w:t>~</w:t>
      </w:r>
      <w:r>
        <w:t xml:space="preserve">9 months) and the weighted residuals </w:t>
      </w:r>
      <w:r w:rsidR="00BF2105">
        <w:t>versus</w:t>
      </w:r>
      <w:r>
        <w:t xml:space="preserve"> time since last dose also exhibit a fairly uniform scatter about zero up to 2,100 hours (</w:t>
      </w:r>
      <w:r w:rsidR="0053374E">
        <w:t>~</w:t>
      </w:r>
      <w:r w:rsidR="00BC06F8">
        <w:t>88 days) post dose.</w:t>
      </w:r>
    </w:p>
    <w:p w14:paraId="24A32F4D" w14:textId="77777777" w:rsidR="002B55D9" w:rsidRPr="00A618E9" w:rsidRDefault="002B55D9" w:rsidP="00BC06F8">
      <w:pPr>
        <w:pStyle w:val="TableTitle"/>
      </w:pPr>
      <w:bookmarkStart w:id="50" w:name="_Toc381104323"/>
      <w:r w:rsidRPr="00A618E9">
        <w:t xml:space="preserve">Table </w:t>
      </w:r>
      <w:r w:rsidR="000D6249">
        <w:fldChar w:fldCharType="begin"/>
      </w:r>
      <w:r w:rsidR="000D6249">
        <w:instrText xml:space="preserve"> SEQ Table \* ARABIC </w:instrText>
      </w:r>
      <w:r w:rsidR="000D6249">
        <w:fldChar w:fldCharType="separate"/>
      </w:r>
      <w:r w:rsidR="00C476F4">
        <w:rPr>
          <w:noProof/>
        </w:rPr>
        <w:t>4</w:t>
      </w:r>
      <w:r w:rsidR="000D6249">
        <w:rPr>
          <w:noProof/>
        </w:rPr>
        <w:fldChar w:fldCharType="end"/>
      </w:r>
      <w:r w:rsidR="0053374E">
        <w:rPr>
          <w:noProof/>
        </w:rPr>
        <w:t>.</w:t>
      </w:r>
      <w:r w:rsidRPr="00A618E9">
        <w:t xml:space="preserve"> Final Model - </w:t>
      </w:r>
      <w:r w:rsidR="00485910">
        <w:t>Phase I</w:t>
      </w:r>
      <w:r w:rsidRPr="00A618E9">
        <w:t xml:space="preserve"> and </w:t>
      </w:r>
      <w:r w:rsidR="00485910">
        <w:t>Phase III</w:t>
      </w:r>
      <w:r w:rsidRPr="00A618E9">
        <w:t xml:space="preserve"> Oral + IM Depot Data</w:t>
      </w:r>
      <w:bookmarkEnd w:id="50"/>
    </w:p>
    <w:p w14:paraId="24A32F4E" w14:textId="77777777" w:rsidR="002B55D9" w:rsidRDefault="002B55D9" w:rsidP="00BC06F8">
      <w:r>
        <w:rPr>
          <w:noProof/>
          <w:lang w:eastAsia="en-AU"/>
        </w:rPr>
        <w:drawing>
          <wp:inline distT="0" distB="0" distL="0" distR="0" wp14:anchorId="24A33226" wp14:editId="24A33227">
            <wp:extent cx="5091083" cy="3657600"/>
            <wp:effectExtent l="0" t="0" r="0" b="0"/>
            <wp:docPr id="43" name="Picture 43" descr="Table 4. Final Model - Phase I and Phase III Oral + IM Depot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5099820" cy="3663877"/>
                    </a:xfrm>
                    <a:prstGeom prst="rect">
                      <a:avLst/>
                    </a:prstGeom>
                    <a:noFill/>
                    <a:ln w="9525">
                      <a:noFill/>
                      <a:miter lim="800000"/>
                      <a:headEnd/>
                      <a:tailEnd/>
                    </a:ln>
                  </pic:spPr>
                </pic:pic>
              </a:graphicData>
            </a:graphic>
          </wp:inline>
        </w:drawing>
      </w:r>
    </w:p>
    <w:p w14:paraId="24A32F4F" w14:textId="34503A87" w:rsidR="002B55D9" w:rsidRPr="0039447B" w:rsidRDefault="002B55D9" w:rsidP="0039447B">
      <w:pPr>
        <w:pStyle w:val="TableDescription"/>
      </w:pPr>
      <w:r w:rsidRPr="0039447B">
        <w:t>Minimum value of the objective function = 48892.907</w:t>
      </w:r>
      <w:r w:rsidR="0053374E" w:rsidRPr="0039447B">
        <w:t xml:space="preserve">; </w:t>
      </w:r>
      <w:proofErr w:type="spellStart"/>
      <w:r w:rsidRPr="0039447B">
        <w:t>cmt</w:t>
      </w:r>
      <w:proofErr w:type="spellEnd"/>
      <w:r w:rsidRPr="0039447B">
        <w:t xml:space="preserve"> = compartmental; EM = extensive </w:t>
      </w:r>
      <w:proofErr w:type="spellStart"/>
      <w:r w:rsidRPr="0039447B">
        <w:t>metabolizer</w:t>
      </w:r>
      <w:proofErr w:type="spellEnd"/>
      <w:r w:rsidRPr="0039447B">
        <w:t xml:space="preserve">; NA = not applicable; NE = not estimated; %CV = </w:t>
      </w:r>
      <w:proofErr w:type="spellStart"/>
      <w:r w:rsidRPr="0039447B">
        <w:t>percent</w:t>
      </w:r>
      <w:proofErr w:type="spellEnd"/>
      <w:r w:rsidRPr="0039447B">
        <w:t xml:space="preserve"> coefficient of variation; %SEM = </w:t>
      </w:r>
      <w:proofErr w:type="spellStart"/>
      <w:r w:rsidRPr="0039447B">
        <w:t>percent</w:t>
      </w:r>
      <w:proofErr w:type="spellEnd"/>
      <w:r w:rsidRPr="0039447B">
        <w:t xml:space="preserve"> standard error of the mean; PM = poor </w:t>
      </w:r>
      <w:proofErr w:type="spellStart"/>
      <w:r w:rsidRPr="0039447B">
        <w:t>metabolizer</w:t>
      </w:r>
      <w:proofErr w:type="spellEnd"/>
      <w:r w:rsidRPr="0039447B">
        <w:t>; RV = residual variability.</w:t>
      </w:r>
      <w:r w:rsidR="0053374E" w:rsidRPr="0039447B">
        <w:t xml:space="preserve"> </w:t>
      </w:r>
      <w:r w:rsidRPr="0039447B">
        <w:t>The estimated clearance for extensive metabolisers was correlated with the estimated relative bioavailab</w:t>
      </w:r>
      <w:r w:rsidR="00BC06F8" w:rsidRPr="0039447B">
        <w:t>ility for IM Depot (r = 0.901).</w:t>
      </w:r>
    </w:p>
    <w:p w14:paraId="24A32F50" w14:textId="77777777" w:rsidR="002B55D9" w:rsidRPr="002F5062" w:rsidRDefault="002B55D9" w:rsidP="00BC06F8">
      <w:pPr>
        <w:pStyle w:val="Heading6"/>
      </w:pPr>
      <w:r w:rsidRPr="002F5062">
        <w:t>Simulations Comparing Dosing for Subjects With Extensive and Poor Metabolism of CYP-2D6 Substrates</w:t>
      </w:r>
    </w:p>
    <w:p w14:paraId="24A32F51" w14:textId="77777777" w:rsidR="002B55D9" w:rsidRDefault="002B55D9" w:rsidP="00BC06F8">
      <w:r>
        <w:t xml:space="preserve">The median </w:t>
      </w:r>
      <w:proofErr w:type="spellStart"/>
      <w:r>
        <w:t>aripiprazole</w:t>
      </w:r>
      <w:proofErr w:type="spellEnd"/>
      <w:r>
        <w:t xml:space="preserve"> plasma concentration-time profiles of a CYP-2D6 PM subject following monthly administration of </w:t>
      </w:r>
      <w:proofErr w:type="spellStart"/>
      <w:r>
        <w:t>aripiprazole</w:t>
      </w:r>
      <w:proofErr w:type="spellEnd"/>
      <w:r>
        <w:t xml:space="preserve"> IM Depot doses of 30</w:t>
      </w:r>
      <w:r w:rsidR="002C1F46">
        <w:t>0 mg</w:t>
      </w:r>
      <w:r>
        <w:t xml:space="preserve"> and 40</w:t>
      </w:r>
      <w:r w:rsidR="002C1F46">
        <w:t>0 mg</w:t>
      </w:r>
      <w:r>
        <w:t xml:space="preserve"> remain within the therapeutic window.</w:t>
      </w:r>
    </w:p>
    <w:p w14:paraId="24A32F52" w14:textId="2712F218" w:rsidR="002B55D9" w:rsidRDefault="002B55D9" w:rsidP="00BC06F8">
      <w:pPr>
        <w:pStyle w:val="FigureTitle"/>
      </w:pPr>
      <w:bookmarkStart w:id="51" w:name="_Toc381104413"/>
      <w:r>
        <w:lastRenderedPageBreak/>
        <w:t xml:space="preserve">Figure </w:t>
      </w:r>
      <w:r w:rsidR="000D6249">
        <w:fldChar w:fldCharType="begin"/>
      </w:r>
      <w:r w:rsidR="000D6249">
        <w:instrText xml:space="preserve"> SEQ Figure \* ARABIC </w:instrText>
      </w:r>
      <w:r w:rsidR="000D6249">
        <w:fldChar w:fldCharType="separate"/>
      </w:r>
      <w:r w:rsidR="00C476F4">
        <w:rPr>
          <w:noProof/>
        </w:rPr>
        <w:t>1</w:t>
      </w:r>
      <w:r w:rsidR="000D6249">
        <w:rPr>
          <w:noProof/>
        </w:rPr>
        <w:fldChar w:fldCharType="end"/>
      </w:r>
      <w:r w:rsidR="0053374E">
        <w:rPr>
          <w:noProof/>
        </w:rPr>
        <w:t>.</w:t>
      </w:r>
      <w:r>
        <w:t xml:space="preserve"> Median </w:t>
      </w:r>
      <w:r w:rsidR="00BC06F8">
        <w:t>s</w:t>
      </w:r>
      <w:r>
        <w:t>teady-</w:t>
      </w:r>
      <w:r w:rsidR="00BC06F8">
        <w:t>s</w:t>
      </w:r>
      <w:r>
        <w:t xml:space="preserve">tate </w:t>
      </w:r>
      <w:r w:rsidR="00BC06F8">
        <w:t>c</w:t>
      </w:r>
      <w:r>
        <w:t xml:space="preserve">oncentration </w:t>
      </w:r>
      <w:r w:rsidR="00BF2105">
        <w:t>versus</w:t>
      </w:r>
      <w:r>
        <w:t xml:space="preserve"> </w:t>
      </w:r>
      <w:r w:rsidR="00BC06F8">
        <w:t>d</w:t>
      </w:r>
      <w:r>
        <w:t xml:space="preserve">ay </w:t>
      </w:r>
      <w:r w:rsidR="00BC06F8">
        <w:t>s</w:t>
      </w:r>
      <w:r>
        <w:t xml:space="preserve">ince </w:t>
      </w:r>
      <w:r w:rsidR="00BC06F8">
        <w:t>p</w:t>
      </w:r>
      <w:r>
        <w:t xml:space="preserve">revious </w:t>
      </w:r>
      <w:r w:rsidR="00BC06F8">
        <w:t>d</w:t>
      </w:r>
      <w:r>
        <w:t xml:space="preserve">ose for </w:t>
      </w:r>
      <w:r w:rsidR="00BC06F8">
        <w:t>p</w:t>
      </w:r>
      <w:r>
        <w:t xml:space="preserve">oor </w:t>
      </w:r>
      <w:r w:rsidR="00BC06F8">
        <w:t>m</w:t>
      </w:r>
      <w:r>
        <w:t xml:space="preserve">etabolisers, </w:t>
      </w:r>
      <w:r w:rsidR="00BC06F8">
        <w:t>s</w:t>
      </w:r>
      <w:r>
        <w:t xml:space="preserve">tratified by </w:t>
      </w:r>
      <w:r w:rsidR="00BC06F8">
        <w:t>d</w:t>
      </w:r>
      <w:r>
        <w:t>ose</w:t>
      </w:r>
      <w:bookmarkEnd w:id="51"/>
    </w:p>
    <w:p w14:paraId="24A32F53" w14:textId="77777777" w:rsidR="0053374E" w:rsidRDefault="0053374E" w:rsidP="00BC06F8">
      <w:r>
        <w:rPr>
          <w:noProof/>
          <w:lang w:eastAsia="en-AU"/>
        </w:rPr>
        <w:drawing>
          <wp:inline distT="0" distB="0" distL="0" distR="0" wp14:anchorId="24A33228" wp14:editId="24A33229">
            <wp:extent cx="3457575" cy="2716666"/>
            <wp:effectExtent l="0" t="0" r="0" b="0"/>
            <wp:docPr id="4" name="Picture 4" descr="Figure 1. Median Steady-State Concentration vs. Day Since Previous Dose for Poor Metabolisers, Stratified by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57575" cy="2716666"/>
                    </a:xfrm>
                    <a:prstGeom prst="rect">
                      <a:avLst/>
                    </a:prstGeom>
                  </pic:spPr>
                </pic:pic>
              </a:graphicData>
            </a:graphic>
          </wp:inline>
        </w:drawing>
      </w:r>
    </w:p>
    <w:p w14:paraId="24A32F55" w14:textId="17E95880" w:rsidR="002B55D9" w:rsidRDefault="002B55D9" w:rsidP="00BC06F8">
      <w:pPr>
        <w:pStyle w:val="FigureTitle"/>
      </w:pPr>
      <w:bookmarkStart w:id="52" w:name="_Ref364145592"/>
      <w:bookmarkStart w:id="53" w:name="_Toc381104414"/>
      <w:r>
        <w:t xml:space="preserve">Figure </w:t>
      </w:r>
      <w:r w:rsidR="000D6249">
        <w:fldChar w:fldCharType="begin"/>
      </w:r>
      <w:r w:rsidR="000D6249">
        <w:instrText xml:space="preserve"> SEQ Figure \* ARABIC </w:instrText>
      </w:r>
      <w:r w:rsidR="000D6249">
        <w:fldChar w:fldCharType="separate"/>
      </w:r>
      <w:r w:rsidR="00C476F4">
        <w:rPr>
          <w:noProof/>
        </w:rPr>
        <w:t>2</w:t>
      </w:r>
      <w:r w:rsidR="000D6249">
        <w:rPr>
          <w:noProof/>
        </w:rPr>
        <w:fldChar w:fldCharType="end"/>
      </w:r>
      <w:bookmarkEnd w:id="52"/>
      <w:r w:rsidR="0053374E">
        <w:t>.</w:t>
      </w:r>
      <w:r>
        <w:t xml:space="preserve"> Comparison of </w:t>
      </w:r>
      <w:r w:rsidR="00BC06F8">
        <w:t>s</w:t>
      </w:r>
      <w:r>
        <w:t>teady-</w:t>
      </w:r>
      <w:r w:rsidR="00BC06F8">
        <w:t>s</w:t>
      </w:r>
      <w:r>
        <w:t xml:space="preserve">tate </w:t>
      </w:r>
      <w:r w:rsidR="00BC06F8">
        <w:t>e</w:t>
      </w:r>
      <w:r>
        <w:t xml:space="preserve">xposure </w:t>
      </w:r>
      <w:r w:rsidR="00BC06F8">
        <w:t>m</w:t>
      </w:r>
      <w:r>
        <w:t xml:space="preserve">easures for </w:t>
      </w:r>
      <w:r w:rsidR="00BC06F8">
        <w:t>p</w:t>
      </w:r>
      <w:r>
        <w:t xml:space="preserve">oor </w:t>
      </w:r>
      <w:r w:rsidR="00BC06F8">
        <w:t>m</w:t>
      </w:r>
      <w:r>
        <w:t xml:space="preserve">etabolisers, </w:t>
      </w:r>
      <w:r w:rsidR="00BC06F8">
        <w:t>s</w:t>
      </w:r>
      <w:r>
        <w:t xml:space="preserve">tratified by IM </w:t>
      </w:r>
      <w:r w:rsidR="00BC06F8">
        <w:t>d</w:t>
      </w:r>
      <w:r>
        <w:t xml:space="preserve">epot </w:t>
      </w:r>
      <w:r w:rsidR="00BC06F8">
        <w:t>d</w:t>
      </w:r>
      <w:r>
        <w:t>ose</w:t>
      </w:r>
      <w:bookmarkEnd w:id="53"/>
    </w:p>
    <w:p w14:paraId="24A32F56" w14:textId="77777777" w:rsidR="0053374E" w:rsidRDefault="0053374E" w:rsidP="00BC06F8">
      <w:r>
        <w:rPr>
          <w:noProof/>
          <w:lang w:eastAsia="en-AU"/>
        </w:rPr>
        <w:drawing>
          <wp:inline distT="0" distB="0" distL="0" distR="0" wp14:anchorId="24A3322A" wp14:editId="24A3322B">
            <wp:extent cx="3028950" cy="2552700"/>
            <wp:effectExtent l="0" t="0" r="0" b="0"/>
            <wp:docPr id="5" name="Picture 5" descr="Figure 2. Comparison of Steady-State Exposure Measures for Poor Metabolisers, Stratified by IM Depot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2899"/>
                    <a:stretch/>
                  </pic:blipFill>
                  <pic:spPr bwMode="auto">
                    <a:xfrm>
                      <a:off x="0" y="0"/>
                      <a:ext cx="3028950" cy="2552700"/>
                    </a:xfrm>
                    <a:prstGeom prst="rect">
                      <a:avLst/>
                    </a:prstGeom>
                    <a:ln>
                      <a:noFill/>
                    </a:ln>
                    <a:extLst>
                      <a:ext uri="{53640926-AAD7-44D8-BBD7-CCE9431645EC}">
                        <a14:shadowObscured xmlns:a14="http://schemas.microsoft.com/office/drawing/2010/main"/>
                      </a:ext>
                    </a:extLst>
                  </pic:spPr>
                </pic:pic>
              </a:graphicData>
            </a:graphic>
          </wp:inline>
        </w:drawing>
      </w:r>
    </w:p>
    <w:p w14:paraId="24A32F57" w14:textId="22DB46F8" w:rsidR="002B55D9" w:rsidRPr="00384CDF" w:rsidRDefault="002B55D9" w:rsidP="00BC06F8">
      <w:pPr>
        <w:pStyle w:val="Heading6"/>
      </w:pPr>
      <w:r w:rsidRPr="003E1E4E">
        <w:t xml:space="preserve">Simulations of </w:t>
      </w:r>
      <w:r w:rsidR="00BC06F8">
        <w:t>d</w:t>
      </w:r>
      <w:r w:rsidRPr="003E1E4E">
        <w:t xml:space="preserve">ose </w:t>
      </w:r>
      <w:r w:rsidR="00BC06F8">
        <w:t>i</w:t>
      </w:r>
      <w:r w:rsidRPr="003E1E4E">
        <w:t xml:space="preserve">nitiation </w:t>
      </w:r>
      <w:r w:rsidR="00BC06F8">
        <w:t>s</w:t>
      </w:r>
      <w:r w:rsidRPr="003E1E4E">
        <w:t>chemes</w:t>
      </w:r>
    </w:p>
    <w:p w14:paraId="24A32F58" w14:textId="5F757FBC" w:rsidR="002B55D9" w:rsidRDefault="002B55D9" w:rsidP="00BC06F8">
      <w:r w:rsidRPr="00EF47D6">
        <w:t>The dosing initiation sc</w:t>
      </w:r>
      <w:r w:rsidR="00BC06F8">
        <w:t>enarios included the following:</w:t>
      </w:r>
    </w:p>
    <w:p w14:paraId="24A32F59" w14:textId="42C7C30F" w:rsidR="002B55D9" w:rsidRPr="00BC06F8" w:rsidRDefault="002B55D9" w:rsidP="005171C4">
      <w:pPr>
        <w:pStyle w:val="Numberbullet0"/>
        <w:numPr>
          <w:ilvl w:val="0"/>
          <w:numId w:val="14"/>
        </w:numPr>
      </w:pPr>
      <w:r w:rsidRPr="00BC06F8">
        <w:t xml:space="preserve">subjects stabilized on </w:t>
      </w:r>
      <w:proofErr w:type="spellStart"/>
      <w:r w:rsidRPr="00BC06F8">
        <w:t>aripiprazole</w:t>
      </w:r>
      <w:proofErr w:type="spellEnd"/>
      <w:r w:rsidRPr="00BC06F8">
        <w:t xml:space="preserve"> oral doses of 1</w:t>
      </w:r>
      <w:r w:rsidR="002C1F46" w:rsidRPr="00BC06F8">
        <w:t>0 mg</w:t>
      </w:r>
      <w:r w:rsidRPr="00BC06F8">
        <w:t xml:space="preserve"> followed by 14 days of orally administered 10-mg doses beginning with the administration of the first IM</w:t>
      </w:r>
      <w:r w:rsidR="00BC06F8">
        <w:t xml:space="preserve"> Depot 400-mg dose</w:t>
      </w:r>
    </w:p>
    <w:p w14:paraId="24A32F5A" w14:textId="12E2A686" w:rsidR="002B55D9" w:rsidRPr="00BC06F8" w:rsidRDefault="002B55D9" w:rsidP="00BC06F8">
      <w:pPr>
        <w:pStyle w:val="Numberbullet0"/>
      </w:pPr>
      <w:r w:rsidRPr="00BC06F8">
        <w:t xml:space="preserve">subjects stabilized on </w:t>
      </w:r>
      <w:proofErr w:type="spellStart"/>
      <w:r w:rsidRPr="00BC06F8">
        <w:t>aripiprazole</w:t>
      </w:r>
      <w:proofErr w:type="spellEnd"/>
      <w:r w:rsidRPr="00BC06F8">
        <w:t xml:space="preserve"> oral doses of 2</w:t>
      </w:r>
      <w:r w:rsidR="002C1F46" w:rsidRPr="00BC06F8">
        <w:t>0 mg</w:t>
      </w:r>
      <w:r w:rsidRPr="00BC06F8">
        <w:t xml:space="preserve"> followed by 14 days of orally administered 15-mg doses beginning with the administration of</w:t>
      </w:r>
      <w:r w:rsidR="00BC06F8">
        <w:t xml:space="preserve"> the first IM Depot 400-mg dose</w:t>
      </w:r>
    </w:p>
    <w:p w14:paraId="24A32F5B" w14:textId="5991E725" w:rsidR="002B55D9" w:rsidRPr="00BC06F8" w:rsidRDefault="002B55D9" w:rsidP="00BC06F8">
      <w:pPr>
        <w:pStyle w:val="Numberbullet0"/>
      </w:pPr>
      <w:r w:rsidRPr="00BC06F8">
        <w:t xml:space="preserve">subjects were not administered oral </w:t>
      </w:r>
      <w:proofErr w:type="spellStart"/>
      <w:r w:rsidRPr="00BC06F8">
        <w:t>aripiprazole</w:t>
      </w:r>
      <w:proofErr w:type="spellEnd"/>
      <w:r w:rsidRPr="00BC06F8">
        <w:t xml:space="preserve"> prior to IM Depot dosing and then received orally administered 10-mg doses for 14 days beginning with the administration of the</w:t>
      </w:r>
      <w:r w:rsidR="00BC06F8">
        <w:t xml:space="preserve"> first IM Depot 400-mg dose</w:t>
      </w:r>
    </w:p>
    <w:p w14:paraId="24A32F5C" w14:textId="77777777" w:rsidR="002B55D9" w:rsidRPr="00BC06F8" w:rsidRDefault="002B55D9" w:rsidP="00BC06F8">
      <w:pPr>
        <w:pStyle w:val="Numberbullet0"/>
      </w:pPr>
      <w:r w:rsidRPr="00BC06F8">
        <w:t xml:space="preserve">subjects were not administered oral </w:t>
      </w:r>
      <w:proofErr w:type="spellStart"/>
      <w:r w:rsidRPr="00BC06F8">
        <w:t>aripiprazole</w:t>
      </w:r>
      <w:proofErr w:type="spellEnd"/>
      <w:r w:rsidRPr="00BC06F8">
        <w:t xml:space="preserve"> prior to IM Depot dosing and then began IM Depot 400-mg dosing without concomitant oral therapy.</w:t>
      </w:r>
    </w:p>
    <w:p w14:paraId="24A32F5D" w14:textId="77777777" w:rsidR="002B55D9" w:rsidRPr="00EF47D6" w:rsidRDefault="002B55D9" w:rsidP="00BC06F8">
      <w:r>
        <w:lastRenderedPageBreak/>
        <w:t xml:space="preserve">The first 2 </w:t>
      </w:r>
      <w:proofErr w:type="spellStart"/>
      <w:r>
        <w:t>aripiprazole</w:t>
      </w:r>
      <w:proofErr w:type="spellEnd"/>
      <w:r>
        <w:t xml:space="preserve"> IM Depot dose administrations</w:t>
      </w:r>
      <w:r w:rsidRPr="00EF47D6">
        <w:t xml:space="preserve"> </w:t>
      </w:r>
      <w:r>
        <w:t xml:space="preserve">simulations show the median </w:t>
      </w:r>
      <w:proofErr w:type="spellStart"/>
      <w:r>
        <w:t>aripiprazole</w:t>
      </w:r>
      <w:proofErr w:type="spellEnd"/>
      <w:r>
        <w:t xml:space="preserve"> concentration profile to be within the therapeutic window for all dosing initiation schemes by 3 days post IM Depot dosing.</w:t>
      </w:r>
    </w:p>
    <w:p w14:paraId="24A32F5E" w14:textId="77777777" w:rsidR="002B55D9" w:rsidRDefault="002B55D9" w:rsidP="00BC06F8">
      <w:pPr>
        <w:pStyle w:val="FigureTitle"/>
        <w:keepLines/>
      </w:pPr>
      <w:bookmarkStart w:id="54" w:name="_Ref363813831"/>
      <w:bookmarkStart w:id="55" w:name="_Toc381104415"/>
      <w:r>
        <w:t xml:space="preserve">Figure </w:t>
      </w:r>
      <w:r w:rsidR="000D6249">
        <w:fldChar w:fldCharType="begin"/>
      </w:r>
      <w:r w:rsidR="000D6249">
        <w:instrText xml:space="preserve"> SEQ Figure \* ARABIC </w:instrText>
      </w:r>
      <w:r w:rsidR="000D6249">
        <w:fldChar w:fldCharType="separate"/>
      </w:r>
      <w:r w:rsidR="00C476F4">
        <w:rPr>
          <w:noProof/>
        </w:rPr>
        <w:t>3</w:t>
      </w:r>
      <w:r w:rsidR="000D6249">
        <w:rPr>
          <w:noProof/>
        </w:rPr>
        <w:fldChar w:fldCharType="end"/>
      </w:r>
      <w:bookmarkEnd w:id="54"/>
      <w:r w:rsidR="0053374E">
        <w:t>.</w:t>
      </w:r>
      <w:r>
        <w:t xml:space="preserve"> Median Concentration </w:t>
      </w:r>
      <w:r w:rsidR="00BF2105">
        <w:t>versus</w:t>
      </w:r>
      <w:r>
        <w:t xml:space="preserve"> Day for First 2 Doses, Stratified by Dosing Initiation Scheme</w:t>
      </w:r>
      <w:bookmarkEnd w:id="55"/>
    </w:p>
    <w:p w14:paraId="24A32F5F" w14:textId="77777777" w:rsidR="0053374E" w:rsidRDefault="0053374E" w:rsidP="0039447B">
      <w:r>
        <w:rPr>
          <w:noProof/>
          <w:lang w:eastAsia="en-AU"/>
        </w:rPr>
        <w:drawing>
          <wp:inline distT="0" distB="0" distL="0" distR="0" wp14:anchorId="24A3322C" wp14:editId="24A3322D">
            <wp:extent cx="3215866" cy="2619375"/>
            <wp:effectExtent l="0" t="0" r="0" b="0"/>
            <wp:docPr id="7" name="Picture 7" descr="Figure 3. Median Concentration vs. Day for First 2 Doses, Stratified by Dosing Initiation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15866" cy="2619375"/>
                    </a:xfrm>
                    <a:prstGeom prst="rect">
                      <a:avLst/>
                    </a:prstGeom>
                  </pic:spPr>
                </pic:pic>
              </a:graphicData>
            </a:graphic>
          </wp:inline>
        </w:drawing>
      </w:r>
    </w:p>
    <w:p w14:paraId="24A32F60" w14:textId="531658A5" w:rsidR="002B55D9" w:rsidRDefault="002B55D9" w:rsidP="00BC06F8">
      <w:pPr>
        <w:pStyle w:val="Heading6"/>
      </w:pPr>
      <w:r w:rsidRPr="00EF47D6">
        <w:t xml:space="preserve">Simulations of </w:t>
      </w:r>
      <w:r w:rsidR="00BC06F8">
        <w:t>d</w:t>
      </w:r>
      <w:r w:rsidRPr="00EF47D6">
        <w:t xml:space="preserve">elayed </w:t>
      </w:r>
      <w:r w:rsidR="00BC06F8">
        <w:t>d</w:t>
      </w:r>
      <w:r w:rsidRPr="00EF47D6">
        <w:t xml:space="preserve">osing </w:t>
      </w:r>
      <w:r w:rsidR="00BC06F8">
        <w:t>d</w:t>
      </w:r>
      <w:r w:rsidRPr="00EF47D6">
        <w:t xml:space="preserve">uring </w:t>
      </w:r>
      <w:r w:rsidR="00BC06F8">
        <w:t>i</w:t>
      </w:r>
      <w:r w:rsidRPr="00EF47D6">
        <w:t xml:space="preserve">nitiation and </w:t>
      </w:r>
      <w:r w:rsidR="00BC06F8">
        <w:t>m</w:t>
      </w:r>
      <w:r w:rsidRPr="00EF47D6">
        <w:t xml:space="preserve">aintenance of </w:t>
      </w:r>
      <w:r w:rsidR="00BC06F8">
        <w:t>t</w:t>
      </w:r>
      <w:r w:rsidRPr="00EF47D6">
        <w:t>herapy</w:t>
      </w:r>
    </w:p>
    <w:p w14:paraId="24A32F61" w14:textId="77777777" w:rsidR="002B55D9" w:rsidRPr="00EF47D6" w:rsidRDefault="002B55D9" w:rsidP="00C038F9">
      <w:pPr>
        <w:rPr>
          <w:b/>
        </w:rPr>
      </w:pPr>
      <w:r>
        <w:t>There were multiple simulations of delayed dosing.</w:t>
      </w:r>
    </w:p>
    <w:p w14:paraId="24A32F62" w14:textId="32BFCD5D" w:rsidR="002B55D9" w:rsidRDefault="002B55D9" w:rsidP="00C038F9">
      <w:pPr>
        <w:pStyle w:val="FigureTitle"/>
      </w:pPr>
      <w:bookmarkStart w:id="56" w:name="_Ref363814817"/>
      <w:bookmarkStart w:id="57" w:name="_Toc381104416"/>
      <w:r>
        <w:t xml:space="preserve">Figure </w:t>
      </w:r>
      <w:r w:rsidR="000D6249">
        <w:fldChar w:fldCharType="begin"/>
      </w:r>
      <w:r w:rsidR="000D6249">
        <w:instrText xml:space="preserve"> SEQ Figure \* ARABIC </w:instrText>
      </w:r>
      <w:r w:rsidR="000D6249">
        <w:fldChar w:fldCharType="separate"/>
      </w:r>
      <w:r w:rsidR="00C476F4">
        <w:rPr>
          <w:noProof/>
        </w:rPr>
        <w:t>4</w:t>
      </w:r>
      <w:r w:rsidR="000D6249">
        <w:rPr>
          <w:noProof/>
        </w:rPr>
        <w:fldChar w:fldCharType="end"/>
      </w:r>
      <w:bookmarkEnd w:id="56"/>
      <w:r w:rsidR="0053374E">
        <w:rPr>
          <w:noProof/>
        </w:rPr>
        <w:t>.</w:t>
      </w:r>
      <w:r>
        <w:t xml:space="preserve"> Median </w:t>
      </w:r>
      <w:r w:rsidR="00C038F9">
        <w:t>c</w:t>
      </w:r>
      <w:r>
        <w:t xml:space="preserve">oncentration </w:t>
      </w:r>
      <w:r w:rsidR="00BF2105">
        <w:t>versus</w:t>
      </w:r>
      <w:r>
        <w:t xml:space="preserve"> </w:t>
      </w:r>
      <w:r w:rsidR="00C038F9">
        <w:t>d</w:t>
      </w:r>
      <w:r>
        <w:t xml:space="preserve">ay for the </w:t>
      </w:r>
      <w:r w:rsidR="00C038F9">
        <w:t>s</w:t>
      </w:r>
      <w:r>
        <w:t xml:space="preserve">econd IM </w:t>
      </w:r>
      <w:r w:rsidR="00C038F9">
        <w:t>d</w:t>
      </w:r>
      <w:r>
        <w:t xml:space="preserve">epot </w:t>
      </w:r>
      <w:r w:rsidR="00C038F9">
        <w:t>d</w:t>
      </w:r>
      <w:r>
        <w:t xml:space="preserve">ose, </w:t>
      </w:r>
      <w:r w:rsidR="00C038F9">
        <w:t>s</w:t>
      </w:r>
      <w:r>
        <w:t xml:space="preserve">tratified by </w:t>
      </w:r>
      <w:r w:rsidR="00C038F9">
        <w:t>n</w:t>
      </w:r>
      <w:r>
        <w:t xml:space="preserve">umber of </w:t>
      </w:r>
      <w:r w:rsidR="00C038F9">
        <w:t>d</w:t>
      </w:r>
      <w:r>
        <w:t xml:space="preserve">ays </w:t>
      </w:r>
      <w:r w:rsidR="00C038F9">
        <w:t>d</w:t>
      </w:r>
      <w:r>
        <w:t xml:space="preserve">ose </w:t>
      </w:r>
      <w:r w:rsidR="00C038F9">
        <w:t>w</w:t>
      </w:r>
      <w:r>
        <w:t xml:space="preserve">as </w:t>
      </w:r>
      <w:r w:rsidR="00C038F9">
        <w:t>d</w:t>
      </w:r>
      <w:r>
        <w:t>elayed</w:t>
      </w:r>
      <w:bookmarkEnd w:id="57"/>
    </w:p>
    <w:p w14:paraId="24A32F63" w14:textId="77777777" w:rsidR="0053374E" w:rsidRDefault="0053374E" w:rsidP="00C038F9">
      <w:r>
        <w:rPr>
          <w:noProof/>
          <w:lang w:eastAsia="en-AU"/>
        </w:rPr>
        <w:drawing>
          <wp:inline distT="0" distB="0" distL="0" distR="0" wp14:anchorId="24A3322E" wp14:editId="24A3322F">
            <wp:extent cx="3705225" cy="2990850"/>
            <wp:effectExtent l="0" t="0" r="0" b="0"/>
            <wp:docPr id="10" name="Picture 10" descr="Figure 4. Median Concentration vs. Day for the Second IM Depot Dose, Stratified by Number of Days Dose Was De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705225" cy="2990850"/>
                    </a:xfrm>
                    <a:prstGeom prst="rect">
                      <a:avLst/>
                    </a:prstGeom>
                  </pic:spPr>
                </pic:pic>
              </a:graphicData>
            </a:graphic>
          </wp:inline>
        </w:drawing>
      </w:r>
    </w:p>
    <w:p w14:paraId="24A32F64" w14:textId="28E86B5C" w:rsidR="002B55D9" w:rsidRDefault="002B55D9" w:rsidP="00C038F9">
      <w:pPr>
        <w:pStyle w:val="FigureTitle"/>
        <w:keepLines/>
      </w:pPr>
      <w:bookmarkStart w:id="58" w:name="_Ref363814831"/>
      <w:bookmarkStart w:id="59" w:name="_Toc381104417"/>
      <w:r>
        <w:lastRenderedPageBreak/>
        <w:t xml:space="preserve">Figure </w:t>
      </w:r>
      <w:r w:rsidR="000D6249">
        <w:fldChar w:fldCharType="begin"/>
      </w:r>
      <w:r w:rsidR="000D6249">
        <w:instrText xml:space="preserve"> SEQ Figure \* ARABIC </w:instrText>
      </w:r>
      <w:r w:rsidR="000D6249">
        <w:fldChar w:fldCharType="separate"/>
      </w:r>
      <w:r w:rsidR="00C476F4">
        <w:rPr>
          <w:noProof/>
        </w:rPr>
        <w:t>5</w:t>
      </w:r>
      <w:r w:rsidR="000D6249">
        <w:rPr>
          <w:noProof/>
        </w:rPr>
        <w:fldChar w:fldCharType="end"/>
      </w:r>
      <w:bookmarkEnd w:id="58"/>
      <w:r w:rsidR="0053374E">
        <w:t>.</w:t>
      </w:r>
      <w:r>
        <w:t xml:space="preserve"> Median </w:t>
      </w:r>
      <w:r w:rsidR="00C038F9">
        <w:t>c</w:t>
      </w:r>
      <w:r>
        <w:t xml:space="preserve">oncentration </w:t>
      </w:r>
      <w:r w:rsidR="00BF2105">
        <w:t>versus</w:t>
      </w:r>
      <w:r>
        <w:t xml:space="preserve"> </w:t>
      </w:r>
      <w:r w:rsidR="00C038F9">
        <w:t>w</w:t>
      </w:r>
      <w:r>
        <w:t xml:space="preserve">eeks </w:t>
      </w:r>
      <w:r w:rsidR="00C038F9">
        <w:t>s</w:t>
      </w:r>
      <w:r>
        <w:t xml:space="preserve">ince </w:t>
      </w:r>
      <w:r w:rsidR="00C038F9">
        <w:t>p</w:t>
      </w:r>
      <w:r>
        <w:t xml:space="preserve">revious </w:t>
      </w:r>
      <w:r w:rsidR="00C038F9">
        <w:t>d</w:t>
      </w:r>
      <w:r>
        <w:t xml:space="preserve">ose for </w:t>
      </w:r>
      <w:r w:rsidR="00C038F9">
        <w:t>d</w:t>
      </w:r>
      <w:r>
        <w:t xml:space="preserve">oses </w:t>
      </w:r>
      <w:r w:rsidR="00C038F9">
        <w:t>d</w:t>
      </w:r>
      <w:r>
        <w:t xml:space="preserve">elayed by 28 </w:t>
      </w:r>
      <w:r w:rsidR="00C038F9">
        <w:t>d</w:t>
      </w:r>
      <w:r>
        <w:t xml:space="preserve">ays, </w:t>
      </w:r>
      <w:r w:rsidR="00C038F9">
        <w:t>s</w:t>
      </w:r>
      <w:r>
        <w:t xml:space="preserve">tratified by </w:t>
      </w:r>
      <w:r w:rsidR="00C038F9">
        <w:t>n</w:t>
      </w:r>
      <w:r>
        <w:t xml:space="preserve">umber of </w:t>
      </w:r>
      <w:r w:rsidR="00C038F9">
        <w:t>d</w:t>
      </w:r>
      <w:r>
        <w:t xml:space="preserve">oses </w:t>
      </w:r>
      <w:r w:rsidR="00C038F9">
        <w:t>a</w:t>
      </w:r>
      <w:r>
        <w:t xml:space="preserve">dministered </w:t>
      </w:r>
      <w:r w:rsidR="00C038F9">
        <w:t>p</w:t>
      </w:r>
      <w:r>
        <w:t xml:space="preserve">rior to </w:t>
      </w:r>
      <w:r w:rsidR="00C038F9">
        <w:t>d</w:t>
      </w:r>
      <w:r>
        <w:t>elay</w:t>
      </w:r>
      <w:bookmarkEnd w:id="59"/>
    </w:p>
    <w:p w14:paraId="24A32F65" w14:textId="77777777" w:rsidR="0053374E" w:rsidRDefault="0053374E" w:rsidP="0039447B">
      <w:r>
        <w:rPr>
          <w:noProof/>
          <w:lang w:eastAsia="en-AU"/>
        </w:rPr>
        <w:drawing>
          <wp:inline distT="0" distB="0" distL="0" distR="0" wp14:anchorId="24A33230" wp14:editId="24A33231">
            <wp:extent cx="3295650" cy="2724150"/>
            <wp:effectExtent l="0" t="0" r="0" b="0"/>
            <wp:docPr id="11" name="Picture 11" descr="Figure 5. Median Concentration vs. Weeks Since Previous Dose for Doses Delayed by 28 Days, Stratified by Number of Doses Administered Prior to D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295650" cy="2724150"/>
                    </a:xfrm>
                    <a:prstGeom prst="rect">
                      <a:avLst/>
                    </a:prstGeom>
                  </pic:spPr>
                </pic:pic>
              </a:graphicData>
            </a:graphic>
          </wp:inline>
        </w:drawing>
      </w:r>
    </w:p>
    <w:p w14:paraId="24A32F66" w14:textId="363D809B" w:rsidR="002B55D9" w:rsidRPr="00C445F1" w:rsidRDefault="002B55D9" w:rsidP="00C038F9">
      <w:pPr>
        <w:pStyle w:val="Heading6"/>
      </w:pPr>
      <w:r w:rsidRPr="00C445F1">
        <w:t xml:space="preserve">Simulations of </w:t>
      </w:r>
      <w:r w:rsidR="00C038F9">
        <w:t>l</w:t>
      </w:r>
      <w:r w:rsidRPr="00C445F1">
        <w:t xml:space="preserve">ong-term </w:t>
      </w:r>
      <w:r w:rsidR="00C038F9">
        <w:t>c</w:t>
      </w:r>
      <w:r w:rsidRPr="00C445F1">
        <w:t xml:space="preserve">oncomitant </w:t>
      </w:r>
      <w:r w:rsidR="00C038F9">
        <w:t>a</w:t>
      </w:r>
      <w:r w:rsidRPr="00C445F1">
        <w:t xml:space="preserve">dministration of CYP </w:t>
      </w:r>
      <w:r w:rsidR="00C038F9">
        <w:t>i</w:t>
      </w:r>
      <w:r w:rsidRPr="00C445F1">
        <w:t>nhibitors</w:t>
      </w:r>
    </w:p>
    <w:p w14:paraId="24A32F67" w14:textId="77777777" w:rsidR="002B55D9" w:rsidRPr="00C445F1" w:rsidRDefault="002B55D9" w:rsidP="00C038F9">
      <w:r>
        <w:t>While the combination of long t</w:t>
      </w:r>
      <w:r w:rsidR="002C1F46">
        <w:t>erm inhibitor and poor metabolis</w:t>
      </w:r>
      <w:r>
        <w:t>er status can produce with 40</w:t>
      </w:r>
      <w:r w:rsidR="002C1F46">
        <w:t>0 mg</w:t>
      </w:r>
      <w:r>
        <w:t xml:space="preserve"> doses </w:t>
      </w:r>
      <w:proofErr w:type="spellStart"/>
      <w:r>
        <w:t>C</w:t>
      </w:r>
      <w:r w:rsidRPr="00BF6951">
        <w:rPr>
          <w:vertAlign w:val="subscript"/>
        </w:rPr>
        <w:t>max</w:t>
      </w:r>
      <w:proofErr w:type="spellEnd"/>
      <w:r>
        <w:t xml:space="preserve"> and </w:t>
      </w:r>
      <w:proofErr w:type="spellStart"/>
      <w:r>
        <w:t>C</w:t>
      </w:r>
      <w:r w:rsidRPr="00BF6951">
        <w:rPr>
          <w:vertAlign w:val="subscript"/>
        </w:rPr>
        <w:t>avg</w:t>
      </w:r>
      <w:proofErr w:type="spellEnd"/>
      <w:r>
        <w:t xml:space="preserve"> levels above therapeutic window, of greater concern are the number of EMs that may be sub therapeutic on 20</w:t>
      </w:r>
      <w:r w:rsidR="002C1F46">
        <w:t>0 mg</w:t>
      </w:r>
      <w:r>
        <w:t>.</w:t>
      </w:r>
    </w:p>
    <w:p w14:paraId="24A32F68" w14:textId="44F42D62" w:rsidR="002B55D9" w:rsidRDefault="002B55D9" w:rsidP="00C038F9">
      <w:pPr>
        <w:pStyle w:val="FigureTitle"/>
      </w:pPr>
      <w:bookmarkStart w:id="60" w:name="_Ref367344978"/>
      <w:bookmarkStart w:id="61" w:name="_Toc381104418"/>
      <w:r>
        <w:t xml:space="preserve">Figure </w:t>
      </w:r>
      <w:r w:rsidR="000D6249">
        <w:fldChar w:fldCharType="begin"/>
      </w:r>
      <w:r w:rsidR="000D6249">
        <w:instrText xml:space="preserve"> SEQ Fi</w:instrText>
      </w:r>
      <w:r w:rsidR="000D6249">
        <w:instrText xml:space="preserve">gure \* ARABIC </w:instrText>
      </w:r>
      <w:r w:rsidR="000D6249">
        <w:fldChar w:fldCharType="separate"/>
      </w:r>
      <w:r w:rsidR="00C476F4">
        <w:rPr>
          <w:noProof/>
        </w:rPr>
        <w:t>6</w:t>
      </w:r>
      <w:r w:rsidR="000D6249">
        <w:rPr>
          <w:noProof/>
        </w:rPr>
        <w:fldChar w:fldCharType="end"/>
      </w:r>
      <w:bookmarkEnd w:id="60"/>
      <w:r w:rsidR="002C1F46">
        <w:rPr>
          <w:noProof/>
        </w:rPr>
        <w:t>.</w:t>
      </w:r>
      <w:r>
        <w:t xml:space="preserve"> Steady-</w:t>
      </w:r>
      <w:r w:rsidR="00C038F9">
        <w:t>s</w:t>
      </w:r>
      <w:r>
        <w:t xml:space="preserve">tate </w:t>
      </w:r>
      <w:r w:rsidR="00C038F9">
        <w:t>m</w:t>
      </w:r>
      <w:r>
        <w:t xml:space="preserve">edian </w:t>
      </w:r>
      <w:r w:rsidR="00C038F9">
        <w:t>c</w:t>
      </w:r>
      <w:r>
        <w:t xml:space="preserve">oncentration </w:t>
      </w:r>
      <w:r w:rsidR="00C038F9">
        <w:t>v</w:t>
      </w:r>
      <w:r>
        <w:t xml:space="preserve">ersus </w:t>
      </w:r>
      <w:r w:rsidR="00C038F9">
        <w:t>d</w:t>
      </w:r>
      <w:r>
        <w:t xml:space="preserve">ay </w:t>
      </w:r>
      <w:r w:rsidR="00C038F9">
        <w:t>s</w:t>
      </w:r>
      <w:r>
        <w:t xml:space="preserve">ince </w:t>
      </w:r>
      <w:r w:rsidR="00C038F9">
        <w:t>p</w:t>
      </w:r>
      <w:r>
        <w:t xml:space="preserve">revious </w:t>
      </w:r>
      <w:r w:rsidR="00C038F9">
        <w:t>d</w:t>
      </w:r>
      <w:r>
        <w:t xml:space="preserve">ose: </w:t>
      </w:r>
      <w:r w:rsidR="00C038F9">
        <w:t>p</w:t>
      </w:r>
      <w:r>
        <w:t xml:space="preserve">anel A - </w:t>
      </w:r>
      <w:r w:rsidR="00C038F9">
        <w:t>p</w:t>
      </w:r>
      <w:r>
        <w:t xml:space="preserve">resence of </w:t>
      </w:r>
      <w:r w:rsidR="00C038F9">
        <w:t>c</w:t>
      </w:r>
      <w:r>
        <w:t xml:space="preserve">hronic CYP-2D6 or CYP-3A4 </w:t>
      </w:r>
      <w:r w:rsidR="00C038F9">
        <w:t>i</w:t>
      </w:r>
      <w:r>
        <w:t xml:space="preserve">nhibitor; </w:t>
      </w:r>
      <w:r w:rsidR="00C038F9">
        <w:t>p</w:t>
      </w:r>
      <w:r>
        <w:t xml:space="preserve">anel B - </w:t>
      </w:r>
      <w:r w:rsidR="00C038F9">
        <w:t>p</w:t>
      </w:r>
      <w:r>
        <w:t xml:space="preserve">resence of </w:t>
      </w:r>
      <w:r w:rsidR="00C038F9">
        <w:t>c</w:t>
      </w:r>
      <w:r>
        <w:t xml:space="preserve">hronic CYP-2D6 and CYP-3A4 </w:t>
      </w:r>
      <w:r w:rsidR="00C038F9">
        <w:t>i</w:t>
      </w:r>
      <w:r>
        <w:t>nhibitor</w:t>
      </w:r>
      <w:bookmarkEnd w:id="61"/>
    </w:p>
    <w:p w14:paraId="24A32F69" w14:textId="77777777" w:rsidR="002C1F46" w:rsidRDefault="002C1F46" w:rsidP="00C038F9">
      <w:r>
        <w:rPr>
          <w:noProof/>
          <w:lang w:eastAsia="en-AU"/>
        </w:rPr>
        <w:drawing>
          <wp:inline distT="0" distB="0" distL="0" distR="0" wp14:anchorId="24A33232" wp14:editId="24A33233">
            <wp:extent cx="5915025" cy="2581275"/>
            <wp:effectExtent l="0" t="0" r="0" b="0"/>
            <wp:docPr id="13" name="Picture 13" descr="Figure 6. Steady-State Median Concentration Versus Day Since Previous Dose: Panel A - Presence of Chronic CYP-2D6 or CYP-3A4 Inhibitor; Panel B - Presence of Chronic CYP-2D6 and CYP-3A4 Inhib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15025" cy="2581275"/>
                    </a:xfrm>
                    <a:prstGeom prst="rect">
                      <a:avLst/>
                    </a:prstGeom>
                  </pic:spPr>
                </pic:pic>
              </a:graphicData>
            </a:graphic>
          </wp:inline>
        </w:drawing>
      </w:r>
    </w:p>
    <w:p w14:paraId="24A32F6A" w14:textId="11B71E7A" w:rsidR="002B55D9" w:rsidRDefault="002B55D9" w:rsidP="004F058E">
      <w:pPr>
        <w:pStyle w:val="FigureTitle"/>
      </w:pPr>
      <w:bookmarkStart w:id="62" w:name="_Ref367344982"/>
      <w:bookmarkStart w:id="63" w:name="_Toc381104419"/>
      <w:r>
        <w:lastRenderedPageBreak/>
        <w:t xml:space="preserve">Figure </w:t>
      </w:r>
      <w:r w:rsidR="000D6249">
        <w:fldChar w:fldCharType="begin"/>
      </w:r>
      <w:r w:rsidR="000D6249">
        <w:instrText xml:space="preserve"> SEQ Figure \* ARABIC </w:instrText>
      </w:r>
      <w:r w:rsidR="000D6249">
        <w:fldChar w:fldCharType="separate"/>
      </w:r>
      <w:r w:rsidR="00C476F4">
        <w:rPr>
          <w:noProof/>
        </w:rPr>
        <w:t>7</w:t>
      </w:r>
      <w:r w:rsidR="000D6249">
        <w:rPr>
          <w:noProof/>
        </w:rPr>
        <w:fldChar w:fldCharType="end"/>
      </w:r>
      <w:bookmarkEnd w:id="62"/>
      <w:r w:rsidR="002C1F46">
        <w:t>.</w:t>
      </w:r>
      <w:r>
        <w:t xml:space="preserve"> Comparison of </w:t>
      </w:r>
      <w:r w:rsidR="004F058E">
        <w:t>s</w:t>
      </w:r>
      <w:r>
        <w:t>teady-</w:t>
      </w:r>
      <w:r w:rsidR="004F058E">
        <w:t>s</w:t>
      </w:r>
      <w:r>
        <w:t xml:space="preserve">tate </w:t>
      </w:r>
      <w:r w:rsidR="004F058E">
        <w:t>e</w:t>
      </w:r>
      <w:r>
        <w:t xml:space="preserve">xposure </w:t>
      </w:r>
      <w:r w:rsidR="004F058E">
        <w:t>m</w:t>
      </w:r>
      <w:r>
        <w:t xml:space="preserve">easures </w:t>
      </w:r>
      <w:r w:rsidR="004F058E">
        <w:t>w</w:t>
      </w:r>
      <w:r>
        <w:t xml:space="preserve">ith </w:t>
      </w:r>
      <w:r w:rsidR="004F058E">
        <w:t>c</w:t>
      </w:r>
      <w:r>
        <w:t xml:space="preserve">hronic </w:t>
      </w:r>
      <w:r w:rsidR="004F058E">
        <w:t>a</w:t>
      </w:r>
      <w:r>
        <w:t xml:space="preserve">dministration of CYP-2D6 </w:t>
      </w:r>
      <w:r w:rsidR="004F058E">
        <w:t>i</w:t>
      </w:r>
      <w:r>
        <w:t xml:space="preserve">nhibitor, </w:t>
      </w:r>
      <w:r w:rsidR="004F058E">
        <w:t>s</w:t>
      </w:r>
      <w:r>
        <w:t xml:space="preserve">tratified by IM </w:t>
      </w:r>
      <w:r w:rsidR="004F058E">
        <w:t>d</w:t>
      </w:r>
      <w:r>
        <w:t xml:space="preserve">epot </w:t>
      </w:r>
      <w:r w:rsidR="004F058E">
        <w:t>d</w:t>
      </w:r>
      <w:r>
        <w:t>ose</w:t>
      </w:r>
      <w:bookmarkEnd w:id="63"/>
    </w:p>
    <w:p w14:paraId="24A32F6B" w14:textId="77777777" w:rsidR="002C1F46" w:rsidRDefault="002C1F46" w:rsidP="00613D1C">
      <w:r>
        <w:rPr>
          <w:noProof/>
          <w:lang w:eastAsia="en-AU"/>
        </w:rPr>
        <w:drawing>
          <wp:inline distT="0" distB="0" distL="0" distR="0" wp14:anchorId="24A33234" wp14:editId="24A33235">
            <wp:extent cx="2994320" cy="2314575"/>
            <wp:effectExtent l="0" t="0" r="0" b="0"/>
            <wp:docPr id="15" name="Picture 15" descr="Figure 7. Comparison of Steady-State Exposure Measures With Chronic Administration of CYP-2D6 Inhibitor, Stratified by IM Depot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999689" cy="2318725"/>
                    </a:xfrm>
                    <a:prstGeom prst="rect">
                      <a:avLst/>
                    </a:prstGeom>
                  </pic:spPr>
                </pic:pic>
              </a:graphicData>
            </a:graphic>
          </wp:inline>
        </w:drawing>
      </w:r>
    </w:p>
    <w:p w14:paraId="24A32F6C" w14:textId="248934DD" w:rsidR="002C1F46" w:rsidRDefault="002B55D9" w:rsidP="004F058E">
      <w:pPr>
        <w:pStyle w:val="FigureTitle"/>
      </w:pPr>
      <w:bookmarkStart w:id="64" w:name="_Ref367344984"/>
      <w:bookmarkStart w:id="65" w:name="_Toc381104420"/>
      <w:r>
        <w:t xml:space="preserve">Figure </w:t>
      </w:r>
      <w:r w:rsidR="000D6249">
        <w:fldChar w:fldCharType="begin"/>
      </w:r>
      <w:r w:rsidR="000D6249">
        <w:instrText xml:space="preserve"> SEQ Figure \* ARABIC </w:instrText>
      </w:r>
      <w:r w:rsidR="000D6249">
        <w:fldChar w:fldCharType="separate"/>
      </w:r>
      <w:r w:rsidR="00C476F4">
        <w:rPr>
          <w:noProof/>
        </w:rPr>
        <w:t>8</w:t>
      </w:r>
      <w:r w:rsidR="000D6249">
        <w:rPr>
          <w:noProof/>
        </w:rPr>
        <w:fldChar w:fldCharType="end"/>
      </w:r>
      <w:bookmarkEnd w:id="64"/>
      <w:r w:rsidR="002C1F46">
        <w:t>.</w:t>
      </w:r>
      <w:r>
        <w:t xml:space="preserve"> Comparison of </w:t>
      </w:r>
      <w:r w:rsidR="004F058E">
        <w:t>s</w:t>
      </w:r>
      <w:r>
        <w:t>teady-</w:t>
      </w:r>
      <w:r w:rsidR="004F058E">
        <w:t>s</w:t>
      </w:r>
      <w:r>
        <w:t xml:space="preserve">tate </w:t>
      </w:r>
      <w:r w:rsidR="004F058E">
        <w:t>e</w:t>
      </w:r>
      <w:r>
        <w:t xml:space="preserve">xposure </w:t>
      </w:r>
      <w:r w:rsidR="004F058E">
        <w:t>m</w:t>
      </w:r>
      <w:r>
        <w:t xml:space="preserve">easures </w:t>
      </w:r>
      <w:r w:rsidR="004F058E">
        <w:t>w</w:t>
      </w:r>
      <w:r>
        <w:t xml:space="preserve">ith </w:t>
      </w:r>
      <w:r w:rsidR="004F058E">
        <w:t>c</w:t>
      </w:r>
      <w:r>
        <w:t xml:space="preserve">hronic </w:t>
      </w:r>
      <w:r w:rsidR="004F058E">
        <w:t>a</w:t>
      </w:r>
      <w:r>
        <w:t xml:space="preserve">dministration of CYP-3A4 </w:t>
      </w:r>
      <w:r w:rsidR="004F058E">
        <w:t>i</w:t>
      </w:r>
      <w:r>
        <w:t xml:space="preserve">nhibitor, </w:t>
      </w:r>
      <w:r w:rsidR="004F058E">
        <w:t>s</w:t>
      </w:r>
      <w:r>
        <w:t xml:space="preserve">tratified by IM </w:t>
      </w:r>
      <w:r w:rsidR="004F058E">
        <w:t>d</w:t>
      </w:r>
      <w:r>
        <w:t xml:space="preserve">epot </w:t>
      </w:r>
      <w:r w:rsidR="004F058E">
        <w:t>d</w:t>
      </w:r>
      <w:r>
        <w:t>ose</w:t>
      </w:r>
      <w:bookmarkEnd w:id="65"/>
    </w:p>
    <w:p w14:paraId="24A32F6D" w14:textId="77777777" w:rsidR="002B55D9" w:rsidRDefault="002C1F46" w:rsidP="004F058E">
      <w:r>
        <w:rPr>
          <w:noProof/>
          <w:lang w:eastAsia="en-AU"/>
        </w:rPr>
        <w:drawing>
          <wp:inline distT="0" distB="0" distL="0" distR="0" wp14:anchorId="24A33236" wp14:editId="24A33237">
            <wp:extent cx="2895600" cy="2386189"/>
            <wp:effectExtent l="0" t="0" r="0" b="0"/>
            <wp:docPr id="16" name="Picture 16" descr="Figure 8. Comparison of Steady-State Exposure Measures With Chronic Administration of CYP-3A4 Inhibitor, Stratified by IM Depot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95600" cy="2386189"/>
                    </a:xfrm>
                    <a:prstGeom prst="rect">
                      <a:avLst/>
                    </a:prstGeom>
                  </pic:spPr>
                </pic:pic>
              </a:graphicData>
            </a:graphic>
          </wp:inline>
        </w:drawing>
      </w:r>
    </w:p>
    <w:p w14:paraId="24A32F6E" w14:textId="3F865190" w:rsidR="002B55D9" w:rsidRDefault="002B55D9" w:rsidP="004F058E">
      <w:pPr>
        <w:pStyle w:val="FigureTitle"/>
      </w:pPr>
      <w:bookmarkStart w:id="66" w:name="_Toc381104421"/>
      <w:r>
        <w:t xml:space="preserve">Figure </w:t>
      </w:r>
      <w:r w:rsidR="000D6249">
        <w:fldChar w:fldCharType="begin"/>
      </w:r>
      <w:r w:rsidR="000D6249">
        <w:instrText xml:space="preserve"> SEQ Figure \* ARABIC </w:instrText>
      </w:r>
      <w:r w:rsidR="000D6249">
        <w:fldChar w:fldCharType="separate"/>
      </w:r>
      <w:r w:rsidR="00C476F4">
        <w:rPr>
          <w:noProof/>
        </w:rPr>
        <w:t>9</w:t>
      </w:r>
      <w:r w:rsidR="000D6249">
        <w:rPr>
          <w:noProof/>
        </w:rPr>
        <w:fldChar w:fldCharType="end"/>
      </w:r>
      <w:r w:rsidR="002C1F46">
        <w:t>.</w:t>
      </w:r>
      <w:r>
        <w:t xml:space="preserve"> Comparison of </w:t>
      </w:r>
      <w:r w:rsidR="004F058E">
        <w:t>s</w:t>
      </w:r>
      <w:r>
        <w:t>teady-</w:t>
      </w:r>
      <w:r w:rsidR="004F058E">
        <w:t>s</w:t>
      </w:r>
      <w:r>
        <w:t xml:space="preserve">tate </w:t>
      </w:r>
      <w:r w:rsidR="004F058E">
        <w:t>e</w:t>
      </w:r>
      <w:r>
        <w:t xml:space="preserve">xposure </w:t>
      </w:r>
      <w:r w:rsidR="004F058E">
        <w:t>m</w:t>
      </w:r>
      <w:r>
        <w:t xml:space="preserve">easures </w:t>
      </w:r>
      <w:r w:rsidR="004F058E">
        <w:t>w</w:t>
      </w:r>
      <w:r>
        <w:t xml:space="preserve">ith </w:t>
      </w:r>
      <w:r w:rsidR="004F058E">
        <w:t>c</w:t>
      </w:r>
      <w:r>
        <w:t xml:space="preserve">hronic </w:t>
      </w:r>
      <w:r w:rsidR="004F058E">
        <w:t>a</w:t>
      </w:r>
      <w:r>
        <w:t xml:space="preserve">dministration of CYP-2D6 and CYP-3A4 </w:t>
      </w:r>
      <w:r w:rsidR="004F058E">
        <w:t>i</w:t>
      </w:r>
      <w:r>
        <w:t xml:space="preserve">nhibitors, </w:t>
      </w:r>
      <w:r w:rsidR="004F058E">
        <w:t>s</w:t>
      </w:r>
      <w:r>
        <w:t xml:space="preserve">tratified by IM </w:t>
      </w:r>
      <w:r w:rsidR="004F058E">
        <w:t>d</w:t>
      </w:r>
      <w:r>
        <w:t xml:space="preserve">epot </w:t>
      </w:r>
      <w:r w:rsidR="004F058E">
        <w:t>d</w:t>
      </w:r>
      <w:r>
        <w:t>ose</w:t>
      </w:r>
      <w:bookmarkEnd w:id="66"/>
    </w:p>
    <w:p w14:paraId="24A32F6F" w14:textId="77777777" w:rsidR="002C1F46" w:rsidRDefault="002C1F46" w:rsidP="004F058E">
      <w:r>
        <w:rPr>
          <w:noProof/>
          <w:lang w:eastAsia="en-AU"/>
        </w:rPr>
        <w:drawing>
          <wp:inline distT="0" distB="0" distL="0" distR="0" wp14:anchorId="24A33238" wp14:editId="24A33239">
            <wp:extent cx="3038475" cy="2563973"/>
            <wp:effectExtent l="0" t="0" r="0" b="0"/>
            <wp:docPr id="17" name="Picture 17" descr="Figure 9. Comparison of Steady-State Exposure Measures With Chronic Administration of CYP-2D6 and CYP-3A4 Inhibitors, Stratified by IM Depot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43055" cy="2567838"/>
                    </a:xfrm>
                    <a:prstGeom prst="rect">
                      <a:avLst/>
                    </a:prstGeom>
                  </pic:spPr>
                </pic:pic>
              </a:graphicData>
            </a:graphic>
          </wp:inline>
        </w:drawing>
      </w:r>
    </w:p>
    <w:p w14:paraId="24A32F71" w14:textId="7E924F6B" w:rsidR="002B55D9" w:rsidRPr="00A069CD" w:rsidRDefault="002B55D9" w:rsidP="004F058E">
      <w:pPr>
        <w:pStyle w:val="Heading6"/>
      </w:pPr>
      <w:r w:rsidRPr="00A069CD">
        <w:lastRenderedPageBreak/>
        <w:t xml:space="preserve">Simulation to </w:t>
      </w:r>
      <w:r w:rsidR="004F058E">
        <w:t>e</w:t>
      </w:r>
      <w:r w:rsidRPr="002C1F46">
        <w:t>valuate</w:t>
      </w:r>
      <w:r w:rsidRPr="00A069CD">
        <w:t xml:space="preserve"> the </w:t>
      </w:r>
      <w:r w:rsidR="004F058E">
        <w:t>i</w:t>
      </w:r>
      <w:r w:rsidRPr="00A069CD">
        <w:t xml:space="preserve">mpact of </w:t>
      </w:r>
      <w:r w:rsidR="004F058E">
        <w:t>d</w:t>
      </w:r>
      <w:r w:rsidRPr="00A069CD">
        <w:t xml:space="preserve">ose </w:t>
      </w:r>
      <w:r w:rsidR="004F058E">
        <w:t>d</w:t>
      </w:r>
      <w:r w:rsidRPr="00A069CD">
        <w:t>umping</w:t>
      </w:r>
    </w:p>
    <w:p w14:paraId="24A32F72" w14:textId="77777777" w:rsidR="002B55D9" w:rsidRDefault="002B55D9" w:rsidP="00613D1C">
      <w:r>
        <w:t>The most severe form of dose dumping which would involve administration of the first IM Depot dose as a bolus dose directly into the vasculature in conjunction with concomitant oral administration of daily doses of 1</w:t>
      </w:r>
      <w:r w:rsidR="002C1F46">
        <w:t>0 mg</w:t>
      </w:r>
      <w:r>
        <w:t xml:space="preserve"> for 14 days, </w:t>
      </w:r>
      <w:r w:rsidRPr="00A069CD">
        <w:t>reach</w:t>
      </w:r>
      <w:r>
        <w:t>ed</w:t>
      </w:r>
      <w:r w:rsidRPr="00A069CD">
        <w:t xml:space="preserve"> a pe</w:t>
      </w:r>
      <w:r>
        <w:t>ak of approximately 4,500ng/mL, after which</w:t>
      </w:r>
      <w:r w:rsidRPr="00A069CD">
        <w:t xml:space="preserve"> </w:t>
      </w:r>
      <w:r>
        <w:t xml:space="preserve">the median </w:t>
      </w:r>
      <w:proofErr w:type="spellStart"/>
      <w:r>
        <w:t>aripiprazole</w:t>
      </w:r>
      <w:proofErr w:type="spellEnd"/>
      <w:r>
        <w:t xml:space="preserve"> concentration then fell to values within the therapeutic window by approximately 3 days post dose.</w:t>
      </w:r>
    </w:p>
    <w:p w14:paraId="24A32F73" w14:textId="709B7B14" w:rsidR="002B55D9" w:rsidRDefault="002B55D9" w:rsidP="004F058E">
      <w:pPr>
        <w:pStyle w:val="FigureTitle"/>
      </w:pPr>
      <w:bookmarkStart w:id="67" w:name="_Toc381104422"/>
      <w:r>
        <w:t xml:space="preserve">Figure </w:t>
      </w:r>
      <w:r w:rsidR="000D6249">
        <w:fldChar w:fldCharType="begin"/>
      </w:r>
      <w:r w:rsidR="000D6249">
        <w:instrText xml:space="preserve"> SEQ Figure \* ARABIC </w:instrText>
      </w:r>
      <w:r w:rsidR="000D6249">
        <w:fldChar w:fldCharType="separate"/>
      </w:r>
      <w:r w:rsidR="00C476F4">
        <w:rPr>
          <w:noProof/>
        </w:rPr>
        <w:t>10</w:t>
      </w:r>
      <w:r w:rsidR="000D6249">
        <w:rPr>
          <w:noProof/>
        </w:rPr>
        <w:fldChar w:fldCharType="end"/>
      </w:r>
      <w:r w:rsidR="002C1F46">
        <w:t>.</w:t>
      </w:r>
      <w:r>
        <w:t xml:space="preserve"> Median </w:t>
      </w:r>
      <w:r w:rsidR="004F058E">
        <w:t>c</w:t>
      </w:r>
      <w:r>
        <w:t xml:space="preserve">oncentration </w:t>
      </w:r>
      <w:r w:rsidR="00BF2105">
        <w:t>versus</w:t>
      </w:r>
      <w:r>
        <w:t xml:space="preserve"> </w:t>
      </w:r>
      <w:r w:rsidR="004F058E">
        <w:t>d</w:t>
      </w:r>
      <w:r>
        <w:t xml:space="preserve">ay </w:t>
      </w:r>
      <w:r w:rsidR="004F058E">
        <w:t>w</w:t>
      </w:r>
      <w:r>
        <w:t xml:space="preserve">hen IM </w:t>
      </w:r>
      <w:r w:rsidR="004F058E">
        <w:t>d</w:t>
      </w:r>
      <w:r>
        <w:t xml:space="preserve">epot </w:t>
      </w:r>
      <w:r w:rsidR="004F058E">
        <w:t>i</w:t>
      </w:r>
      <w:r>
        <w:t xml:space="preserve">s </w:t>
      </w:r>
      <w:r w:rsidR="004F058E">
        <w:t>a</w:t>
      </w:r>
      <w:r>
        <w:t xml:space="preserve">dministered as an </w:t>
      </w:r>
      <w:r w:rsidR="004F058E">
        <w:t>i</w:t>
      </w:r>
      <w:r>
        <w:t xml:space="preserve">ntravenous </w:t>
      </w:r>
      <w:r w:rsidR="004F058E">
        <w:t>b</w:t>
      </w:r>
      <w:r>
        <w:t>olus</w:t>
      </w:r>
      <w:bookmarkEnd w:id="67"/>
    </w:p>
    <w:p w14:paraId="24A32F74" w14:textId="77777777" w:rsidR="002C1F46" w:rsidRDefault="002C1F46" w:rsidP="004F058E">
      <w:r>
        <w:rPr>
          <w:noProof/>
          <w:lang w:eastAsia="en-AU"/>
        </w:rPr>
        <w:drawing>
          <wp:inline distT="0" distB="0" distL="0" distR="0" wp14:anchorId="24A3323A" wp14:editId="24A3323B">
            <wp:extent cx="3743325" cy="2820601"/>
            <wp:effectExtent l="0" t="0" r="0" b="0"/>
            <wp:docPr id="19" name="Picture 19" descr="Figure 10. Median Concentration vs. Day When IM Depot Is Administered as an Intravenous Bo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3584"/>
                    <a:stretch/>
                  </pic:blipFill>
                  <pic:spPr bwMode="auto">
                    <a:xfrm>
                      <a:off x="0" y="0"/>
                      <a:ext cx="3749869" cy="2825532"/>
                    </a:xfrm>
                    <a:prstGeom prst="rect">
                      <a:avLst/>
                    </a:prstGeom>
                    <a:ln>
                      <a:noFill/>
                    </a:ln>
                    <a:extLst>
                      <a:ext uri="{53640926-AAD7-44D8-BBD7-CCE9431645EC}">
                        <a14:shadowObscured xmlns:a14="http://schemas.microsoft.com/office/drawing/2010/main"/>
                      </a:ext>
                    </a:extLst>
                  </pic:spPr>
                </pic:pic>
              </a:graphicData>
            </a:graphic>
          </wp:inline>
        </w:drawing>
      </w:r>
    </w:p>
    <w:p w14:paraId="24A32F75" w14:textId="17CDB37E" w:rsidR="002B55D9" w:rsidRPr="00B44949" w:rsidRDefault="002B55D9" w:rsidP="004F058E">
      <w:pPr>
        <w:pStyle w:val="Heading4"/>
      </w:pPr>
      <w:bookmarkStart w:id="68" w:name="_Ref364078933"/>
      <w:bookmarkStart w:id="69" w:name="_Ref364079529"/>
      <w:bookmarkStart w:id="70" w:name="_Toc381104183"/>
      <w:r w:rsidRPr="00B44949">
        <w:t>Report 31-12-292</w:t>
      </w:r>
      <w:bookmarkEnd w:id="68"/>
      <w:bookmarkEnd w:id="69"/>
      <w:bookmarkEnd w:id="70"/>
    </w:p>
    <w:p w14:paraId="24A32F76" w14:textId="77777777" w:rsidR="002B55D9" w:rsidRDefault="002B55D9" w:rsidP="004F058E">
      <w:r w:rsidRPr="00CB2760">
        <w:t xml:space="preserve">Validation of a Previously Developed Population Pharmacokinetic Model for </w:t>
      </w:r>
      <w:proofErr w:type="spellStart"/>
      <w:r w:rsidRPr="00CB2760">
        <w:t>Aripiprazole</w:t>
      </w:r>
      <w:proofErr w:type="spellEnd"/>
      <w:r w:rsidRPr="00CB2760">
        <w:t xml:space="preserve"> IM Depot Formulation as Maintenance Treatment in Subjects With Schizophrenia Using </w:t>
      </w:r>
      <w:r>
        <w:t>Data From Protocol 31-07-247.</w:t>
      </w:r>
    </w:p>
    <w:p w14:paraId="24A32F77" w14:textId="41D183DA" w:rsidR="002B55D9" w:rsidRDefault="002B55D9" w:rsidP="004F058E">
      <w:r>
        <w:t>Data Source:</w:t>
      </w:r>
      <w:r w:rsidRPr="00566892">
        <w:t xml:space="preserve"> </w:t>
      </w:r>
      <w:r>
        <w:t>From the previous population PK analysis (CSR 31-11-287) with a 6,153 concentration records from 663 subjects with doses ranging from 10</w:t>
      </w:r>
      <w:r w:rsidR="002C1F46">
        <w:t>0 mg</w:t>
      </w:r>
      <w:r>
        <w:t xml:space="preserve"> to 40</w:t>
      </w:r>
      <w:r w:rsidR="002C1F46">
        <w:t>0 mg</w:t>
      </w:r>
      <w:r>
        <w:t xml:space="preserve"> IM Depot plus 896 </w:t>
      </w:r>
      <w:proofErr w:type="spellStart"/>
      <w:r>
        <w:t>aripiprazole</w:t>
      </w:r>
      <w:proofErr w:type="spellEnd"/>
      <w:r>
        <w:t xml:space="preserve"> concentration records from 251 subjects enrolled in the 40</w:t>
      </w:r>
      <w:r w:rsidR="002C1F46">
        <w:t>0 mg</w:t>
      </w:r>
      <w:r>
        <w:t xml:space="preserve"> IM Depot treatment arm for the double-blind period of the study 31-07-247 giving a final total of 7,049 samples and 914 subjects, with doses ranging from 10</w:t>
      </w:r>
      <w:r w:rsidR="002C1F46">
        <w:t>0 mg</w:t>
      </w:r>
      <w:r>
        <w:t xml:space="preserve"> to 40</w:t>
      </w:r>
      <w:r w:rsidR="002C1F46">
        <w:t>0 mg</w:t>
      </w:r>
      <w:r w:rsidR="004F058E">
        <w:t xml:space="preserve"> IM Depot.</w:t>
      </w:r>
    </w:p>
    <w:p w14:paraId="24A32F78" w14:textId="77777777" w:rsidR="002B55D9" w:rsidRDefault="002B55D9" w:rsidP="004F058E">
      <w:r>
        <w:t xml:space="preserve">This report was to assess the ability of the previously developed oral + IM Depot population PK model (CSR: 31-11-287) to describe data from the recently completed </w:t>
      </w:r>
      <w:r w:rsidR="0053374E">
        <w:t>Phase III</w:t>
      </w:r>
      <w:r>
        <w:t xml:space="preserve"> Trial 31-07-247 of </w:t>
      </w:r>
      <w:proofErr w:type="spellStart"/>
      <w:r>
        <w:t>aripiprazole</w:t>
      </w:r>
      <w:proofErr w:type="spellEnd"/>
      <w:r>
        <w:t xml:space="preserve"> IM Depot.</w:t>
      </w:r>
    </w:p>
    <w:p w14:paraId="24A32F79" w14:textId="77777777" w:rsidR="002B55D9" w:rsidRDefault="002B55D9" w:rsidP="004F058E">
      <w:r>
        <w:t>Following an exploratory analysis, then:</w:t>
      </w:r>
    </w:p>
    <w:p w14:paraId="24A32F7A" w14:textId="77777777" w:rsidR="002B55D9" w:rsidRDefault="002B55D9" w:rsidP="004F058E">
      <w:pPr>
        <w:pStyle w:val="ListBullet"/>
      </w:pPr>
      <w:r>
        <w:t>Using the population prediction errors (%PE), performed a predictive performance assessment of the previously developed population PK model (CSR: 31-11-287) applied to the Initial 247 Dataset.</w:t>
      </w:r>
      <w:r>
        <w:rPr>
          <w:rStyle w:val="FootnoteReference"/>
        </w:rPr>
        <w:footnoteReference w:id="10"/>
      </w:r>
    </w:p>
    <w:p w14:paraId="24A32F7B" w14:textId="77777777" w:rsidR="002B55D9" w:rsidRDefault="002B55D9" w:rsidP="004F058E">
      <w:pPr>
        <w:pStyle w:val="ListBullet"/>
      </w:pPr>
      <w:r>
        <w:t>Performed a visual predictive check (VPC) of the previously developed population PK model using the Final 247 Dataset.</w:t>
      </w:r>
      <w:r>
        <w:rPr>
          <w:rStyle w:val="FootnoteReference"/>
        </w:rPr>
        <w:footnoteReference w:id="11"/>
      </w:r>
    </w:p>
    <w:p w14:paraId="24A32F7C" w14:textId="77777777" w:rsidR="002B55D9" w:rsidRDefault="002B55D9" w:rsidP="004F058E">
      <w:r>
        <w:lastRenderedPageBreak/>
        <w:t>If the following criteria were met, the previous population PK model (CSR: 31-11-287) was considered adequate to describe the Trial 31-07-247 data:</w:t>
      </w:r>
    </w:p>
    <w:p w14:paraId="24A32F7D" w14:textId="77777777" w:rsidR="002B55D9" w:rsidRDefault="002B55D9" w:rsidP="004F058E">
      <w:pPr>
        <w:pStyle w:val="ListBullet"/>
      </w:pPr>
      <w:r>
        <w:t>The median %PE was within ± 10%. The median |%PE| was less than 40%.</w:t>
      </w:r>
    </w:p>
    <w:p w14:paraId="24A32F7E" w14:textId="77777777" w:rsidR="002B55D9" w:rsidRDefault="002B55D9" w:rsidP="004F058E">
      <w:pPr>
        <w:pStyle w:val="ListBullet"/>
      </w:pPr>
      <w:r>
        <w:t xml:space="preserve">The results of the </w:t>
      </w:r>
      <w:r w:rsidRPr="00E1623F">
        <w:t>visual predictive check</w:t>
      </w:r>
      <w:r>
        <w:t xml:space="preserve"> were graphically similar and showed similar percentages of observed concentrations below the simulated 5th percentile and above the simulated 95th percentile as the </w:t>
      </w:r>
      <w:r w:rsidRPr="00E1623F">
        <w:t>visual predictive check</w:t>
      </w:r>
      <w:r>
        <w:t xml:space="preserve"> of the previously developed model.</w:t>
      </w:r>
    </w:p>
    <w:p w14:paraId="24A32F7F" w14:textId="77777777" w:rsidR="002B55D9" w:rsidRDefault="002B55D9" w:rsidP="004C5C99">
      <w:r>
        <w:t xml:space="preserve">As a supplemental analysis, model parameters were re-estimated using the Combined Analysis Dataset and the re-estimated model parameters were compared with those from the previous analysis (CSR: 31-11-287) using a Wald test. In addition, a </w:t>
      </w:r>
      <w:r w:rsidRPr="0011459D">
        <w:t>visual predictive check</w:t>
      </w:r>
      <w:r>
        <w:t xml:space="preserve"> of the re-estimated model was performed.</w:t>
      </w:r>
    </w:p>
    <w:p w14:paraId="24A32F80" w14:textId="1F1FC3EB" w:rsidR="002B55D9" w:rsidRPr="0011459D" w:rsidRDefault="002C1F46" w:rsidP="004C5C99">
      <w:pPr>
        <w:pStyle w:val="Heading5"/>
      </w:pPr>
      <w:r>
        <w:t>Results</w:t>
      </w:r>
    </w:p>
    <w:p w14:paraId="24A32F81" w14:textId="77777777" w:rsidR="002B55D9" w:rsidRDefault="002B55D9" w:rsidP="004C5C99">
      <w:r>
        <w:t>The predictive performance evaluation of the 40</w:t>
      </w:r>
      <w:r w:rsidR="002C1F46">
        <w:t>0 mg</w:t>
      </w:r>
      <w:r>
        <w:t xml:space="preserve"> IM Depot treatment arm for the Final 247 Dataset showed the median %PE was -6.78% and the median absolute %PE (|%PE|) was 29.22%. Both of these measures met the predefined values of accuracy and precision for acceptance of the previous model to describe the 40</w:t>
      </w:r>
      <w:r w:rsidR="002C1F46">
        <w:t>0 mg</w:t>
      </w:r>
      <w:r>
        <w:t xml:space="preserve"> IM Depot for Trial 31-07-247.</w:t>
      </w:r>
    </w:p>
    <w:p w14:paraId="24A32F82" w14:textId="77777777" w:rsidR="002B55D9" w:rsidRDefault="002B55D9" w:rsidP="004C5C99">
      <w:r>
        <w:t xml:space="preserve">The </w:t>
      </w:r>
      <w:r w:rsidRPr="0011459D">
        <w:t>visual predictive check</w:t>
      </w:r>
      <w:r>
        <w:t xml:space="preserve"> of the previous model (CSR: 31-11-287) applied to the 40</w:t>
      </w:r>
      <w:r w:rsidR="002C1F46">
        <w:t>0 mg</w:t>
      </w:r>
      <w:r>
        <w:t xml:space="preserve"> IM Depot treatment arm of the Final 247 Dataset showed that the previous model predicted the Final 247 Dataset as well as it predicted the Previous Analysis Dataset. The simulated median and 95th percentile fully corresponded with the observed median and 95th percentile of the data. The simulated 5th percentile was slightly lower than the observed 5th percentile of the data as was observed for</w:t>
      </w:r>
      <w:r w:rsidRPr="0011459D">
        <w:t xml:space="preserve"> </w:t>
      </w:r>
      <w:r>
        <w:t xml:space="preserve">the </w:t>
      </w:r>
      <w:r w:rsidRPr="0011459D">
        <w:t>visual predictive check</w:t>
      </w:r>
      <w:r>
        <w:t xml:space="preserve"> of the previous analysis (CSR: 31-11-287).</w:t>
      </w:r>
    </w:p>
    <w:p w14:paraId="24A32F83" w14:textId="77777777" w:rsidR="002B55D9" w:rsidRPr="004C5C99" w:rsidRDefault="002B55D9" w:rsidP="004C5C99">
      <w:r w:rsidRPr="004C5C99">
        <w:rPr>
          <w:i/>
        </w:rPr>
        <w:t>Supplemental Analysis</w:t>
      </w:r>
      <w:r w:rsidRPr="004C5C99">
        <w:t>: The Wald test and visual predictive check of the re-estimated model further confirmed the results of the external validation. Furthermore, PK exposures calculated using Bayesian parameter estimates obtained by applying the previous model to the Combined Analysis Dataset were similar to those from the previous analysis (CSR: 31-11-287).</w:t>
      </w:r>
    </w:p>
    <w:p w14:paraId="24A32F84" w14:textId="78616CC2" w:rsidR="002B55D9" w:rsidRDefault="002B55D9" w:rsidP="004C5C99">
      <w:pPr>
        <w:pStyle w:val="TableTitle"/>
      </w:pPr>
      <w:bookmarkStart w:id="71" w:name="_Ref364070457"/>
      <w:bookmarkStart w:id="72" w:name="_Toc381104324"/>
      <w:r>
        <w:lastRenderedPageBreak/>
        <w:t xml:space="preserve">Table </w:t>
      </w:r>
      <w:r w:rsidR="000D6249">
        <w:fldChar w:fldCharType="begin"/>
      </w:r>
      <w:r w:rsidR="000D6249">
        <w:instrText xml:space="preserve"> SEQ Table \* ARABIC </w:instrText>
      </w:r>
      <w:r w:rsidR="000D6249">
        <w:fldChar w:fldCharType="separate"/>
      </w:r>
      <w:r w:rsidR="00C476F4">
        <w:rPr>
          <w:noProof/>
        </w:rPr>
        <w:t>5</w:t>
      </w:r>
      <w:r w:rsidR="000D6249">
        <w:rPr>
          <w:noProof/>
        </w:rPr>
        <w:fldChar w:fldCharType="end"/>
      </w:r>
      <w:bookmarkEnd w:id="71"/>
      <w:r w:rsidR="002C1F46">
        <w:rPr>
          <w:noProof/>
        </w:rPr>
        <w:t>.</w:t>
      </w:r>
      <w:r>
        <w:t xml:space="preserve"> Summary </w:t>
      </w:r>
      <w:r w:rsidR="004C5C99">
        <w:t>s</w:t>
      </w:r>
      <w:r>
        <w:t xml:space="preserve">tatistics of the </w:t>
      </w:r>
      <w:proofErr w:type="spellStart"/>
      <w:r w:rsidR="004C5C99">
        <w:t>b</w:t>
      </w:r>
      <w:r>
        <w:t>ayesian</w:t>
      </w:r>
      <w:proofErr w:type="spellEnd"/>
      <w:r>
        <w:t xml:space="preserve"> </w:t>
      </w:r>
      <w:r w:rsidR="004C5C99">
        <w:t>p</w:t>
      </w:r>
      <w:r>
        <w:t xml:space="preserve">arameter </w:t>
      </w:r>
      <w:r w:rsidR="004C5C99">
        <w:t>e</w:t>
      </w:r>
      <w:r>
        <w:t xml:space="preserve">stimates for the </w:t>
      </w:r>
      <w:r w:rsidR="004C5C99">
        <w:t>c</w:t>
      </w:r>
      <w:r>
        <w:t xml:space="preserve">ombined </w:t>
      </w:r>
      <w:r w:rsidR="004C5C99">
        <w:t>a</w:t>
      </w:r>
      <w:r>
        <w:t xml:space="preserve">nalysis </w:t>
      </w:r>
      <w:r w:rsidR="004C5C99">
        <w:t>d</w:t>
      </w:r>
      <w:r>
        <w:t>ataset (</w:t>
      </w:r>
      <w:r w:rsidR="004C5C99">
        <w:t>f</w:t>
      </w:r>
      <w:r>
        <w:t xml:space="preserve">inal 247 </w:t>
      </w:r>
      <w:r w:rsidR="004C5C99">
        <w:t>d</w:t>
      </w:r>
      <w:r>
        <w:t xml:space="preserve">ataset and </w:t>
      </w:r>
      <w:r w:rsidR="004C5C99">
        <w:t>p</w:t>
      </w:r>
      <w:r>
        <w:t xml:space="preserve">revious </w:t>
      </w:r>
      <w:r w:rsidR="004C5C99">
        <w:t>a</w:t>
      </w:r>
      <w:r>
        <w:t xml:space="preserve">nalysis </w:t>
      </w:r>
      <w:r w:rsidR="004C5C99">
        <w:t>d</w:t>
      </w:r>
      <w:r>
        <w:t>ataset CSR: 31-11-287)</w:t>
      </w:r>
      <w:bookmarkEnd w:id="72"/>
    </w:p>
    <w:p w14:paraId="24A32F85" w14:textId="77777777" w:rsidR="002B55D9" w:rsidRDefault="002B55D9" w:rsidP="004C5C99">
      <w:r>
        <w:rPr>
          <w:noProof/>
          <w:lang w:eastAsia="en-AU"/>
        </w:rPr>
        <w:drawing>
          <wp:inline distT="0" distB="0" distL="0" distR="0" wp14:anchorId="24A3323C" wp14:editId="656B4594">
            <wp:extent cx="4043564" cy="3814762"/>
            <wp:effectExtent l="19050" t="19050" r="14605" b="14605"/>
            <wp:docPr id="92" name="Picture 92" descr="Table 5. Summary Statistics of the Bayesian Parameter Estimates for the Combined Analysis Dataset (Final 247 Dataset and Previous Analysis Dataset CSR: 31-1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30" cstate="print"/>
                    <a:srcRect l="1611" t="1268" b="1268"/>
                    <a:stretch/>
                  </pic:blipFill>
                  <pic:spPr bwMode="auto">
                    <a:xfrm>
                      <a:off x="0" y="0"/>
                      <a:ext cx="4048294" cy="3819224"/>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4A32F88" w14:textId="3E5341BD" w:rsidR="002B55D9" w:rsidRDefault="002B55D9" w:rsidP="004C5C99">
      <w:pPr>
        <w:pStyle w:val="TableTitle"/>
      </w:pPr>
      <w:bookmarkStart w:id="73" w:name="_Toc381104325"/>
      <w:r>
        <w:t xml:space="preserve">Table </w:t>
      </w:r>
      <w:r w:rsidR="000D6249">
        <w:fldChar w:fldCharType="begin"/>
      </w:r>
      <w:r w:rsidR="000D6249">
        <w:instrText xml:space="preserve"> SEQ Table \* ARABIC </w:instrText>
      </w:r>
      <w:r w:rsidR="000D6249">
        <w:fldChar w:fldCharType="separate"/>
      </w:r>
      <w:r w:rsidR="00C476F4">
        <w:rPr>
          <w:noProof/>
        </w:rPr>
        <w:t>6</w:t>
      </w:r>
      <w:r w:rsidR="000D6249">
        <w:rPr>
          <w:noProof/>
        </w:rPr>
        <w:fldChar w:fldCharType="end"/>
      </w:r>
      <w:r w:rsidR="002C1F46">
        <w:rPr>
          <w:noProof/>
        </w:rPr>
        <w:t>.</w:t>
      </w:r>
      <w:r>
        <w:t xml:space="preserve"> Summary </w:t>
      </w:r>
      <w:r w:rsidR="004C5C99">
        <w:t>s</w:t>
      </w:r>
      <w:r>
        <w:t xml:space="preserve">tatistics of the </w:t>
      </w:r>
      <w:r w:rsidR="004C5C99">
        <w:t>i</w:t>
      </w:r>
      <w:r>
        <w:t xml:space="preserve">ndividual </w:t>
      </w:r>
      <w:r w:rsidR="004C5C99">
        <w:t>p</w:t>
      </w:r>
      <w:r>
        <w:t xml:space="preserve">redicted </w:t>
      </w:r>
      <w:r w:rsidR="004C5C99">
        <w:t>e</w:t>
      </w:r>
      <w:r>
        <w:t xml:space="preserve">xposure </w:t>
      </w:r>
      <w:r w:rsidR="004C5C99">
        <w:t>m</w:t>
      </w:r>
      <w:r>
        <w:t xml:space="preserve">easures for the </w:t>
      </w:r>
      <w:r w:rsidR="004C5C99">
        <w:t>c</w:t>
      </w:r>
      <w:r>
        <w:t xml:space="preserve">ombined </w:t>
      </w:r>
      <w:r w:rsidR="004C5C99">
        <w:t>a</w:t>
      </w:r>
      <w:r>
        <w:t xml:space="preserve">nalysis </w:t>
      </w:r>
      <w:r w:rsidR="004C5C99">
        <w:t>d</w:t>
      </w:r>
      <w:r>
        <w:t>ataset (</w:t>
      </w:r>
      <w:r w:rsidR="004C5C99">
        <w:t>f</w:t>
      </w:r>
      <w:r>
        <w:t xml:space="preserve">inal 247 </w:t>
      </w:r>
      <w:r w:rsidR="004C5C99">
        <w:t>d</w:t>
      </w:r>
      <w:r>
        <w:t xml:space="preserve">ataset and </w:t>
      </w:r>
      <w:r w:rsidR="004C5C99">
        <w:t>p</w:t>
      </w:r>
      <w:r>
        <w:t xml:space="preserve">revious </w:t>
      </w:r>
      <w:r w:rsidR="004C5C99">
        <w:t>a</w:t>
      </w:r>
      <w:r>
        <w:t xml:space="preserve">nalysis </w:t>
      </w:r>
      <w:r w:rsidR="004C5C99">
        <w:t>d</w:t>
      </w:r>
      <w:r>
        <w:t>ataset CSR: 31-11-287)</w:t>
      </w:r>
      <w:bookmarkEnd w:id="73"/>
    </w:p>
    <w:p w14:paraId="24A32F89" w14:textId="77777777" w:rsidR="002B55D9" w:rsidRDefault="002B55D9" w:rsidP="004C5C99">
      <w:r>
        <w:rPr>
          <w:noProof/>
          <w:lang w:eastAsia="en-AU"/>
        </w:rPr>
        <w:drawing>
          <wp:inline distT="0" distB="0" distL="0" distR="0" wp14:anchorId="24A3323E" wp14:editId="675BE0C1">
            <wp:extent cx="4010985" cy="1378743"/>
            <wp:effectExtent l="19050" t="19050" r="27940" b="12065"/>
            <wp:docPr id="14" name="Picture 95" descr="Table 6. Summary Statistics of the Individual Predicted Exposure Measures for the Combined Analysis Dataset (Final 247 Dataset and Previous Analysis Dataset CSR: 31-1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31" cstate="print"/>
                    <a:srcRect l="1363" t="2380" b="2858"/>
                    <a:stretch/>
                  </pic:blipFill>
                  <pic:spPr bwMode="auto">
                    <a:xfrm>
                      <a:off x="0" y="0"/>
                      <a:ext cx="4023401" cy="1383011"/>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24A32F8A" w14:textId="61DEDB53" w:rsidR="002B55D9" w:rsidRPr="00384CDF" w:rsidRDefault="002B55D9" w:rsidP="004C5C99">
      <w:pPr>
        <w:pStyle w:val="TableTitle"/>
      </w:pPr>
      <w:bookmarkStart w:id="74" w:name="_Toc381104326"/>
      <w:r w:rsidRPr="00384CDF">
        <w:t xml:space="preserve">Table </w:t>
      </w:r>
      <w:r w:rsidR="000D6249">
        <w:fldChar w:fldCharType="begin"/>
      </w:r>
      <w:r w:rsidR="000D6249">
        <w:instrText xml:space="preserve"> SEQ Table \* ARABIC </w:instrText>
      </w:r>
      <w:r w:rsidR="000D6249">
        <w:fldChar w:fldCharType="separate"/>
      </w:r>
      <w:r w:rsidR="00C476F4">
        <w:rPr>
          <w:noProof/>
        </w:rPr>
        <w:t>7</w:t>
      </w:r>
      <w:r w:rsidR="000D6249">
        <w:rPr>
          <w:noProof/>
        </w:rPr>
        <w:fldChar w:fldCharType="end"/>
      </w:r>
      <w:r w:rsidR="002C1F46">
        <w:rPr>
          <w:noProof/>
        </w:rPr>
        <w:t>.</w:t>
      </w:r>
      <w:r w:rsidRPr="00384CDF">
        <w:t xml:space="preserve"> Summary </w:t>
      </w:r>
      <w:r w:rsidR="004C5C99">
        <w:t>s</w:t>
      </w:r>
      <w:r w:rsidRPr="00384CDF">
        <w:t xml:space="preserve">tatistics of </w:t>
      </w:r>
      <w:r w:rsidR="004C5C99">
        <w:t>p</w:t>
      </w:r>
      <w:r w:rsidRPr="00384CDF">
        <w:t xml:space="preserve">rediction </w:t>
      </w:r>
      <w:r w:rsidR="004C5C99">
        <w:t>e</w:t>
      </w:r>
      <w:r w:rsidRPr="00384CDF">
        <w:t>rro</w:t>
      </w:r>
      <w:r>
        <w:t xml:space="preserve">rs for IM </w:t>
      </w:r>
      <w:r w:rsidR="004C5C99">
        <w:t>d</w:t>
      </w:r>
      <w:r>
        <w:t xml:space="preserve">epot </w:t>
      </w:r>
      <w:r w:rsidR="004C5C99">
        <w:t>d</w:t>
      </w:r>
      <w:r>
        <w:t>ose of 30</w:t>
      </w:r>
      <w:r w:rsidR="002C1F46">
        <w:t>0 mg</w:t>
      </w:r>
      <w:r>
        <w:t xml:space="preserve"> or 40</w:t>
      </w:r>
      <w:r w:rsidR="002C1F46">
        <w:t>0 mg</w:t>
      </w:r>
      <w:bookmarkEnd w:id="74"/>
    </w:p>
    <w:p w14:paraId="24A32F8B" w14:textId="77777777" w:rsidR="002B55D9" w:rsidRDefault="002B55D9" w:rsidP="004C5C99">
      <w:r>
        <w:rPr>
          <w:noProof/>
          <w:lang w:eastAsia="en-AU"/>
        </w:rPr>
        <w:drawing>
          <wp:inline distT="0" distB="0" distL="0" distR="0" wp14:anchorId="24A33240" wp14:editId="539E6148">
            <wp:extent cx="4943475" cy="961367"/>
            <wp:effectExtent l="0" t="0" r="0" b="0"/>
            <wp:docPr id="89" name="Picture 89" descr="Table 7. Summary Statistics of Prediction Errors for IM Depot Dose of 300 mg or 400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2" cstate="print"/>
                    <a:srcRect/>
                    <a:stretch>
                      <a:fillRect/>
                    </a:stretch>
                  </pic:blipFill>
                  <pic:spPr bwMode="auto">
                    <a:xfrm>
                      <a:off x="0" y="0"/>
                      <a:ext cx="4943899" cy="961449"/>
                    </a:xfrm>
                    <a:prstGeom prst="rect">
                      <a:avLst/>
                    </a:prstGeom>
                    <a:noFill/>
                    <a:ln w="9525">
                      <a:noFill/>
                      <a:miter lim="800000"/>
                      <a:headEnd/>
                      <a:tailEnd/>
                    </a:ln>
                  </pic:spPr>
                </pic:pic>
              </a:graphicData>
            </a:graphic>
          </wp:inline>
        </w:drawing>
      </w:r>
    </w:p>
    <w:p w14:paraId="5F5927F7" w14:textId="74ABF77E" w:rsidR="00EC2B15" w:rsidRDefault="002B55D9" w:rsidP="00613D1C">
      <w:pPr>
        <w:pStyle w:val="TableDescription"/>
      </w:pPr>
      <w:r w:rsidRPr="002C1F46">
        <w:rPr>
          <w:vertAlign w:val="superscript"/>
        </w:rPr>
        <w:t>a</w:t>
      </w:r>
      <w:r w:rsidRPr="002C1F46">
        <w:t xml:space="preserve"> Median population prediction error is within ± 10% and median absolute prediction error is less than 40%. </w:t>
      </w:r>
      <w:r w:rsidRPr="00613D1C">
        <w:t>Therefore</w:t>
      </w:r>
      <w:r w:rsidRPr="002C1F46">
        <w:t>, the previous model adequately describes the data from Trial 31-07-247 for doses of 30</w:t>
      </w:r>
      <w:r w:rsidR="002C1F46" w:rsidRPr="002C1F46">
        <w:t>0 mg</w:t>
      </w:r>
      <w:r w:rsidRPr="002C1F46">
        <w:t xml:space="preserve"> or more of IM Depot</w:t>
      </w:r>
      <w:r w:rsidR="00613D1C">
        <w:t>.</w:t>
      </w:r>
    </w:p>
    <w:p w14:paraId="24A32F90" w14:textId="0442976F" w:rsidR="002B55D9" w:rsidRDefault="00EC2B15" w:rsidP="004C5C99">
      <w:pPr>
        <w:pStyle w:val="Heading4"/>
      </w:pPr>
      <w:bookmarkStart w:id="75" w:name="_Toc381104184"/>
      <w:r>
        <w:t>R</w:t>
      </w:r>
      <w:r w:rsidR="002B55D9" w:rsidRPr="00CB2760">
        <w:t xml:space="preserve">eport </w:t>
      </w:r>
      <w:r w:rsidR="002B55D9">
        <w:t>31-00-233 (</w:t>
      </w:r>
      <w:r w:rsidR="004C5C99">
        <w:t>p</w:t>
      </w:r>
      <w:r w:rsidR="002B55D9">
        <w:t>reviously submitted)</w:t>
      </w:r>
      <w:bookmarkEnd w:id="75"/>
    </w:p>
    <w:p w14:paraId="24A32F91" w14:textId="77777777" w:rsidR="002B55D9" w:rsidRDefault="002B55D9" w:rsidP="004C5C99">
      <w:r>
        <w:t>The previously conducted evaluation report follows:</w:t>
      </w:r>
    </w:p>
    <w:p w14:paraId="24A32F92" w14:textId="4001589B" w:rsidR="002B55D9" w:rsidRDefault="002B55D9" w:rsidP="004C5C99">
      <w:r>
        <w:t xml:space="preserve">Population Pharmacokinetic </w:t>
      </w:r>
      <w:proofErr w:type="spellStart"/>
      <w:r>
        <w:t>Pharmacodynamic</w:t>
      </w:r>
      <w:proofErr w:type="spellEnd"/>
      <w:r>
        <w:t xml:space="preserve"> Anal</w:t>
      </w:r>
      <w:r w:rsidR="00613D1C">
        <w:t xml:space="preserve">ysis of </w:t>
      </w:r>
      <w:proofErr w:type="spellStart"/>
      <w:r w:rsidR="00613D1C">
        <w:t>Aripiprazole</w:t>
      </w:r>
      <w:proofErr w:type="spellEnd"/>
      <w:r w:rsidR="00613D1C">
        <w:t xml:space="preserve"> 31-00-233:</w:t>
      </w:r>
    </w:p>
    <w:p w14:paraId="24A32F93" w14:textId="77777777" w:rsidR="002B55D9" w:rsidRDefault="002B55D9" w:rsidP="004C5C99">
      <w:r>
        <w:lastRenderedPageBreak/>
        <w:t xml:space="preserve">used the data from 4 double-blind studies and 1 open continuation study of </w:t>
      </w:r>
      <w:proofErr w:type="spellStart"/>
      <w:r>
        <w:t>aripiprazole</w:t>
      </w:r>
      <w:proofErr w:type="spellEnd"/>
      <w:r>
        <w:t xml:space="preserve"> in patients with psychosis in a population pharmacokinetic analysis. The trials involved are summarised together with the pharmacokinetic and pharmacodynamic observations, in Appendix 1 (of original CER).</w:t>
      </w:r>
    </w:p>
    <w:p w14:paraId="24A32F94" w14:textId="77777777" w:rsidR="002B55D9" w:rsidRDefault="002B55D9" w:rsidP="004C5C99">
      <w:r>
        <w:t>The original dataset comprised assay results on 4,226 samples but the set subjected to NONMEN analysis was reduced by clean-up procedures to 2,563 observations. Observations on efficacy (PANSS scores) from the double-blind studies were used in combined PK/PD analysis; the results from 2,472 out of an original 3,812 values were analysed.</w:t>
      </w:r>
    </w:p>
    <w:p w14:paraId="24A32F95" w14:textId="77777777" w:rsidR="002B55D9" w:rsidRPr="00CB2760" w:rsidRDefault="002B55D9" w:rsidP="004C5C99">
      <w:r>
        <w:t xml:space="preserve">After a computational </w:t>
      </w:r>
      <w:r w:rsidRPr="0010042A">
        <w:rPr>
          <w:i/>
        </w:rPr>
        <w:t>tour de force</w:t>
      </w:r>
      <w:r>
        <w:t xml:space="preserve"> the pharmacokinetic data could be modelled as one compartment with first order absorption. This contrasts with the consistent result from pharmacokinetic studies described above which obtained a good fit to a 2 compartment model with a rapid distribution and relatively slow elimination.</w:t>
      </w:r>
    </w:p>
    <w:p w14:paraId="24A32F96" w14:textId="2B99F224" w:rsidR="002B55D9" w:rsidRDefault="002B55D9" w:rsidP="004C5C99">
      <w:pPr>
        <w:pStyle w:val="Heading3"/>
      </w:pPr>
      <w:bookmarkStart w:id="76" w:name="_Toc381104185"/>
      <w:bookmarkStart w:id="77" w:name="_Toc408930634"/>
      <w:r w:rsidRPr="00234E70">
        <w:t xml:space="preserve">Pharmacokinetics in </w:t>
      </w:r>
      <w:r>
        <w:t>patients and healthy</w:t>
      </w:r>
      <w:r w:rsidRPr="00234E70">
        <w:t xml:space="preserve"> subjects</w:t>
      </w:r>
      <w:bookmarkEnd w:id="41"/>
      <w:bookmarkEnd w:id="42"/>
      <w:bookmarkEnd w:id="43"/>
      <w:bookmarkEnd w:id="44"/>
      <w:bookmarkEnd w:id="76"/>
      <w:bookmarkEnd w:id="77"/>
    </w:p>
    <w:p w14:paraId="24A32F97" w14:textId="77777777" w:rsidR="002B55D9" w:rsidRPr="000A268A" w:rsidRDefault="002B55D9" w:rsidP="004C5C99">
      <w:r w:rsidRPr="000A268A">
        <w:t>The principal PopPK study 31-11-287 included data from both patients and healthy subjects.</w:t>
      </w:r>
    </w:p>
    <w:p w14:paraId="24A32F98" w14:textId="77777777" w:rsidR="002B55D9" w:rsidRPr="00234E70" w:rsidRDefault="002B55D9" w:rsidP="004C5C99">
      <w:pPr>
        <w:pStyle w:val="Heading4"/>
      </w:pPr>
      <w:bookmarkStart w:id="78" w:name="_Toc272414619"/>
      <w:bookmarkStart w:id="79" w:name="_Toc290846242"/>
      <w:bookmarkStart w:id="80" w:name="_Toc381104186"/>
      <w:r w:rsidRPr="00234E70">
        <w:t>Absorption</w:t>
      </w:r>
      <w:bookmarkEnd w:id="78"/>
      <w:bookmarkEnd w:id="79"/>
      <w:bookmarkEnd w:id="80"/>
    </w:p>
    <w:p w14:paraId="24A32F99" w14:textId="77777777" w:rsidR="002B55D9" w:rsidRDefault="002B55D9" w:rsidP="004C5C99">
      <w:r>
        <w:t xml:space="preserve">From the </w:t>
      </w:r>
      <w:r w:rsidRPr="00234E70">
        <w:t xml:space="preserve">Population PK Report 31-12-292 </w:t>
      </w:r>
      <w:r>
        <w:t>the m</w:t>
      </w:r>
      <w:r w:rsidRPr="00234E70">
        <w:t>ean (SD)</w:t>
      </w:r>
      <w:r>
        <w:t xml:space="preserve"> </w:t>
      </w:r>
      <w:r w:rsidRPr="000A76E2">
        <w:t>First-order absorption rate of orally administered drug</w:t>
      </w:r>
      <w:r>
        <w:t xml:space="preserve"> was 0.550</w:t>
      </w:r>
      <w:r w:rsidRPr="000A76E2">
        <w:t>(0.10)</w:t>
      </w:r>
      <w:r>
        <w:t xml:space="preserve">L/h, while that for </w:t>
      </w:r>
      <w:r w:rsidRPr="000A76E2">
        <w:t>First-order absorption rate of IM Depot administered drug</w:t>
      </w:r>
      <w:r>
        <w:t xml:space="preserve"> was 0.00126</w:t>
      </w:r>
      <w:r w:rsidRPr="000A76E2">
        <w:t>(0.000728)</w:t>
      </w:r>
      <w:r>
        <w:t xml:space="preserve">L/h giving a </w:t>
      </w:r>
      <w:r w:rsidRPr="000A76E2">
        <w:t xml:space="preserve">mean (SD) </w:t>
      </w:r>
      <w:r>
        <w:t>Half-Life IM Depot of 705.0</w:t>
      </w:r>
      <w:r w:rsidRPr="000A76E2">
        <w:t>(349.6)</w:t>
      </w:r>
      <w:r>
        <w:t xml:space="preserve">h or </w:t>
      </w:r>
      <w:r w:rsidR="0053374E">
        <w:t>~</w:t>
      </w:r>
      <w:r>
        <w:t>29days.</w:t>
      </w:r>
      <w:r w:rsidRPr="00180770">
        <w:rPr>
          <w:rFonts w:ascii="Times New Roman" w:hAnsi="Times New Roman"/>
          <w:sz w:val="24"/>
        </w:rPr>
        <w:t xml:space="preserve"> </w:t>
      </w:r>
      <w:r w:rsidRPr="00180770">
        <w:t xml:space="preserve">The covariate analysis </w:t>
      </w:r>
      <w:r>
        <w:t xml:space="preserve">in </w:t>
      </w:r>
      <w:r w:rsidRPr="00B63701">
        <w:t>31-11-287</w:t>
      </w:r>
      <w:r>
        <w:t xml:space="preserve"> </w:t>
      </w:r>
      <w:r w:rsidRPr="00180770">
        <w:t xml:space="preserve">showed that the absorption rate of the IM Depot dose is dependent on BMI and gender. </w:t>
      </w:r>
      <w:r>
        <w:t xml:space="preserve">The changes in IM Depot </w:t>
      </w:r>
      <w:proofErr w:type="spellStart"/>
      <w:r>
        <w:t>K</w:t>
      </w:r>
      <w:r w:rsidRPr="00B767FF">
        <w:rPr>
          <w:vertAlign w:val="subscript"/>
        </w:rPr>
        <w:t>a</w:t>
      </w:r>
      <w:proofErr w:type="spellEnd"/>
      <w:r>
        <w:t xml:space="preserve"> relative to gender and BMI are not expected to be clinically relevant based upon the absence of trends in model-predicted steady-state C</w:t>
      </w:r>
      <w:r w:rsidRPr="00180770">
        <w:rPr>
          <w:vertAlign w:val="subscript"/>
        </w:rPr>
        <w:t>min</w:t>
      </w:r>
      <w:r>
        <w:t>, C</w:t>
      </w:r>
      <w:r w:rsidRPr="00180770">
        <w:rPr>
          <w:vertAlign w:val="subscript"/>
        </w:rPr>
        <w:t>max</w:t>
      </w:r>
      <w:r>
        <w:t>, and AUC</w:t>
      </w:r>
      <w:r w:rsidRPr="00180770">
        <w:rPr>
          <w:vertAlign w:val="subscript"/>
        </w:rPr>
        <w:t xml:space="preserve">0 - τ </w:t>
      </w:r>
      <w:r>
        <w:t>for gender or BMI quartiles.</w:t>
      </w:r>
    </w:p>
    <w:p w14:paraId="24A32F9A" w14:textId="03CDCEEF" w:rsidR="002B55D9" w:rsidRPr="00B63701" w:rsidRDefault="002B55D9" w:rsidP="004C5C99">
      <w:pPr>
        <w:pStyle w:val="Heading5"/>
      </w:pPr>
      <w:r>
        <w:t xml:space="preserve">Relative </w:t>
      </w:r>
      <w:r w:rsidR="004C5C99">
        <w:t>b</w:t>
      </w:r>
      <w:r w:rsidR="003B022B">
        <w:t>ioavailability</w:t>
      </w:r>
    </w:p>
    <w:p w14:paraId="24A32F9B" w14:textId="12427E6B" w:rsidR="002B55D9" w:rsidRDefault="002B55D9" w:rsidP="004C5C99">
      <w:proofErr w:type="spellStart"/>
      <w:r>
        <w:t>Lundbeck</w:t>
      </w:r>
      <w:proofErr w:type="spellEnd"/>
      <w:r>
        <w:t xml:space="preserve"> argued that no study to demonstrate the absolute bioavailability of </w:t>
      </w:r>
      <w:proofErr w:type="spellStart"/>
      <w:r>
        <w:t>Abilify</w:t>
      </w:r>
      <w:proofErr w:type="spellEnd"/>
      <w:r>
        <w:t xml:space="preserve"> </w:t>
      </w:r>
      <w:proofErr w:type="spellStart"/>
      <w:r>
        <w:t>Maintena</w:t>
      </w:r>
      <w:proofErr w:type="spellEnd"/>
      <w:r>
        <w:t xml:space="preserve"> was required because data from the two studies CN138-016 and CN138-020 demonstrate that absorption of </w:t>
      </w:r>
      <w:proofErr w:type="spellStart"/>
      <w:r>
        <w:t>aripiprazole</w:t>
      </w:r>
      <w:proofErr w:type="spellEnd"/>
      <w:r>
        <w:t xml:space="preserve"> is complete following IV, standard IM formulation or </w:t>
      </w:r>
      <w:proofErr w:type="spellStart"/>
      <w:r>
        <w:t>A</w:t>
      </w:r>
      <w:r w:rsidR="004C5C99">
        <w:t>bilify</w:t>
      </w:r>
      <w:proofErr w:type="spellEnd"/>
      <w:r w:rsidR="004C5C99">
        <w:t xml:space="preserve"> </w:t>
      </w:r>
      <w:proofErr w:type="spellStart"/>
      <w:r w:rsidR="004C5C99">
        <w:t>Maintena</w:t>
      </w:r>
      <w:proofErr w:type="spellEnd"/>
      <w:r w:rsidR="004C5C99">
        <w:t xml:space="preserve"> administration.</w:t>
      </w:r>
    </w:p>
    <w:p w14:paraId="24A32F9C" w14:textId="1BF88E6A" w:rsidR="002B55D9" w:rsidRDefault="002B55D9" w:rsidP="004C5C99">
      <w:r>
        <w:t xml:space="preserve">Study CN138-016 was an Absolute bioavailability study for the tablet and IM injection formulations, </w:t>
      </w:r>
      <w:r w:rsidRPr="004F3593">
        <w:t>comparing in healthy subjects the pharmacokinetic parameters of the drug following a single dose of 5mg orally, with those after 2mg IV of a preparation intended for IM</w:t>
      </w:r>
      <w:r w:rsidR="002C1F46">
        <w:t xml:space="preserve"> </w:t>
      </w:r>
      <w:r w:rsidRPr="004F3593">
        <w:t>administration.</w:t>
      </w:r>
    </w:p>
    <w:p w14:paraId="24A32F9D" w14:textId="297C2D2F" w:rsidR="002B55D9" w:rsidRDefault="002B55D9" w:rsidP="004C5C99">
      <w:r>
        <w:t xml:space="preserve">Study CN138-020 had the </w:t>
      </w:r>
      <w:r w:rsidRPr="007B0362">
        <w:t>Primary Objective</w:t>
      </w:r>
      <w:r>
        <w:t xml:space="preserve"> of</w:t>
      </w:r>
      <w:r w:rsidRPr="007B0362">
        <w:rPr>
          <w:b/>
        </w:rPr>
        <w:t>:</w:t>
      </w:r>
      <w:r w:rsidRPr="007B0362">
        <w:t xml:space="preserve"> To estimate the </w:t>
      </w:r>
      <w:r w:rsidRPr="00F120D8">
        <w:rPr>
          <w:i/>
        </w:rPr>
        <w:t>in vivo</w:t>
      </w:r>
      <w:r w:rsidRPr="007B0362">
        <w:t xml:space="preserve"> release rate of </w:t>
      </w:r>
      <w:proofErr w:type="spellStart"/>
      <w:r w:rsidRPr="007B0362">
        <w:t>aripiprazole</w:t>
      </w:r>
      <w:proofErr w:type="spellEnd"/>
      <w:r w:rsidRPr="007B0362">
        <w:t xml:space="preserve"> following single doses of 15, 50, 100, 200, 300, and 40</w:t>
      </w:r>
      <w:r w:rsidR="002C1F46">
        <w:t>0 mg</w:t>
      </w:r>
      <w:r w:rsidRPr="007B0362">
        <w:t xml:space="preserve"> doses of </w:t>
      </w:r>
      <w:proofErr w:type="spellStart"/>
      <w:r w:rsidRPr="007B0362">
        <w:t>aripiprazole</w:t>
      </w:r>
      <w:proofErr w:type="spellEnd"/>
      <w:r w:rsidRPr="007B0362">
        <w:t xml:space="preserve"> IM depot formulation.</w:t>
      </w:r>
      <w:r>
        <w:t xml:space="preserve"> This was to be done by</w:t>
      </w:r>
      <w:r w:rsidRPr="007B0362">
        <w:t xml:space="preserve"> </w:t>
      </w:r>
      <w:r>
        <w:t>t</w:t>
      </w:r>
      <w:r w:rsidRPr="007B0362">
        <w:t xml:space="preserve">he </w:t>
      </w:r>
      <w:r w:rsidRPr="007B0362">
        <w:rPr>
          <w:i/>
        </w:rPr>
        <w:t xml:space="preserve">in vivo </w:t>
      </w:r>
      <w:r w:rsidRPr="007B0362">
        <w:t xml:space="preserve">release (absorption) rate of </w:t>
      </w:r>
      <w:proofErr w:type="spellStart"/>
      <w:r w:rsidRPr="007B0362">
        <w:t>aripiprazole</w:t>
      </w:r>
      <w:proofErr w:type="spellEnd"/>
      <w:r w:rsidRPr="007B0362">
        <w:t xml:space="preserve"> from the IM depot formulation w</w:t>
      </w:r>
      <w:r>
        <w:t xml:space="preserve">as </w:t>
      </w:r>
      <w:r w:rsidRPr="007B0362">
        <w:t xml:space="preserve">to be calculated using the technique of </w:t>
      </w:r>
      <w:proofErr w:type="spellStart"/>
      <w:r w:rsidRPr="007B0362">
        <w:t>deconvolution</w:t>
      </w:r>
      <w:proofErr w:type="spellEnd"/>
      <w:r w:rsidRPr="007B0362">
        <w:t xml:space="preserve"> and the plasma concentration profiles for the IM depot formulation. The unit impulse function required for </w:t>
      </w:r>
      <w:proofErr w:type="spellStart"/>
      <w:r w:rsidRPr="007B0362">
        <w:t>deconvolution</w:t>
      </w:r>
      <w:proofErr w:type="spellEnd"/>
      <w:r w:rsidRPr="007B0362">
        <w:t xml:space="preserve"> was to be obtained by modelling (fitting) the plasma </w:t>
      </w:r>
      <w:proofErr w:type="spellStart"/>
      <w:r w:rsidRPr="007B0362">
        <w:t>aripiprazole</w:t>
      </w:r>
      <w:proofErr w:type="spellEnd"/>
      <w:r w:rsidRPr="007B0362">
        <w:t xml:space="preserve"> concentration-time data obtained following the standard IM formulation.</w:t>
      </w:r>
    </w:p>
    <w:p w14:paraId="24A32F9E" w14:textId="77777777" w:rsidR="002B55D9" w:rsidRPr="007B0362" w:rsidRDefault="002B55D9" w:rsidP="004C5C99">
      <w:r>
        <w:t>In this study the resulting geometric mean (%CV) d</w:t>
      </w:r>
      <w:r w:rsidRPr="004975E3">
        <w:t>ose adjusted relative bioavailability</w:t>
      </w:r>
      <w:r>
        <w:t xml:space="preserve"> based on AUC</w:t>
      </w:r>
      <w:r w:rsidRPr="004975E3">
        <w:rPr>
          <w:vertAlign w:val="subscript"/>
        </w:rPr>
        <w:t xml:space="preserve">0 – T </w:t>
      </w:r>
      <w:r>
        <w:t>ranged from 0.9 (39.1) to 1.44 (24.1), while that based on C</w:t>
      </w:r>
      <w:r w:rsidRPr="004975E3">
        <w:rPr>
          <w:vertAlign w:val="subscript"/>
        </w:rPr>
        <w:t>max</w:t>
      </w:r>
      <w:r>
        <w:t xml:space="preserve"> ranged from 0.04 (72.6) to 0.07 (88.2).</w:t>
      </w:r>
    </w:p>
    <w:p w14:paraId="24A32F9F" w14:textId="77777777" w:rsidR="002B55D9" w:rsidRDefault="002B55D9" w:rsidP="004C5C99">
      <w:r>
        <w:t xml:space="preserve">From </w:t>
      </w:r>
      <w:r w:rsidRPr="00B63701">
        <w:t>Population PK Report 31-11-287</w:t>
      </w:r>
      <w:r>
        <w:t xml:space="preserve"> Mean (%SEM) relative bioavailability for IM Depot was </w:t>
      </w:r>
      <w:r w:rsidRPr="00B63701">
        <w:t xml:space="preserve">1.46 </w:t>
      </w:r>
      <w:r>
        <w:t>(</w:t>
      </w:r>
      <w:r w:rsidRPr="00B63701">
        <w:t>4.9</w:t>
      </w:r>
      <w:r>
        <w:t>).</w:t>
      </w:r>
    </w:p>
    <w:p w14:paraId="24A32FA0" w14:textId="77777777" w:rsidR="002B55D9" w:rsidRPr="0052799D" w:rsidRDefault="002B55D9" w:rsidP="004C5C99">
      <w:pPr>
        <w:ind w:left="720"/>
      </w:pPr>
      <w:r w:rsidRPr="0052799D">
        <w:lastRenderedPageBreak/>
        <w:t xml:space="preserve">Comment: Interestingly the sponsor in relation to toxicity of IM depot states: Exposures, based on AUC values, following IM injection of </w:t>
      </w:r>
      <w:proofErr w:type="spellStart"/>
      <w:r w:rsidRPr="0052799D">
        <w:t>aripiprazole</w:t>
      </w:r>
      <w:proofErr w:type="spellEnd"/>
      <w:r w:rsidRPr="0052799D">
        <w:t xml:space="preserve"> were lower than those following comparable doses with oral administration.</w:t>
      </w:r>
      <w:r w:rsidRPr="0052799D">
        <w:rPr>
          <w:rStyle w:val="FootnoteReference"/>
          <w:rFonts w:ascii="Arial" w:hAnsi="Arial" w:cs="Arial"/>
        </w:rPr>
        <w:footnoteReference w:id="12"/>
      </w:r>
    </w:p>
    <w:p w14:paraId="24A32FA1" w14:textId="77777777" w:rsidR="002B55D9" w:rsidRPr="00384CDF" w:rsidRDefault="002B55D9" w:rsidP="004C5C99">
      <w:pPr>
        <w:pStyle w:val="TableTitle"/>
      </w:pPr>
      <w:bookmarkStart w:id="81" w:name="_Toc381104327"/>
      <w:r w:rsidRPr="00384CDF">
        <w:t xml:space="preserve">Table </w:t>
      </w:r>
      <w:r w:rsidR="000D6249">
        <w:fldChar w:fldCharType="begin"/>
      </w:r>
      <w:r w:rsidR="000D6249">
        <w:instrText xml:space="preserve"> SEQ Table \* ARABIC </w:instrText>
      </w:r>
      <w:r w:rsidR="000D6249">
        <w:fldChar w:fldCharType="separate"/>
      </w:r>
      <w:r w:rsidR="00C476F4">
        <w:rPr>
          <w:noProof/>
        </w:rPr>
        <w:t>8</w:t>
      </w:r>
      <w:r w:rsidR="000D6249">
        <w:rPr>
          <w:noProof/>
        </w:rPr>
        <w:fldChar w:fldCharType="end"/>
      </w:r>
      <w:r w:rsidR="0052799D">
        <w:rPr>
          <w:noProof/>
        </w:rPr>
        <w:t>.</w:t>
      </w:r>
      <w:r w:rsidRPr="00384CDF">
        <w:t xml:space="preserve"> Summary Statistics for oral, IV, IM </w:t>
      </w:r>
      <w:proofErr w:type="spellStart"/>
      <w:r w:rsidRPr="00384CDF">
        <w:t>Aripiprazole</w:t>
      </w:r>
      <w:proofErr w:type="spellEnd"/>
      <w:r w:rsidRPr="00384CDF">
        <w:t xml:space="preserve"> AUC </w:t>
      </w:r>
      <w:proofErr w:type="spellStart"/>
      <w:r w:rsidRPr="00384CDF">
        <w:t>C</w:t>
      </w:r>
      <w:r w:rsidRPr="00E321A8">
        <w:rPr>
          <w:vertAlign w:val="subscript"/>
        </w:rPr>
        <w:t>max</w:t>
      </w:r>
      <w:bookmarkEnd w:id="81"/>
      <w:proofErr w:type="spellEnd"/>
    </w:p>
    <w:p w14:paraId="24A32FA2" w14:textId="77777777" w:rsidR="002B55D9" w:rsidRDefault="002B55D9" w:rsidP="004C5C99">
      <w:r w:rsidRPr="004F3593">
        <w:rPr>
          <w:noProof/>
          <w:lang w:eastAsia="en-AU"/>
        </w:rPr>
        <w:drawing>
          <wp:inline distT="0" distB="0" distL="0" distR="0" wp14:anchorId="24A33242" wp14:editId="24A33243">
            <wp:extent cx="4762500" cy="2705100"/>
            <wp:effectExtent l="19050" t="19050" r="0" b="0"/>
            <wp:docPr id="99" name="Picture 1" descr="Table 8. Summary Statistics for oral, IV, IM Aripiprazole AUC C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3" cstate="print"/>
                    <a:srcRect l="1718" t="2069" r="2788" b="54164"/>
                    <a:stretch/>
                  </pic:blipFill>
                  <pic:spPr bwMode="auto">
                    <a:xfrm>
                      <a:off x="0" y="0"/>
                      <a:ext cx="4767702" cy="2708055"/>
                    </a:xfrm>
                    <a:prstGeom prst="rect">
                      <a:avLst/>
                    </a:prstGeom>
                    <a:noFill/>
                    <a:ln w="19050"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24A32FA3" w14:textId="77777777" w:rsidR="002B55D9" w:rsidRPr="00015C70" w:rsidRDefault="002B55D9" w:rsidP="004C5C99">
      <w:pPr>
        <w:pStyle w:val="Heading5"/>
      </w:pPr>
      <w:r w:rsidRPr="00015C70">
        <w:t>Dose proportionality</w:t>
      </w:r>
    </w:p>
    <w:p w14:paraId="24A32FA4" w14:textId="3636BFFC" w:rsidR="002B55D9" w:rsidRDefault="002B55D9" w:rsidP="004C5C99">
      <w:r>
        <w:t xml:space="preserve">Dose-proportional increases in </w:t>
      </w:r>
      <w:proofErr w:type="spellStart"/>
      <w:r>
        <w:t>aripiprazole</w:t>
      </w:r>
      <w:proofErr w:type="spellEnd"/>
      <w:r>
        <w:t xml:space="preserve"> and </w:t>
      </w:r>
      <w:proofErr w:type="spellStart"/>
      <w:r>
        <w:t>dehydro-aripiprazole</w:t>
      </w:r>
      <w:proofErr w:type="spellEnd"/>
      <w:r>
        <w:t xml:space="preserve"> </w:t>
      </w:r>
      <w:proofErr w:type="spellStart"/>
      <w:r>
        <w:t>C</w:t>
      </w:r>
      <w:r w:rsidRPr="00015C70">
        <w:rPr>
          <w:vertAlign w:val="subscript"/>
        </w:rPr>
        <w:t>ss,max</w:t>
      </w:r>
      <w:proofErr w:type="spellEnd"/>
      <w:r>
        <w:t xml:space="preserve">, </w:t>
      </w:r>
      <w:proofErr w:type="spellStart"/>
      <w:r>
        <w:t>AUC</w:t>
      </w:r>
      <w:r w:rsidRPr="00015C70">
        <w:rPr>
          <w:vertAlign w:val="subscript"/>
        </w:rPr>
        <w:t>τ</w:t>
      </w:r>
      <w:proofErr w:type="spellEnd"/>
      <w:r>
        <w:t xml:space="preserve">, and </w:t>
      </w:r>
      <w:proofErr w:type="spellStart"/>
      <w:r>
        <w:t>C</w:t>
      </w:r>
      <w:r w:rsidRPr="00015C70">
        <w:rPr>
          <w:vertAlign w:val="subscript"/>
        </w:rPr>
        <w:t>ss,min</w:t>
      </w:r>
      <w:proofErr w:type="spellEnd"/>
      <w:r>
        <w:t xml:space="preserve"> PK parameters were observed after the 30</w:t>
      </w:r>
      <w:r w:rsidR="002C1F46">
        <w:t>0 mg</w:t>
      </w:r>
      <w:r>
        <w:t xml:space="preserve"> and 40</w:t>
      </w:r>
      <w:r w:rsidR="002C1F46">
        <w:t>0 mg</w:t>
      </w:r>
      <w:r>
        <w:t xml:space="preserve"> doses of </w:t>
      </w:r>
      <w:proofErr w:type="spellStart"/>
      <w:r>
        <w:t>aripiprazole</w:t>
      </w:r>
      <w:proofErr w:type="spellEnd"/>
      <w:r>
        <w:t xml:space="preserve"> IM depot. No conclusions could be made for the dose-proportionality of </w:t>
      </w:r>
      <w:proofErr w:type="spellStart"/>
      <w:r>
        <w:t>aripiprazole</w:t>
      </w:r>
      <w:proofErr w:type="spellEnd"/>
      <w:r>
        <w:t xml:space="preserve"> and </w:t>
      </w:r>
      <w:proofErr w:type="spellStart"/>
      <w:r>
        <w:t>dehydro-aripiprazole</w:t>
      </w:r>
      <w:proofErr w:type="spellEnd"/>
      <w:r>
        <w:t xml:space="preserve"> PK parameters after the 20</w:t>
      </w:r>
      <w:r w:rsidR="002C1F46">
        <w:t>0 mg</w:t>
      </w:r>
      <w:r>
        <w:t xml:space="preserve"> dose of </w:t>
      </w:r>
      <w:proofErr w:type="spellStart"/>
      <w:r>
        <w:t>aripiprazole</w:t>
      </w:r>
      <w:proofErr w:type="spellEnd"/>
      <w:r>
        <w:t xml:space="preserve"> IM depot </w:t>
      </w:r>
      <w:r w:rsidRPr="001A64AC">
        <w:t xml:space="preserve">due </w:t>
      </w:r>
      <w:r w:rsidR="004C5C99">
        <w:t>to limited data.</w:t>
      </w:r>
    </w:p>
    <w:p w14:paraId="24A32FA5" w14:textId="6E5B5DE6" w:rsidR="002B55D9" w:rsidRDefault="002B55D9" w:rsidP="004C5C99">
      <w:pPr>
        <w:pStyle w:val="FigureTitle"/>
        <w:keepLines/>
      </w:pPr>
      <w:bookmarkStart w:id="82" w:name="_Toc381104423"/>
      <w:r>
        <w:t xml:space="preserve">Figure </w:t>
      </w:r>
      <w:r w:rsidR="000D6249">
        <w:fldChar w:fldCharType="begin"/>
      </w:r>
      <w:r w:rsidR="000D6249">
        <w:instrText xml:space="preserve"> SEQ Figure \* ARABIC </w:instrText>
      </w:r>
      <w:r w:rsidR="000D6249">
        <w:fldChar w:fldCharType="separate"/>
      </w:r>
      <w:r w:rsidR="00C476F4">
        <w:rPr>
          <w:noProof/>
        </w:rPr>
        <w:t>11</w:t>
      </w:r>
      <w:r w:rsidR="000D6249">
        <w:rPr>
          <w:noProof/>
        </w:rPr>
        <w:fldChar w:fldCharType="end"/>
      </w:r>
      <w:r w:rsidR="0052799D">
        <w:rPr>
          <w:noProof/>
        </w:rPr>
        <w:t>.</w:t>
      </w:r>
      <w:r>
        <w:t xml:space="preserve"> </w:t>
      </w:r>
      <w:r w:rsidRPr="00BE713D">
        <w:t xml:space="preserve">Plot of </w:t>
      </w:r>
      <w:r w:rsidR="004C5C99">
        <w:t>i</w:t>
      </w:r>
      <w:r w:rsidRPr="00BE713D">
        <w:t xml:space="preserve">ndividual </w:t>
      </w:r>
      <w:proofErr w:type="spellStart"/>
      <w:r w:rsidR="004C5C99">
        <w:t>a</w:t>
      </w:r>
      <w:r w:rsidRPr="00BE713D">
        <w:t>ripiprazole</w:t>
      </w:r>
      <w:proofErr w:type="spellEnd"/>
      <w:r w:rsidRPr="00BE713D">
        <w:t xml:space="preserve"> AUC</w:t>
      </w:r>
      <w:r w:rsidRPr="00BE713D">
        <w:rPr>
          <w:vertAlign w:val="subscript"/>
        </w:rPr>
        <w:t xml:space="preserve">(INF) </w:t>
      </w:r>
      <w:r w:rsidR="00BF2105">
        <w:t>versus</w:t>
      </w:r>
      <w:r w:rsidRPr="00BE713D">
        <w:t xml:space="preserve"> </w:t>
      </w:r>
      <w:r w:rsidR="004C5C99">
        <w:t>t</w:t>
      </w:r>
      <w:r w:rsidRPr="00BE713D">
        <w:t>reatment</w:t>
      </w:r>
      <w:bookmarkEnd w:id="82"/>
    </w:p>
    <w:p w14:paraId="24A32FA6" w14:textId="77777777" w:rsidR="002B55D9" w:rsidRDefault="002B55D9" w:rsidP="003B022B">
      <w:r>
        <w:rPr>
          <w:noProof/>
          <w:lang w:eastAsia="en-AU"/>
        </w:rPr>
        <w:drawing>
          <wp:inline distT="0" distB="0" distL="0" distR="0" wp14:anchorId="24A33244" wp14:editId="24A33245">
            <wp:extent cx="3714750" cy="2647950"/>
            <wp:effectExtent l="0" t="0" r="0" b="0"/>
            <wp:docPr id="100" name="Picture 2" descr="Figure 11. Plot of Individual Aripiprazole AUC(INF) vs. Treat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t="7947" r="2010"/>
                    <a:stretch>
                      <a:fillRect/>
                    </a:stretch>
                  </pic:blipFill>
                  <pic:spPr bwMode="auto">
                    <a:xfrm>
                      <a:off x="0" y="0"/>
                      <a:ext cx="3714750" cy="2647950"/>
                    </a:xfrm>
                    <a:prstGeom prst="rect">
                      <a:avLst/>
                    </a:prstGeom>
                    <a:noFill/>
                    <a:ln w="9525">
                      <a:noFill/>
                      <a:miter lim="800000"/>
                      <a:headEnd/>
                      <a:tailEnd/>
                    </a:ln>
                  </pic:spPr>
                </pic:pic>
              </a:graphicData>
            </a:graphic>
          </wp:inline>
        </w:drawing>
      </w:r>
    </w:p>
    <w:p w14:paraId="24A32FA7" w14:textId="21A304A8" w:rsidR="002B55D9" w:rsidRPr="00384CDF" w:rsidRDefault="002B55D9" w:rsidP="004C5C99">
      <w:pPr>
        <w:pStyle w:val="FigureTitle"/>
      </w:pPr>
      <w:bookmarkStart w:id="83" w:name="_Toc381104424"/>
      <w:r w:rsidRPr="00384CDF">
        <w:lastRenderedPageBreak/>
        <w:t xml:space="preserve">Figure </w:t>
      </w:r>
      <w:r w:rsidR="000D6249">
        <w:fldChar w:fldCharType="begin"/>
      </w:r>
      <w:r w:rsidR="000D6249">
        <w:instrText xml:space="preserve"> SEQ Figure \* ARABIC </w:instrText>
      </w:r>
      <w:r w:rsidR="000D6249">
        <w:fldChar w:fldCharType="separate"/>
      </w:r>
      <w:r w:rsidR="00C476F4">
        <w:rPr>
          <w:noProof/>
        </w:rPr>
        <w:t>12</w:t>
      </w:r>
      <w:r w:rsidR="000D6249">
        <w:rPr>
          <w:noProof/>
        </w:rPr>
        <w:fldChar w:fldCharType="end"/>
      </w:r>
      <w:r w:rsidR="0052799D">
        <w:rPr>
          <w:noProof/>
        </w:rPr>
        <w:t>.</w:t>
      </w:r>
      <w:r w:rsidRPr="00384CDF">
        <w:t xml:space="preserve"> Plot of </w:t>
      </w:r>
      <w:proofErr w:type="spellStart"/>
      <w:r w:rsidRPr="00384CDF">
        <w:t>Aripiprazole</w:t>
      </w:r>
      <w:proofErr w:type="spellEnd"/>
      <w:r w:rsidRPr="00384CDF">
        <w:t xml:space="preserve"> </w:t>
      </w:r>
      <w:proofErr w:type="spellStart"/>
      <w:r w:rsidRPr="00384CDF">
        <w:t>C</w:t>
      </w:r>
      <w:r w:rsidRPr="00B568E3">
        <w:rPr>
          <w:vertAlign w:val="subscript"/>
        </w:rPr>
        <w:t>max</w:t>
      </w:r>
      <w:proofErr w:type="spellEnd"/>
      <w:r w:rsidRPr="00384CDF">
        <w:t xml:space="preserve"> </w:t>
      </w:r>
      <w:r w:rsidR="00BF2105">
        <w:t>versus</w:t>
      </w:r>
      <w:r w:rsidRPr="00384CDF">
        <w:t xml:space="preserve"> </w:t>
      </w:r>
      <w:r w:rsidR="004C5C99">
        <w:t>d</w:t>
      </w:r>
      <w:r w:rsidRPr="00384CDF">
        <w:t>ose</w:t>
      </w:r>
      <w:bookmarkEnd w:id="83"/>
    </w:p>
    <w:p w14:paraId="24A32FA8" w14:textId="77777777" w:rsidR="002B55D9" w:rsidRDefault="002B55D9" w:rsidP="004C5C99">
      <w:r w:rsidRPr="00BE713D">
        <w:t xml:space="preserve"> </w:t>
      </w:r>
      <w:r>
        <w:rPr>
          <w:noProof/>
          <w:lang w:eastAsia="en-AU"/>
        </w:rPr>
        <w:drawing>
          <wp:inline distT="0" distB="0" distL="0" distR="0" wp14:anchorId="24A33246" wp14:editId="24A33247">
            <wp:extent cx="3743325" cy="2657475"/>
            <wp:effectExtent l="0" t="0" r="0" b="0"/>
            <wp:docPr id="109" name="Picture 5" descr="Figure 12. Plot of Aripiprazole Cmax vs.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t="5743"/>
                    <a:stretch>
                      <a:fillRect/>
                    </a:stretch>
                  </pic:blipFill>
                  <pic:spPr bwMode="auto">
                    <a:xfrm>
                      <a:off x="0" y="0"/>
                      <a:ext cx="3743325" cy="2657475"/>
                    </a:xfrm>
                    <a:prstGeom prst="rect">
                      <a:avLst/>
                    </a:prstGeom>
                    <a:noFill/>
                    <a:ln w="9525">
                      <a:noFill/>
                      <a:miter lim="800000"/>
                      <a:headEnd/>
                      <a:tailEnd/>
                    </a:ln>
                  </pic:spPr>
                </pic:pic>
              </a:graphicData>
            </a:graphic>
          </wp:inline>
        </w:drawing>
      </w:r>
    </w:p>
    <w:p w14:paraId="24A32FA9" w14:textId="77777777" w:rsidR="002B55D9" w:rsidRPr="00015C70" w:rsidRDefault="002B55D9" w:rsidP="004C5C99">
      <w:pPr>
        <w:pStyle w:val="Heading5"/>
      </w:pPr>
      <w:r w:rsidRPr="00015C70">
        <w:t>Bioavailability during multiple-dosing</w:t>
      </w:r>
    </w:p>
    <w:p w14:paraId="24A32FAA" w14:textId="77777777" w:rsidR="002B55D9" w:rsidRDefault="002B55D9" w:rsidP="004C5C99">
      <w:r>
        <w:t xml:space="preserve">Based on Pop PK model simulation when subjects never receive oral </w:t>
      </w:r>
      <w:proofErr w:type="spellStart"/>
      <w:r>
        <w:t>aripiprazole</w:t>
      </w:r>
      <w:proofErr w:type="spellEnd"/>
      <w:r>
        <w:t xml:space="preserve"> therapy, the median </w:t>
      </w:r>
      <w:proofErr w:type="spellStart"/>
      <w:r>
        <w:t>aripiprazole</w:t>
      </w:r>
      <w:proofErr w:type="spellEnd"/>
      <w:r>
        <w:t xml:space="preserve"> concentration remains near the lower threshold of the therapeutic window for the complete dosing interval. When subjects begin </w:t>
      </w:r>
      <w:proofErr w:type="spellStart"/>
      <w:r>
        <w:t>aripiprazole</w:t>
      </w:r>
      <w:proofErr w:type="spellEnd"/>
      <w:r>
        <w:t xml:space="preserve"> IM Depot dosing in combination with oral </w:t>
      </w:r>
      <w:proofErr w:type="spellStart"/>
      <w:r>
        <w:t>aripiprazole</w:t>
      </w:r>
      <w:proofErr w:type="spellEnd"/>
      <w:r>
        <w:t xml:space="preserve"> therapy for 14 days, the median </w:t>
      </w:r>
      <w:proofErr w:type="spellStart"/>
      <w:r>
        <w:t>aripiprazole</w:t>
      </w:r>
      <w:proofErr w:type="spellEnd"/>
      <w:r>
        <w:t xml:space="preserve"> concentrations are similar by Day 7 whether the subject was stabilized on oral dosing prior to IM Depot dosing or not</w:t>
      </w:r>
      <w:r w:rsidRPr="003D64DF">
        <w:t xml:space="preserve"> </w:t>
      </w:r>
      <w:r>
        <w:t xml:space="preserve">(see </w:t>
      </w:r>
      <w:r w:rsidR="00383AAD">
        <w:t>Figure 3</w:t>
      </w:r>
      <w:r>
        <w:t>).</w:t>
      </w:r>
    </w:p>
    <w:p w14:paraId="24A32FAB" w14:textId="77777777" w:rsidR="002B55D9" w:rsidRDefault="002B55D9" w:rsidP="004C5C99">
      <w:r>
        <w:t xml:space="preserve">Based on the mean dose adjusted </w:t>
      </w:r>
      <w:proofErr w:type="spellStart"/>
      <w:r>
        <w:t>aripiprazole</w:t>
      </w:r>
      <w:proofErr w:type="spellEnd"/>
      <w:r>
        <w:t xml:space="preserve"> </w:t>
      </w:r>
      <w:proofErr w:type="spellStart"/>
      <w:r>
        <w:t>predose</w:t>
      </w:r>
      <w:proofErr w:type="spellEnd"/>
      <w:r>
        <w:t xml:space="preserve"> plasma concentrations prior to each IM depot administrations following 400, 300, and 20</w:t>
      </w:r>
      <w:r w:rsidR="002C1F46">
        <w:t>0 mg</w:t>
      </w:r>
      <w:r>
        <w:t xml:space="preserve"> </w:t>
      </w:r>
      <w:proofErr w:type="spellStart"/>
      <w:r>
        <w:t>aripiprazole</w:t>
      </w:r>
      <w:proofErr w:type="spellEnd"/>
      <w:r>
        <w:t xml:space="preserve"> IM Depot administrations, it appears that steady state was reached by the 4th administration.</w:t>
      </w:r>
    </w:p>
    <w:p w14:paraId="24A32FAC" w14:textId="77777777" w:rsidR="002B55D9" w:rsidRDefault="002B55D9" w:rsidP="004C5C99">
      <w:pPr>
        <w:pStyle w:val="FigureTitle"/>
        <w:keepLines/>
      </w:pPr>
      <w:bookmarkStart w:id="84" w:name="_Toc381104425"/>
      <w:r>
        <w:t xml:space="preserve">Figure </w:t>
      </w:r>
      <w:r w:rsidR="000D6249">
        <w:fldChar w:fldCharType="begin"/>
      </w:r>
      <w:r w:rsidR="000D6249">
        <w:instrText xml:space="preserve"> SEQ Figure \* ARABIC </w:instrText>
      </w:r>
      <w:r w:rsidR="000D6249">
        <w:fldChar w:fldCharType="separate"/>
      </w:r>
      <w:r w:rsidR="00C476F4">
        <w:rPr>
          <w:noProof/>
        </w:rPr>
        <w:t>13</w:t>
      </w:r>
      <w:r w:rsidR="000D6249">
        <w:rPr>
          <w:noProof/>
        </w:rPr>
        <w:fldChar w:fldCharType="end"/>
      </w:r>
      <w:r w:rsidR="0052799D">
        <w:rPr>
          <w:noProof/>
        </w:rPr>
        <w:t>.</w:t>
      </w:r>
      <w:r>
        <w:t xml:space="preserve"> Mean Dose Adjusted </w:t>
      </w:r>
      <w:proofErr w:type="spellStart"/>
      <w:r>
        <w:t>Aripiprazole</w:t>
      </w:r>
      <w:proofErr w:type="spellEnd"/>
      <w:r>
        <w:t xml:space="preserve"> </w:t>
      </w:r>
      <w:proofErr w:type="spellStart"/>
      <w:r>
        <w:t>Predose</w:t>
      </w:r>
      <w:proofErr w:type="spellEnd"/>
      <w:r>
        <w:t xml:space="preserve"> Plasma Concentrations Prior to Each IM depot Administration Following 400, 300, and 20</w:t>
      </w:r>
      <w:r w:rsidR="002C1F46">
        <w:t>0 mg</w:t>
      </w:r>
      <w:r>
        <w:t xml:space="preserve"> Monthly </w:t>
      </w:r>
      <w:proofErr w:type="spellStart"/>
      <w:r>
        <w:t>Aripiprazole</w:t>
      </w:r>
      <w:proofErr w:type="spellEnd"/>
      <w:r>
        <w:t xml:space="preserve"> IM Depot Injections</w:t>
      </w:r>
      <w:bookmarkEnd w:id="84"/>
    </w:p>
    <w:p w14:paraId="24A32FAD" w14:textId="77777777" w:rsidR="002B55D9" w:rsidRDefault="002B55D9" w:rsidP="003B022B">
      <w:r>
        <w:rPr>
          <w:noProof/>
          <w:lang w:eastAsia="en-AU"/>
        </w:rPr>
        <w:drawing>
          <wp:inline distT="0" distB="0" distL="0" distR="0" wp14:anchorId="24A33248" wp14:editId="24A33249">
            <wp:extent cx="4663188" cy="3055016"/>
            <wp:effectExtent l="0" t="0" r="0" b="0"/>
            <wp:docPr id="98" name="Picture 2" descr="Figure 13. Mean Dose Adjusted Aripiprazole Predose Plasma Concentrations Prior to Each IM depot Administration Following 400, 300, and 200 mg Monthly Aripiprazole IM Depot In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t="2710" b="1315"/>
                    <a:stretch>
                      <a:fillRect/>
                    </a:stretch>
                  </pic:blipFill>
                  <pic:spPr bwMode="auto">
                    <a:xfrm>
                      <a:off x="0" y="0"/>
                      <a:ext cx="4663188" cy="3055016"/>
                    </a:xfrm>
                    <a:prstGeom prst="rect">
                      <a:avLst/>
                    </a:prstGeom>
                    <a:noFill/>
                    <a:ln w="9525">
                      <a:noFill/>
                      <a:miter lim="800000"/>
                      <a:headEnd/>
                      <a:tailEnd/>
                    </a:ln>
                  </pic:spPr>
                </pic:pic>
              </a:graphicData>
            </a:graphic>
          </wp:inline>
        </w:drawing>
      </w:r>
    </w:p>
    <w:p w14:paraId="24A32FAE" w14:textId="77777777" w:rsidR="002B55D9" w:rsidRPr="00015C70" w:rsidRDefault="002B55D9" w:rsidP="004C5C99">
      <w:pPr>
        <w:pStyle w:val="Heading5"/>
      </w:pPr>
      <w:r w:rsidRPr="00015C70">
        <w:lastRenderedPageBreak/>
        <w:t>Effect of administration timing</w:t>
      </w:r>
    </w:p>
    <w:p w14:paraId="24A32FAF" w14:textId="77777777" w:rsidR="002B55D9" w:rsidRPr="00015C70" w:rsidRDefault="002B55D9" w:rsidP="004C5C99">
      <w:r>
        <w:t xml:space="preserve">Based on PopPK model simulation the median </w:t>
      </w:r>
      <w:proofErr w:type="spellStart"/>
      <w:r>
        <w:t>aripiprazole</w:t>
      </w:r>
      <w:proofErr w:type="spellEnd"/>
      <w:r>
        <w:t xml:space="preserve"> concentration on the 28th day after the first dose for all dosing initiation groups was near the lower threshold of the defined therapeutic window (see </w:t>
      </w:r>
      <w:r w:rsidR="00383AAD">
        <w:t>Figure 3</w:t>
      </w:r>
      <w:r>
        <w:t>).</w:t>
      </w:r>
    </w:p>
    <w:p w14:paraId="24A32FB0" w14:textId="77777777" w:rsidR="002B55D9" w:rsidRPr="0094052F" w:rsidRDefault="002B55D9" w:rsidP="004C5C99">
      <w:r>
        <w:t xml:space="preserve">Multiple simulations of the effect of delayed dosing were made (See </w:t>
      </w:r>
      <w:r w:rsidR="00383AAD">
        <w:t>Figure 4</w:t>
      </w:r>
      <w:r>
        <w:t xml:space="preserve"> </w:t>
      </w:r>
      <w:r w:rsidR="0052799D">
        <w:t>and</w:t>
      </w:r>
      <w:r>
        <w:t xml:space="preserve"> </w:t>
      </w:r>
      <w:r w:rsidR="00383AAD">
        <w:t>Figure 5</w:t>
      </w:r>
      <w:r>
        <w:t>).</w:t>
      </w:r>
    </w:p>
    <w:p w14:paraId="24A32FB1" w14:textId="77777777" w:rsidR="002B55D9" w:rsidRPr="0094052F" w:rsidRDefault="002B55D9" w:rsidP="004C5C99">
      <w:pPr>
        <w:pStyle w:val="Heading5"/>
      </w:pPr>
      <w:r w:rsidRPr="0094052F">
        <w:t>Pharmacokinetics of metabolites</w:t>
      </w:r>
    </w:p>
    <w:p w14:paraId="24A32FB2" w14:textId="77777777" w:rsidR="002B55D9" w:rsidRDefault="002B55D9" w:rsidP="004C5C99">
      <w:r w:rsidRPr="00383AAD">
        <w:t xml:space="preserve">For </w:t>
      </w:r>
      <w:proofErr w:type="spellStart"/>
      <w:r w:rsidRPr="00383AAD">
        <w:t>dehydro-aripiprazole</w:t>
      </w:r>
      <w:proofErr w:type="spellEnd"/>
      <w:r w:rsidRPr="00383AAD">
        <w:t xml:space="preserve"> PKs after 200, 300 </w:t>
      </w:r>
      <w:r w:rsidR="0052799D" w:rsidRPr="00383AAD">
        <w:t>and</w:t>
      </w:r>
      <w:r w:rsidRPr="00383AAD">
        <w:t xml:space="preserve"> 40</w:t>
      </w:r>
      <w:r w:rsidR="002C1F46" w:rsidRPr="00383AAD">
        <w:t>0 mg</w:t>
      </w:r>
      <w:r w:rsidRPr="00383AAD">
        <w:t xml:space="preserve"> see </w:t>
      </w:r>
      <w:r w:rsidR="00553109" w:rsidRPr="00383AAD">
        <w:t xml:space="preserve">Table </w:t>
      </w:r>
      <w:r w:rsidR="00383AAD" w:rsidRPr="00383AAD">
        <w:t>9 below</w:t>
      </w:r>
      <w:r w:rsidR="00383AAD">
        <w:t>.</w:t>
      </w:r>
    </w:p>
    <w:p w14:paraId="24A32FB3" w14:textId="77777777" w:rsidR="00553109" w:rsidRDefault="00553109" w:rsidP="004C5C99">
      <w:pPr>
        <w:pStyle w:val="TableTitle"/>
      </w:pPr>
      <w:bookmarkStart w:id="85" w:name="_Ref363813253"/>
      <w:bookmarkStart w:id="86" w:name="_Toc381104346"/>
      <w:r>
        <w:t xml:space="preserve">Table </w:t>
      </w:r>
      <w:r w:rsidR="00383AAD">
        <w:t>9</w:t>
      </w:r>
      <w:bookmarkEnd w:id="85"/>
      <w:r w:rsidR="00383AAD">
        <w:t>.</w:t>
      </w:r>
      <w:r>
        <w:t xml:space="preserve"> Mean (SD) </w:t>
      </w:r>
      <w:proofErr w:type="spellStart"/>
      <w:r>
        <w:t>Dehydro-aripiprazole</w:t>
      </w:r>
      <w:proofErr w:type="spellEnd"/>
      <w:r>
        <w:t xml:space="preserve"> PK Parameters in Subjects with Schizophrenia</w:t>
      </w:r>
      <w:bookmarkEnd w:id="86"/>
    </w:p>
    <w:p w14:paraId="24A32FB4" w14:textId="77777777" w:rsidR="00553109" w:rsidRDefault="00553109" w:rsidP="004C5C99">
      <w:r>
        <w:rPr>
          <w:noProof/>
          <w:lang w:eastAsia="en-AU"/>
        </w:rPr>
        <w:drawing>
          <wp:inline distT="0" distB="0" distL="0" distR="0" wp14:anchorId="24A3324A" wp14:editId="24A3324B">
            <wp:extent cx="5368671" cy="1368171"/>
            <wp:effectExtent l="0" t="0" r="0" b="0"/>
            <wp:docPr id="3" name="Picture 6" descr="Table 9. Mean (SD) Dehydro-aripiprazole PK Parameters in Subjects with Schizophr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5368671" cy="1368171"/>
                    </a:xfrm>
                    <a:prstGeom prst="rect">
                      <a:avLst/>
                    </a:prstGeom>
                    <a:noFill/>
                    <a:ln w="9525">
                      <a:noFill/>
                      <a:miter lim="800000"/>
                      <a:headEnd/>
                      <a:tailEnd/>
                    </a:ln>
                  </pic:spPr>
                </pic:pic>
              </a:graphicData>
            </a:graphic>
          </wp:inline>
        </w:drawing>
      </w:r>
    </w:p>
    <w:p w14:paraId="24A32FB5" w14:textId="77777777" w:rsidR="00553109" w:rsidRPr="00FF7A15" w:rsidRDefault="00553109" w:rsidP="004C5C99">
      <w:pPr>
        <w:pStyle w:val="TableDescription"/>
      </w:pPr>
      <w:r w:rsidRPr="00FF7A15">
        <w:rPr>
          <w:vertAlign w:val="superscript"/>
        </w:rPr>
        <w:t>a</w:t>
      </w:r>
      <w:r w:rsidRPr="00FF7A15">
        <w:t xml:space="preserve"> n = 10</w:t>
      </w:r>
      <w:r>
        <w:t xml:space="preserve"> </w:t>
      </w:r>
      <w:r w:rsidRPr="00FF7A15">
        <w:rPr>
          <w:vertAlign w:val="superscript"/>
        </w:rPr>
        <w:t>b</w:t>
      </w:r>
      <w:r w:rsidRPr="00FF7A15">
        <w:t xml:space="preserve"> n = 8</w:t>
      </w:r>
      <w:r>
        <w:t xml:space="preserve">, </w:t>
      </w:r>
      <w:r w:rsidRPr="00FF7A15">
        <w:rPr>
          <w:vertAlign w:val="superscript"/>
        </w:rPr>
        <w:t>c</w:t>
      </w:r>
      <w:r w:rsidRPr="00FF7A15">
        <w:t xml:space="preserve"> n = 4</w:t>
      </w:r>
      <w:r>
        <w:t xml:space="preserve">, </w:t>
      </w:r>
      <w:r w:rsidRPr="00FF7A15">
        <w:rPr>
          <w:vertAlign w:val="superscript"/>
        </w:rPr>
        <w:t>d</w:t>
      </w:r>
      <w:r w:rsidRPr="00FF7A15">
        <w:t xml:space="preserve"> Median (minimum-maximum)</w:t>
      </w:r>
      <w:r>
        <w:t xml:space="preserve">, </w:t>
      </w:r>
      <w:r w:rsidRPr="00FF7A15">
        <w:rPr>
          <w:vertAlign w:val="superscript"/>
        </w:rPr>
        <w:t>e</w:t>
      </w:r>
      <w:r w:rsidRPr="00FF7A15">
        <w:t xml:space="preserve"> </w:t>
      </w:r>
      <w:proofErr w:type="spellStart"/>
      <w:r w:rsidRPr="00FF7A15">
        <w:t>C</w:t>
      </w:r>
      <w:r w:rsidRPr="00FF7A15">
        <w:rPr>
          <w:vertAlign w:val="subscript"/>
        </w:rPr>
        <w:t>ss,min</w:t>
      </w:r>
      <w:proofErr w:type="spellEnd"/>
      <w:r w:rsidRPr="00FF7A15">
        <w:t xml:space="preserve"> = </w:t>
      </w:r>
      <w:proofErr w:type="spellStart"/>
      <w:r w:rsidRPr="00FF7A15">
        <w:t>dehydro-aripiprazole</w:t>
      </w:r>
      <w:proofErr w:type="spellEnd"/>
      <w:r w:rsidRPr="00FF7A15">
        <w:t xml:space="preserve"> concentration at 672 hour.</w:t>
      </w:r>
    </w:p>
    <w:p w14:paraId="24A32FB6" w14:textId="77777777" w:rsidR="002B55D9" w:rsidRDefault="002B55D9" w:rsidP="004C5C99">
      <w:pPr>
        <w:pStyle w:val="Heading5"/>
      </w:pPr>
      <w:r w:rsidRPr="009267A8">
        <w:t>Consequences of genetic polymorphism</w:t>
      </w:r>
    </w:p>
    <w:p w14:paraId="24A32FB7" w14:textId="77777777" w:rsidR="002B55D9" w:rsidRPr="000A268A" w:rsidRDefault="002B55D9" w:rsidP="004C5C99">
      <w:pPr>
        <w:rPr>
          <w:b/>
        </w:rPr>
      </w:pPr>
      <w:r w:rsidRPr="00137836">
        <w:t xml:space="preserve">Population pharmacokinetic modelling </w:t>
      </w:r>
      <w:r>
        <w:t>r</w:t>
      </w:r>
      <w:r w:rsidRPr="00137836">
        <w:t xml:space="preserve">eport 31-11-287 </w:t>
      </w:r>
      <w:r>
        <w:t xml:space="preserve">produced median Steady state concentrations for extensive and poor metabolisers that were within the therapeutic range throughout 28 days. However the modelling also produced some in the poor </w:t>
      </w:r>
      <w:proofErr w:type="spellStart"/>
      <w:r>
        <w:t>metabolizer</w:t>
      </w:r>
      <w:proofErr w:type="spellEnd"/>
      <w:r>
        <w:t xml:space="preserve"> range population who were at all times above the Therapeutic range on 30</w:t>
      </w:r>
      <w:r w:rsidR="002C1F46">
        <w:t>0 mg</w:t>
      </w:r>
      <w:r>
        <w:t xml:space="preserve"> as well as 40</w:t>
      </w:r>
      <w:r w:rsidR="002C1F46">
        <w:t>0 mg</w:t>
      </w:r>
      <w:r>
        <w:t xml:space="preserve"> and some extensive metabolisers on 40</w:t>
      </w:r>
      <w:r w:rsidR="002C1F46">
        <w:t>0 mg</w:t>
      </w:r>
      <w:r>
        <w:t xml:space="preserve"> who were sub-therapeutic around the end of the 28 day cycle (C</w:t>
      </w:r>
      <w:r w:rsidRPr="00484E52">
        <w:rPr>
          <w:vertAlign w:val="subscript"/>
        </w:rPr>
        <w:t>min</w:t>
      </w:r>
      <w:r>
        <w:t>).</w:t>
      </w:r>
    </w:p>
    <w:p w14:paraId="24A32FB8" w14:textId="13A6FA4B" w:rsidR="002B55D9" w:rsidRDefault="002B55D9" w:rsidP="004C5C99">
      <w:pPr>
        <w:pStyle w:val="FigureTitle"/>
        <w:keepLines/>
      </w:pPr>
      <w:bookmarkStart w:id="87" w:name="_Toc381104426"/>
      <w:r w:rsidRPr="00137836">
        <w:t xml:space="preserve">Figure </w:t>
      </w:r>
      <w:r w:rsidR="000D6249">
        <w:fldChar w:fldCharType="begin"/>
      </w:r>
      <w:r w:rsidR="000D6249">
        <w:instrText xml:space="preserve"> SEQ Figure \* ARABIC </w:instrText>
      </w:r>
      <w:r w:rsidR="000D6249">
        <w:fldChar w:fldCharType="separate"/>
      </w:r>
      <w:r w:rsidR="00C476F4">
        <w:rPr>
          <w:noProof/>
        </w:rPr>
        <w:t>14</w:t>
      </w:r>
      <w:r w:rsidR="000D6249">
        <w:rPr>
          <w:noProof/>
        </w:rPr>
        <w:fldChar w:fldCharType="end"/>
      </w:r>
      <w:r w:rsidR="0052799D">
        <w:t>.</w:t>
      </w:r>
      <w:r w:rsidRPr="00137836">
        <w:t xml:space="preserve"> Comparison of </w:t>
      </w:r>
      <w:r w:rsidR="004C5C99">
        <w:t>s</w:t>
      </w:r>
      <w:r w:rsidRPr="00137836">
        <w:t>teady-</w:t>
      </w:r>
      <w:r w:rsidR="004C5C99">
        <w:t>s</w:t>
      </w:r>
      <w:r w:rsidRPr="00137836">
        <w:t xml:space="preserve">tate </w:t>
      </w:r>
      <w:r w:rsidR="004C5C99">
        <w:t>e</w:t>
      </w:r>
      <w:r w:rsidRPr="00137836">
        <w:t xml:space="preserve">xposure </w:t>
      </w:r>
      <w:r w:rsidR="004C5C99">
        <w:t>m</w:t>
      </w:r>
      <w:r w:rsidRPr="00137836">
        <w:t xml:space="preserve">easures for </w:t>
      </w:r>
      <w:r w:rsidR="004C5C99">
        <w:t>p</w:t>
      </w:r>
      <w:r w:rsidRPr="00137836">
        <w:t xml:space="preserve">oor </w:t>
      </w:r>
      <w:r w:rsidR="004C5C99">
        <w:t>m</w:t>
      </w:r>
      <w:r w:rsidRPr="00137836">
        <w:t xml:space="preserve">etabolisers, </w:t>
      </w:r>
      <w:r w:rsidR="004C5C99">
        <w:t>s</w:t>
      </w:r>
      <w:r w:rsidRPr="00137836">
        <w:t xml:space="preserve">tratified by IM </w:t>
      </w:r>
      <w:r w:rsidR="004C5C99">
        <w:t>d</w:t>
      </w:r>
      <w:r w:rsidRPr="00137836">
        <w:t xml:space="preserve">epot </w:t>
      </w:r>
      <w:r w:rsidR="004C5C99">
        <w:t>d</w:t>
      </w:r>
      <w:r w:rsidRPr="00137836">
        <w:t>ose</w:t>
      </w:r>
      <w:bookmarkEnd w:id="87"/>
    </w:p>
    <w:p w14:paraId="24A32FB9" w14:textId="77777777" w:rsidR="002B55D9" w:rsidRPr="0052799D" w:rsidRDefault="0052799D" w:rsidP="003B022B">
      <w:r>
        <w:rPr>
          <w:noProof/>
          <w:lang w:eastAsia="en-AU"/>
        </w:rPr>
        <w:drawing>
          <wp:inline distT="0" distB="0" distL="0" distR="0" wp14:anchorId="24A3324C" wp14:editId="50E3A9EC">
            <wp:extent cx="3162300" cy="2668191"/>
            <wp:effectExtent l="0" t="0" r="0" b="0"/>
            <wp:docPr id="21" name="Picture 21" descr="Figure 14. Comparison of steady-state exposure measures for poor metabolisers, stratified by IM depot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162300" cy="2668191"/>
                    </a:xfrm>
                    <a:prstGeom prst="rect">
                      <a:avLst/>
                    </a:prstGeom>
                  </pic:spPr>
                </pic:pic>
              </a:graphicData>
            </a:graphic>
          </wp:inline>
        </w:drawing>
      </w:r>
    </w:p>
    <w:p w14:paraId="24A32FBA" w14:textId="77777777" w:rsidR="002B55D9" w:rsidRPr="00C051EE" w:rsidRDefault="002B55D9" w:rsidP="004C5C99">
      <w:pPr>
        <w:pStyle w:val="Heading4"/>
      </w:pPr>
      <w:bookmarkStart w:id="88" w:name="_Toc241374289"/>
      <w:bookmarkStart w:id="89" w:name="_Toc272414623"/>
      <w:bookmarkStart w:id="90" w:name="_Toc290846246"/>
      <w:bookmarkStart w:id="91" w:name="_Toc381104187"/>
      <w:r w:rsidRPr="00484E52">
        <w:t>E</w:t>
      </w:r>
      <w:bookmarkEnd w:id="88"/>
      <w:r w:rsidRPr="00484E52">
        <w:t>xcretion</w:t>
      </w:r>
      <w:bookmarkEnd w:id="89"/>
      <w:bookmarkEnd w:id="90"/>
      <w:bookmarkEnd w:id="91"/>
    </w:p>
    <w:p w14:paraId="24A32FBB" w14:textId="77777777" w:rsidR="002B55D9" w:rsidRPr="000A268A" w:rsidRDefault="002B55D9" w:rsidP="004C5C99">
      <w:r w:rsidRPr="000A268A">
        <w:t>In the final Pop</w:t>
      </w:r>
      <w:r>
        <w:t xml:space="preserve"> PK </w:t>
      </w:r>
      <w:r w:rsidRPr="000A268A">
        <w:t xml:space="preserve">model (report 31-11-287) Clearance in the presence of strong CYP-2D6 inhibitors and strong CYP-3A4 inhibitors was estimated to be 51% lower and 24% lower, respectively, than the CL of 3.71 L/h in the absence of inhibitors for EM subjects. Clearance for </w:t>
      </w:r>
      <w:r w:rsidRPr="000A268A">
        <w:lastRenderedPageBreak/>
        <w:t>the PM subjects in the absence of inhibitors was estimated to be 1.88 L/h or approximately 51% (1.88/3.71) of the CL for the EM subjects in the absence of inhibitors.</w:t>
      </w:r>
    </w:p>
    <w:p w14:paraId="24A32FBC" w14:textId="77777777" w:rsidR="002B55D9" w:rsidRPr="000A268A" w:rsidRDefault="002B55D9" w:rsidP="004C5C99">
      <w:r w:rsidRPr="000A268A">
        <w:t>The Pop</w:t>
      </w:r>
      <w:r>
        <w:t xml:space="preserve"> PK </w:t>
      </w:r>
      <w:r w:rsidRPr="000A268A">
        <w:t>model (report 31-12-292) gives a mean T</w:t>
      </w:r>
      <w:r w:rsidRPr="000A268A">
        <w:rPr>
          <w:vertAlign w:val="subscript"/>
        </w:rPr>
        <w:t>1/2</w:t>
      </w:r>
      <w:r w:rsidRPr="000A268A">
        <w:t>γ of 7.42 days</w:t>
      </w:r>
      <w:r w:rsidR="0052799D">
        <w:t xml:space="preserve"> </w:t>
      </w:r>
      <w:r w:rsidRPr="000A268A">
        <w:t>(see</w:t>
      </w:r>
      <w:r w:rsidR="00383AAD">
        <w:t xml:space="preserve"> Table 5</w:t>
      </w:r>
      <w:r w:rsidRPr="000A268A">
        <w:t>).</w:t>
      </w:r>
    </w:p>
    <w:p w14:paraId="24A32FBD" w14:textId="77777777" w:rsidR="002B55D9" w:rsidRPr="000A268A" w:rsidRDefault="002B55D9" w:rsidP="004C5C99">
      <w:r w:rsidRPr="000A268A">
        <w:t xml:space="preserve">Study 31-05-244 gives mean </w:t>
      </w:r>
      <w:proofErr w:type="spellStart"/>
      <w:r w:rsidRPr="000A268A">
        <w:t>aripiprazole</w:t>
      </w:r>
      <w:proofErr w:type="spellEnd"/>
      <w:r w:rsidRPr="000A268A">
        <w:t xml:space="preserve"> terminal elimination half-lives of 29.9 days and 46.5 days for </w:t>
      </w:r>
      <w:proofErr w:type="spellStart"/>
      <w:r w:rsidRPr="000A268A">
        <w:t>aripiprazole</w:t>
      </w:r>
      <w:proofErr w:type="spellEnd"/>
      <w:r w:rsidRPr="000A268A">
        <w:t xml:space="preserve"> IM depot 30</w:t>
      </w:r>
      <w:r w:rsidR="002C1F46">
        <w:t>0 mg</w:t>
      </w:r>
      <w:r w:rsidRPr="000A268A">
        <w:t xml:space="preserve"> and 40</w:t>
      </w:r>
      <w:r w:rsidR="002C1F46">
        <w:t>0 mg</w:t>
      </w:r>
      <w:r w:rsidRPr="000A268A">
        <w:t>, respectively.</w:t>
      </w:r>
    </w:p>
    <w:p w14:paraId="24A32FBE" w14:textId="77777777" w:rsidR="002B55D9" w:rsidRPr="00484E52" w:rsidRDefault="002B55D9" w:rsidP="004C5C99">
      <w:pPr>
        <w:pStyle w:val="Heading4"/>
      </w:pPr>
      <w:bookmarkStart w:id="92" w:name="_Toc241374291"/>
      <w:bookmarkStart w:id="93" w:name="_Toc272414624"/>
      <w:bookmarkStart w:id="94" w:name="_Toc290846247"/>
      <w:bookmarkStart w:id="95" w:name="_Toc381104188"/>
      <w:r w:rsidRPr="00484E52">
        <w:t>Intra- and inter-individual variability</w:t>
      </w:r>
      <w:bookmarkEnd w:id="92"/>
      <w:r w:rsidRPr="00484E52">
        <w:t xml:space="preserve"> of pharmacokinetics</w:t>
      </w:r>
      <w:bookmarkEnd w:id="93"/>
      <w:bookmarkEnd w:id="94"/>
      <w:bookmarkEnd w:id="95"/>
    </w:p>
    <w:p w14:paraId="24A32FBF" w14:textId="77777777" w:rsidR="002B55D9" w:rsidRPr="000A268A" w:rsidRDefault="002B55D9" w:rsidP="004C5C99">
      <w:bookmarkStart w:id="96" w:name="_Toc241374293"/>
      <w:r w:rsidRPr="000A268A">
        <w:t>Variability in the Pop</w:t>
      </w:r>
      <w:r>
        <w:t xml:space="preserve"> PK </w:t>
      </w:r>
      <w:r w:rsidRPr="000A268A">
        <w:t xml:space="preserve">model (report 31-12-292) is given as a residual variability for the </w:t>
      </w:r>
      <w:r w:rsidR="0053374E">
        <w:t>Phase I</w:t>
      </w:r>
      <w:r w:rsidRPr="000A268A">
        <w:t xml:space="preserve"> and </w:t>
      </w:r>
      <w:r w:rsidR="0053374E">
        <w:t>Phase III</w:t>
      </w:r>
      <w:r w:rsidRPr="000A268A">
        <w:t xml:space="preserve"> trials of 24 %CV and 28 %CV.</w:t>
      </w:r>
    </w:p>
    <w:p w14:paraId="24A32FC0" w14:textId="77777777" w:rsidR="002B55D9" w:rsidRPr="005C0655" w:rsidRDefault="002B55D9" w:rsidP="004C5C99">
      <w:pPr>
        <w:pStyle w:val="Heading3"/>
      </w:pPr>
      <w:bookmarkStart w:id="97" w:name="_Toc272414626"/>
      <w:bookmarkStart w:id="98" w:name="_Toc290846249"/>
      <w:bookmarkStart w:id="99" w:name="_Toc381104189"/>
      <w:bookmarkStart w:id="100" w:name="_Toc408930635"/>
      <w:r w:rsidRPr="005C0655">
        <w:t>Pharmacokinetics in other special populations</w:t>
      </w:r>
      <w:bookmarkEnd w:id="96"/>
      <w:bookmarkEnd w:id="97"/>
      <w:bookmarkEnd w:id="98"/>
      <w:bookmarkEnd w:id="99"/>
      <w:bookmarkEnd w:id="100"/>
    </w:p>
    <w:p w14:paraId="24A32FC1" w14:textId="77777777" w:rsidR="002B55D9" w:rsidRPr="000A268A" w:rsidRDefault="002B55D9" w:rsidP="004C5C99">
      <w:r w:rsidRPr="000A268A">
        <w:t xml:space="preserve">No additional special population studies were conducted for the </w:t>
      </w:r>
      <w:proofErr w:type="spellStart"/>
      <w:r w:rsidRPr="000A268A">
        <w:t>aripiprazole</w:t>
      </w:r>
      <w:proofErr w:type="spellEnd"/>
      <w:r w:rsidRPr="000A268A">
        <w:t xml:space="preserve"> IM depot formulation.</w:t>
      </w:r>
      <w:r w:rsidRPr="000A268A">
        <w:rPr>
          <w:rStyle w:val="FootnoteReference"/>
          <w:rFonts w:asciiTheme="majorHAnsi" w:hAnsiTheme="majorHAnsi"/>
        </w:rPr>
        <w:footnoteReference w:id="13"/>
      </w:r>
    </w:p>
    <w:p w14:paraId="24A32FC2" w14:textId="77777777" w:rsidR="002B55D9" w:rsidRPr="000A268A" w:rsidRDefault="002B55D9" w:rsidP="004C5C99">
      <w:r w:rsidRPr="0052799D">
        <w:rPr>
          <w:rStyle w:val="Heading4Char"/>
        </w:rPr>
        <w:t>Study 31-98-208</w:t>
      </w:r>
      <w:r w:rsidRPr="000A268A">
        <w:t xml:space="preserve"> An open-label study of the PKs of oral </w:t>
      </w:r>
      <w:proofErr w:type="spellStart"/>
      <w:r w:rsidRPr="000A268A">
        <w:t>aripiprazole</w:t>
      </w:r>
      <w:proofErr w:type="spellEnd"/>
      <w:r w:rsidRPr="000A268A">
        <w:t xml:space="preserve"> in subjects with normal renal function and subjects with severely impaired renal function showed the values of </w:t>
      </w:r>
      <w:proofErr w:type="spellStart"/>
      <w:r w:rsidRPr="000A268A">
        <w:t>C</w:t>
      </w:r>
      <w:r w:rsidRPr="000A268A">
        <w:rPr>
          <w:vertAlign w:val="subscript"/>
        </w:rPr>
        <w:t>max</w:t>
      </w:r>
      <w:proofErr w:type="spellEnd"/>
      <w:r w:rsidRPr="000A268A">
        <w:t xml:space="preserve">, CL/F and </w:t>
      </w:r>
      <w:proofErr w:type="spellStart"/>
      <w:r w:rsidRPr="000A268A">
        <w:t>CL</w:t>
      </w:r>
      <w:r w:rsidRPr="000A268A">
        <w:rPr>
          <w:vertAlign w:val="subscript"/>
        </w:rPr>
        <w:t>r</w:t>
      </w:r>
      <w:proofErr w:type="spellEnd"/>
      <w:r w:rsidRPr="000A268A">
        <w:t xml:space="preserve"> of </w:t>
      </w:r>
      <w:proofErr w:type="spellStart"/>
      <w:r w:rsidRPr="000A268A">
        <w:t>aripiprazole</w:t>
      </w:r>
      <w:proofErr w:type="spellEnd"/>
      <w:r w:rsidRPr="000A268A">
        <w:t xml:space="preserve"> were not statistically significantly different between the subjects with renal impairment and the matched subjects with normal renal function. The 95% CI for the ratio of the geometric means included 1 for all </w:t>
      </w:r>
      <w:proofErr w:type="spellStart"/>
      <w:r w:rsidRPr="000A268A">
        <w:t>aripiprazole</w:t>
      </w:r>
      <w:proofErr w:type="spellEnd"/>
      <w:r w:rsidRPr="000A268A">
        <w:t xml:space="preserve"> parameters.</w:t>
      </w:r>
    </w:p>
    <w:p w14:paraId="24A32FC3" w14:textId="77777777" w:rsidR="002B55D9" w:rsidRPr="00A03D71" w:rsidRDefault="002B55D9" w:rsidP="004C5C99">
      <w:pPr>
        <w:pStyle w:val="Heading4"/>
      </w:pPr>
      <w:bookmarkStart w:id="101" w:name="_Toc272414630"/>
      <w:bookmarkStart w:id="102" w:name="_Toc290846253"/>
      <w:bookmarkStart w:id="103" w:name="_Toc381104190"/>
      <w:r w:rsidRPr="00A03D71">
        <w:t>Pharmacokinetics related to genetic factors</w:t>
      </w:r>
      <w:bookmarkEnd w:id="101"/>
      <w:bookmarkEnd w:id="102"/>
      <w:bookmarkEnd w:id="103"/>
    </w:p>
    <w:p w14:paraId="24A32FC4" w14:textId="77777777" w:rsidR="002B55D9" w:rsidRDefault="002B55D9" w:rsidP="004C5C99">
      <w:r>
        <w:t>The typical value of the IM Depot absorption rate for a female with a BMI of 28 kg/m</w:t>
      </w:r>
      <w:r>
        <w:rPr>
          <w:vertAlign w:val="superscript"/>
        </w:rPr>
        <w:t>2</w:t>
      </w:r>
      <w:r>
        <w:t xml:space="preserve"> is 0.000904L/h (half-life </w:t>
      </w:r>
      <w:r w:rsidR="0053374E">
        <w:t>~</w:t>
      </w:r>
      <w:r>
        <w:t xml:space="preserve">32 days), whereas the typical value for a male with the same BMI is 0.00122L/h (half-life </w:t>
      </w:r>
      <w:r w:rsidR="0053374E">
        <w:t>~</w:t>
      </w:r>
      <w:r>
        <w:t>24 days). The rate of IM Depot absorption declines as BMI increases nearly proportional to (BMI/28) for both genders.</w:t>
      </w:r>
    </w:p>
    <w:p w14:paraId="24A32FC5" w14:textId="77777777" w:rsidR="002B55D9" w:rsidRDefault="002B55D9" w:rsidP="004C5C99">
      <w:r>
        <w:t xml:space="preserve">For poor </w:t>
      </w:r>
      <w:r w:rsidR="00BF2105">
        <w:t>versus</w:t>
      </w:r>
      <w:r>
        <w:t xml:space="preserve"> Extensive metabolisers see above.</w:t>
      </w:r>
    </w:p>
    <w:p w14:paraId="24A32FC6" w14:textId="77777777" w:rsidR="002B55D9" w:rsidRPr="000C3453" w:rsidRDefault="002B55D9" w:rsidP="00B77AFB">
      <w:pPr>
        <w:pStyle w:val="Heading3"/>
      </w:pPr>
      <w:bookmarkStart w:id="104" w:name="_Toc241374294"/>
      <w:bookmarkStart w:id="105" w:name="_Toc272414632"/>
      <w:bookmarkStart w:id="106" w:name="_Toc290846255"/>
      <w:bookmarkStart w:id="107" w:name="_Toc381104191"/>
      <w:bookmarkStart w:id="108" w:name="_Toc408930636"/>
      <w:r w:rsidRPr="000C3453">
        <w:t>Pharmacokinetic interactions</w:t>
      </w:r>
      <w:bookmarkEnd w:id="104"/>
      <w:bookmarkEnd w:id="105"/>
      <w:bookmarkEnd w:id="106"/>
      <w:bookmarkEnd w:id="107"/>
      <w:bookmarkEnd w:id="108"/>
    </w:p>
    <w:p w14:paraId="24A32FC7" w14:textId="77777777" w:rsidR="002B55D9" w:rsidRPr="000C3453" w:rsidRDefault="002B55D9" w:rsidP="00B77AFB">
      <w:pPr>
        <w:pStyle w:val="Heading4"/>
      </w:pPr>
      <w:bookmarkStart w:id="109" w:name="_Toc272414633"/>
      <w:bookmarkStart w:id="110" w:name="_Toc290846256"/>
      <w:bookmarkStart w:id="111" w:name="_Toc381104192"/>
      <w:r w:rsidRPr="000C3453">
        <w:t>Pharmacokinetic interactions demonstrated in human studies</w:t>
      </w:r>
      <w:bookmarkEnd w:id="109"/>
      <w:bookmarkEnd w:id="110"/>
      <w:bookmarkEnd w:id="111"/>
    </w:p>
    <w:p w14:paraId="24A32FC8" w14:textId="77777777" w:rsidR="002B55D9" w:rsidRPr="000C3453" w:rsidRDefault="002B55D9" w:rsidP="00B77AFB">
      <w:r>
        <w:t>There were no Interaction studies with the IM depot formulation submitted.</w:t>
      </w:r>
      <w:r>
        <w:rPr>
          <w:rStyle w:val="FootnoteReference"/>
        </w:rPr>
        <w:footnoteReference w:id="14"/>
      </w:r>
      <w:r>
        <w:t xml:space="preserve"> However the effects of co-administration of inhibitors of CYP-2D6 and CYP-3A4 were modelled as part of the PopPK study 31-11-28. (see </w:t>
      </w:r>
      <w:r w:rsidR="00383AAD">
        <w:t>Figures 6-8</w:t>
      </w:r>
      <w:r>
        <w:t>).</w:t>
      </w:r>
    </w:p>
    <w:p w14:paraId="24A32FC9" w14:textId="77777777" w:rsidR="002B55D9" w:rsidRDefault="002B55D9" w:rsidP="00B77AFB">
      <w:pPr>
        <w:pStyle w:val="Heading3"/>
      </w:pPr>
      <w:bookmarkStart w:id="112" w:name="_Toc241374296"/>
      <w:bookmarkStart w:id="113" w:name="_Ref269982040"/>
      <w:bookmarkStart w:id="114" w:name="_Ref271018704"/>
      <w:bookmarkStart w:id="115" w:name="_Ref271018755"/>
      <w:bookmarkStart w:id="116" w:name="_Toc272414635"/>
      <w:bookmarkStart w:id="117" w:name="_Toc290846258"/>
      <w:bookmarkStart w:id="118" w:name="_Toc381104193"/>
      <w:bookmarkStart w:id="119" w:name="_Toc408930637"/>
      <w:r>
        <w:t>Evaluator’s overall conclusions on pharmacokinetics</w:t>
      </w:r>
      <w:bookmarkEnd w:id="112"/>
      <w:bookmarkEnd w:id="113"/>
      <w:bookmarkEnd w:id="114"/>
      <w:bookmarkEnd w:id="115"/>
      <w:bookmarkEnd w:id="116"/>
      <w:bookmarkEnd w:id="117"/>
      <w:bookmarkEnd w:id="118"/>
      <w:bookmarkEnd w:id="119"/>
    </w:p>
    <w:p w14:paraId="24A32FCA" w14:textId="3353181B" w:rsidR="002B55D9" w:rsidRDefault="002B55D9" w:rsidP="00B77AFB">
      <w:pPr>
        <w:pStyle w:val="Heading4"/>
      </w:pPr>
      <w:bookmarkStart w:id="120" w:name="_Toc381104194"/>
      <w:r>
        <w:t>Guidance</w:t>
      </w:r>
      <w:bookmarkEnd w:id="120"/>
    </w:p>
    <w:p w14:paraId="24A32FCB" w14:textId="77777777" w:rsidR="002B55D9" w:rsidRPr="00001AC0" w:rsidRDefault="002B55D9" w:rsidP="00B77AFB">
      <w:r w:rsidRPr="00001AC0">
        <w:t>CPMP/EWP/49/01 Appendix to the Note for Guidance on the Clinical Investigation of Medicinal Products in the Treatment of Schizophrenia - Methodology of Clinical Trials Concerning the Development of Depot Preparations of Approved Medicinal Products in Schizophrenia.</w:t>
      </w:r>
    </w:p>
    <w:p w14:paraId="24A32FCC" w14:textId="77777777" w:rsidR="002B55D9" w:rsidRDefault="002B55D9" w:rsidP="00B77AFB">
      <w:pPr>
        <w:pStyle w:val="ListBullet"/>
      </w:pPr>
      <w:r>
        <w:t>Of specific interest is the comparison of the concentration time curves after administration of the oral formulation and the depot formulation over the dosing range. This comparison should be used for an adequate dose and dose interval selection of the depot formulation.</w:t>
      </w:r>
    </w:p>
    <w:p w14:paraId="24A32FCD" w14:textId="77777777" w:rsidR="002B55D9" w:rsidRDefault="002B55D9" w:rsidP="00B77AFB">
      <w:pPr>
        <w:pStyle w:val="ListBullet"/>
      </w:pPr>
      <w:r>
        <w:t xml:space="preserve">Depending on the type of formulation, the influence of volume, amount and concentrations injected (dose proportionality), or other circumstances (like exercise), on the release </w:t>
      </w:r>
      <w:r>
        <w:lastRenderedPageBreak/>
        <w:t>characteristics should be discussed or investigated especially with respect to the possibility of dose dumping.</w:t>
      </w:r>
    </w:p>
    <w:p w14:paraId="24A32FCE" w14:textId="77777777" w:rsidR="002B55D9" w:rsidRDefault="002B55D9" w:rsidP="00B77AFB">
      <w:pPr>
        <w:pStyle w:val="ListBullet"/>
      </w:pPr>
      <w:r>
        <w:t>As the parenteral administration of a depot formulation will release the drug slowly compared to oral formulation, the time to achieve steady state concentration after switching from oral to parenteral treatment should be taken into consideration especially with respect to the efficacy.</w:t>
      </w:r>
    </w:p>
    <w:p w14:paraId="24A32FCF" w14:textId="77777777" w:rsidR="002B55D9" w:rsidRDefault="002B55D9" w:rsidP="00B77AFB">
      <w:pPr>
        <w:pStyle w:val="ListBullet"/>
      </w:pPr>
      <w:r>
        <w:t>Special attention should be paid to the first pass elimination of the active substance as this may be substantially different between the two routes of administration.</w:t>
      </w:r>
    </w:p>
    <w:p w14:paraId="24A32FD0" w14:textId="77777777" w:rsidR="002B55D9" w:rsidRDefault="0052799D" w:rsidP="00B77AFB">
      <w:pPr>
        <w:pStyle w:val="Heading4"/>
      </w:pPr>
      <w:bookmarkStart w:id="121" w:name="_Toc381104195"/>
      <w:r>
        <w:t>Evaluator’s conclusions</w:t>
      </w:r>
      <w:bookmarkEnd w:id="121"/>
    </w:p>
    <w:p w14:paraId="24A32FD1" w14:textId="77777777" w:rsidR="002B55D9" w:rsidRDefault="002B55D9" w:rsidP="00B77AFB">
      <w:r>
        <w:t xml:space="preserve">The PKs raise a number of concerns in regard to under and overdosing in poor and extensive metabolisers (see </w:t>
      </w:r>
      <w:r w:rsidR="00383AAD">
        <w:t>Figure 2</w:t>
      </w:r>
      <w:r>
        <w:t>).</w:t>
      </w:r>
    </w:p>
    <w:p w14:paraId="24A32FD2" w14:textId="77777777" w:rsidR="002B55D9" w:rsidRDefault="002B55D9" w:rsidP="00B77AFB">
      <w:r>
        <w:t>Steady state is reached by the fourth cycle at which stage even on 40</w:t>
      </w:r>
      <w:r w:rsidR="002C1F46">
        <w:t>0 mg</w:t>
      </w:r>
      <w:r>
        <w:t xml:space="preserve"> some extensive metabolisers will be at sub-therapeutic levels towards the end of the cycle, with presumably a greater number and for some a greater duration in the preceding months.</w:t>
      </w:r>
    </w:p>
    <w:p w14:paraId="24A32FD3" w14:textId="77777777" w:rsidR="002B55D9" w:rsidRDefault="002B55D9" w:rsidP="00B77AFB">
      <w:r>
        <w:t>When steady state is reached even on 30</w:t>
      </w:r>
      <w:r w:rsidR="002C1F46">
        <w:t>0 mg</w:t>
      </w:r>
      <w:r>
        <w:t xml:space="preserve"> some poor metabolisers will be at above therapeutic levels throughout the cycle, while the likelihood of increased AEs does not directly affect therapy, the increased risk of discontinuation due to AEs does.</w:t>
      </w:r>
    </w:p>
    <w:p w14:paraId="24A32FD4" w14:textId="77777777" w:rsidR="002B55D9" w:rsidRDefault="002B55D9" w:rsidP="00B77AFB">
      <w:r>
        <w:t>A single 40</w:t>
      </w:r>
      <w:r w:rsidR="002C1F46">
        <w:t>0 mg</w:t>
      </w:r>
      <w:r>
        <w:t xml:space="preserve"> IM depot dose is shown to achieve mean sub-therapeutic levels for the first and last 3 days of the initial treatment cycle, presumably extensive metabolisers will fare worse</w:t>
      </w:r>
      <w:r w:rsidRPr="00FE22AC">
        <w:t xml:space="preserve"> </w:t>
      </w:r>
      <w:r>
        <w:t>(</w:t>
      </w:r>
      <w:r w:rsidR="0052799D">
        <w:t>s</w:t>
      </w:r>
      <w:r>
        <w:t xml:space="preserve">ee </w:t>
      </w:r>
      <w:r w:rsidR="00383AAD">
        <w:t>Figure 3</w:t>
      </w:r>
      <w:r>
        <w:t>).</w:t>
      </w:r>
    </w:p>
    <w:p w14:paraId="24A32FD5" w14:textId="77777777" w:rsidR="002B55D9" w:rsidRDefault="002B55D9" w:rsidP="00B77AFB">
      <w:r>
        <w:t>Bioequivalence was not shown. Relative bioavailability based on AUC ranged from 0.90 to 1.44 with the smallest CV 19.85%. While relative exposure based on C</w:t>
      </w:r>
      <w:r w:rsidRPr="00AD5E68">
        <w:rPr>
          <w:vertAlign w:val="subscript"/>
        </w:rPr>
        <w:t>max</w:t>
      </w:r>
      <w:r>
        <w:t xml:space="preserve"> was only 0.04-0.07.</w:t>
      </w:r>
    </w:p>
    <w:p w14:paraId="24A32FD6" w14:textId="77777777" w:rsidR="00586F98" w:rsidRDefault="00586F98" w:rsidP="00B77AFB">
      <w:pPr>
        <w:pStyle w:val="Heading2"/>
      </w:pPr>
      <w:bookmarkStart w:id="122" w:name="_Toc408930638"/>
      <w:r>
        <w:t>Pharmacodynamics</w:t>
      </w:r>
      <w:bookmarkEnd w:id="122"/>
    </w:p>
    <w:p w14:paraId="24A32FD7" w14:textId="77777777" w:rsidR="002B55D9" w:rsidRDefault="002B55D9" w:rsidP="00B77AFB">
      <w:pPr>
        <w:pStyle w:val="Heading3"/>
      </w:pPr>
      <w:bookmarkStart w:id="123" w:name="_Ref269119989"/>
      <w:bookmarkStart w:id="124" w:name="_Toc272414639"/>
      <w:bookmarkStart w:id="125" w:name="_Toc290846261"/>
      <w:bookmarkStart w:id="126" w:name="_Toc381104197"/>
      <w:bookmarkStart w:id="127" w:name="_Toc408930639"/>
      <w:r>
        <w:t>Summary of pharmacodynamics</w:t>
      </w:r>
      <w:bookmarkEnd w:id="123"/>
      <w:bookmarkEnd w:id="124"/>
      <w:bookmarkEnd w:id="125"/>
      <w:bookmarkEnd w:id="126"/>
      <w:bookmarkEnd w:id="127"/>
    </w:p>
    <w:p w14:paraId="24A32FD8" w14:textId="77777777" w:rsidR="002B55D9" w:rsidRDefault="002B55D9" w:rsidP="00B77AFB">
      <w:r>
        <w:t>There were no new PD studies in this submission.</w:t>
      </w:r>
    </w:p>
    <w:p w14:paraId="24A32FD9" w14:textId="77777777" w:rsidR="00586F98" w:rsidRDefault="00C22678" w:rsidP="00B77AFB">
      <w:pPr>
        <w:pStyle w:val="Heading2"/>
      </w:pPr>
      <w:bookmarkStart w:id="128" w:name="_Toc408930640"/>
      <w:r>
        <w:t>Dosage selection for the pivotal studies</w:t>
      </w:r>
      <w:bookmarkEnd w:id="128"/>
    </w:p>
    <w:p w14:paraId="24A32FDA" w14:textId="77777777" w:rsidR="002B55D9" w:rsidRDefault="002B55D9" w:rsidP="00B77AFB">
      <w:r>
        <w:t>Based on the assessed pharmacokinetic (PK) parameters from Trial CN138-020 and from previous oral steady state studies</w:t>
      </w:r>
      <w:r w:rsidRPr="00BE67A0">
        <w:t xml:space="preserve"> </w:t>
      </w:r>
      <w:proofErr w:type="spellStart"/>
      <w:r>
        <w:t>aripiprazole</w:t>
      </w:r>
      <w:proofErr w:type="spellEnd"/>
      <w:r>
        <w:t xml:space="preserve"> plasma concentration-time profiles were simulated. These simulations included a proposed switching regimen in which oral dosing was tapered off with concomitant administration of 100, 200, 300, and 40</w:t>
      </w:r>
      <w:r w:rsidR="002C1F46">
        <w:t>0 mg</w:t>
      </w:r>
      <w:r>
        <w:t xml:space="preserve"> </w:t>
      </w:r>
      <w:proofErr w:type="spellStart"/>
      <w:r>
        <w:t>aripiprazole</w:t>
      </w:r>
      <w:proofErr w:type="spellEnd"/>
      <w:r>
        <w:t xml:space="preserve"> IM depot monthly (</w:t>
      </w:r>
      <w:r w:rsidR="0052799D">
        <w:t xml:space="preserve">that is, </w:t>
      </w:r>
      <w:r>
        <w:t>every 28 days). Data from these simulations indicated that the lower 95% CI for minimum plasma concentration (C</w:t>
      </w:r>
      <w:r w:rsidRPr="00323D03">
        <w:rPr>
          <w:vertAlign w:val="subscript"/>
        </w:rPr>
        <w:t>min</w:t>
      </w:r>
      <w:r>
        <w:t>) for 40</w:t>
      </w:r>
      <w:r w:rsidR="002C1F46">
        <w:t>0 mg</w:t>
      </w:r>
      <w:r>
        <w:t>/30</w:t>
      </w:r>
      <w:r w:rsidR="002C1F46">
        <w:t>0 mg</w:t>
      </w:r>
      <w:r>
        <w:t xml:space="preserve"> </w:t>
      </w:r>
      <w:proofErr w:type="spellStart"/>
      <w:r>
        <w:t>aripiprazole</w:t>
      </w:r>
      <w:proofErr w:type="spellEnd"/>
      <w:r>
        <w:t xml:space="preserve"> IM depot would be expected to be above (or very close to) the steady-state C</w:t>
      </w:r>
      <w:r w:rsidRPr="00323D03">
        <w:rPr>
          <w:vertAlign w:val="subscript"/>
        </w:rPr>
        <w:t>min</w:t>
      </w:r>
      <w:r>
        <w:t xml:space="preserve"> of daily dosing with </w:t>
      </w:r>
      <w:proofErr w:type="spellStart"/>
      <w:r>
        <w:t>aripiprazole</w:t>
      </w:r>
      <w:proofErr w:type="spellEnd"/>
      <w:r>
        <w:t xml:space="preserve"> 1</w:t>
      </w:r>
      <w:r w:rsidR="002C1F46">
        <w:t>0 mg</w:t>
      </w:r>
      <w:r>
        <w:t>, and below the mean steady-state maximum plasma concentration (C</w:t>
      </w:r>
      <w:r w:rsidRPr="00323D03">
        <w:rPr>
          <w:vertAlign w:val="subscript"/>
        </w:rPr>
        <w:t>max</w:t>
      </w:r>
      <w:r>
        <w:t xml:space="preserve">) of daily dosing with </w:t>
      </w:r>
      <w:proofErr w:type="spellStart"/>
      <w:r>
        <w:t>aripiprazole</w:t>
      </w:r>
      <w:proofErr w:type="spellEnd"/>
      <w:r>
        <w:t xml:space="preserve"> 3</w:t>
      </w:r>
      <w:r w:rsidR="002C1F46">
        <w:t>0 mg</w:t>
      </w:r>
      <w:r>
        <w:t xml:space="preserve"> at all times, including tapering off oral dosing.</w:t>
      </w:r>
    </w:p>
    <w:p w14:paraId="24A32FDB" w14:textId="257B37BA" w:rsidR="002B55D9" w:rsidRDefault="002B55D9" w:rsidP="00B77AFB">
      <w:r w:rsidRPr="00BE67A0">
        <w:t>Trial 31-05-244</w:t>
      </w:r>
      <w:r>
        <w:t xml:space="preserve"> showed once-monthly administration of the 20</w:t>
      </w:r>
      <w:r w:rsidR="002C1F46">
        <w:t>0 mg</w:t>
      </w:r>
      <w:r>
        <w:t xml:space="preserve"> IM depot injections did not result in mean </w:t>
      </w:r>
      <w:proofErr w:type="spellStart"/>
      <w:r>
        <w:t>aripiprazole</w:t>
      </w:r>
      <w:proofErr w:type="spellEnd"/>
      <w:r>
        <w:t xml:space="preserve"> trough plasma concentrations that were comparable to the therapeutic concentrations of 1</w:t>
      </w:r>
      <w:r w:rsidR="002C1F46">
        <w:t>0 mg</w:t>
      </w:r>
      <w:r>
        <w:t xml:space="preserve"> to 3</w:t>
      </w:r>
      <w:r w:rsidR="002C1F46">
        <w:t>0 mg</w:t>
      </w:r>
      <w:r>
        <w:t xml:space="preserve"> oral </w:t>
      </w:r>
      <w:proofErr w:type="spellStart"/>
      <w:r>
        <w:t>aripiprazole</w:t>
      </w:r>
      <w:proofErr w:type="spellEnd"/>
      <w:r>
        <w:t xml:space="preserve"> administered daily to schizophrenic subjects. In this multiple-dose trial and in another single-dose trial (Trial CN138-020), the PK profiles and clinical data for </w:t>
      </w:r>
      <w:proofErr w:type="spellStart"/>
      <w:r>
        <w:t>aripiprazole</w:t>
      </w:r>
      <w:proofErr w:type="spellEnd"/>
      <w:r>
        <w:t xml:space="preserve"> IM depot 40</w:t>
      </w:r>
      <w:r w:rsidR="002C1F46">
        <w:t>0 mg</w:t>
      </w:r>
      <w:r>
        <w:t>/30</w:t>
      </w:r>
      <w:r w:rsidR="002C1F46">
        <w:t>0 mg</w:t>
      </w:r>
      <w:r>
        <w:t xml:space="preserve"> suggested that these doses would be efficacious and tolerable, and thus, both were further investigated in the </w:t>
      </w:r>
      <w:r w:rsidR="0053374E">
        <w:t>Phase III</w:t>
      </w:r>
      <w:r>
        <w:t xml:space="preserve"> trials.</w:t>
      </w:r>
    </w:p>
    <w:p w14:paraId="24A32FDC" w14:textId="77777777" w:rsidR="00C22678" w:rsidRDefault="00C22678" w:rsidP="00B77AFB">
      <w:pPr>
        <w:pStyle w:val="Heading2"/>
      </w:pPr>
      <w:bookmarkStart w:id="129" w:name="_Toc408930641"/>
      <w:r>
        <w:lastRenderedPageBreak/>
        <w:t>Clinical efficacy</w:t>
      </w:r>
      <w:bookmarkEnd w:id="129"/>
    </w:p>
    <w:p w14:paraId="24A32FDD" w14:textId="7C8ADA03" w:rsidR="002B55D9" w:rsidRDefault="002B55D9" w:rsidP="00B77AFB">
      <w:pPr>
        <w:pStyle w:val="Heading3"/>
      </w:pPr>
      <w:bookmarkStart w:id="130" w:name="_Toc381104200"/>
      <w:bookmarkStart w:id="131" w:name="_Ref271199564"/>
      <w:bookmarkStart w:id="132" w:name="_Toc272414651"/>
      <w:bookmarkStart w:id="133" w:name="_Toc290846273"/>
      <w:bookmarkStart w:id="134" w:name="_Toc408930642"/>
      <w:r w:rsidRPr="00C86842">
        <w:t>For the treatment of schizophrenia</w:t>
      </w:r>
      <w:bookmarkEnd w:id="130"/>
      <w:bookmarkEnd w:id="131"/>
      <w:bookmarkEnd w:id="132"/>
      <w:bookmarkEnd w:id="133"/>
      <w:bookmarkEnd w:id="134"/>
    </w:p>
    <w:p w14:paraId="24A32FDE" w14:textId="77777777" w:rsidR="002B55D9" w:rsidRDefault="002B55D9" w:rsidP="00B77AFB">
      <w:pPr>
        <w:pStyle w:val="Heading4"/>
      </w:pPr>
      <w:bookmarkStart w:id="135" w:name="_Ref271037274"/>
      <w:bookmarkStart w:id="136" w:name="_Toc272414652"/>
      <w:bookmarkStart w:id="137" w:name="_Toc290846274"/>
      <w:bookmarkStart w:id="138" w:name="_Toc381104201"/>
      <w:r>
        <w:t>Pivotal efficacy studies</w:t>
      </w:r>
      <w:bookmarkEnd w:id="135"/>
      <w:bookmarkEnd w:id="136"/>
      <w:bookmarkEnd w:id="137"/>
      <w:bookmarkEnd w:id="138"/>
    </w:p>
    <w:p w14:paraId="24A32FDF" w14:textId="77777777" w:rsidR="002B55D9" w:rsidRDefault="002B55D9" w:rsidP="00B77AFB">
      <w:pPr>
        <w:pStyle w:val="Heading5"/>
      </w:pPr>
      <w:bookmarkStart w:id="139" w:name="_Toc290846276"/>
      <w:bookmarkStart w:id="140" w:name="_Toc381104202"/>
      <w:bookmarkStart w:id="141" w:name="_Ref243301615"/>
      <w:bookmarkStart w:id="142" w:name="_Ref271040927"/>
      <w:bookmarkStart w:id="143" w:name="_Ref271040932"/>
      <w:bookmarkStart w:id="144" w:name="_Toc272414653"/>
      <w:bookmarkStart w:id="145" w:name="_Toc290846275"/>
      <w:r w:rsidRPr="003C0A48">
        <w:t>S</w:t>
      </w:r>
      <w:r>
        <w:t xml:space="preserve">tudy </w:t>
      </w:r>
      <w:bookmarkEnd w:id="139"/>
      <w:r w:rsidRPr="00C86842">
        <w:t>31-07-246</w:t>
      </w:r>
      <w:r>
        <w:t xml:space="preserve"> </w:t>
      </w:r>
      <w:r w:rsidR="00D43EBA">
        <w:t>‘</w:t>
      </w:r>
      <w:r>
        <w:t>ASPIRE US</w:t>
      </w:r>
      <w:r w:rsidR="00D43EBA">
        <w:t>’</w:t>
      </w:r>
      <w:bookmarkEnd w:id="140"/>
    </w:p>
    <w:p w14:paraId="24A32FE0" w14:textId="77777777" w:rsidR="002B55D9" w:rsidRPr="008C66BF" w:rsidRDefault="002B55D9" w:rsidP="00B77AFB">
      <w:r>
        <w:t xml:space="preserve">The study secondary endpoints were amended on 18 November 2009 (the study having commenced on 30 July </w:t>
      </w:r>
      <w:r w:rsidRPr="001A64AC">
        <w:t>2008).</w:t>
      </w:r>
    </w:p>
    <w:p w14:paraId="24A32FE1" w14:textId="77777777" w:rsidR="002B55D9" w:rsidRPr="003C0A48" w:rsidRDefault="002B55D9" w:rsidP="00B77AFB">
      <w:pPr>
        <w:pStyle w:val="Heading6"/>
      </w:pPr>
      <w:r w:rsidRPr="003C0A48">
        <w:t>Study design, objectives, locations and dates</w:t>
      </w:r>
    </w:p>
    <w:p w14:paraId="24A32FE2" w14:textId="77777777" w:rsidR="002B55D9" w:rsidRDefault="002B55D9" w:rsidP="00B77AFB">
      <w:r>
        <w:t xml:space="preserve">A 52-week, </w:t>
      </w:r>
      <w:proofErr w:type="spellStart"/>
      <w:r>
        <w:t>multicenter</w:t>
      </w:r>
      <w:proofErr w:type="spellEnd"/>
      <w:r>
        <w:t xml:space="preserve">, randomized, double-blind, placebo-controlled study to evaluate the efficacy, safety, and tolerability of an intramuscular depot formulation of </w:t>
      </w:r>
      <w:proofErr w:type="spellStart"/>
      <w:r>
        <w:t>aripiprazole</w:t>
      </w:r>
      <w:proofErr w:type="spellEnd"/>
      <w:r>
        <w:t xml:space="preserve"> as maintenance treatment in patients with schizophrenia consisting of a screening phase and 4 treatment phases: Conversion (</w:t>
      </w:r>
      <w:r w:rsidR="00485910">
        <w:t>Phase I</w:t>
      </w:r>
      <w:r>
        <w:t>), Oral Stabilization (2), IM Depot Stabilization (3), and Double-blind, Placebo-controlled (4). Conducted from 30 July 2011 to 3 February 2011 in 108 centres in the US, Mexico, Argentina, Bulgaria, Romania, Serbia, Slovakia, Russia, India, Taiwan, Malaysia, and the Philippines.</w:t>
      </w:r>
    </w:p>
    <w:p w14:paraId="24A32FE3" w14:textId="77777777" w:rsidR="002B55D9" w:rsidRDefault="002B55D9" w:rsidP="00B77AFB">
      <w:r>
        <w:t xml:space="preserve">The </w:t>
      </w:r>
      <w:r w:rsidRPr="005D4A3A">
        <w:rPr>
          <w:b/>
        </w:rPr>
        <w:t>primary objective</w:t>
      </w:r>
      <w:r>
        <w:t xml:space="preserve"> was to evaluate the efficacy of </w:t>
      </w:r>
      <w:proofErr w:type="spellStart"/>
      <w:r>
        <w:t>aripiprazole</w:t>
      </w:r>
      <w:proofErr w:type="spellEnd"/>
      <w:r>
        <w:t xml:space="preserve"> IM depot compared with placebo, as measured by time to exacerbation of psychotic symptoms/impending relapse, in schizophrenic subjects who had maintained stability on </w:t>
      </w:r>
      <w:proofErr w:type="spellStart"/>
      <w:r>
        <w:t>aripiprazole</w:t>
      </w:r>
      <w:proofErr w:type="spellEnd"/>
      <w:r>
        <w:t xml:space="preserve"> IM depot for at least 12 weeks.</w:t>
      </w:r>
    </w:p>
    <w:p w14:paraId="24A32FE4" w14:textId="77777777" w:rsidR="002B55D9" w:rsidRDefault="002B55D9" w:rsidP="00B77AFB">
      <w:r>
        <w:t xml:space="preserve">The </w:t>
      </w:r>
      <w:r w:rsidRPr="005D4A3A">
        <w:rPr>
          <w:b/>
        </w:rPr>
        <w:t>secondary objective</w:t>
      </w:r>
      <w:r>
        <w:t xml:space="preserve"> was to evaluate the safety and tolerability of </w:t>
      </w:r>
      <w:proofErr w:type="spellStart"/>
      <w:r>
        <w:t>aripiprazole</w:t>
      </w:r>
      <w:proofErr w:type="spellEnd"/>
      <w:r>
        <w:t xml:space="preserve"> IM depot as maintenance therapy in subjects with schizophrenia.</w:t>
      </w:r>
    </w:p>
    <w:p w14:paraId="24A32FE5" w14:textId="77777777" w:rsidR="002B55D9" w:rsidRPr="00CE099D" w:rsidRDefault="002B55D9" w:rsidP="00B77AFB">
      <w:r w:rsidRPr="00CE099D">
        <w:t>Subjects who were receiving</w:t>
      </w:r>
      <w:r>
        <w:t>:</w:t>
      </w:r>
    </w:p>
    <w:p w14:paraId="24A32FE6" w14:textId="77777777" w:rsidR="002B55D9" w:rsidRPr="00CE099D" w:rsidRDefault="002B55D9" w:rsidP="00B77AFB">
      <w:pPr>
        <w:pStyle w:val="ListBullet"/>
      </w:pPr>
      <w:r w:rsidRPr="00CE099D">
        <w:t>oral treatment with any other antipsychotic alone or in combination</w:t>
      </w:r>
      <w:r>
        <w:t>, or</w:t>
      </w:r>
    </w:p>
    <w:p w14:paraId="24A32FE7" w14:textId="77777777" w:rsidR="002B55D9" w:rsidRPr="00CE099D" w:rsidRDefault="002B55D9" w:rsidP="00B77AFB">
      <w:pPr>
        <w:pStyle w:val="ListBullet"/>
      </w:pPr>
      <w:r w:rsidRPr="00CE099D">
        <w:t xml:space="preserve">oral generic </w:t>
      </w:r>
      <w:proofErr w:type="spellStart"/>
      <w:r w:rsidRPr="00CE099D">
        <w:t>aripiprazole</w:t>
      </w:r>
      <w:proofErr w:type="spellEnd"/>
    </w:p>
    <w:p w14:paraId="24A32FE8" w14:textId="77777777" w:rsidR="002B55D9" w:rsidRPr="00CE099D" w:rsidRDefault="002B55D9" w:rsidP="005140A3">
      <w:r w:rsidRPr="00CE099D">
        <w:t xml:space="preserve">entered the </w:t>
      </w:r>
      <w:r w:rsidRPr="00CE099D">
        <w:rPr>
          <w:b/>
        </w:rPr>
        <w:t>Conversion Phase</w:t>
      </w:r>
      <w:r w:rsidRPr="00CE099D">
        <w:t xml:space="preserve"> when they were  converted from other antipsychotics to 10 or 15</w:t>
      </w:r>
      <w:r>
        <w:t>mg</w:t>
      </w:r>
      <w:r w:rsidRPr="00CE099D">
        <w:t xml:space="preserve">/day oral (trial) </w:t>
      </w:r>
      <w:proofErr w:type="spellStart"/>
      <w:r w:rsidRPr="00CE099D">
        <w:t>aripiprazole</w:t>
      </w:r>
      <w:proofErr w:type="spellEnd"/>
      <w:r w:rsidRPr="00CE099D">
        <w:t xml:space="preserve"> </w:t>
      </w:r>
      <w:proofErr w:type="spellStart"/>
      <w:r w:rsidRPr="00CE099D">
        <w:t>monotherapy</w:t>
      </w:r>
      <w:proofErr w:type="spellEnd"/>
      <w:r w:rsidRPr="00CE099D">
        <w:t xml:space="preserve"> over 4 to 6 weeks.</w:t>
      </w:r>
    </w:p>
    <w:p w14:paraId="24A32FE9" w14:textId="77777777" w:rsidR="002B55D9" w:rsidRPr="00CE099D" w:rsidRDefault="002B55D9" w:rsidP="00B77AFB">
      <w:r>
        <w:t>Subjects who:</w:t>
      </w:r>
    </w:p>
    <w:p w14:paraId="24A32FEA" w14:textId="77777777" w:rsidR="002B55D9" w:rsidRPr="00CE099D" w:rsidRDefault="002B55D9" w:rsidP="00B77AFB">
      <w:pPr>
        <w:pStyle w:val="ListBullet"/>
      </w:pPr>
      <w:r w:rsidRPr="00CE099D">
        <w:t xml:space="preserve">successfully converted to oral </w:t>
      </w:r>
      <w:proofErr w:type="spellStart"/>
      <w:r w:rsidRPr="00CE099D">
        <w:t>aripiprazole</w:t>
      </w:r>
      <w:proofErr w:type="spellEnd"/>
      <w:r w:rsidRPr="00CE099D">
        <w:t xml:space="preserve"> </w:t>
      </w:r>
      <w:proofErr w:type="spellStart"/>
      <w:r w:rsidRPr="00CE099D">
        <w:t>monotherapy</w:t>
      </w:r>
      <w:proofErr w:type="spellEnd"/>
      <w:r w:rsidRPr="00CE099D">
        <w:t xml:space="preserve"> </w:t>
      </w:r>
      <w:r>
        <w:t>, or</w:t>
      </w:r>
    </w:p>
    <w:p w14:paraId="24A32FEB" w14:textId="77777777" w:rsidR="002B55D9" w:rsidRPr="00CE099D" w:rsidRDefault="002B55D9" w:rsidP="00B77AFB">
      <w:pPr>
        <w:pStyle w:val="ListBullet"/>
      </w:pPr>
      <w:r w:rsidRPr="00CE099D">
        <w:t xml:space="preserve">who were already receiving </w:t>
      </w:r>
      <w:r w:rsidR="0052799D">
        <w:t>≤</w:t>
      </w:r>
      <w:r w:rsidRPr="00CE099D">
        <w:t xml:space="preserve"> 3</w:t>
      </w:r>
      <w:r w:rsidR="002C1F46">
        <w:t>0 mg</w:t>
      </w:r>
      <w:r w:rsidRPr="00CE099D">
        <w:t xml:space="preserve">/day oral non generic </w:t>
      </w:r>
      <w:proofErr w:type="spellStart"/>
      <w:r w:rsidRPr="00CE099D">
        <w:t>aripiprazole</w:t>
      </w:r>
      <w:proofErr w:type="spellEnd"/>
      <w:r w:rsidRPr="00CE099D">
        <w:t xml:space="preserve"> at screening</w:t>
      </w:r>
      <w:r>
        <w:t>, or</w:t>
      </w:r>
    </w:p>
    <w:p w14:paraId="24A32FEC" w14:textId="77777777" w:rsidR="002B55D9" w:rsidRPr="00CE099D" w:rsidRDefault="002B55D9" w:rsidP="00B77AFB">
      <w:pPr>
        <w:pStyle w:val="ListBullet"/>
      </w:pPr>
      <w:r w:rsidRPr="00CE099D">
        <w:t>who had a lapse</w:t>
      </w:r>
      <w:r w:rsidRPr="00CE099D">
        <w:rPr>
          <w:vertAlign w:val="superscript"/>
        </w:rPr>
        <w:footnoteReference w:id="15"/>
      </w:r>
      <w:r w:rsidRPr="00CE099D">
        <w:t xml:space="preserve"> in treatment with </w:t>
      </w:r>
      <w:proofErr w:type="spellStart"/>
      <w:r w:rsidRPr="00CE099D">
        <w:t>aripiprazole</w:t>
      </w:r>
      <w:proofErr w:type="spellEnd"/>
      <w:r w:rsidRPr="00CE099D">
        <w:t xml:space="preserve"> or other antipsychotic treatment prior to</w:t>
      </w:r>
      <w:r>
        <w:t xml:space="preserve"> </w:t>
      </w:r>
      <w:r w:rsidRPr="00CE099D">
        <w:t>trial entry</w:t>
      </w:r>
      <w:r>
        <w:t>, or</w:t>
      </w:r>
    </w:p>
    <w:p w14:paraId="24A32FED" w14:textId="77777777" w:rsidR="002B55D9" w:rsidRPr="00CE099D" w:rsidRDefault="002B55D9" w:rsidP="00B77AFB">
      <w:pPr>
        <w:pStyle w:val="ListBullet"/>
      </w:pPr>
      <w:r w:rsidRPr="00CE099D">
        <w:t>who received recent treatment with an approved IM depot formulation of an antipsychotic drug</w:t>
      </w:r>
      <w:r w:rsidRPr="00CE099D">
        <w:rPr>
          <w:vertAlign w:val="superscript"/>
        </w:rPr>
        <w:footnoteReference w:id="16"/>
      </w:r>
    </w:p>
    <w:p w14:paraId="24A32FEE" w14:textId="77777777" w:rsidR="002B55D9" w:rsidRDefault="002B55D9" w:rsidP="00B77AFB">
      <w:r w:rsidRPr="00CE099D">
        <w:t xml:space="preserve">entered the </w:t>
      </w:r>
      <w:r w:rsidRPr="00CE099D">
        <w:rPr>
          <w:b/>
        </w:rPr>
        <w:t>Oral Stabilization Phase</w:t>
      </w:r>
      <w:r>
        <w:t xml:space="preserve"> of</w:t>
      </w:r>
      <w:r w:rsidRPr="00CE099D">
        <w:t xml:space="preserve"> </w:t>
      </w:r>
      <w:r>
        <w:t xml:space="preserve">4 to12 </w:t>
      </w:r>
      <w:r w:rsidRPr="00CE099D">
        <w:t>weeks during which subjects were stabilized</w:t>
      </w:r>
      <w:r w:rsidRPr="00CE099D">
        <w:rPr>
          <w:vertAlign w:val="superscript"/>
        </w:rPr>
        <w:footnoteReference w:id="17"/>
      </w:r>
      <w:r w:rsidRPr="00CE099D">
        <w:t xml:space="preserve"> on oral 10 to 3</w:t>
      </w:r>
      <w:r w:rsidR="002C1F46">
        <w:t>0 mg</w:t>
      </w:r>
      <w:r w:rsidRPr="00CE099D">
        <w:t xml:space="preserve">/day </w:t>
      </w:r>
      <w:proofErr w:type="spellStart"/>
      <w:r w:rsidRPr="00CE099D">
        <w:t>aripiprazole</w:t>
      </w:r>
      <w:proofErr w:type="spellEnd"/>
      <w:r w:rsidRPr="00CE099D">
        <w:t>.</w:t>
      </w:r>
    </w:p>
    <w:p w14:paraId="24A32FEF" w14:textId="77777777" w:rsidR="002B55D9" w:rsidRDefault="002B55D9" w:rsidP="00B77AFB">
      <w:r>
        <w:lastRenderedPageBreak/>
        <w:t xml:space="preserve">Subjects then entered the </w:t>
      </w:r>
      <w:r>
        <w:rPr>
          <w:b/>
        </w:rPr>
        <w:t>single-</w:t>
      </w:r>
      <w:r w:rsidRPr="00796D46">
        <w:rPr>
          <w:b/>
        </w:rPr>
        <w:t>blind IM depot Stabilization Phase</w:t>
      </w:r>
      <w:r>
        <w:t xml:space="preserve"> of 12 to 36 weeks where all initially received </w:t>
      </w:r>
      <w:proofErr w:type="spellStart"/>
      <w:r>
        <w:t>aripiprazole</w:t>
      </w:r>
      <w:proofErr w:type="spellEnd"/>
      <w:r>
        <w:t xml:space="preserve"> IM depot 40</w:t>
      </w:r>
      <w:r w:rsidR="002C1F46">
        <w:t>0 mg</w:t>
      </w:r>
      <w:r>
        <w:t xml:space="preserve"> and concomitant oral </w:t>
      </w:r>
      <w:proofErr w:type="spellStart"/>
      <w:r>
        <w:t>aripiprazole</w:t>
      </w:r>
      <w:proofErr w:type="spellEnd"/>
      <w:r>
        <w:t xml:space="preserve"> (10 to 2</w:t>
      </w:r>
      <w:r w:rsidR="002C1F46">
        <w:t>0 mg</w:t>
      </w:r>
      <w:r>
        <w:t xml:space="preserve">/day) for the first 2 weeks. They continued on monthly depot </w:t>
      </w:r>
      <w:proofErr w:type="spellStart"/>
      <w:r w:rsidRPr="000D09ED">
        <w:t>aripiprazole</w:t>
      </w:r>
      <w:proofErr w:type="spellEnd"/>
      <w:r>
        <w:rPr>
          <w:i/>
        </w:rPr>
        <w:t xml:space="preserve"> </w:t>
      </w:r>
      <w:r w:rsidRPr="00CE099D">
        <w:t>(with a possible once only decrease in dose and a once only return</w:t>
      </w:r>
      <w:r>
        <w:t xml:space="preserve"> to original 40</w:t>
      </w:r>
      <w:r w:rsidR="002C1F46">
        <w:t>0 mg</w:t>
      </w:r>
      <w:r>
        <w:t xml:space="preserve"> dose</w:t>
      </w:r>
      <w:r w:rsidRPr="00CE099D">
        <w:t>)</w:t>
      </w:r>
      <w:r>
        <w:t xml:space="preserve"> until meeting the stability criteria.</w:t>
      </w:r>
    </w:p>
    <w:p w14:paraId="24A32FF0" w14:textId="77777777" w:rsidR="002B55D9" w:rsidRPr="00CE099D" w:rsidRDefault="002B55D9" w:rsidP="00B77AFB">
      <w:r w:rsidRPr="00CE099D">
        <w:t xml:space="preserve">Subjects </w:t>
      </w:r>
      <w:r>
        <w:t>could then enter</w:t>
      </w:r>
      <w:r w:rsidRPr="00CE099D">
        <w:t xml:space="preserve"> the </w:t>
      </w:r>
      <w:r w:rsidRPr="00CE099D">
        <w:rPr>
          <w:b/>
        </w:rPr>
        <w:t xml:space="preserve">Double-blind, </w:t>
      </w:r>
      <w:r>
        <w:rPr>
          <w:b/>
        </w:rPr>
        <w:t>Placebo</w:t>
      </w:r>
      <w:r w:rsidRPr="00CE099D">
        <w:rPr>
          <w:b/>
        </w:rPr>
        <w:t>-controlled Phase</w:t>
      </w:r>
      <w:r>
        <w:t xml:space="preserve"> where they were randomly assigned in a 2:1 ratio</w:t>
      </w:r>
      <w:r w:rsidRPr="00796D46">
        <w:t xml:space="preserve"> stratified by region</w:t>
      </w:r>
      <w:r>
        <w:t xml:space="preserve"> to:</w:t>
      </w:r>
    </w:p>
    <w:p w14:paraId="24A32FF1" w14:textId="0BE7A49F" w:rsidR="002B55D9" w:rsidRDefault="002B55D9" w:rsidP="005171C4">
      <w:pPr>
        <w:pStyle w:val="Numberbullet0"/>
        <w:numPr>
          <w:ilvl w:val="0"/>
          <w:numId w:val="15"/>
        </w:numPr>
      </w:pPr>
      <w:r>
        <w:t xml:space="preserve">Their stabilisation phase dose of </w:t>
      </w:r>
      <w:proofErr w:type="spellStart"/>
      <w:r w:rsidRPr="00CE099D">
        <w:t>Aripiprazole</w:t>
      </w:r>
      <w:proofErr w:type="spellEnd"/>
      <w:r w:rsidRPr="00CE099D">
        <w:t xml:space="preserve"> IM depot 400</w:t>
      </w:r>
      <w:r>
        <w:t xml:space="preserve"> or 30</w:t>
      </w:r>
      <w:r w:rsidR="002C1F46">
        <w:t>0 mg</w:t>
      </w:r>
      <w:r w:rsidRPr="00CE099D">
        <w:t>/28days (with a poss</w:t>
      </w:r>
      <w:r>
        <w:t>ible once only decrease or increase</w:t>
      </w:r>
      <w:r w:rsidRPr="00CE099D">
        <w:t xml:space="preserve"> and a once only return t</w:t>
      </w:r>
      <w:r>
        <w:t>o previous dose</w:t>
      </w:r>
      <w:r w:rsidR="00B77AFB">
        <w:t>)</w:t>
      </w:r>
    </w:p>
    <w:p w14:paraId="24A32FF2" w14:textId="77777777" w:rsidR="002B55D9" w:rsidRDefault="002B55D9" w:rsidP="002B55D9">
      <w:pPr>
        <w:autoSpaceDE w:val="0"/>
        <w:autoSpaceDN w:val="0"/>
        <w:adjustRightInd w:val="0"/>
      </w:pPr>
      <w:r>
        <w:t>OR</w:t>
      </w:r>
    </w:p>
    <w:p w14:paraId="24A32FF3" w14:textId="77777777" w:rsidR="002B55D9" w:rsidRDefault="002B55D9" w:rsidP="00B77AFB">
      <w:pPr>
        <w:pStyle w:val="Numberbullet0"/>
      </w:pPr>
      <w:r>
        <w:t>Placebo.</w:t>
      </w:r>
      <w:r>
        <w:rPr>
          <w:rStyle w:val="FootnoteReference"/>
        </w:rPr>
        <w:footnoteReference w:id="18"/>
      </w:r>
    </w:p>
    <w:p w14:paraId="24A32FF4" w14:textId="1A687F74" w:rsidR="002B55D9" w:rsidRPr="0052799D" w:rsidRDefault="002B55D9" w:rsidP="00B77AFB">
      <w:pPr>
        <w:ind w:left="425"/>
      </w:pPr>
      <w:r w:rsidRPr="0052799D">
        <w:t xml:space="preserve">Comment: by using a Study drug manager to give the injection the sponsors believed they achieved double blind </w:t>
      </w:r>
      <w:r w:rsidR="005140A3">
        <w:t>(evaluator and patient) status.</w:t>
      </w:r>
    </w:p>
    <w:p w14:paraId="24A32FF5" w14:textId="1F698187" w:rsidR="002B55D9" w:rsidRDefault="002B55D9" w:rsidP="00B77AFB">
      <w:r>
        <w:t>The trial design included 2 pre</w:t>
      </w:r>
      <w:r w:rsidR="0052799D">
        <w:t xml:space="preserve"> </w:t>
      </w:r>
      <w:r>
        <w:t xml:space="preserve">specified </w:t>
      </w:r>
      <w:r w:rsidRPr="00796D46">
        <w:rPr>
          <w:b/>
        </w:rPr>
        <w:t>interim analyses</w:t>
      </w:r>
      <w:r>
        <w:t xml:space="preserve"> for efficacy in order to minimize continued exposure to placebo and the risk of relapse; one was to occur after accrual of 50% of the 125 targeted events (63 events) and the second was to occur after 75% accrual of the events (9</w:t>
      </w:r>
      <w:r w:rsidR="00B77AFB">
        <w:t>4 events).</w:t>
      </w:r>
    </w:p>
    <w:p w14:paraId="24A32FF6" w14:textId="77777777" w:rsidR="002B55D9" w:rsidRPr="00956AE6" w:rsidRDefault="002B55D9" w:rsidP="00B77AFB">
      <w:pPr>
        <w:pStyle w:val="Heading6"/>
      </w:pPr>
      <w:r w:rsidRPr="00956AE6">
        <w:t>Inclusion criteria</w:t>
      </w:r>
    </w:p>
    <w:p w14:paraId="24A32FF7" w14:textId="77777777" w:rsidR="002B55D9" w:rsidRPr="00956AE6" w:rsidRDefault="002B55D9" w:rsidP="00B77AFB">
      <w:r w:rsidRPr="00956AE6">
        <w:t>Included:</w:t>
      </w:r>
    </w:p>
    <w:p w14:paraId="24A32FF8" w14:textId="77777777" w:rsidR="002B55D9" w:rsidRPr="00956AE6" w:rsidRDefault="002B55D9" w:rsidP="00B77AFB">
      <w:pPr>
        <w:pStyle w:val="ListBullet"/>
      </w:pPr>
      <w:r w:rsidRPr="00956AE6">
        <w:t>A current diagnosis of schizophrenia and a history of the illness for at least 3 years prior to screening, who required chronic treatment with antipsychotic medication.</w:t>
      </w:r>
    </w:p>
    <w:p w14:paraId="24A32FF9" w14:textId="77777777" w:rsidR="002B55D9" w:rsidRPr="00956AE6" w:rsidRDefault="002B55D9" w:rsidP="0052799D">
      <w:pPr>
        <w:pStyle w:val="ListBullet"/>
      </w:pPr>
      <w:r w:rsidRPr="00956AE6">
        <w:t>Currently being treated with oral or depot antipsychotics other than clozapine with a history of relapse and/or exacerbation of symptoms when not receiving antipsychotic treatment</w:t>
      </w:r>
      <w:r>
        <w:t>.</w:t>
      </w:r>
    </w:p>
    <w:p w14:paraId="24A32FFA" w14:textId="77777777" w:rsidR="002B55D9" w:rsidRPr="00956AE6" w:rsidRDefault="002B55D9" w:rsidP="0052799D">
      <w:pPr>
        <w:pStyle w:val="ListBullet"/>
      </w:pPr>
      <w:r w:rsidRPr="00956AE6">
        <w:t>Showed previous response to antipsychotic treatment (other than clozapine) in the year prior to the trial.</w:t>
      </w:r>
    </w:p>
    <w:p w14:paraId="24A32FFB" w14:textId="77777777" w:rsidR="002B55D9" w:rsidRPr="00956AE6" w:rsidRDefault="002B55D9" w:rsidP="0052799D">
      <w:pPr>
        <w:pStyle w:val="ListBullet"/>
      </w:pPr>
      <w:r w:rsidRPr="00956AE6">
        <w:t>No more than one benzodiazepine beyond screening</w:t>
      </w:r>
      <w:r>
        <w:t>.</w:t>
      </w:r>
    </w:p>
    <w:p w14:paraId="24A32FFC" w14:textId="77777777" w:rsidR="002B55D9" w:rsidRPr="00956AE6" w:rsidRDefault="002B55D9" w:rsidP="0052799D">
      <w:pPr>
        <w:pStyle w:val="ListBullet"/>
      </w:pPr>
      <w:r w:rsidRPr="00956AE6">
        <w:t>Adequate washout of prohibited concomitant medications</w:t>
      </w:r>
      <w:r>
        <w:t>.</w:t>
      </w:r>
    </w:p>
    <w:p w14:paraId="24A32FFD" w14:textId="77777777" w:rsidR="002B55D9" w:rsidRPr="00956AE6" w:rsidRDefault="002B55D9" w:rsidP="005171C4">
      <w:pPr>
        <w:pStyle w:val="Heading6"/>
      </w:pPr>
      <w:r w:rsidRPr="00956AE6">
        <w:t>Exclusion criteria</w:t>
      </w:r>
    </w:p>
    <w:p w14:paraId="24A32FFE" w14:textId="16B64C26" w:rsidR="002B55D9" w:rsidRPr="00956AE6" w:rsidRDefault="005171C4" w:rsidP="005171C4">
      <w:r>
        <w:t>Included:</w:t>
      </w:r>
    </w:p>
    <w:p w14:paraId="24A32FFF" w14:textId="77777777" w:rsidR="002B55D9" w:rsidRPr="00956AE6" w:rsidRDefault="002B55D9" w:rsidP="005171C4">
      <w:pPr>
        <w:pStyle w:val="ListBullet"/>
      </w:pPr>
      <w:r w:rsidRPr="00956AE6">
        <w:t>Schizoaffective disorder, major depressive disorder, bipolar disorder, delirium, dementia, amnestic or other cognitive disorders. Also, subjects with borderline, paranoid, histrionic, schizotypal, schizoid, or antisocial personality disorder.</w:t>
      </w:r>
    </w:p>
    <w:p w14:paraId="24A33000" w14:textId="77777777" w:rsidR="002B55D9" w:rsidRPr="00956AE6" w:rsidRDefault="002B55D9" w:rsidP="005171C4">
      <w:pPr>
        <w:pStyle w:val="ListBullet"/>
      </w:pPr>
      <w:r w:rsidRPr="00956AE6">
        <w:t>Acute depressive symptoms within the 30 days prior to screening</w:t>
      </w:r>
      <w:r>
        <w:t>.</w:t>
      </w:r>
    </w:p>
    <w:p w14:paraId="24A33001" w14:textId="77777777" w:rsidR="002B55D9" w:rsidRPr="00956AE6" w:rsidRDefault="002B55D9" w:rsidP="005171C4">
      <w:pPr>
        <w:pStyle w:val="ListBullet"/>
      </w:pPr>
      <w:r w:rsidRPr="00956AE6">
        <w:t>Schizophrenia that was considered resistant/refractory to antipsychotic treatment</w:t>
      </w:r>
      <w:r>
        <w:t>.</w:t>
      </w:r>
    </w:p>
    <w:p w14:paraId="24A33002" w14:textId="77777777" w:rsidR="002B55D9" w:rsidRPr="00956AE6" w:rsidRDefault="002B55D9" w:rsidP="0052799D">
      <w:pPr>
        <w:pStyle w:val="ListBullet"/>
      </w:pPr>
      <w:r w:rsidRPr="00956AE6">
        <w:t>History of failure to clozapine treatment or response to clozapine treatment only</w:t>
      </w:r>
      <w:r>
        <w:t>.</w:t>
      </w:r>
    </w:p>
    <w:p w14:paraId="24A33003" w14:textId="77777777" w:rsidR="002B55D9" w:rsidRPr="00956AE6" w:rsidRDefault="002B55D9" w:rsidP="005171C4">
      <w:pPr>
        <w:pStyle w:val="ListBullet"/>
      </w:pPr>
      <w:r w:rsidRPr="00956AE6">
        <w:t>A significant risk of violent behaviour or a significant risk of committing suicide</w:t>
      </w:r>
      <w:r>
        <w:t>.</w:t>
      </w:r>
    </w:p>
    <w:p w14:paraId="24A33004" w14:textId="77777777" w:rsidR="002B55D9" w:rsidRPr="00956AE6" w:rsidRDefault="002B55D9" w:rsidP="005171C4">
      <w:pPr>
        <w:pStyle w:val="ListBullet"/>
      </w:pPr>
      <w:r w:rsidRPr="00956AE6">
        <w:t>Known hypothyroidism or hyperthyroidism</w:t>
      </w:r>
      <w:r>
        <w:t>.</w:t>
      </w:r>
    </w:p>
    <w:p w14:paraId="24A33005" w14:textId="77777777" w:rsidR="002B55D9" w:rsidRPr="00956AE6" w:rsidRDefault="002B55D9" w:rsidP="005171C4">
      <w:pPr>
        <w:pStyle w:val="ListBullet"/>
      </w:pPr>
      <w:r w:rsidRPr="00956AE6">
        <w:t>Epilepsy or a history of seizures, except for a single childhood febrile seizure, post traumatic, alcohol withdrawal, etc</w:t>
      </w:r>
      <w:r>
        <w:t>.</w:t>
      </w:r>
    </w:p>
    <w:p w14:paraId="24A33006" w14:textId="77777777" w:rsidR="002B55D9" w:rsidRPr="00956AE6" w:rsidRDefault="002B55D9" w:rsidP="005171C4">
      <w:pPr>
        <w:pStyle w:val="ListBullet"/>
      </w:pPr>
      <w:r w:rsidRPr="00956AE6">
        <w:lastRenderedPageBreak/>
        <w:t>A history of hypersensitivity to antipsychotic agents.</w:t>
      </w:r>
    </w:p>
    <w:p w14:paraId="24A33007" w14:textId="77777777" w:rsidR="002B55D9" w:rsidRPr="00956AE6" w:rsidRDefault="002B55D9" w:rsidP="005171C4">
      <w:pPr>
        <w:pStyle w:val="ListBullet"/>
      </w:pPr>
      <w:r w:rsidRPr="00956AE6">
        <w:t>Likely to have required prohibited concomitant therapy during the trial</w:t>
      </w:r>
      <w:r>
        <w:t>.</w:t>
      </w:r>
    </w:p>
    <w:p w14:paraId="24A33008" w14:textId="77777777" w:rsidR="002B55D9" w:rsidRPr="004B259C" w:rsidRDefault="002B55D9" w:rsidP="005171C4">
      <w:pPr>
        <w:pStyle w:val="ListBullet"/>
      </w:pPr>
      <w:r w:rsidRPr="00956AE6">
        <w:t>Receiving CYP2D6 or CYP3A4 inhibitors or CYP3A4 inducers at screening or anticipating use of such agents during the tria</w:t>
      </w:r>
      <w:r>
        <w:t>l.</w:t>
      </w:r>
    </w:p>
    <w:p w14:paraId="24A33009" w14:textId="77777777" w:rsidR="002B55D9" w:rsidRPr="004B259C" w:rsidRDefault="002B55D9" w:rsidP="005171C4">
      <w:pPr>
        <w:pStyle w:val="Heading6"/>
      </w:pPr>
      <w:r w:rsidRPr="004B259C">
        <w:t>Efficacy variables and outcomes</w:t>
      </w:r>
    </w:p>
    <w:p w14:paraId="24A3300A" w14:textId="6B2E300E" w:rsidR="002B55D9" w:rsidRDefault="002B55D9" w:rsidP="005171C4">
      <w:r>
        <w:t xml:space="preserve">The </w:t>
      </w:r>
      <w:r w:rsidRPr="005D4A3A">
        <w:rPr>
          <w:b/>
        </w:rPr>
        <w:t>primary endpoint</w:t>
      </w:r>
      <w:r>
        <w:t xml:space="preserve"> was the time from randomization to exacerbation of psychotic symptoms/impending relapse in the Double-blind, Placebo-controlled Phase.</w:t>
      </w:r>
      <w:r>
        <w:rPr>
          <w:rStyle w:val="FootnoteReference"/>
        </w:rPr>
        <w:footnoteReference w:id="19"/>
      </w:r>
    </w:p>
    <w:p w14:paraId="24A3300B" w14:textId="65F6768E" w:rsidR="002B55D9" w:rsidRDefault="002B55D9" w:rsidP="005171C4">
      <w:r>
        <w:t>The following</w:t>
      </w:r>
      <w:r w:rsidRPr="00511B9E">
        <w:t xml:space="preserve"> </w:t>
      </w:r>
      <w:r>
        <w:t xml:space="preserve">were also </w:t>
      </w:r>
      <w:r w:rsidRPr="00511B9E">
        <w:t>evaluated in the Double-blind, Placebo-controlled Phase</w:t>
      </w:r>
      <w:r>
        <w:t>:</w:t>
      </w:r>
    </w:p>
    <w:p w14:paraId="24A3300C" w14:textId="77777777" w:rsidR="002B55D9" w:rsidRDefault="002B55D9" w:rsidP="005171C4">
      <w:r>
        <w:t xml:space="preserve">The </w:t>
      </w:r>
      <w:r w:rsidRPr="00511B9E">
        <w:rPr>
          <w:b/>
        </w:rPr>
        <w:t>key secondary endpoint</w:t>
      </w:r>
      <w:r>
        <w:t xml:space="preserve"> was the Percentage of subjects meeting exacerbation of psychotic symptoms/impending relapse criteria.</w:t>
      </w:r>
      <w:r>
        <w:rPr>
          <w:rStyle w:val="FootnoteReference"/>
        </w:rPr>
        <w:footnoteReference w:id="20"/>
      </w:r>
    </w:p>
    <w:p w14:paraId="24A3300D" w14:textId="77777777" w:rsidR="002B55D9" w:rsidRDefault="002B55D9" w:rsidP="005171C4">
      <w:pPr>
        <w:keepNext/>
        <w:keepLines/>
      </w:pPr>
      <w:r w:rsidRPr="00511B9E">
        <w:rPr>
          <w:b/>
        </w:rPr>
        <w:t>Other secondary endpoints</w:t>
      </w:r>
      <w:r>
        <w:t xml:space="preserve"> included:</w:t>
      </w:r>
      <w:r>
        <w:rPr>
          <w:rStyle w:val="FootnoteReference"/>
        </w:rPr>
        <w:footnoteReference w:id="21"/>
      </w:r>
    </w:p>
    <w:p w14:paraId="24A3300E" w14:textId="067EDF71" w:rsidR="002B55D9" w:rsidRDefault="002B55D9" w:rsidP="005171C4">
      <w:pPr>
        <w:pStyle w:val="ListBullet"/>
        <w:keepNext/>
        <w:keepLines/>
      </w:pPr>
      <w:r>
        <w:t>Proportion of responders (</w:t>
      </w:r>
      <w:r w:rsidR="00BF2105">
        <w:t xml:space="preserve">that is, </w:t>
      </w:r>
      <w:r>
        <w:t>response defined as meeting s</w:t>
      </w:r>
      <w:r w:rsidR="00B77AFB">
        <w:t>tability criteria) at endpoint.</w:t>
      </w:r>
    </w:p>
    <w:p w14:paraId="24A3300F" w14:textId="77777777" w:rsidR="002B55D9" w:rsidRDefault="002B55D9" w:rsidP="005171C4">
      <w:pPr>
        <w:pStyle w:val="ListBullet"/>
        <w:keepNext/>
        <w:keepLines/>
      </w:pPr>
      <w:r>
        <w:t>Proportion of subjects achieving remission.</w:t>
      </w:r>
      <w:r>
        <w:rPr>
          <w:rStyle w:val="FootnoteReference"/>
        </w:rPr>
        <w:footnoteReference w:id="22"/>
      </w:r>
    </w:p>
    <w:p w14:paraId="24A33010" w14:textId="77777777" w:rsidR="002B55D9" w:rsidRDefault="002B55D9" w:rsidP="005171C4">
      <w:pPr>
        <w:pStyle w:val="ListBullet"/>
        <w:keepNext/>
        <w:keepLines/>
      </w:pPr>
      <w:r>
        <w:t>Mean change from baseline to endpoint in PANSS Total Score.</w:t>
      </w:r>
    </w:p>
    <w:p w14:paraId="24A33011" w14:textId="77777777" w:rsidR="002B55D9" w:rsidRDefault="002B55D9" w:rsidP="005171C4">
      <w:pPr>
        <w:pStyle w:val="ListBullet"/>
        <w:keepNext/>
        <w:keepLines/>
      </w:pPr>
      <w:r>
        <w:t>Mean change from baseline to endpoint in Clinical Global Impression of Severity (CGI-S).</w:t>
      </w:r>
    </w:p>
    <w:p w14:paraId="24A33012" w14:textId="77777777" w:rsidR="002B55D9" w:rsidRDefault="002B55D9" w:rsidP="005171C4">
      <w:pPr>
        <w:pStyle w:val="ListBullet"/>
      </w:pPr>
      <w:r>
        <w:t>Mean change from baseline to endpoint in PANSS positive and negative subscales.</w:t>
      </w:r>
    </w:p>
    <w:p w14:paraId="24A33013" w14:textId="77777777" w:rsidR="002B55D9" w:rsidRDefault="002B55D9" w:rsidP="005171C4">
      <w:pPr>
        <w:pStyle w:val="ListBullet"/>
      </w:pPr>
      <w:r>
        <w:t>Mean CGI-I score at endpoint.</w:t>
      </w:r>
    </w:p>
    <w:p w14:paraId="24A33014" w14:textId="77777777" w:rsidR="002B55D9" w:rsidRDefault="002B55D9" w:rsidP="005171C4">
      <w:pPr>
        <w:pStyle w:val="ListBullet"/>
      </w:pPr>
      <w:r>
        <w:t>Time to discontinuation due to all causes.</w:t>
      </w:r>
    </w:p>
    <w:p w14:paraId="24A33015" w14:textId="7EDE838B" w:rsidR="002B55D9" w:rsidRPr="004B259C" w:rsidRDefault="005171C4" w:rsidP="005171C4">
      <w:pPr>
        <w:pStyle w:val="Heading6"/>
      </w:pPr>
      <w:r>
        <w:t>Blinding</w:t>
      </w:r>
    </w:p>
    <w:p w14:paraId="24A33016" w14:textId="77777777" w:rsidR="002B55D9" w:rsidRDefault="002B55D9" w:rsidP="005171C4">
      <w:r w:rsidRPr="000403FC">
        <w:t>Two subjects were un</w:t>
      </w:r>
      <w:r w:rsidR="00BF2105">
        <w:t>-</w:t>
      </w:r>
      <w:r w:rsidRPr="000403FC">
        <w:t>blinded at the site level</w:t>
      </w:r>
      <w:r>
        <w:t>.</w:t>
      </w:r>
    </w:p>
    <w:p w14:paraId="24A33017" w14:textId="77777777" w:rsidR="002B55D9" w:rsidRDefault="002B55D9" w:rsidP="005171C4">
      <w:pPr>
        <w:pStyle w:val="Heading6"/>
      </w:pPr>
      <w:r>
        <w:t>Analysis populations</w:t>
      </w:r>
    </w:p>
    <w:p w14:paraId="24A33018" w14:textId="77777777" w:rsidR="002B55D9" w:rsidRDefault="002B55D9" w:rsidP="005171C4">
      <w:r>
        <w:t>Included:</w:t>
      </w:r>
    </w:p>
    <w:p w14:paraId="24A33019" w14:textId="77777777" w:rsidR="002B55D9" w:rsidRDefault="002B55D9" w:rsidP="005171C4">
      <w:r w:rsidRPr="00497C43">
        <w:rPr>
          <w:b/>
        </w:rPr>
        <w:lastRenderedPageBreak/>
        <w:t>Enrolled Sample</w:t>
      </w:r>
      <w:r>
        <w:t>: All subjects who signed the informed consent form for the trial and entered the Conversion Phase or the Oral Stabilization Phase.</w:t>
      </w:r>
    </w:p>
    <w:p w14:paraId="24A3301A" w14:textId="77777777" w:rsidR="002B55D9" w:rsidRDefault="002B55D9" w:rsidP="005171C4">
      <w:r w:rsidRPr="00497C43">
        <w:rPr>
          <w:b/>
        </w:rPr>
        <w:t>Conversion Phase Safety Sample:</w:t>
      </w:r>
      <w:r>
        <w:t xml:space="preserve"> All subjects who received at least one dose of oral </w:t>
      </w:r>
      <w:proofErr w:type="spellStart"/>
      <w:r>
        <w:t>aripiprazole</w:t>
      </w:r>
      <w:proofErr w:type="spellEnd"/>
      <w:r>
        <w:t xml:space="preserve"> in the Conversion Phase.</w:t>
      </w:r>
    </w:p>
    <w:p w14:paraId="24A3301B" w14:textId="77777777" w:rsidR="002B55D9" w:rsidRDefault="002B55D9" w:rsidP="005171C4">
      <w:r w:rsidRPr="00497C43">
        <w:rPr>
          <w:b/>
        </w:rPr>
        <w:t>Oral Stabilization Phase Safety Sample:</w:t>
      </w:r>
      <w:r>
        <w:t xml:space="preserve"> All subjects who received at least one dose of oral </w:t>
      </w:r>
      <w:proofErr w:type="spellStart"/>
      <w:r>
        <w:t>aripiprazole</w:t>
      </w:r>
      <w:proofErr w:type="spellEnd"/>
      <w:r>
        <w:t xml:space="preserve"> in the Oral Stabilization Phase.</w:t>
      </w:r>
    </w:p>
    <w:p w14:paraId="24A3301C" w14:textId="77777777" w:rsidR="002B55D9" w:rsidRDefault="002B55D9" w:rsidP="005171C4">
      <w:r w:rsidRPr="00497C43">
        <w:rPr>
          <w:b/>
        </w:rPr>
        <w:t>Oral Stabilization Phase Efficacy Sample:</w:t>
      </w:r>
      <w:r>
        <w:t xml:space="preserve"> All subjects who entered the Oral Stabilization Phase (</w:t>
      </w:r>
      <w:r w:rsidR="00BF2105">
        <w:t xml:space="preserve">that is, </w:t>
      </w:r>
      <w:r>
        <w:t xml:space="preserve">received at least one dose of oral </w:t>
      </w:r>
      <w:proofErr w:type="spellStart"/>
      <w:r>
        <w:t>aripiprazole</w:t>
      </w:r>
      <w:proofErr w:type="spellEnd"/>
      <w:r>
        <w:t xml:space="preserve"> in the Oral Stabilization Phase) and had at least one post baseline efficacy evaluation in the Oral Stabilization Phase.</w:t>
      </w:r>
    </w:p>
    <w:p w14:paraId="24A3301D" w14:textId="77777777" w:rsidR="002B55D9" w:rsidRDefault="002B55D9" w:rsidP="005171C4">
      <w:r w:rsidRPr="00497C43">
        <w:rPr>
          <w:b/>
        </w:rPr>
        <w:t>IM Depot Stabilization Phase Safety Sample:</w:t>
      </w:r>
      <w:r>
        <w:t xml:space="preserve"> All subjects who received at least one dose of single-blind </w:t>
      </w:r>
      <w:proofErr w:type="spellStart"/>
      <w:r>
        <w:t>aripiprazole</w:t>
      </w:r>
      <w:proofErr w:type="spellEnd"/>
      <w:r>
        <w:t xml:space="preserve"> IM depot in the IM Depot Stabilization Phase.</w:t>
      </w:r>
    </w:p>
    <w:p w14:paraId="24A3301E" w14:textId="77777777" w:rsidR="002B55D9" w:rsidRDefault="002B55D9" w:rsidP="005171C4">
      <w:r w:rsidRPr="00497C43">
        <w:rPr>
          <w:b/>
        </w:rPr>
        <w:t>IM Depot Stabilization Phase Efficacy Sample:</w:t>
      </w:r>
      <w:r>
        <w:t xml:space="preserve"> All subjects who entered the IM Depot Stabilization Phase (</w:t>
      </w:r>
      <w:r w:rsidR="00BF2105">
        <w:t xml:space="preserve">that is, </w:t>
      </w:r>
      <w:r>
        <w:t xml:space="preserve">received at least one dose of single-blind </w:t>
      </w:r>
      <w:proofErr w:type="spellStart"/>
      <w:r>
        <w:t>aripiprazole</w:t>
      </w:r>
      <w:proofErr w:type="spellEnd"/>
      <w:r>
        <w:t xml:space="preserve"> IM depot) and had at least one post baseline efficacy evaluation in the IM Depot Stabilization Phase.</w:t>
      </w:r>
    </w:p>
    <w:p w14:paraId="24A3301F" w14:textId="77777777" w:rsidR="002B55D9" w:rsidRDefault="002B55D9" w:rsidP="005171C4">
      <w:r w:rsidRPr="00497C43">
        <w:rPr>
          <w:b/>
        </w:rPr>
        <w:t>Double-blind, Placebo-controlled Phase Safety Sample:</w:t>
      </w:r>
      <w:r>
        <w:t xml:space="preserve"> All subjects who were randomly assigned to double-blind treatment and received at least one dose of double-blind trial medication in the Double-blind, Placebo-controlled Phase.</w:t>
      </w:r>
    </w:p>
    <w:p w14:paraId="24A33020" w14:textId="77777777" w:rsidR="002B55D9" w:rsidRPr="004B259C" w:rsidDel="0081373E" w:rsidRDefault="002B55D9" w:rsidP="005171C4">
      <w:r w:rsidRPr="00497C43">
        <w:rPr>
          <w:b/>
        </w:rPr>
        <w:t>Double-blind, Placebo-controlled Phase Efficacy Sample:</w:t>
      </w:r>
      <w:r>
        <w:t xml:space="preserve"> The Intent-to-Treat (ITT) dataset was composed of all subjects randomly assigned to the double-blind treatment.</w:t>
      </w:r>
    </w:p>
    <w:p w14:paraId="24A33021" w14:textId="77777777" w:rsidR="002B55D9" w:rsidRPr="004B259C" w:rsidDel="0081373E" w:rsidRDefault="002B55D9" w:rsidP="005171C4">
      <w:pPr>
        <w:pStyle w:val="Heading6"/>
      </w:pPr>
      <w:r w:rsidRPr="004B259C" w:rsidDel="0081373E">
        <w:t>Sample size</w:t>
      </w:r>
    </w:p>
    <w:p w14:paraId="24A33022" w14:textId="77777777" w:rsidR="002B55D9" w:rsidRDefault="002B55D9" w:rsidP="005171C4">
      <w:r>
        <w:t xml:space="preserve">This was a superiority trial of </w:t>
      </w:r>
      <w:proofErr w:type="spellStart"/>
      <w:r>
        <w:t>aripiprazole</w:t>
      </w:r>
      <w:proofErr w:type="spellEnd"/>
      <w:r>
        <w:t xml:space="preserve"> IM depot (40</w:t>
      </w:r>
      <w:r w:rsidR="002C1F46">
        <w:t>0 mg</w:t>
      </w:r>
      <w:r>
        <w:t xml:space="preserve"> or 30</w:t>
      </w:r>
      <w:r w:rsidR="002C1F46">
        <w:t>0 mg</w:t>
      </w:r>
      <w:r>
        <w:t xml:space="preserve">) </w:t>
      </w:r>
      <w:r w:rsidR="00BF2105">
        <w:t>versus</w:t>
      </w:r>
      <w:r>
        <w:t xml:space="preserve"> placebo in the time to exacerbation of psychotic symptoms/impending relapse. Using the log-rank test for statistical significance of differences between the 2 survival curves. Based on trial CN138047 which compared oral </w:t>
      </w:r>
      <w:proofErr w:type="spellStart"/>
      <w:r>
        <w:t>aripiprazole</w:t>
      </w:r>
      <w:proofErr w:type="spellEnd"/>
      <w:r>
        <w:t xml:space="preserve"> </w:t>
      </w:r>
      <w:r w:rsidR="00BF2105">
        <w:t>versus</w:t>
      </w:r>
      <w:r>
        <w:t xml:space="preserve"> placebo in time to impending relapse (37% </w:t>
      </w:r>
      <w:proofErr w:type="spellStart"/>
      <w:r>
        <w:t>aripiprazole</w:t>
      </w:r>
      <w:proofErr w:type="spellEnd"/>
      <w:r>
        <w:t xml:space="preserve"> </w:t>
      </w:r>
      <w:r w:rsidR="00BF2105">
        <w:t>versus</w:t>
      </w:r>
      <w:r>
        <w:t xml:space="preserve"> 61% placebo), the 6-month rates for impending relapse were set at 55% for placebo and 35% for </w:t>
      </w:r>
      <w:proofErr w:type="spellStart"/>
      <w:r>
        <w:t>aripiprazole</w:t>
      </w:r>
      <w:proofErr w:type="spellEnd"/>
      <w:r>
        <w:t xml:space="preserve"> IM depot.</w:t>
      </w:r>
      <w:r>
        <w:rPr>
          <w:rStyle w:val="FootnoteReference"/>
        </w:rPr>
        <w:footnoteReference w:id="23"/>
      </w:r>
      <w:r>
        <w:t xml:space="preserve"> This corresponds to a hazard ratio of 0.54 (</w:t>
      </w:r>
      <w:proofErr w:type="spellStart"/>
      <w:r>
        <w:t>aripiprazole</w:t>
      </w:r>
      <w:proofErr w:type="spellEnd"/>
      <w:r>
        <w:t xml:space="preserve"> IM depot </w:t>
      </w:r>
      <w:r w:rsidR="00BF2105">
        <w:t>versus</w:t>
      </w:r>
      <w:r>
        <w:t xml:space="preserve"> placebo).</w:t>
      </w:r>
    </w:p>
    <w:p w14:paraId="24A33023" w14:textId="77777777" w:rsidR="002B55D9" w:rsidRDefault="002B55D9" w:rsidP="005171C4">
      <w:r>
        <w:t xml:space="preserve">Sample sizes were estimated to achieve 90% power and to preserve an overall nominal alpha level of 0.05 (2-sided), allowing for 2 interim looks at 50% and 75% of events accrual time points. The </w:t>
      </w:r>
      <w:proofErr w:type="spellStart"/>
      <w:r>
        <w:t>Haybittle-Peto</w:t>
      </w:r>
      <w:proofErr w:type="spellEnd"/>
      <w:r>
        <w:t xml:space="preserve"> group sequential boundaries were applied corresponding to an alpha level of 0.001 at each of the 2 interim looks. The alpha level for the final analysis was 0.0498. The resulting total number of events satisfying these design constraints was 125. Assuming that each subject was followed for 12 months after randomization and allowing for a 25% loss to follow-up, the projected total number of subjects to be randomly assigned to treatment in the trial was 225.</w:t>
      </w:r>
    </w:p>
    <w:p w14:paraId="24A33024" w14:textId="77777777" w:rsidR="002B55D9" w:rsidRPr="004B259C" w:rsidRDefault="002B55D9" w:rsidP="005171C4">
      <w:r>
        <w:t xml:space="preserve">Using a 2:1 randomization ratio, the number of subjects to be randomly assigned to treatment in the </w:t>
      </w:r>
      <w:proofErr w:type="spellStart"/>
      <w:r>
        <w:t>aripiprazole</w:t>
      </w:r>
      <w:proofErr w:type="spellEnd"/>
      <w:r>
        <w:t xml:space="preserve"> IM depot group was 150, and that for the placebo group was 75. Due to the lower than expected impending relapse rate, enrolment and randomization continued beyond the planned estimates (225 planned; 403 actual) to achieve the target number of impending relapse events.</w:t>
      </w:r>
    </w:p>
    <w:p w14:paraId="24A33025" w14:textId="77777777" w:rsidR="002B55D9" w:rsidRDefault="002B55D9" w:rsidP="005171C4">
      <w:pPr>
        <w:pStyle w:val="Heading6"/>
      </w:pPr>
      <w:r w:rsidRPr="004B259C">
        <w:t>Statistical methods</w:t>
      </w:r>
    </w:p>
    <w:p w14:paraId="24A33026" w14:textId="77777777" w:rsidR="002B55D9" w:rsidRDefault="002B55D9" w:rsidP="005171C4">
      <w:r>
        <w:t xml:space="preserve">The primary objective of was to compare </w:t>
      </w:r>
      <w:proofErr w:type="spellStart"/>
      <w:r>
        <w:t>aripiprazole</w:t>
      </w:r>
      <w:proofErr w:type="spellEnd"/>
      <w:r>
        <w:t xml:space="preserve"> IM depot 400/30</w:t>
      </w:r>
      <w:r w:rsidR="002C1F46">
        <w:t>0 mg</w:t>
      </w:r>
      <w:r>
        <w:t xml:space="preserve"> </w:t>
      </w:r>
      <w:r w:rsidR="00BF2105">
        <w:t>versus</w:t>
      </w:r>
      <w:r>
        <w:t xml:space="preserve"> placebo in the time to impending relapse by statistically testing equality of the 2 survival curves by the log-rank test.</w:t>
      </w:r>
    </w:p>
    <w:p w14:paraId="24A33027" w14:textId="119DF99F" w:rsidR="002B55D9" w:rsidRDefault="002B55D9" w:rsidP="005171C4">
      <w:r>
        <w:lastRenderedPageBreak/>
        <w:t>A group sequential testing procedure was employed with 2 pre</w:t>
      </w:r>
      <w:r w:rsidR="00BF2105">
        <w:t xml:space="preserve"> </w:t>
      </w:r>
      <w:r>
        <w:t xml:space="preserve">specified interim analyses at approximately 50% (63 events) and 75% (94 events) events accrual time points, and a final analysis using 100% (approximately 125 events). The </w:t>
      </w:r>
      <w:proofErr w:type="spellStart"/>
      <w:r>
        <w:t>Haybittle-Peto</w:t>
      </w:r>
      <w:proofErr w:type="spellEnd"/>
      <w:r>
        <w:t xml:space="preserve"> boundaries were utilized in this analysis for the rejection of the null hypothesis to maintain an overall nominal signif</w:t>
      </w:r>
      <w:r w:rsidR="005171C4">
        <w:t>icance level of 0.05 (2-sided).</w:t>
      </w:r>
    </w:p>
    <w:p w14:paraId="24A33028" w14:textId="1737712F" w:rsidR="002B55D9" w:rsidRDefault="002B55D9" w:rsidP="005171C4">
      <w:r>
        <w:t>Although the primary efficacy analysis was based on the ITT population consisting of all randomized subjects, similar analysis for the primary efficacy endpoint was also performed by excluding 2 subjects who were un</w:t>
      </w:r>
      <w:r w:rsidR="00BF2105">
        <w:t>-</w:t>
      </w:r>
      <w:r>
        <w:t xml:space="preserve">blinded during the trial and 2 subjects who were entered into more than one trial with </w:t>
      </w:r>
      <w:proofErr w:type="spellStart"/>
      <w:r>
        <w:t>aripiprazole</w:t>
      </w:r>
      <w:proofErr w:type="spellEnd"/>
      <w:r>
        <w:t xml:space="preserve"> and received extra </w:t>
      </w:r>
      <w:r w:rsidR="00A10874">
        <w:t xml:space="preserve">doses of </w:t>
      </w:r>
      <w:proofErr w:type="spellStart"/>
      <w:r w:rsidR="00A10874">
        <w:t>aripiprazole</w:t>
      </w:r>
      <w:proofErr w:type="spellEnd"/>
      <w:r w:rsidR="00A10874">
        <w:t xml:space="preserve"> IM depot.</w:t>
      </w:r>
    </w:p>
    <w:p w14:paraId="24A33029" w14:textId="22E043B4" w:rsidR="002B55D9" w:rsidRDefault="002B55D9" w:rsidP="005171C4">
      <w:r>
        <w:t>In order to preserve the overall type I error rate at 0.05, the key secondary endpoint of the percentage of subjects who met the impending relapse criteria</w:t>
      </w:r>
      <w:r>
        <w:rPr>
          <w:rStyle w:val="FootnoteReference"/>
        </w:rPr>
        <w:footnoteReference w:id="24"/>
      </w:r>
      <w:r>
        <w:t xml:space="preserve"> was tested only if the primary hypothesis was rejected at an overa</w:t>
      </w:r>
      <w:r w:rsidR="005171C4">
        <w:t>ll nominal alpha level of 0.05.</w:t>
      </w:r>
    </w:p>
    <w:p w14:paraId="24A3302A" w14:textId="77777777" w:rsidR="002B55D9" w:rsidRDefault="002B55D9" w:rsidP="005171C4">
      <w:r>
        <w:t>In this hierarchical testing procedure, the hypotheses for the secondary endpoints were tested at the same significance level as that of the primary endpoint in both the interim and final analyses.  The key secondary efficacy endpoint was analysed using the Chi-square test.</w:t>
      </w:r>
      <w:r>
        <w:rPr>
          <w:rStyle w:val="FootnoteReference"/>
        </w:rPr>
        <w:footnoteReference w:id="25"/>
      </w:r>
    </w:p>
    <w:p w14:paraId="24A3302B" w14:textId="77777777" w:rsidR="002B55D9" w:rsidRDefault="002B55D9" w:rsidP="005171C4">
      <w:pPr>
        <w:pStyle w:val="Heading6"/>
      </w:pPr>
      <w:r w:rsidRPr="004B259C">
        <w:t>Participant flow</w:t>
      </w:r>
    </w:p>
    <w:p w14:paraId="24A3302C" w14:textId="77777777" w:rsidR="002B55D9" w:rsidRDefault="002B55D9" w:rsidP="005171C4">
      <w:r>
        <w:t>The interim analysis after 50% of events had occurred was conducted using a data cut-off date of 08 June 2010. At the time of the interim analysis, 971 subjects had been screened and 775 subjects enrolled. Approximately 48.3%, (374/775) had discontinued and 18/775 subjects (2.3%) had completed the trial (the Week 52 visit in the Double-blind, Placebo-controlled Phase).</w:t>
      </w:r>
    </w:p>
    <w:p w14:paraId="24A3302D" w14:textId="4C71AFE8" w:rsidR="002B55D9" w:rsidRPr="009B289D" w:rsidRDefault="002B55D9" w:rsidP="005171C4">
      <w:r>
        <w:t>The interim analysis stopping rules had been met (analysis performed after the 64th impending relapse event which occurred on 08 June 2010) and they recommended termination of the trial. The sponsor terminated the trial on 26 July 2010. The last randomized subject was discontinued from the trial on 24 August 2010 and the final subject from a nonrandomized trial phase on 30 August 2010. At the time of the final analysis, the number of i</w:t>
      </w:r>
      <w:r w:rsidR="005171C4">
        <w:t>mpending relapse events was 80.</w:t>
      </w:r>
    </w:p>
    <w:p w14:paraId="24A3302E" w14:textId="16E005D9" w:rsidR="002B55D9" w:rsidRDefault="002B55D9" w:rsidP="001E46AE">
      <w:pPr>
        <w:pStyle w:val="TableTitle"/>
      </w:pPr>
      <w:bookmarkStart w:id="146" w:name="_Ref366238375"/>
      <w:bookmarkStart w:id="147" w:name="_Toc381104328"/>
      <w:r>
        <w:lastRenderedPageBreak/>
        <w:t xml:space="preserve">Table </w:t>
      </w:r>
      <w:bookmarkEnd w:id="146"/>
      <w:r w:rsidR="00383AAD">
        <w:t>10</w:t>
      </w:r>
      <w:r w:rsidR="00BF2105">
        <w:rPr>
          <w:noProof/>
        </w:rPr>
        <w:t>.</w:t>
      </w:r>
      <w:r>
        <w:t xml:space="preserve"> Subject </w:t>
      </w:r>
      <w:r w:rsidR="009A52F0">
        <w:t>d</w:t>
      </w:r>
      <w:r>
        <w:t>isposition (</w:t>
      </w:r>
      <w:r w:rsidR="009A52F0">
        <w:t>e</w:t>
      </w:r>
      <w:r>
        <w:t xml:space="preserve">nrolled </w:t>
      </w:r>
      <w:r w:rsidR="009A52F0">
        <w:t>s</w:t>
      </w:r>
      <w:r>
        <w:t xml:space="preserve">ample) - </w:t>
      </w:r>
      <w:r w:rsidR="009A52F0">
        <w:t>f</w:t>
      </w:r>
      <w:r>
        <w:t xml:space="preserve">inal </w:t>
      </w:r>
      <w:r w:rsidR="009A52F0">
        <w:t>a</w:t>
      </w:r>
      <w:r>
        <w:t xml:space="preserve">nalysis (80 </w:t>
      </w:r>
      <w:r w:rsidR="009A52F0">
        <w:t>e</w:t>
      </w:r>
      <w:r>
        <w:t>vents)</w:t>
      </w:r>
      <w:bookmarkEnd w:id="147"/>
    </w:p>
    <w:p w14:paraId="24A3302F" w14:textId="77777777" w:rsidR="002B55D9" w:rsidRDefault="002B55D9" w:rsidP="001E46AE">
      <w:r>
        <w:rPr>
          <w:noProof/>
          <w:lang w:eastAsia="en-AU"/>
        </w:rPr>
        <w:drawing>
          <wp:inline distT="0" distB="0" distL="0" distR="0" wp14:anchorId="24A3324E" wp14:editId="24A3324F">
            <wp:extent cx="5234840" cy="3943350"/>
            <wp:effectExtent l="19050" t="19050" r="4445" b="0"/>
            <wp:docPr id="135" name="Picture 11" descr="Table 10. Subject Disposition (Enrolled Sample) - Final Analysis (80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9" cstate="print"/>
                    <a:srcRect l="1400" r="804" b="2344"/>
                    <a:stretch/>
                  </pic:blipFill>
                  <pic:spPr bwMode="auto">
                    <a:xfrm>
                      <a:off x="0" y="0"/>
                      <a:ext cx="5238330" cy="3945979"/>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24A33030" w14:textId="7B99EFFE" w:rsidR="002B55D9" w:rsidRPr="009B289D" w:rsidRDefault="002B55D9" w:rsidP="007A5206">
      <w:pPr>
        <w:pStyle w:val="TableDescription"/>
      </w:pPr>
      <w:r w:rsidRPr="009B289D">
        <w:t xml:space="preserve">Note: The phases of the trial are referred to in supporting statistical tables as </w:t>
      </w:r>
      <w:r w:rsidR="00485910">
        <w:t>Phase I</w:t>
      </w:r>
      <w:r w:rsidRPr="009B289D">
        <w:t xml:space="preserve"> (Conversion Phase), </w:t>
      </w:r>
      <w:r w:rsidR="00485910">
        <w:t>Phase II</w:t>
      </w:r>
      <w:r w:rsidRPr="009B289D">
        <w:t xml:space="preserve"> (Oral Stabilization Phase), </w:t>
      </w:r>
      <w:r w:rsidR="00485910">
        <w:t>Phase III</w:t>
      </w:r>
      <w:r w:rsidRPr="009B289D">
        <w:t xml:space="preserve"> (IM Depot Stabilization Phase), and Phase 4 (Double-blind, Placebo-controlled Phase).</w:t>
      </w:r>
      <w:r w:rsidR="00BF2105">
        <w:t xml:space="preserve"> </w:t>
      </w:r>
      <w:r w:rsidRPr="009B289D">
        <w:rPr>
          <w:vertAlign w:val="superscript"/>
        </w:rPr>
        <w:t>a</w:t>
      </w:r>
      <w:r w:rsidRPr="009B289D">
        <w:t xml:space="preserve"> Subjects completed the Double-blind, Placebo-controlled Phase, Week 52 visit.</w:t>
      </w:r>
      <w:r w:rsidR="00BF2105">
        <w:t xml:space="preserve"> </w:t>
      </w:r>
      <w:r w:rsidRPr="009B289D">
        <w:rPr>
          <w:vertAlign w:val="superscript"/>
        </w:rPr>
        <w:t>b</w:t>
      </w:r>
      <w:r w:rsidRPr="009B289D">
        <w:t xml:space="preserve"> Subjects receiving at least one dose of trial medication in the corresponding phase are included in the safety analysis.</w:t>
      </w:r>
      <w:r w:rsidR="00BF2105">
        <w:t xml:space="preserve"> </w:t>
      </w:r>
      <w:r w:rsidRPr="009B289D">
        <w:rPr>
          <w:vertAlign w:val="superscript"/>
        </w:rPr>
        <w:t>c</w:t>
      </w:r>
      <w:r w:rsidRPr="009B289D">
        <w:t xml:space="preserve"> Subjects evaluated for at least one efficacy endpoint in the corresponding phase are included in the efficacy analysis.</w:t>
      </w:r>
      <w:r w:rsidR="00BF2105">
        <w:t xml:space="preserve"> </w:t>
      </w:r>
      <w:r w:rsidRPr="009B289D">
        <w:rPr>
          <w:vertAlign w:val="superscript"/>
        </w:rPr>
        <w:t>d</w:t>
      </w:r>
      <w:r w:rsidRPr="009B289D">
        <w:t xml:space="preserve"> Study was terminated early because of positive results of interim analysis.</w:t>
      </w:r>
      <w:r w:rsidR="00BF2105">
        <w:t xml:space="preserve"> </w:t>
      </w:r>
      <w:r w:rsidRPr="009B289D">
        <w:rPr>
          <w:vertAlign w:val="superscript"/>
        </w:rPr>
        <w:t>e</w:t>
      </w:r>
      <w:r w:rsidRPr="009B289D">
        <w:t xml:space="preserve"> Adverse event without lack of efficacy (Conversion, Oral Stabilization, and IM Depot Stabilization phases) or impending relapse (Double-blind, Placebo-controlled Phase).</w:t>
      </w:r>
      <w:r w:rsidR="00BF2105">
        <w:t xml:space="preserve"> </w:t>
      </w:r>
      <w:r w:rsidRPr="009B289D">
        <w:rPr>
          <w:vertAlign w:val="superscript"/>
        </w:rPr>
        <w:t>f</w:t>
      </w:r>
      <w:r w:rsidRPr="009B289D">
        <w:t xml:space="preserve"> Lack of efficacy (Conversion, Oral Stabilization, and IM Depot Stabilization Phases) or impending relapse (Double-blind, Placebo-controlled Phase) with an associated adverse event.</w:t>
      </w:r>
      <w:r w:rsidR="00BF2105">
        <w:t xml:space="preserve"> </w:t>
      </w:r>
      <w:r w:rsidRPr="009B289D">
        <w:rPr>
          <w:vertAlign w:val="superscript"/>
        </w:rPr>
        <w:t>g</w:t>
      </w:r>
      <w:r w:rsidRPr="009B289D">
        <w:t xml:space="preserve"> Lack of efficacy (Conversion, Oral Stabilization, and IM Depot Stabilization Phases) or impending relapse (Double-blind, Placebo-controlled Phase) without an associated adverse event </w:t>
      </w:r>
      <w:r w:rsidR="00BF2105">
        <w:t xml:space="preserve"> </w:t>
      </w:r>
      <w:r w:rsidRPr="009B289D">
        <w:t>NA = not applicable.</w:t>
      </w:r>
    </w:p>
    <w:p w14:paraId="24A33031" w14:textId="77777777" w:rsidR="002B55D9" w:rsidRDefault="002B55D9" w:rsidP="001E46AE">
      <w:pPr>
        <w:pStyle w:val="Heading6"/>
      </w:pPr>
      <w:r>
        <w:t>Major protocol violations/deviations</w:t>
      </w:r>
    </w:p>
    <w:p w14:paraId="24A33032" w14:textId="35B566E0" w:rsidR="002B55D9" w:rsidRDefault="002B55D9" w:rsidP="001E46AE">
      <w:r>
        <w:t>A summary table of major protocol deviations was</w:t>
      </w:r>
      <w:r w:rsidR="001E46AE">
        <w:t xml:space="preserve"> not submitted, from the text:</w:t>
      </w:r>
    </w:p>
    <w:p w14:paraId="24A33033" w14:textId="0E80FC53" w:rsidR="002B55D9" w:rsidRDefault="002B55D9" w:rsidP="001E46AE">
      <w:r>
        <w:t xml:space="preserve">The most common were procedural, mainly timing (56.9% and 49.3% of subjects in the </w:t>
      </w:r>
      <w:proofErr w:type="spellStart"/>
      <w:r>
        <w:t>aripiprazole</w:t>
      </w:r>
      <w:proofErr w:type="spellEnd"/>
      <w:r>
        <w:t xml:space="preserve"> IM depot and</w:t>
      </w:r>
      <w:r w:rsidR="001E46AE">
        <w:t xml:space="preserve"> placebo groups, respectively).</w:t>
      </w:r>
    </w:p>
    <w:p w14:paraId="24A33034" w14:textId="4DC23C91" w:rsidR="002B55D9" w:rsidRDefault="002B55D9" w:rsidP="001E46AE">
      <w:r>
        <w:t xml:space="preserve">Next most common was deviations in concomitant medication use (34.9% and 34.3% of subjects in the </w:t>
      </w:r>
      <w:proofErr w:type="spellStart"/>
      <w:r>
        <w:t>aripiprazole</w:t>
      </w:r>
      <w:proofErr w:type="spellEnd"/>
      <w:r>
        <w:t xml:space="preserve"> IM depot and</w:t>
      </w:r>
      <w:r w:rsidR="001E46AE">
        <w:t xml:space="preserve"> placebo groups, respectively).</w:t>
      </w:r>
    </w:p>
    <w:p w14:paraId="24A33035" w14:textId="77777777" w:rsidR="002B55D9" w:rsidRDefault="002B55D9" w:rsidP="001E46AE">
      <w:pPr>
        <w:pStyle w:val="Heading6"/>
      </w:pPr>
      <w:r w:rsidRPr="004B259C">
        <w:t>Baseline data</w:t>
      </w:r>
    </w:p>
    <w:p w14:paraId="24A33036" w14:textId="77777777" w:rsidR="002B55D9" w:rsidRPr="00642790" w:rsidRDefault="002B55D9" w:rsidP="001E46AE">
      <w:r>
        <w:t xml:space="preserve">The demographic characteristics for subjects randomized to </w:t>
      </w:r>
      <w:r w:rsidRPr="001A64AC">
        <w:t xml:space="preserve">the Double-blind, Placebo-controlled Phase were similar in the </w:t>
      </w:r>
      <w:proofErr w:type="spellStart"/>
      <w:r w:rsidRPr="001A64AC">
        <w:t>aripiprazole</w:t>
      </w:r>
      <w:proofErr w:type="spellEnd"/>
      <w:r w:rsidRPr="001A64AC">
        <w:t xml:space="preserve"> IM depot and placebo groups. Overall, the baseline disease severity was comparable between the 2 treatment groups.</w:t>
      </w:r>
      <w:r w:rsidR="001A64AC" w:rsidRPr="001A64AC">
        <w:t xml:space="preserve"> </w:t>
      </w:r>
      <w:r w:rsidRPr="001A64AC">
        <w:t xml:space="preserve">The most common prior medications were antipsychotics, including </w:t>
      </w:r>
      <w:proofErr w:type="spellStart"/>
      <w:r w:rsidRPr="001A64AC">
        <w:t>aripiprazole</w:t>
      </w:r>
      <w:proofErr w:type="spellEnd"/>
      <w:r w:rsidRPr="001A64AC">
        <w:t xml:space="preserve"> (29.3%), </w:t>
      </w:r>
      <w:proofErr w:type="spellStart"/>
      <w:r w:rsidRPr="001A64AC">
        <w:t>risperidone</w:t>
      </w:r>
      <w:proofErr w:type="spellEnd"/>
      <w:r w:rsidRPr="001A64AC">
        <w:t xml:space="preserve"> (19.1%), haloperidol (9.7%), and </w:t>
      </w:r>
      <w:proofErr w:type="spellStart"/>
      <w:r w:rsidRPr="001A64AC">
        <w:t>quetiapine</w:t>
      </w:r>
      <w:proofErr w:type="spellEnd"/>
      <w:r w:rsidRPr="001A64AC">
        <w:t xml:space="preserve"> </w:t>
      </w:r>
      <w:proofErr w:type="spellStart"/>
      <w:r w:rsidRPr="001A64AC">
        <w:t>fumarate</w:t>
      </w:r>
      <w:proofErr w:type="spellEnd"/>
      <w:r w:rsidRPr="001A64AC">
        <w:t xml:space="preserve"> (9.4%). The proportion of subjects taking each </w:t>
      </w:r>
      <w:r w:rsidRPr="001A64AC">
        <w:lastRenderedPageBreak/>
        <w:t xml:space="preserve">type of commonly received prior medication was similar across the </w:t>
      </w:r>
      <w:proofErr w:type="spellStart"/>
      <w:r w:rsidRPr="001A64AC">
        <w:t>aripiprazole</w:t>
      </w:r>
      <w:proofErr w:type="spellEnd"/>
      <w:r w:rsidRPr="001A64AC">
        <w:t xml:space="preserve"> IM depot and placebo groups.</w:t>
      </w:r>
    </w:p>
    <w:p w14:paraId="24A33037" w14:textId="77777777" w:rsidR="002B55D9" w:rsidRPr="004B259C" w:rsidRDefault="002B55D9" w:rsidP="001E46AE">
      <w:pPr>
        <w:pStyle w:val="Heading5"/>
      </w:pPr>
      <w:r w:rsidRPr="004B259C">
        <w:t>Results for the primary efficacy outcome</w:t>
      </w:r>
    </w:p>
    <w:p w14:paraId="24A33038" w14:textId="77777777" w:rsidR="002B55D9" w:rsidRDefault="002B55D9" w:rsidP="001E46AE">
      <w:r>
        <w:t xml:space="preserve">The interim analysis of efficacy data (which included 344 randomized subjects and 64 events of impending relapse - 50% of the projected total of 125 events), showed that time to impending relapse was significantly shorter for subjects on placebo compared to </w:t>
      </w:r>
      <w:proofErr w:type="spellStart"/>
      <w:r>
        <w:t>aripiprazole</w:t>
      </w:r>
      <w:proofErr w:type="spellEnd"/>
      <w:r>
        <w:t xml:space="preserve"> IM depot (p &lt; 0.0001; log-rank test). Accordingly the study was terminated, during the process of which an additional </w:t>
      </w:r>
      <w:r w:rsidRPr="00FE758F">
        <w:t>16 impending relapse events occurred</w:t>
      </w:r>
      <w:r>
        <w:t xml:space="preserve">, thus the final efficacy analysis included 403 randomized subjects and 80 impending relapse events, 27/269 (10.0%) on </w:t>
      </w:r>
      <w:proofErr w:type="spellStart"/>
      <w:r>
        <w:t>aripiprazole</w:t>
      </w:r>
      <w:proofErr w:type="spellEnd"/>
      <w:r>
        <w:t xml:space="preserve"> IM depot and 53/134 (39.6%) on placebo.</w:t>
      </w:r>
    </w:p>
    <w:p w14:paraId="24A33039" w14:textId="77777777" w:rsidR="002B55D9" w:rsidRDefault="002B55D9" w:rsidP="001E46AE">
      <w:r>
        <w:t xml:space="preserve">The final analysis showed that the time to impending relapse was significantly shorter for subjects on placebo compared with subjects on </w:t>
      </w:r>
      <w:proofErr w:type="spellStart"/>
      <w:r>
        <w:t>aripiprazole</w:t>
      </w:r>
      <w:proofErr w:type="spellEnd"/>
      <w:r>
        <w:t xml:space="preserve"> IM depot (p &lt; 0.0001; log-rank test). The hazard ratio from the Cox proportional hazard model for the placebo to </w:t>
      </w:r>
      <w:proofErr w:type="spellStart"/>
      <w:r>
        <w:t>aripiprazole</w:t>
      </w:r>
      <w:proofErr w:type="spellEnd"/>
      <w:r>
        <w:t xml:space="preserve"> IM depot comparison was 5.029 (95% CI = 3.154, 8.018).</w:t>
      </w:r>
    </w:p>
    <w:p w14:paraId="24A3303A" w14:textId="77777777" w:rsidR="002B55D9" w:rsidRDefault="002B55D9" w:rsidP="001E46AE">
      <w:r>
        <w:t>Exclusion of subjects with potential data issues (</w:t>
      </w:r>
      <w:r w:rsidR="0052799D">
        <w:t xml:space="preserve">that is, </w:t>
      </w:r>
      <w:proofErr w:type="spellStart"/>
      <w:r>
        <w:t>unblinded</w:t>
      </w:r>
      <w:proofErr w:type="spellEnd"/>
      <w:r>
        <w:t xml:space="preserve"> subjects, double-entry subjects, and subjects from Site 46) had no effect on the results of the primary efficacy analyses with the difference remaining statistically significant for all comparisons (p &lt; 0.0001).</w:t>
      </w:r>
    </w:p>
    <w:p w14:paraId="24A3303B" w14:textId="2D3104C4" w:rsidR="002B55D9" w:rsidRDefault="002B55D9" w:rsidP="001E46AE">
      <w:pPr>
        <w:pStyle w:val="TableTitle"/>
      </w:pPr>
      <w:bookmarkStart w:id="148" w:name="_Toc381104329"/>
      <w:r>
        <w:t xml:space="preserve">Table </w:t>
      </w:r>
      <w:r w:rsidR="00383AAD">
        <w:t>11</w:t>
      </w:r>
      <w:r w:rsidR="00BF2105">
        <w:rPr>
          <w:noProof/>
        </w:rPr>
        <w:t>.</w:t>
      </w:r>
      <w:r>
        <w:t xml:space="preserve"> Analysis of </w:t>
      </w:r>
      <w:r w:rsidR="009A52F0">
        <w:t>t</w:t>
      </w:r>
      <w:r>
        <w:t xml:space="preserve">ime to </w:t>
      </w:r>
      <w:r w:rsidR="009A52F0">
        <w:t>e</w:t>
      </w:r>
      <w:r>
        <w:t xml:space="preserve">xacerbation of </w:t>
      </w:r>
      <w:r w:rsidR="009A52F0">
        <w:t>p</w:t>
      </w:r>
      <w:r>
        <w:t xml:space="preserve">sychotic </w:t>
      </w:r>
      <w:r w:rsidR="009A52F0">
        <w:t>s</w:t>
      </w:r>
      <w:r>
        <w:t>ymptoms/</w:t>
      </w:r>
      <w:r w:rsidR="009A52F0">
        <w:t>i</w:t>
      </w:r>
      <w:r>
        <w:t xml:space="preserve">mpending </w:t>
      </w:r>
      <w:r w:rsidR="009A52F0">
        <w:t>r</w:t>
      </w:r>
      <w:r>
        <w:t>elapse (</w:t>
      </w:r>
      <w:r w:rsidR="009A52F0">
        <w:t>d</w:t>
      </w:r>
      <w:r>
        <w:t xml:space="preserve">ouble-blind, </w:t>
      </w:r>
      <w:r w:rsidR="009A52F0">
        <w:t>p</w:t>
      </w:r>
      <w:r>
        <w:t xml:space="preserve">lacebo controlled </w:t>
      </w:r>
      <w:r w:rsidR="009A52F0">
        <w:t>p</w:t>
      </w:r>
      <w:r>
        <w:t xml:space="preserve">hase </w:t>
      </w:r>
      <w:r w:rsidR="009A52F0">
        <w:t>e</w:t>
      </w:r>
      <w:r>
        <w:t xml:space="preserve">fficacy </w:t>
      </w:r>
      <w:r w:rsidR="009A52F0">
        <w:t>s</w:t>
      </w:r>
      <w:r>
        <w:t>ample)</w:t>
      </w:r>
      <w:bookmarkEnd w:id="148"/>
    </w:p>
    <w:p w14:paraId="24A3303C" w14:textId="77777777" w:rsidR="002B55D9" w:rsidRDefault="002B55D9" w:rsidP="001E46AE">
      <w:r>
        <w:rPr>
          <w:noProof/>
          <w:lang w:eastAsia="en-AU"/>
        </w:rPr>
        <w:drawing>
          <wp:inline distT="0" distB="0" distL="0" distR="0" wp14:anchorId="24A33250" wp14:editId="24A33251">
            <wp:extent cx="5372100" cy="2186320"/>
            <wp:effectExtent l="0" t="0" r="0" b="0"/>
            <wp:docPr id="143" name="Picture 33" descr="Table 11. Analysis of Time to Exacerbation of Psychotic Symptoms/Impending Relapse (Double-blind, Placebo controlled Phase Efficacy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a:stretch>
                      <a:fillRect/>
                    </a:stretch>
                  </pic:blipFill>
                  <pic:spPr bwMode="auto">
                    <a:xfrm>
                      <a:off x="0" y="0"/>
                      <a:ext cx="5376215" cy="2187995"/>
                    </a:xfrm>
                    <a:prstGeom prst="rect">
                      <a:avLst/>
                    </a:prstGeom>
                    <a:noFill/>
                    <a:ln w="9525">
                      <a:noFill/>
                      <a:miter lim="800000"/>
                      <a:headEnd/>
                      <a:tailEnd/>
                    </a:ln>
                  </pic:spPr>
                </pic:pic>
              </a:graphicData>
            </a:graphic>
          </wp:inline>
        </w:drawing>
      </w:r>
    </w:p>
    <w:p w14:paraId="24A3303D" w14:textId="7BDDF0F8" w:rsidR="002B55D9" w:rsidRPr="009E3AB6" w:rsidRDefault="002B55D9" w:rsidP="007A5206">
      <w:pPr>
        <w:pStyle w:val="TableDescription"/>
      </w:pPr>
      <w:r w:rsidRPr="009E3AB6">
        <w:t xml:space="preserve">NE = not estimable, Random = randomized. The median time to impending relapse was not estimable because the percentage of subjects in the </w:t>
      </w:r>
      <w:proofErr w:type="spellStart"/>
      <w:r w:rsidRPr="009E3AB6">
        <w:t>aripiprazole</w:t>
      </w:r>
      <w:proofErr w:type="spellEnd"/>
      <w:r w:rsidRPr="009E3AB6">
        <w:t xml:space="preserve"> IM depot group who experienced an impending relapse during the 52-week Double-blind, Placebo-controlled Phase was too low. </w:t>
      </w:r>
      <w:r w:rsidRPr="009E3AB6">
        <w:rPr>
          <w:vertAlign w:val="superscript"/>
        </w:rPr>
        <w:t>a</w:t>
      </w:r>
      <w:r w:rsidRPr="009E3AB6">
        <w:t xml:space="preserve"> P-value was derived from the log-rank test for time to impending relapse.</w:t>
      </w:r>
      <w:r w:rsidR="00BF2105" w:rsidRPr="009E3AB6">
        <w:t xml:space="preserve"> </w:t>
      </w:r>
      <w:r w:rsidRPr="009E3AB6">
        <w:rPr>
          <w:vertAlign w:val="superscript"/>
        </w:rPr>
        <w:t>b</w:t>
      </w:r>
      <w:r w:rsidRPr="009E3AB6">
        <w:t xml:space="preserve"> </w:t>
      </w:r>
      <w:proofErr w:type="spellStart"/>
      <w:r w:rsidRPr="009E3AB6">
        <w:t>Aripiprazole</w:t>
      </w:r>
      <w:proofErr w:type="spellEnd"/>
      <w:r w:rsidRPr="009E3AB6">
        <w:t xml:space="preserve"> IM depot/placebo. Hazard ratio and its 95% CI were derived from the Cox proportional hazard </w:t>
      </w:r>
      <w:r w:rsidRPr="007A5206">
        <w:t>model</w:t>
      </w:r>
      <w:r w:rsidRPr="009E3AB6">
        <w:t xml:space="preserve"> with treatment as a term. Hazard ratio &lt; 1 is in favour of </w:t>
      </w:r>
      <w:proofErr w:type="spellStart"/>
      <w:r w:rsidRPr="009E3AB6">
        <w:t>aripiprazole</w:t>
      </w:r>
      <w:proofErr w:type="spellEnd"/>
      <w:r w:rsidRPr="009E3AB6">
        <w:t xml:space="preserve"> IM depot group.</w:t>
      </w:r>
      <w:r w:rsidR="00BF2105" w:rsidRPr="009E3AB6">
        <w:t xml:space="preserve"> </w:t>
      </w:r>
      <w:r w:rsidRPr="009E3AB6">
        <w:rPr>
          <w:vertAlign w:val="superscript"/>
        </w:rPr>
        <w:t>c</w:t>
      </w:r>
      <w:r w:rsidRPr="009E3AB6">
        <w:t xml:space="preserve"> Placebo/</w:t>
      </w:r>
      <w:proofErr w:type="spellStart"/>
      <w:r w:rsidRPr="009E3AB6">
        <w:t>aripiprazole</w:t>
      </w:r>
      <w:proofErr w:type="spellEnd"/>
      <w:r w:rsidRPr="009E3AB6">
        <w:t xml:space="preserve"> IM depot. Hazard ratio and its 95% CI were derived from the Cox proportional hazard model with treatment as a term. Hazard ratio &gt; 1 is in favour of </w:t>
      </w:r>
      <w:proofErr w:type="spellStart"/>
      <w:r w:rsidRPr="009E3AB6">
        <w:t>aripiprazole</w:t>
      </w:r>
      <w:proofErr w:type="spellEnd"/>
      <w:r w:rsidRPr="009E3AB6">
        <w:t xml:space="preserve"> IM depot group.</w:t>
      </w:r>
    </w:p>
    <w:p w14:paraId="24A3303E" w14:textId="6A248E10" w:rsidR="002B55D9" w:rsidRDefault="002B55D9" w:rsidP="009A52F0">
      <w:pPr>
        <w:pStyle w:val="FigureTitle"/>
        <w:keepLines/>
      </w:pPr>
      <w:bookmarkStart w:id="149" w:name="_Toc381104427"/>
      <w:r>
        <w:lastRenderedPageBreak/>
        <w:t xml:space="preserve">Figure </w:t>
      </w:r>
      <w:r w:rsidR="000D6249">
        <w:fldChar w:fldCharType="begin"/>
      </w:r>
      <w:r w:rsidR="000D6249">
        <w:instrText xml:space="preserve"> SEQ Figure \* ARABIC </w:instrText>
      </w:r>
      <w:r w:rsidR="000D6249">
        <w:fldChar w:fldCharType="separate"/>
      </w:r>
      <w:r w:rsidR="00C476F4">
        <w:rPr>
          <w:noProof/>
        </w:rPr>
        <w:t>15</w:t>
      </w:r>
      <w:r w:rsidR="000D6249">
        <w:rPr>
          <w:noProof/>
        </w:rPr>
        <w:fldChar w:fldCharType="end"/>
      </w:r>
      <w:r w:rsidR="00BF2105">
        <w:t>.</w:t>
      </w:r>
      <w:r>
        <w:t xml:space="preserve">Kaplan-Meier </w:t>
      </w:r>
      <w:r w:rsidR="009A52F0">
        <w:t>p</w:t>
      </w:r>
      <w:r>
        <w:t xml:space="preserve">roduct </w:t>
      </w:r>
      <w:r w:rsidR="009A52F0">
        <w:t>l</w:t>
      </w:r>
      <w:r>
        <w:t xml:space="preserve">imit </w:t>
      </w:r>
      <w:r w:rsidR="009A52F0">
        <w:t>p</w:t>
      </w:r>
      <w:r>
        <w:t xml:space="preserve">lot of </w:t>
      </w:r>
      <w:r w:rsidR="009A52F0">
        <w:t>t</w:t>
      </w:r>
      <w:r>
        <w:t xml:space="preserve">ime to </w:t>
      </w:r>
      <w:r w:rsidR="009A52F0">
        <w:t>i</w:t>
      </w:r>
      <w:r>
        <w:t xml:space="preserve">mpending </w:t>
      </w:r>
      <w:r w:rsidR="009A52F0">
        <w:t>r</w:t>
      </w:r>
      <w:r>
        <w:t>elapse (</w:t>
      </w:r>
      <w:r w:rsidR="009A52F0">
        <w:t>d</w:t>
      </w:r>
      <w:r>
        <w:t xml:space="preserve">ouble-blind, </w:t>
      </w:r>
      <w:r w:rsidR="009A52F0">
        <w:t>p</w:t>
      </w:r>
      <w:r>
        <w:t xml:space="preserve">lacebo-controlled </w:t>
      </w:r>
      <w:r w:rsidR="009A52F0">
        <w:t>p</w:t>
      </w:r>
      <w:r>
        <w:t xml:space="preserve">hase </w:t>
      </w:r>
      <w:r w:rsidR="009A52F0">
        <w:t>e</w:t>
      </w:r>
      <w:r>
        <w:t xml:space="preserve">fficacy </w:t>
      </w:r>
      <w:r w:rsidR="009A52F0">
        <w:t>s</w:t>
      </w:r>
      <w:r>
        <w:t xml:space="preserve">ample) - </w:t>
      </w:r>
      <w:r w:rsidR="009A52F0">
        <w:t>f</w:t>
      </w:r>
      <w:r>
        <w:t xml:space="preserve">inal </w:t>
      </w:r>
      <w:r w:rsidR="009A52F0">
        <w:t>a</w:t>
      </w:r>
      <w:r>
        <w:t xml:space="preserve">nalysis (80 </w:t>
      </w:r>
      <w:r w:rsidR="009A52F0">
        <w:t>e</w:t>
      </w:r>
      <w:r>
        <w:t>vents)</w:t>
      </w:r>
      <w:bookmarkEnd w:id="149"/>
    </w:p>
    <w:p w14:paraId="24A3303F" w14:textId="77777777" w:rsidR="002B55D9" w:rsidRDefault="002B55D9" w:rsidP="007A5206">
      <w:r>
        <w:rPr>
          <w:noProof/>
          <w:lang w:eastAsia="en-AU"/>
        </w:rPr>
        <w:drawing>
          <wp:inline distT="0" distB="0" distL="0" distR="0" wp14:anchorId="24A33252" wp14:editId="24A33253">
            <wp:extent cx="3853124" cy="2533650"/>
            <wp:effectExtent l="0" t="0" r="0" b="0"/>
            <wp:docPr id="144" name="Picture 36" descr="Figure 15.Kaplan-Meier Product Limit Plot of Time to Impending Relapse (Double-blind, Placebo-controlled Phase Efficacy Sample) - Final Analysis (80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srcRect t="3432" r="-42" b="2975"/>
                    <a:stretch>
                      <a:fillRect/>
                    </a:stretch>
                  </pic:blipFill>
                  <pic:spPr bwMode="auto">
                    <a:xfrm>
                      <a:off x="0" y="0"/>
                      <a:ext cx="3851758" cy="2532752"/>
                    </a:xfrm>
                    <a:prstGeom prst="rect">
                      <a:avLst/>
                    </a:prstGeom>
                    <a:noFill/>
                    <a:ln w="9525">
                      <a:noFill/>
                      <a:miter lim="800000"/>
                      <a:headEnd/>
                      <a:tailEnd/>
                    </a:ln>
                  </pic:spPr>
                </pic:pic>
              </a:graphicData>
            </a:graphic>
          </wp:inline>
        </w:drawing>
      </w:r>
    </w:p>
    <w:p w14:paraId="24A33040" w14:textId="125FE814" w:rsidR="002B55D9" w:rsidRPr="009867F8" w:rsidRDefault="002B55D9" w:rsidP="009A52F0">
      <w:pPr>
        <w:pStyle w:val="FigureDescription"/>
      </w:pPr>
      <w:r w:rsidRPr="009867F8">
        <w:t xml:space="preserve">ARIP and ARIP IMD = </w:t>
      </w:r>
      <w:proofErr w:type="spellStart"/>
      <w:r w:rsidRPr="009867F8">
        <w:t>aripiprazole</w:t>
      </w:r>
      <w:proofErr w:type="spellEnd"/>
      <w:r w:rsidRPr="009867F8">
        <w:t xml:space="preserve"> IM depot; PLC = placebo.</w:t>
      </w:r>
    </w:p>
    <w:p w14:paraId="24A33041" w14:textId="4AD4B0B1" w:rsidR="002B55D9" w:rsidRDefault="002B55D9" w:rsidP="009A52F0">
      <w:pPr>
        <w:pStyle w:val="Heading5"/>
      </w:pPr>
      <w:r w:rsidRPr="009867F8">
        <w:t xml:space="preserve">Key </w:t>
      </w:r>
      <w:r w:rsidR="009A52F0">
        <w:t>s</w:t>
      </w:r>
      <w:r w:rsidRPr="009867F8">
        <w:t xml:space="preserve">econdary </w:t>
      </w:r>
      <w:r w:rsidR="009A52F0">
        <w:t>e</w:t>
      </w:r>
      <w:r w:rsidRPr="009867F8">
        <w:t xml:space="preserve">fficacy </w:t>
      </w:r>
      <w:r w:rsidR="009A52F0">
        <w:t>e</w:t>
      </w:r>
      <w:r w:rsidRPr="009867F8">
        <w:t>ndpoint</w:t>
      </w:r>
    </w:p>
    <w:p w14:paraId="24A33042" w14:textId="614A5BC4" w:rsidR="002B55D9" w:rsidRDefault="002B55D9" w:rsidP="009A52F0">
      <w:pPr>
        <w:pStyle w:val="TableTitle"/>
      </w:pPr>
      <w:bookmarkStart w:id="150" w:name="_Toc381104330"/>
      <w:r>
        <w:t xml:space="preserve">Table </w:t>
      </w:r>
      <w:r w:rsidR="00383AAD">
        <w:t>12.</w:t>
      </w:r>
      <w:r>
        <w:t xml:space="preserve"> Percentage of </w:t>
      </w:r>
      <w:r w:rsidR="009A52F0">
        <w:t>s</w:t>
      </w:r>
      <w:r>
        <w:t xml:space="preserve">ubjects </w:t>
      </w:r>
      <w:r w:rsidR="009A52F0">
        <w:t>m</w:t>
      </w:r>
      <w:r>
        <w:t xml:space="preserve">eeting </w:t>
      </w:r>
      <w:r w:rsidR="009A52F0">
        <w:t>e</w:t>
      </w:r>
      <w:r>
        <w:t xml:space="preserve">xacerbation of </w:t>
      </w:r>
      <w:proofErr w:type="spellStart"/>
      <w:r w:rsidR="009A52F0">
        <w:t>of</w:t>
      </w:r>
      <w:proofErr w:type="spellEnd"/>
      <w:r w:rsidR="009A52F0">
        <w:t xml:space="preserve"> psychotic symptoms/impending relapse criteria(double-blind, placebo controlled phase efficacy sample)</w:t>
      </w:r>
      <w:r>
        <w:t xml:space="preserve"> - </w:t>
      </w:r>
      <w:r w:rsidR="009A52F0">
        <w:t>i</w:t>
      </w:r>
      <w:r>
        <w:t xml:space="preserve">nterim and </w:t>
      </w:r>
      <w:r w:rsidR="009A52F0">
        <w:t>f</w:t>
      </w:r>
      <w:r>
        <w:t xml:space="preserve">inal </w:t>
      </w:r>
      <w:r w:rsidR="009A52F0">
        <w:t>a</w:t>
      </w:r>
      <w:r>
        <w:t>nalyses</w:t>
      </w:r>
      <w:bookmarkEnd w:id="150"/>
    </w:p>
    <w:p w14:paraId="24A33043" w14:textId="77777777" w:rsidR="002B55D9" w:rsidRDefault="002B55D9" w:rsidP="002B55D9">
      <w:r>
        <w:rPr>
          <w:noProof/>
          <w:lang w:eastAsia="en-AU"/>
        </w:rPr>
        <w:drawing>
          <wp:inline distT="0" distB="0" distL="0" distR="0" wp14:anchorId="24A33254" wp14:editId="24A33255">
            <wp:extent cx="5464926" cy="2190750"/>
            <wp:effectExtent l="0" t="0" r="0" b="0"/>
            <wp:docPr id="145" name="Picture 39" descr="Table 12. Percentage of Subjects Meeting Exacerbation of Psychotic Symptoms/Impending Relapse Criteria (Double-blind, Placebo-controlled Phase Efficacy Sample) - Interim and Final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srcRect/>
                    <a:stretch>
                      <a:fillRect/>
                    </a:stretch>
                  </pic:blipFill>
                  <pic:spPr bwMode="auto">
                    <a:xfrm>
                      <a:off x="0" y="0"/>
                      <a:ext cx="5473650" cy="2194247"/>
                    </a:xfrm>
                    <a:prstGeom prst="rect">
                      <a:avLst/>
                    </a:prstGeom>
                    <a:noFill/>
                    <a:ln w="9525">
                      <a:noFill/>
                      <a:miter lim="800000"/>
                      <a:headEnd/>
                      <a:tailEnd/>
                    </a:ln>
                  </pic:spPr>
                </pic:pic>
              </a:graphicData>
            </a:graphic>
          </wp:inline>
        </w:drawing>
      </w:r>
    </w:p>
    <w:p w14:paraId="24A33044" w14:textId="77777777" w:rsidR="002B55D9" w:rsidRPr="00851A61" w:rsidRDefault="002B55D9" w:rsidP="007A5206">
      <w:pPr>
        <w:pStyle w:val="TableDescription"/>
      </w:pPr>
      <w:r w:rsidRPr="00851A61">
        <w:t>Note: Subjects could meet more than one of the criteria.</w:t>
      </w:r>
      <w:r w:rsidR="00BF2105">
        <w:t xml:space="preserve"> </w:t>
      </w:r>
      <w:r w:rsidRPr="00851A61">
        <w:rPr>
          <w:vertAlign w:val="superscript"/>
        </w:rPr>
        <w:t>a</w:t>
      </w:r>
      <w:r w:rsidRPr="00851A61">
        <w:t xml:space="preserve"> N is the total number of subjects in the Double-blind, Placebo-controlled Phase Efficacy Sample.</w:t>
      </w:r>
      <w:r w:rsidR="00BF2105">
        <w:t xml:space="preserve"> </w:t>
      </w:r>
      <w:r w:rsidRPr="00851A61">
        <w:rPr>
          <w:vertAlign w:val="superscript"/>
        </w:rPr>
        <w:t>b</w:t>
      </w:r>
      <w:r w:rsidRPr="00851A61">
        <w:t xml:space="preserve"> n is the number of subjects who met the impending relapse criteria.</w:t>
      </w:r>
      <w:r w:rsidR="00BF2105">
        <w:t xml:space="preserve"> </w:t>
      </w:r>
      <w:r w:rsidRPr="00851A61">
        <w:rPr>
          <w:vertAlign w:val="superscript"/>
        </w:rPr>
        <w:t>c</w:t>
      </w:r>
      <w:r w:rsidRPr="00851A61">
        <w:t xml:space="preserve"> P-value </w:t>
      </w:r>
      <w:r w:rsidRPr="007A5206">
        <w:t>was</w:t>
      </w:r>
      <w:r w:rsidRPr="00851A61">
        <w:t xml:space="preserve"> derived from the Chi-square test.</w:t>
      </w:r>
    </w:p>
    <w:p w14:paraId="24A33045" w14:textId="77777777" w:rsidR="002B55D9" w:rsidRDefault="002B55D9" w:rsidP="009A52F0">
      <w:pPr>
        <w:pStyle w:val="Heading5"/>
      </w:pPr>
      <w:r w:rsidRPr="004B259C">
        <w:t>Results for other efficacy outcomes</w:t>
      </w:r>
    </w:p>
    <w:p w14:paraId="24A33046" w14:textId="7CAF5FB7" w:rsidR="002B55D9" w:rsidRPr="00694DCF" w:rsidRDefault="002B55D9" w:rsidP="009A52F0">
      <w:r>
        <w:t xml:space="preserve">The protocol was amended mid study in relation to the secondary endpoints </w:t>
      </w:r>
      <w:r w:rsidR="00BF2105">
        <w:t>–</w:t>
      </w:r>
      <w:r>
        <w:t xml:space="preserve"> an</w:t>
      </w:r>
      <w:r w:rsidR="00BF2105">
        <w:t xml:space="preserve"> </w:t>
      </w:r>
      <w:r>
        <w:t>hierarchical system of analysis was removed (this would have meant ceasing the analysis after Proportion of responders and Proportion of subjects achieving remission). PNS was removed from the secondary endpoints.</w:t>
      </w:r>
    </w:p>
    <w:p w14:paraId="24A33047" w14:textId="77777777" w:rsidR="002B55D9" w:rsidRDefault="002B55D9" w:rsidP="009A52F0">
      <w:r>
        <w:t xml:space="preserve">The proportion of </w:t>
      </w:r>
      <w:r w:rsidRPr="00851A61">
        <w:rPr>
          <w:b/>
        </w:rPr>
        <w:t>responders</w:t>
      </w:r>
      <w:r>
        <w:t xml:space="preserve"> at the last visit was 87.6% (234/267) on </w:t>
      </w:r>
      <w:proofErr w:type="spellStart"/>
      <w:r>
        <w:t>aripiprazole</w:t>
      </w:r>
      <w:proofErr w:type="spellEnd"/>
      <w:r>
        <w:t xml:space="preserve"> IM depot was statistically greater compared with 56.0% (75/134) on placebo (p &lt; 0.0001).</w:t>
      </w:r>
    </w:p>
    <w:p w14:paraId="24A33048" w14:textId="77777777" w:rsidR="002B55D9" w:rsidRDefault="002B55D9" w:rsidP="009A52F0">
      <w:r>
        <w:t xml:space="preserve">The proportion of subjects who achieved </w:t>
      </w:r>
      <w:r w:rsidRPr="00851A61">
        <w:rPr>
          <w:b/>
        </w:rPr>
        <w:t>remission</w:t>
      </w:r>
      <w:r>
        <w:t xml:space="preserve"> was 52.9% (46/87) on </w:t>
      </w:r>
      <w:proofErr w:type="spellStart"/>
      <w:r>
        <w:t>aripiprazole</w:t>
      </w:r>
      <w:proofErr w:type="spellEnd"/>
      <w:r>
        <w:t xml:space="preserve"> IM depot was not shown to be statistically different compared with 38.7% (12/31) on placebo (p = 0.1756).</w:t>
      </w:r>
    </w:p>
    <w:p w14:paraId="24A33049" w14:textId="77777777" w:rsidR="002B55D9" w:rsidRDefault="00BF2105" w:rsidP="009A52F0">
      <w:pPr>
        <w:pStyle w:val="Heading5"/>
      </w:pPr>
      <w:r w:rsidRPr="00BF2105">
        <w:lastRenderedPageBreak/>
        <w:t>S</w:t>
      </w:r>
      <w:r w:rsidR="002B55D9" w:rsidRPr="00BF2105">
        <w:t>ubgroup</w:t>
      </w:r>
      <w:r w:rsidR="002B55D9">
        <w:t xml:space="preserve"> analyses</w:t>
      </w:r>
    </w:p>
    <w:p w14:paraId="24A3304A" w14:textId="77777777" w:rsidR="002B55D9" w:rsidRDefault="002B55D9" w:rsidP="009A52F0">
      <w:r>
        <w:t>The only subgroup analyses by region were US/non</w:t>
      </w:r>
      <w:r w:rsidR="00602850">
        <w:t xml:space="preserve"> </w:t>
      </w:r>
      <w:r>
        <w:t>US which showed no effect of region on main outcomes significance.</w:t>
      </w:r>
    </w:p>
    <w:p w14:paraId="24A3304B" w14:textId="26E5E213" w:rsidR="002B55D9" w:rsidRDefault="002B55D9" w:rsidP="009A52F0">
      <w:pPr>
        <w:pStyle w:val="TableTitle"/>
      </w:pPr>
      <w:bookmarkStart w:id="151" w:name="_Toc381104331"/>
      <w:r>
        <w:t>Table</w:t>
      </w:r>
      <w:r w:rsidR="00383AAD">
        <w:t xml:space="preserve"> 13</w:t>
      </w:r>
      <w:r w:rsidR="00BF2105">
        <w:rPr>
          <w:noProof/>
        </w:rPr>
        <w:t>.</w:t>
      </w:r>
      <w:r>
        <w:t xml:space="preserve"> Analysis of </w:t>
      </w:r>
      <w:r w:rsidR="009A52F0">
        <w:t>t</w:t>
      </w:r>
      <w:r>
        <w:t xml:space="preserve">ime to </w:t>
      </w:r>
      <w:r w:rsidR="00674464">
        <w:t>e</w:t>
      </w:r>
      <w:r>
        <w:t xml:space="preserve">xacerbation of </w:t>
      </w:r>
      <w:r w:rsidR="00674464">
        <w:t>p</w:t>
      </w:r>
      <w:r>
        <w:t xml:space="preserve">sychotic </w:t>
      </w:r>
      <w:r w:rsidR="00674464">
        <w:t>s</w:t>
      </w:r>
      <w:r>
        <w:t>ymptoms/</w:t>
      </w:r>
      <w:r w:rsidR="00674464">
        <w:t>i</w:t>
      </w:r>
      <w:r>
        <w:t xml:space="preserve">mpending </w:t>
      </w:r>
      <w:r w:rsidR="00674464">
        <w:t>r</w:t>
      </w:r>
      <w:r>
        <w:t xml:space="preserve">elapse by </w:t>
      </w:r>
      <w:r w:rsidR="00674464">
        <w:t>r</w:t>
      </w:r>
      <w:r>
        <w:t>egion (</w:t>
      </w:r>
      <w:r w:rsidR="00674464">
        <w:t>d</w:t>
      </w:r>
      <w:r>
        <w:t xml:space="preserve">ouble-blind, </w:t>
      </w:r>
      <w:r w:rsidR="00674464">
        <w:t>p</w:t>
      </w:r>
      <w:r>
        <w:t xml:space="preserve">lacebo controlled </w:t>
      </w:r>
      <w:r w:rsidR="00674464">
        <w:t>p</w:t>
      </w:r>
      <w:r>
        <w:t xml:space="preserve">hase </w:t>
      </w:r>
      <w:r w:rsidR="00674464">
        <w:t>e</w:t>
      </w:r>
      <w:r>
        <w:t xml:space="preserve">fficacy </w:t>
      </w:r>
      <w:r w:rsidR="00674464">
        <w:t>s</w:t>
      </w:r>
      <w:r>
        <w:t>ample)</w:t>
      </w:r>
      <w:bookmarkEnd w:id="151"/>
    </w:p>
    <w:p w14:paraId="24A3304C" w14:textId="77777777" w:rsidR="002B55D9" w:rsidRDefault="002B55D9" w:rsidP="002B55D9">
      <w:r>
        <w:rPr>
          <w:noProof/>
          <w:lang w:eastAsia="en-AU"/>
        </w:rPr>
        <w:drawing>
          <wp:inline distT="0" distB="0" distL="0" distR="0" wp14:anchorId="24A33256" wp14:editId="24A33257">
            <wp:extent cx="5257800" cy="1752600"/>
            <wp:effectExtent l="0" t="0" r="0" b="0"/>
            <wp:docPr id="164" name="Picture 1" descr="Table 13. Analysis of Time to Exacerbation of Psychotic Symptoms/Impending Relapse by Region (Double-blind, Placebo controlled Phase Efficacy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267395" cy="1755798"/>
                    </a:xfrm>
                    <a:prstGeom prst="rect">
                      <a:avLst/>
                    </a:prstGeom>
                    <a:noFill/>
                    <a:ln w="9525">
                      <a:noFill/>
                      <a:miter lim="800000"/>
                      <a:headEnd/>
                      <a:tailEnd/>
                    </a:ln>
                  </pic:spPr>
                </pic:pic>
              </a:graphicData>
            </a:graphic>
          </wp:inline>
        </w:drawing>
      </w:r>
    </w:p>
    <w:p w14:paraId="24A3304D" w14:textId="77777777" w:rsidR="002B55D9" w:rsidRPr="006300D0" w:rsidRDefault="002B55D9" w:rsidP="00674464">
      <w:pPr>
        <w:pStyle w:val="TableDescription"/>
      </w:pPr>
      <w:r w:rsidRPr="006300D0">
        <w:t xml:space="preserve">Random = randomized. </w:t>
      </w:r>
      <w:r w:rsidRPr="006300D0">
        <w:rPr>
          <w:vertAlign w:val="superscript"/>
        </w:rPr>
        <w:t>a</w:t>
      </w:r>
      <w:r w:rsidRPr="006300D0">
        <w:t xml:space="preserve"> Hazard ratio and its 95% CI were derived from the Cox proportional hazard model with treatment as a term. A hazard ratio &lt; 1 is in favour of the </w:t>
      </w:r>
      <w:proofErr w:type="spellStart"/>
      <w:r w:rsidRPr="006300D0">
        <w:t>aripiprazole</w:t>
      </w:r>
      <w:proofErr w:type="spellEnd"/>
      <w:r w:rsidRPr="006300D0">
        <w:t xml:space="preserve"> IM depot group.</w:t>
      </w:r>
      <w:r w:rsidR="00BF2105">
        <w:t xml:space="preserve"> </w:t>
      </w:r>
      <w:r w:rsidRPr="006300D0">
        <w:rPr>
          <w:vertAlign w:val="superscript"/>
        </w:rPr>
        <w:t>b</w:t>
      </w:r>
      <w:r w:rsidRPr="006300D0">
        <w:t xml:space="preserve"> Hazard ratio and its 95% CI were derived from the Cox proportional hazard model with treatment as a term. A hazard ratio &gt; 1 is in favour of the </w:t>
      </w:r>
      <w:proofErr w:type="spellStart"/>
      <w:r w:rsidRPr="006300D0">
        <w:t>aripiprazole</w:t>
      </w:r>
      <w:proofErr w:type="spellEnd"/>
      <w:r w:rsidRPr="006300D0">
        <w:t xml:space="preserve"> IM depot group.</w:t>
      </w:r>
      <w:r w:rsidR="00BF2105">
        <w:t xml:space="preserve"> </w:t>
      </w:r>
      <w:r w:rsidRPr="006300D0">
        <w:rPr>
          <w:vertAlign w:val="superscript"/>
        </w:rPr>
        <w:t>c</w:t>
      </w:r>
      <w:r w:rsidRPr="006300D0">
        <w:t xml:space="preserve"> P-value was derived from the log-rank test for time to exacerbation of psychotic symptoms/impending relapse.</w:t>
      </w:r>
    </w:p>
    <w:p w14:paraId="24A3304E" w14:textId="77777777" w:rsidR="002B55D9" w:rsidRDefault="002B55D9" w:rsidP="00674464">
      <w:pPr>
        <w:pStyle w:val="Heading4"/>
      </w:pPr>
      <w:bookmarkStart w:id="152" w:name="_Toc381104203"/>
      <w:r w:rsidRPr="003C0A48">
        <w:t>S</w:t>
      </w:r>
      <w:r>
        <w:t xml:space="preserve">tudy </w:t>
      </w:r>
      <w:bookmarkEnd w:id="141"/>
      <w:bookmarkEnd w:id="142"/>
      <w:bookmarkEnd w:id="143"/>
      <w:bookmarkEnd w:id="144"/>
      <w:bookmarkEnd w:id="145"/>
      <w:r>
        <w:t xml:space="preserve">31-07-247 </w:t>
      </w:r>
      <w:r w:rsidR="00D43EBA">
        <w:t>‘</w:t>
      </w:r>
      <w:r>
        <w:t>ASPIRE EU</w:t>
      </w:r>
      <w:r w:rsidR="00D43EBA">
        <w:t>’</w:t>
      </w:r>
      <w:bookmarkEnd w:id="152"/>
    </w:p>
    <w:p w14:paraId="24A3304F" w14:textId="77777777" w:rsidR="002B55D9" w:rsidRDefault="002B55D9" w:rsidP="00674464">
      <w:r>
        <w:t>This was indicated as the pivotal study in the submission, however the primary objective and the primary efficacy endpoint were changed midtrial (including the non-inferiority margin) and following on, the statistical analyses and calculation of th</w:t>
      </w:r>
      <w:r w:rsidR="00BF2105">
        <w:t>e Study population sample size</w:t>
      </w:r>
      <w:r>
        <w:t>.</w:t>
      </w:r>
    </w:p>
    <w:p w14:paraId="24A33050" w14:textId="77777777" w:rsidR="002B55D9" w:rsidRPr="00BF2105" w:rsidRDefault="002B55D9" w:rsidP="00674464">
      <w:r>
        <w:t xml:space="preserve">The Study Report states </w:t>
      </w:r>
      <w:r w:rsidRPr="00BF2105">
        <w:rPr>
          <w:i/>
        </w:rPr>
        <w:t>No interim analysis was planned or performed</w:t>
      </w:r>
      <w:r>
        <w:t xml:space="preserve">. </w:t>
      </w:r>
      <w:r w:rsidRPr="00BF2105">
        <w:t>However, the study report explains that the primary efficacy endpoint was changed because of a lower than anticipated relapse rate. The lower than anticipated relapse rate was thought to have resulted</w:t>
      </w:r>
      <w:r w:rsidRPr="0075176A">
        <w:t xml:space="preserve"> from the requirement for 8 consecutive weeks of stabilization prior to randomization and the fact that subj</w:t>
      </w:r>
      <w:r>
        <w:t>ects randomized to the 50/25</w:t>
      </w:r>
      <w:r w:rsidRPr="0075176A">
        <w:t xml:space="preserve">mg </w:t>
      </w:r>
      <w:proofErr w:type="spellStart"/>
      <w:r w:rsidRPr="0075176A">
        <w:t>aripiprazole</w:t>
      </w:r>
      <w:proofErr w:type="spellEnd"/>
      <w:r w:rsidRPr="0075176A">
        <w:t xml:space="preserve"> IM depot arm maintained stability of schizophrenic symptoms to a greater degree than anticipated. This change was discussed during a scientific advice procedure with the EMA (16 Dec</w:t>
      </w:r>
      <w:r w:rsidR="00BF2105">
        <w:t>ember</w:t>
      </w:r>
      <w:r w:rsidRPr="0075176A">
        <w:t xml:space="preserve"> 2010). The EMA stated that </w:t>
      </w:r>
      <w:r w:rsidR="00D43EBA">
        <w:t>‘</w:t>
      </w:r>
      <w:r w:rsidRPr="00BF2105">
        <w:t>as an equivalence situation is investigated, visual inspection of the Kaplan-Meier curves would be requested any how to check that development over time is not different for the 2 formulations.</w:t>
      </w:r>
    </w:p>
    <w:p w14:paraId="24A33051" w14:textId="77777777" w:rsidR="002B55D9" w:rsidRPr="00BF2105" w:rsidRDefault="002B55D9" w:rsidP="00674464">
      <w:r w:rsidRPr="00BF2105">
        <w:t>This is presumably reflected in the change in the primary objective but this was not discussed.</w:t>
      </w:r>
    </w:p>
    <w:p w14:paraId="24A33052" w14:textId="77777777" w:rsidR="002B55D9" w:rsidRPr="003C0A48" w:rsidRDefault="002B55D9" w:rsidP="00674464">
      <w:pPr>
        <w:pStyle w:val="Heading5"/>
      </w:pPr>
      <w:r w:rsidRPr="003C0A48">
        <w:t>Study</w:t>
      </w:r>
      <w:r w:rsidRPr="00885C7E">
        <w:t xml:space="preserve"> </w:t>
      </w:r>
      <w:r w:rsidRPr="003C0A48">
        <w:t>dates, locations</w:t>
      </w:r>
      <w:r>
        <w:t>,</w:t>
      </w:r>
      <w:r w:rsidRPr="003C0A48">
        <w:t xml:space="preserve"> objectives and</w:t>
      </w:r>
      <w:r w:rsidRPr="00885C7E">
        <w:t xml:space="preserve"> </w:t>
      </w:r>
      <w:r w:rsidRPr="003C0A48">
        <w:t>design</w:t>
      </w:r>
    </w:p>
    <w:p w14:paraId="24A33053" w14:textId="77777777" w:rsidR="002B55D9" w:rsidRDefault="002B55D9" w:rsidP="00674464">
      <w:r>
        <w:t xml:space="preserve">A non-inferiority 38-week, </w:t>
      </w:r>
      <w:proofErr w:type="spellStart"/>
      <w:r>
        <w:t>multicenter</w:t>
      </w:r>
      <w:proofErr w:type="spellEnd"/>
      <w:r>
        <w:t xml:space="preserve">, randomized, double-blind, active-controlled study to evaluate the efficacy, safety, and tolerability of an intramuscular depot formulation of </w:t>
      </w:r>
      <w:proofErr w:type="spellStart"/>
      <w:r>
        <w:t>aripiprazole</w:t>
      </w:r>
      <w:proofErr w:type="spellEnd"/>
      <w:r>
        <w:t xml:space="preserve"> as maintenance treatment in patients with schizophrenia consisting of a screening phase and 3 treatment phases: Conversion Phase, Oral Stabilization Phase, and Double-blind, Active-controlled Phase. Conducted from 26 September 2008 to31 August 2012 in 105 centres in Austria, Belgium, Bulgaria, Chile, Croatia, Estonia, France, Hungary, Italy, South Korea, Poland, South Africa, Thailand, and US.</w:t>
      </w:r>
    </w:p>
    <w:p w14:paraId="24A33054" w14:textId="77777777" w:rsidR="002B55D9" w:rsidRDefault="002B55D9" w:rsidP="00674464">
      <w:r>
        <w:t xml:space="preserve">The </w:t>
      </w:r>
      <w:r w:rsidRPr="005E4929">
        <w:rPr>
          <w:b/>
        </w:rPr>
        <w:t>primary objective</w:t>
      </w:r>
      <w:r>
        <w:t xml:space="preserve"> (in the Study Report) was to evaluate the efficacy of </w:t>
      </w:r>
      <w:proofErr w:type="spellStart"/>
      <w:r>
        <w:t>aripiprazole</w:t>
      </w:r>
      <w:proofErr w:type="spellEnd"/>
      <w:r>
        <w:t xml:space="preserve"> IM depot compared with oral </w:t>
      </w:r>
      <w:proofErr w:type="spellStart"/>
      <w:r>
        <w:t>aripiprazole</w:t>
      </w:r>
      <w:proofErr w:type="spellEnd"/>
      <w:r>
        <w:t xml:space="preserve">, as measured by the proportion of subjects experiencing impending relapse by end of 26 weeks of treatment from the date of randomization in the Double-blind, Active-controlled Phase, in schizophrenic subjects who have maintained stability on oral </w:t>
      </w:r>
      <w:proofErr w:type="spellStart"/>
      <w:r>
        <w:t>aripiprazole</w:t>
      </w:r>
      <w:proofErr w:type="spellEnd"/>
      <w:r>
        <w:t xml:space="preserve"> for at least 8 consecutive weeks in the Oral Stabilization Phase of the trial before initiating treatment with </w:t>
      </w:r>
      <w:proofErr w:type="spellStart"/>
      <w:r>
        <w:t>aripiprazole</w:t>
      </w:r>
      <w:proofErr w:type="spellEnd"/>
      <w:r>
        <w:t xml:space="preserve"> IM depot.</w:t>
      </w:r>
    </w:p>
    <w:p w14:paraId="24A33055" w14:textId="77777777" w:rsidR="002B55D9" w:rsidRDefault="002B55D9" w:rsidP="00674464">
      <w:r>
        <w:lastRenderedPageBreak/>
        <w:t xml:space="preserve">The </w:t>
      </w:r>
      <w:r w:rsidRPr="005E4929">
        <w:rPr>
          <w:b/>
        </w:rPr>
        <w:t>secondary objective</w:t>
      </w:r>
      <w:r>
        <w:t xml:space="preserve"> was to evaluate the safety and tolerability of </w:t>
      </w:r>
      <w:proofErr w:type="spellStart"/>
      <w:r>
        <w:t>aripiprazole</w:t>
      </w:r>
      <w:proofErr w:type="spellEnd"/>
      <w:r>
        <w:t xml:space="preserve"> IM depot as maintenance treatment in subjects with schizophrenia.</w:t>
      </w:r>
    </w:p>
    <w:p w14:paraId="24A33056" w14:textId="77777777" w:rsidR="002B55D9" w:rsidRDefault="002B55D9" w:rsidP="00674464">
      <w:r>
        <w:t>Subjects who were</w:t>
      </w:r>
      <w:r w:rsidRPr="00FC7EFB">
        <w:t xml:space="preserve"> </w:t>
      </w:r>
      <w:r>
        <w:t>receiving</w:t>
      </w:r>
    </w:p>
    <w:p w14:paraId="24A33057" w14:textId="77777777" w:rsidR="002B55D9" w:rsidRDefault="002B55D9" w:rsidP="00674464">
      <w:pPr>
        <w:pStyle w:val="ListBullet"/>
      </w:pPr>
      <w:r>
        <w:t>oral treatment with any other antipsychotic alone or in combination</w:t>
      </w:r>
      <w:r w:rsidRPr="00F95E6B">
        <w:t>, or</w:t>
      </w:r>
    </w:p>
    <w:p w14:paraId="24A33058" w14:textId="77777777" w:rsidR="002B55D9" w:rsidRDefault="002B55D9" w:rsidP="00674464">
      <w:pPr>
        <w:pStyle w:val="ListBullet"/>
      </w:pPr>
      <w:r>
        <w:t xml:space="preserve">oral generic </w:t>
      </w:r>
      <w:proofErr w:type="spellStart"/>
      <w:r>
        <w:t>aripiprazole</w:t>
      </w:r>
      <w:proofErr w:type="spellEnd"/>
    </w:p>
    <w:p w14:paraId="24A33059" w14:textId="77777777" w:rsidR="002B55D9" w:rsidRDefault="002B55D9" w:rsidP="00674464">
      <w:r>
        <w:t xml:space="preserve">entered the </w:t>
      </w:r>
      <w:r w:rsidRPr="00FC7EFB">
        <w:rPr>
          <w:b/>
        </w:rPr>
        <w:t>Conversion Phase</w:t>
      </w:r>
      <w:r>
        <w:t xml:space="preserve"> when they were  converted from other antipsychotics to 10 or 15mg/day oral (trial) </w:t>
      </w:r>
      <w:proofErr w:type="spellStart"/>
      <w:r>
        <w:t>aripiprazole</w:t>
      </w:r>
      <w:proofErr w:type="spellEnd"/>
      <w:r>
        <w:t xml:space="preserve"> </w:t>
      </w:r>
      <w:proofErr w:type="spellStart"/>
      <w:r>
        <w:t>monotherapy</w:t>
      </w:r>
      <w:proofErr w:type="spellEnd"/>
      <w:r w:rsidRPr="00FC7EFB">
        <w:t xml:space="preserve"> </w:t>
      </w:r>
      <w:r>
        <w:t>over 4 to 6 weeks.</w:t>
      </w:r>
    </w:p>
    <w:p w14:paraId="24A3305A" w14:textId="559D8F6A" w:rsidR="002B55D9" w:rsidRDefault="00674464" w:rsidP="00674464">
      <w:r>
        <w:t>Subjects who:</w:t>
      </w:r>
    </w:p>
    <w:p w14:paraId="24A3305B" w14:textId="1893A995" w:rsidR="002B55D9" w:rsidRDefault="002B55D9" w:rsidP="00674464">
      <w:pPr>
        <w:pStyle w:val="ListBullet"/>
      </w:pPr>
      <w:r>
        <w:t xml:space="preserve">successfully converted to oral </w:t>
      </w:r>
      <w:proofErr w:type="spellStart"/>
      <w:r>
        <w:t>aripiprazole</w:t>
      </w:r>
      <w:proofErr w:type="spellEnd"/>
      <w:r>
        <w:t xml:space="preserve"> </w:t>
      </w:r>
      <w:proofErr w:type="spellStart"/>
      <w:r>
        <w:t>monotherapy</w:t>
      </w:r>
      <w:proofErr w:type="spellEnd"/>
      <w:r w:rsidRPr="00F95E6B">
        <w:t>, or</w:t>
      </w:r>
    </w:p>
    <w:p w14:paraId="24A3305C" w14:textId="77777777" w:rsidR="002B55D9" w:rsidRDefault="002B55D9" w:rsidP="00674464">
      <w:pPr>
        <w:pStyle w:val="ListBullet"/>
      </w:pPr>
      <w:r>
        <w:t xml:space="preserve">who were already receiving </w:t>
      </w:r>
      <w:r w:rsidR="0052799D">
        <w:t>≤</w:t>
      </w:r>
      <w:r>
        <w:t xml:space="preserve"> 3</w:t>
      </w:r>
      <w:r w:rsidR="002C1F46">
        <w:t>0 mg</w:t>
      </w:r>
      <w:r>
        <w:t xml:space="preserve">/day oral non generic </w:t>
      </w:r>
      <w:proofErr w:type="spellStart"/>
      <w:r>
        <w:t>aripiprazole</w:t>
      </w:r>
      <w:proofErr w:type="spellEnd"/>
      <w:r>
        <w:t xml:space="preserve"> at screening</w:t>
      </w:r>
      <w:r w:rsidRPr="00F95E6B">
        <w:t>, or</w:t>
      </w:r>
    </w:p>
    <w:p w14:paraId="24A3305D" w14:textId="77777777" w:rsidR="002B55D9" w:rsidRDefault="002B55D9" w:rsidP="00674464">
      <w:pPr>
        <w:pStyle w:val="ListBullet"/>
      </w:pPr>
      <w:r>
        <w:t>who had a lapse</w:t>
      </w:r>
      <w:r>
        <w:rPr>
          <w:rStyle w:val="FootnoteReference"/>
        </w:rPr>
        <w:footnoteReference w:id="26"/>
      </w:r>
      <w:r>
        <w:t xml:space="preserve"> in treatment with </w:t>
      </w:r>
      <w:proofErr w:type="spellStart"/>
      <w:r>
        <w:t>aripiprazole</w:t>
      </w:r>
      <w:proofErr w:type="spellEnd"/>
      <w:r>
        <w:t xml:space="preserve"> or other antipsychotic treatment prior to trial entry</w:t>
      </w:r>
      <w:r w:rsidRPr="00F95E6B">
        <w:t>, or</w:t>
      </w:r>
    </w:p>
    <w:p w14:paraId="24A3305E" w14:textId="77777777" w:rsidR="002B55D9" w:rsidRDefault="002B55D9" w:rsidP="00674464">
      <w:pPr>
        <w:pStyle w:val="ListBullet"/>
      </w:pPr>
      <w:r>
        <w:t>who received recent treatment with an approved IM depot formulation of an antipsychotic</w:t>
      </w:r>
      <w:r w:rsidRPr="00C239E3">
        <w:t xml:space="preserve"> </w:t>
      </w:r>
      <w:r>
        <w:t>drug</w:t>
      </w:r>
      <w:r>
        <w:rPr>
          <w:rStyle w:val="FootnoteReference"/>
        </w:rPr>
        <w:footnoteReference w:id="27"/>
      </w:r>
    </w:p>
    <w:p w14:paraId="24A3305F" w14:textId="77777777" w:rsidR="002B55D9" w:rsidRDefault="002B55D9" w:rsidP="00674464">
      <w:r>
        <w:t xml:space="preserve">entered the </w:t>
      </w:r>
      <w:r w:rsidRPr="00C95331">
        <w:rPr>
          <w:b/>
        </w:rPr>
        <w:t>Oral Stabilization Phase</w:t>
      </w:r>
      <w:r>
        <w:t xml:space="preserve"> of  8 to 28 weeks during</w:t>
      </w:r>
      <w:r w:rsidRPr="00C239E3">
        <w:t xml:space="preserve"> </w:t>
      </w:r>
      <w:r>
        <w:t>which</w:t>
      </w:r>
      <w:r w:rsidRPr="00C239E3">
        <w:t xml:space="preserve"> </w:t>
      </w:r>
      <w:r>
        <w:t>subjects were</w:t>
      </w:r>
      <w:r w:rsidRPr="00C239E3">
        <w:t xml:space="preserve"> </w:t>
      </w:r>
      <w:r>
        <w:t>stabilized</w:t>
      </w:r>
      <w:r>
        <w:rPr>
          <w:rStyle w:val="FootnoteReference"/>
        </w:rPr>
        <w:footnoteReference w:id="28"/>
      </w:r>
      <w:r>
        <w:t xml:space="preserve"> on oral 10 to 3</w:t>
      </w:r>
      <w:r w:rsidR="002C1F46">
        <w:t>0 mg</w:t>
      </w:r>
      <w:r>
        <w:t>/day</w:t>
      </w:r>
      <w:r w:rsidRPr="00C239E3">
        <w:t xml:space="preserve"> </w:t>
      </w:r>
      <w:proofErr w:type="spellStart"/>
      <w:r>
        <w:t>aripiprazole</w:t>
      </w:r>
      <w:proofErr w:type="spellEnd"/>
      <w:r>
        <w:t>.</w:t>
      </w:r>
    </w:p>
    <w:p w14:paraId="24A33060" w14:textId="0F77152D" w:rsidR="002B55D9" w:rsidRDefault="002B55D9" w:rsidP="00674464">
      <w:r>
        <w:t xml:space="preserve">Subjects in the </w:t>
      </w:r>
      <w:r w:rsidRPr="00C95331">
        <w:rPr>
          <w:b/>
        </w:rPr>
        <w:t>38-week Double-blind, Active-controlled Phase</w:t>
      </w:r>
      <w:r>
        <w:t xml:space="preserve"> were randomly assigned in a 2:2:1 ratio to one of 3 treatment groups, strati</w:t>
      </w:r>
      <w:r w:rsidR="00674464">
        <w:t>fied by region (US and non-US):</w:t>
      </w:r>
    </w:p>
    <w:p w14:paraId="24A33061" w14:textId="77777777" w:rsidR="002B55D9" w:rsidRDefault="002B55D9" w:rsidP="0044465B">
      <w:pPr>
        <w:pStyle w:val="Numberbullet0"/>
        <w:numPr>
          <w:ilvl w:val="0"/>
          <w:numId w:val="16"/>
        </w:numPr>
      </w:pPr>
      <w:proofErr w:type="spellStart"/>
      <w:r>
        <w:t>Aripiprazole</w:t>
      </w:r>
      <w:proofErr w:type="spellEnd"/>
      <w:r>
        <w:t xml:space="preserve"> IM depot 40</w:t>
      </w:r>
      <w:r w:rsidR="002C1F46">
        <w:t>0 mg</w:t>
      </w:r>
      <w:r>
        <w:t>/28d</w:t>
      </w:r>
      <w:r w:rsidR="00CD7D4B">
        <w:t xml:space="preserve"> </w:t>
      </w:r>
      <w:proofErr w:type="spellStart"/>
      <w:r>
        <w:t>ays</w:t>
      </w:r>
      <w:proofErr w:type="spellEnd"/>
      <w:r>
        <w:t xml:space="preserve"> (with a possible once only decrease to 30</w:t>
      </w:r>
      <w:r w:rsidR="002C1F46">
        <w:t>0 mg</w:t>
      </w:r>
      <w:r>
        <w:t xml:space="preserve"> and a once only return to 40</w:t>
      </w:r>
      <w:r w:rsidR="002C1F46">
        <w:t>0 mg</w:t>
      </w:r>
      <w:r>
        <w:t>) was given with oral 10 to 2</w:t>
      </w:r>
      <w:r w:rsidR="002C1F46">
        <w:t>0 mg</w:t>
      </w:r>
      <w:r w:rsidRPr="00C44355">
        <w:t xml:space="preserve"> </w:t>
      </w:r>
      <w:proofErr w:type="spellStart"/>
      <w:r>
        <w:t>aripiprazole</w:t>
      </w:r>
      <w:proofErr w:type="spellEnd"/>
      <w:r>
        <w:t xml:space="preserve"> for the first 14 days then </w:t>
      </w:r>
      <w:r w:rsidRPr="00C44355">
        <w:t>oral matching placebo</w:t>
      </w:r>
    </w:p>
    <w:p w14:paraId="24A33062" w14:textId="77777777" w:rsidR="002B55D9" w:rsidRDefault="002B55D9" w:rsidP="0044465B">
      <w:pPr>
        <w:pStyle w:val="Numberbullet0"/>
        <w:numPr>
          <w:ilvl w:val="0"/>
          <w:numId w:val="16"/>
        </w:numPr>
      </w:pPr>
      <w:r>
        <w:t xml:space="preserve">The stabilization dose of oral </w:t>
      </w:r>
      <w:proofErr w:type="spellStart"/>
      <w:r>
        <w:t>aripiprazole</w:t>
      </w:r>
      <w:proofErr w:type="spellEnd"/>
      <w:r>
        <w:t xml:space="preserve"> (with a possible once only decrease or increase in dose and a once only return) with a randomised IM depot of 50 or 40</w:t>
      </w:r>
      <w:r w:rsidR="002C1F46">
        <w:t>0 mg</w:t>
      </w:r>
      <w:r w:rsidRPr="00D20248">
        <w:t xml:space="preserve"> </w:t>
      </w:r>
      <w:r>
        <w:t>placebo.</w:t>
      </w:r>
    </w:p>
    <w:p w14:paraId="24A33063" w14:textId="77777777" w:rsidR="002B55D9" w:rsidRDefault="002B55D9" w:rsidP="0044465B">
      <w:pPr>
        <w:pStyle w:val="Numberbullet0"/>
        <w:numPr>
          <w:ilvl w:val="0"/>
          <w:numId w:val="16"/>
        </w:numPr>
      </w:pPr>
      <w:proofErr w:type="spellStart"/>
      <w:r>
        <w:t>Aripiprazole</w:t>
      </w:r>
      <w:proofErr w:type="spellEnd"/>
      <w:r>
        <w:t xml:space="preserve"> IM depot 5</w:t>
      </w:r>
      <w:r w:rsidR="002C1F46">
        <w:t>0 mg</w:t>
      </w:r>
      <w:r>
        <w:rPr>
          <w:rStyle w:val="FootnoteReference"/>
        </w:rPr>
        <w:footnoteReference w:id="29"/>
      </w:r>
      <w:r>
        <w:t>/28days (with a possible once only decrease to 25mg and a once only return to 5</w:t>
      </w:r>
      <w:r w:rsidR="002C1F46">
        <w:t>0 mg</w:t>
      </w:r>
      <w:r>
        <w:t>) was given with oral 10 to 2</w:t>
      </w:r>
      <w:r w:rsidR="002C1F46">
        <w:t>0 mg</w:t>
      </w:r>
      <w:r w:rsidRPr="00C44355">
        <w:t xml:space="preserve"> </w:t>
      </w:r>
      <w:proofErr w:type="spellStart"/>
      <w:r>
        <w:t>aripiprazole</w:t>
      </w:r>
      <w:proofErr w:type="spellEnd"/>
      <w:r>
        <w:t xml:space="preserve"> </w:t>
      </w:r>
      <w:r w:rsidRPr="00C44355">
        <w:t>for the first 14 days then oral matching placebo</w:t>
      </w:r>
      <w:r>
        <w:t>.</w:t>
      </w:r>
    </w:p>
    <w:p w14:paraId="24A33064" w14:textId="77777777" w:rsidR="002B55D9" w:rsidRDefault="002B55D9" w:rsidP="0044465B">
      <w:pPr>
        <w:pStyle w:val="Heading6"/>
      </w:pPr>
      <w:r w:rsidRPr="004B259C">
        <w:t>Inclusion</w:t>
      </w:r>
      <w:r w:rsidRPr="006643F0">
        <w:t xml:space="preserve"> </w:t>
      </w:r>
      <w:r w:rsidRPr="004B259C">
        <w:t>criteria</w:t>
      </w:r>
    </w:p>
    <w:p w14:paraId="24A33065" w14:textId="77777777" w:rsidR="002B55D9" w:rsidRDefault="002B55D9" w:rsidP="0044465B">
      <w:r>
        <w:t>Included:</w:t>
      </w:r>
    </w:p>
    <w:p w14:paraId="24A33066" w14:textId="77777777" w:rsidR="002B55D9" w:rsidRDefault="002B55D9" w:rsidP="0044465B">
      <w:pPr>
        <w:pStyle w:val="ListBullet"/>
      </w:pPr>
      <w:r>
        <w:t>A current diagnosis of schizophrenia and a history of the illness for at least 3 years prior to screening, who required chronic treatment with antipsychotic medication.</w:t>
      </w:r>
    </w:p>
    <w:p w14:paraId="24A33067" w14:textId="77777777" w:rsidR="002B55D9" w:rsidRDefault="002B55D9" w:rsidP="00142469">
      <w:pPr>
        <w:pStyle w:val="ListBullet"/>
      </w:pPr>
      <w:r w:rsidRPr="006643F0">
        <w:t>Currently being treated with oral or depot antipsychotics other than clozapine</w:t>
      </w:r>
      <w:r>
        <w:t xml:space="preserve"> with a history of relapse and/or exacerbation of symptoms when not receiving antipsychotic treatment.</w:t>
      </w:r>
    </w:p>
    <w:p w14:paraId="24A33068" w14:textId="77777777" w:rsidR="002B55D9" w:rsidRDefault="002B55D9" w:rsidP="00142469">
      <w:pPr>
        <w:pStyle w:val="ListBullet"/>
      </w:pPr>
      <w:r>
        <w:lastRenderedPageBreak/>
        <w:t>Showed previous response to antipsychotic treatment (other than clozapine) in the year prior to the trial.</w:t>
      </w:r>
    </w:p>
    <w:p w14:paraId="24A33069" w14:textId="77777777" w:rsidR="002B55D9" w:rsidRDefault="002B55D9" w:rsidP="00142469">
      <w:pPr>
        <w:pStyle w:val="ListBullet"/>
      </w:pPr>
      <w:r w:rsidRPr="006643F0">
        <w:t>No more than one benzodiazepine beyond screening</w:t>
      </w:r>
      <w:r>
        <w:t>.</w:t>
      </w:r>
    </w:p>
    <w:p w14:paraId="24A3306A" w14:textId="77777777" w:rsidR="002B55D9" w:rsidRDefault="002B55D9" w:rsidP="00142469">
      <w:pPr>
        <w:pStyle w:val="ListBullet"/>
      </w:pPr>
      <w:r w:rsidRPr="006643F0">
        <w:t>Adequate washout of prohibited concomitant medications</w:t>
      </w:r>
      <w:r>
        <w:t>.</w:t>
      </w:r>
    </w:p>
    <w:p w14:paraId="24A3306B" w14:textId="77777777" w:rsidR="002B55D9" w:rsidRDefault="002B55D9" w:rsidP="00142469">
      <w:pPr>
        <w:pStyle w:val="Heading6"/>
      </w:pPr>
      <w:r w:rsidRPr="004B259C">
        <w:t>Exclusion criteria</w:t>
      </w:r>
    </w:p>
    <w:p w14:paraId="24A3306C" w14:textId="16F10A89" w:rsidR="002B55D9" w:rsidRDefault="002B55D9" w:rsidP="002B55D9">
      <w:r>
        <w:t>Included:</w:t>
      </w:r>
    </w:p>
    <w:p w14:paraId="24A3306D" w14:textId="77777777" w:rsidR="002B55D9" w:rsidRPr="0044465B" w:rsidRDefault="002B55D9" w:rsidP="0044465B">
      <w:pPr>
        <w:pStyle w:val="ListBullet"/>
      </w:pPr>
      <w:r w:rsidRPr="0044465B">
        <w:t>Schizoaffective disorder, major depressive disorder, bipolar disorder, delirium, dementia, amnestic or other cognitive disorders. Also, subjects with borderline, paranoid, histrionic, schizotypal, schizoid, or antisocial personality disorder.</w:t>
      </w:r>
    </w:p>
    <w:p w14:paraId="24A3306E" w14:textId="77777777" w:rsidR="002B55D9" w:rsidRPr="0044465B" w:rsidRDefault="002B55D9" w:rsidP="0044465B">
      <w:pPr>
        <w:pStyle w:val="ListBullet"/>
      </w:pPr>
      <w:r w:rsidRPr="0044465B">
        <w:t>Acute depressive symptoms within the 30 days prior to screening.</w:t>
      </w:r>
    </w:p>
    <w:p w14:paraId="24A3306F" w14:textId="77777777" w:rsidR="002B55D9" w:rsidRPr="0044465B" w:rsidRDefault="002B55D9" w:rsidP="0044465B">
      <w:pPr>
        <w:pStyle w:val="ListBullet"/>
      </w:pPr>
      <w:r w:rsidRPr="0044465B">
        <w:t>Schizophrenia that was considered resistant/refractory to antipsychotic treatment.</w:t>
      </w:r>
    </w:p>
    <w:p w14:paraId="24A33070" w14:textId="77777777" w:rsidR="002B55D9" w:rsidRPr="0044465B" w:rsidRDefault="002B55D9" w:rsidP="0044465B">
      <w:pPr>
        <w:pStyle w:val="ListBullet"/>
      </w:pPr>
      <w:r w:rsidRPr="0044465B">
        <w:t>History of failure to clozapine treatment or response to clozapine treatment only.</w:t>
      </w:r>
    </w:p>
    <w:p w14:paraId="24A33071" w14:textId="77777777" w:rsidR="002B55D9" w:rsidRPr="0044465B" w:rsidRDefault="002B55D9" w:rsidP="0044465B">
      <w:pPr>
        <w:pStyle w:val="ListBullet"/>
      </w:pPr>
      <w:r w:rsidRPr="0044465B">
        <w:t>A significant risk of violent behaviour or a significant risk of committing suicide.</w:t>
      </w:r>
    </w:p>
    <w:p w14:paraId="24A33072" w14:textId="77777777" w:rsidR="002B55D9" w:rsidRPr="0044465B" w:rsidRDefault="002B55D9" w:rsidP="0044465B">
      <w:pPr>
        <w:pStyle w:val="ListBullet"/>
      </w:pPr>
      <w:r w:rsidRPr="0044465B">
        <w:t>Known hypothyroidism or hyperthyroidism.</w:t>
      </w:r>
    </w:p>
    <w:p w14:paraId="24A33073" w14:textId="77777777" w:rsidR="002B55D9" w:rsidRPr="0044465B" w:rsidRDefault="002B55D9" w:rsidP="0044465B">
      <w:pPr>
        <w:pStyle w:val="ListBullet"/>
      </w:pPr>
      <w:r w:rsidRPr="0044465B">
        <w:t>Epilepsy or a history of seizures, except for a single childhood febrile seizure, post traumatic, alcohol withdrawal, etc.</w:t>
      </w:r>
    </w:p>
    <w:p w14:paraId="24A33074" w14:textId="77777777" w:rsidR="002B55D9" w:rsidRPr="0044465B" w:rsidRDefault="002B55D9" w:rsidP="0044465B">
      <w:pPr>
        <w:pStyle w:val="ListBullet"/>
      </w:pPr>
      <w:r w:rsidRPr="0044465B">
        <w:t>A history of hypersensitivity to antipsychotic agents.</w:t>
      </w:r>
    </w:p>
    <w:p w14:paraId="24A33075" w14:textId="77777777" w:rsidR="002B55D9" w:rsidRPr="0044465B" w:rsidRDefault="002B55D9" w:rsidP="0044465B">
      <w:pPr>
        <w:pStyle w:val="ListBullet"/>
      </w:pPr>
      <w:r w:rsidRPr="0044465B">
        <w:t>Likely to have required prohibited concomitant therapy during the trial.</w:t>
      </w:r>
    </w:p>
    <w:p w14:paraId="24A33076" w14:textId="77777777" w:rsidR="002B55D9" w:rsidRPr="0044465B" w:rsidRDefault="002B55D9" w:rsidP="0044465B">
      <w:pPr>
        <w:pStyle w:val="ListBullet"/>
      </w:pPr>
      <w:r w:rsidRPr="0044465B">
        <w:t>Receiving CYP2D6 or CYP3A4 inhibitors or CYP3A4 inducers at screening or anticipating use of such agents during the trial.</w:t>
      </w:r>
    </w:p>
    <w:p w14:paraId="24A33077" w14:textId="77777777" w:rsidR="002B55D9" w:rsidRPr="004B259C" w:rsidRDefault="002B55D9" w:rsidP="0044465B">
      <w:pPr>
        <w:pStyle w:val="Heading6"/>
      </w:pPr>
      <w:r w:rsidRPr="004B259C">
        <w:t>Efficacy variables and outcomes</w:t>
      </w:r>
    </w:p>
    <w:p w14:paraId="24A33078" w14:textId="77777777" w:rsidR="002B55D9" w:rsidRDefault="002B55D9" w:rsidP="0044465B">
      <w:r>
        <w:t xml:space="preserve">The </w:t>
      </w:r>
      <w:r w:rsidRPr="00ED741B">
        <w:rPr>
          <w:b/>
        </w:rPr>
        <w:t>primary efficacy endpoint</w:t>
      </w:r>
      <w:r>
        <w:t xml:space="preserve"> was the proportion of subjects experiencing impending relapse</w:t>
      </w:r>
      <w:r>
        <w:rPr>
          <w:rStyle w:val="FootnoteReference"/>
        </w:rPr>
        <w:footnoteReference w:id="30"/>
      </w:r>
      <w:r>
        <w:t xml:space="preserve"> by end of 26 weeks from the date of randomization in the Double-blind, Active-controlled Phase.</w:t>
      </w:r>
    </w:p>
    <w:p w14:paraId="24A33079" w14:textId="77777777" w:rsidR="002B55D9" w:rsidRDefault="002B55D9" w:rsidP="0044465B">
      <w:r w:rsidRPr="009A783B">
        <w:rPr>
          <w:b/>
        </w:rPr>
        <w:t>Comment:</w:t>
      </w:r>
      <w:r>
        <w:t xml:space="preserve"> Almost 3 years after the start of the trial (14 July 2011)</w:t>
      </w:r>
      <w:r w:rsidRPr="009A783B">
        <w:t xml:space="preserve"> </w:t>
      </w:r>
      <w:r>
        <w:t xml:space="preserve">the primary efficacy endpoint was changed from </w:t>
      </w:r>
      <w:r w:rsidR="00D43EBA">
        <w:t>‘</w:t>
      </w:r>
      <w:r>
        <w:t xml:space="preserve">time from randomization to exacerbation of psychotic symptoms/impending relapse in </w:t>
      </w:r>
      <w:r w:rsidR="00485910">
        <w:t>Phase III</w:t>
      </w:r>
      <w:r w:rsidR="00D43EBA">
        <w:t>’</w:t>
      </w:r>
      <w:r>
        <w:t xml:space="preserve"> to </w:t>
      </w:r>
      <w:r w:rsidR="00D43EBA">
        <w:t>‘</w:t>
      </w:r>
      <w:r>
        <w:t xml:space="preserve">the proportion of subjects experiencing exacerbation of psychotic symptoms/impending relapse by end of 26 weeks of treatment from </w:t>
      </w:r>
      <w:r>
        <w:lastRenderedPageBreak/>
        <w:t xml:space="preserve">the date of randomization in </w:t>
      </w:r>
      <w:r w:rsidR="00485910">
        <w:t>Phase III</w:t>
      </w:r>
      <w:r>
        <w:t xml:space="preserve">, in schizophrenic subjects who have maintained stability on oral </w:t>
      </w:r>
      <w:proofErr w:type="spellStart"/>
      <w:r>
        <w:t>aripiprazole</w:t>
      </w:r>
      <w:proofErr w:type="spellEnd"/>
      <w:r>
        <w:t xml:space="preserve"> for at least 8 consecutive weeks in </w:t>
      </w:r>
      <w:r w:rsidR="00485910">
        <w:t>Phase II</w:t>
      </w:r>
      <w:r>
        <w:t xml:space="preserve"> of the study.</w:t>
      </w:r>
      <w:r w:rsidR="00D43EBA">
        <w:t>’</w:t>
      </w:r>
      <w:r>
        <w:t xml:space="preserve"> Statistical analysis was also changed.</w:t>
      </w:r>
    </w:p>
    <w:p w14:paraId="24A3307A" w14:textId="77777777" w:rsidR="002B55D9" w:rsidRDefault="002B55D9" w:rsidP="0044465B">
      <w:r>
        <w:t xml:space="preserve">The </w:t>
      </w:r>
      <w:r w:rsidRPr="00ED741B">
        <w:rPr>
          <w:b/>
        </w:rPr>
        <w:t>secondary efficacy endpoints</w:t>
      </w:r>
      <w:r>
        <w:t xml:space="preserve"> for the Double-blind, Active-controlled Phase included:</w:t>
      </w:r>
    </w:p>
    <w:p w14:paraId="24A3307B" w14:textId="77777777" w:rsidR="002B55D9" w:rsidRDefault="002B55D9" w:rsidP="00161C79">
      <w:pPr>
        <w:pStyle w:val="ListBullet"/>
      </w:pPr>
      <w:r>
        <w:t>Time to impending relapse</w:t>
      </w:r>
      <w:r>
        <w:rPr>
          <w:rStyle w:val="FootnoteReference"/>
        </w:rPr>
        <w:footnoteReference w:id="31"/>
      </w:r>
      <w:r w:rsidRPr="00A93B78">
        <w:t xml:space="preserve"> </w:t>
      </w:r>
      <w:r>
        <w:t>from the date of randomization in the Double-blind, Active-controlled</w:t>
      </w:r>
      <w:r w:rsidRPr="00A93B78">
        <w:t xml:space="preserve"> </w:t>
      </w:r>
      <w:r>
        <w:t xml:space="preserve">Phase </w:t>
      </w:r>
      <w:r w:rsidRPr="009A783B">
        <w:rPr>
          <w:b/>
        </w:rPr>
        <w:t>(</w:t>
      </w:r>
      <w:r w:rsidRPr="009A783B">
        <w:rPr>
          <w:b/>
          <w:i/>
        </w:rPr>
        <w:t>this was the original primary endpoint</w:t>
      </w:r>
      <w:r>
        <w:rPr>
          <w:i/>
        </w:rPr>
        <w:t>).</w:t>
      </w:r>
    </w:p>
    <w:p w14:paraId="24A3307C" w14:textId="77777777" w:rsidR="002B55D9" w:rsidRDefault="002B55D9" w:rsidP="00161C79">
      <w:pPr>
        <w:pStyle w:val="ListBullet"/>
      </w:pPr>
      <w:r>
        <w:t>Percentage of responders</w:t>
      </w:r>
      <w:r>
        <w:rPr>
          <w:rStyle w:val="FootnoteReference"/>
        </w:rPr>
        <w:footnoteReference w:id="32"/>
      </w:r>
      <w:r w:rsidRPr="00A93B78">
        <w:t xml:space="preserve"> </w:t>
      </w:r>
      <w:r>
        <w:t>at endpoint in the Double-blind, Active-controlled Phase.</w:t>
      </w:r>
    </w:p>
    <w:p w14:paraId="24A3307D" w14:textId="116CA632" w:rsidR="002B55D9" w:rsidRDefault="002B55D9" w:rsidP="00161C79">
      <w:pPr>
        <w:pStyle w:val="ListBullet"/>
      </w:pPr>
      <w:r>
        <w:t>Percentage of subjects achieving remission.</w:t>
      </w:r>
      <w:r>
        <w:rPr>
          <w:rStyle w:val="FootnoteReference"/>
        </w:rPr>
        <w:footnoteReference w:id="33"/>
      </w:r>
    </w:p>
    <w:p w14:paraId="24A3307E" w14:textId="77777777" w:rsidR="002B55D9" w:rsidRDefault="002B55D9" w:rsidP="00161C79">
      <w:r>
        <w:t>The endpoint for secondary variables was considered to be the measurement up to Week 38.</w:t>
      </w:r>
    </w:p>
    <w:p w14:paraId="24A3307F" w14:textId="77777777" w:rsidR="002B55D9" w:rsidRDefault="002B55D9" w:rsidP="00161C79">
      <w:r>
        <w:t>Other efficacy endpoints evaluated for the Double-blind, Active-controlled Phase included:</w:t>
      </w:r>
    </w:p>
    <w:p w14:paraId="24A33080" w14:textId="77777777" w:rsidR="002B55D9" w:rsidRDefault="002B55D9" w:rsidP="00161C79">
      <w:pPr>
        <w:pStyle w:val="ListBullet"/>
      </w:pPr>
      <w:r>
        <w:t>Mean change from baseline to endpoint in PANSS total score.</w:t>
      </w:r>
    </w:p>
    <w:p w14:paraId="24A33081" w14:textId="77777777" w:rsidR="002B55D9" w:rsidRDefault="002B55D9" w:rsidP="00161C79">
      <w:pPr>
        <w:pStyle w:val="ListBullet"/>
      </w:pPr>
      <w:r>
        <w:t>Mean change from baseline to endpoint in Clinical Global Impression of Severity (CGI-S).</w:t>
      </w:r>
    </w:p>
    <w:p w14:paraId="24A33082" w14:textId="77777777" w:rsidR="002B55D9" w:rsidRDefault="002B55D9" w:rsidP="00161C79">
      <w:pPr>
        <w:pStyle w:val="ListBullet"/>
      </w:pPr>
      <w:r>
        <w:t>Mean change from baseline to endpoint in PANSS positive and negative subscales.</w:t>
      </w:r>
    </w:p>
    <w:p w14:paraId="24A33083" w14:textId="77777777" w:rsidR="002B55D9" w:rsidRDefault="002B55D9" w:rsidP="00161C79">
      <w:pPr>
        <w:pStyle w:val="ListBullet"/>
      </w:pPr>
      <w:r>
        <w:t>Mean CGI-I score at endpoint.</w:t>
      </w:r>
    </w:p>
    <w:p w14:paraId="24A33084" w14:textId="77777777" w:rsidR="002B55D9" w:rsidRDefault="002B55D9" w:rsidP="00161C79">
      <w:pPr>
        <w:pStyle w:val="ListBullet"/>
      </w:pPr>
      <w:r>
        <w:t>Time to discontinuation due to all causes.</w:t>
      </w:r>
    </w:p>
    <w:p w14:paraId="24A33085" w14:textId="77777777" w:rsidR="002B55D9" w:rsidRDefault="002B55D9" w:rsidP="00161C79">
      <w:pPr>
        <w:pStyle w:val="Heading6"/>
      </w:pPr>
      <w:r>
        <w:t>Analysis populations</w:t>
      </w:r>
    </w:p>
    <w:p w14:paraId="24A33086" w14:textId="77777777" w:rsidR="002B55D9" w:rsidRDefault="002B55D9" w:rsidP="00161C79">
      <w:r w:rsidRPr="00CA48B9">
        <w:rPr>
          <w:b/>
        </w:rPr>
        <w:t>Enrolled Sample</w:t>
      </w:r>
      <w:r>
        <w:t>: All subjects who signed an ICF for the trial and entered the Conversion Phase or the Oral Stabilization Phase.</w:t>
      </w:r>
    </w:p>
    <w:p w14:paraId="24A33087" w14:textId="77777777" w:rsidR="002B55D9" w:rsidRDefault="002B55D9" w:rsidP="00161C79">
      <w:r w:rsidRPr="00CA48B9">
        <w:rPr>
          <w:b/>
        </w:rPr>
        <w:t>Conversion Phase Safety Sample</w:t>
      </w:r>
      <w:r>
        <w:t xml:space="preserve">: All subjects who received at least one dose of oral </w:t>
      </w:r>
      <w:proofErr w:type="spellStart"/>
      <w:r>
        <w:t>aripiprazole</w:t>
      </w:r>
      <w:proofErr w:type="spellEnd"/>
      <w:r>
        <w:t xml:space="preserve"> in the Conversion Phase of the trial.</w:t>
      </w:r>
    </w:p>
    <w:p w14:paraId="24A33088" w14:textId="77777777" w:rsidR="002B55D9" w:rsidRDefault="002B55D9" w:rsidP="00161C79">
      <w:r w:rsidRPr="00CA48B9">
        <w:rPr>
          <w:b/>
        </w:rPr>
        <w:t>Oral Stabilization Phase Safety Sample</w:t>
      </w:r>
      <w:r>
        <w:t xml:space="preserve">: All subjects who received at least one dose of oral </w:t>
      </w:r>
      <w:proofErr w:type="spellStart"/>
      <w:r>
        <w:t>aripiprazole</w:t>
      </w:r>
      <w:proofErr w:type="spellEnd"/>
      <w:r>
        <w:t xml:space="preserve"> in the Oral Stabilization Phase of the trial.</w:t>
      </w:r>
    </w:p>
    <w:p w14:paraId="24A33089" w14:textId="77777777" w:rsidR="002B55D9" w:rsidRDefault="002B55D9" w:rsidP="00161C79">
      <w:r w:rsidRPr="00CA48B9">
        <w:rPr>
          <w:b/>
        </w:rPr>
        <w:t>Oral Stabilization Phase Efficacy Sample</w:t>
      </w:r>
      <w:r>
        <w:t>: All subjects who entered the Oral Stabilization Phase (</w:t>
      </w:r>
      <w:r w:rsidR="00BF2105">
        <w:t xml:space="preserve">that is, </w:t>
      </w:r>
      <w:r>
        <w:t xml:space="preserve">received at least one dose of oral </w:t>
      </w:r>
      <w:proofErr w:type="spellStart"/>
      <w:r>
        <w:t>aripiprazole</w:t>
      </w:r>
      <w:proofErr w:type="spellEnd"/>
      <w:r>
        <w:t xml:space="preserve"> in the Oral Stabilization Phase) and had at least one post-baseline efficacy evaluation in the Oral Stabilization Phase.</w:t>
      </w:r>
    </w:p>
    <w:p w14:paraId="24A3308A" w14:textId="77777777" w:rsidR="002B55D9" w:rsidRDefault="002B55D9" w:rsidP="00161C79">
      <w:r w:rsidRPr="00CA48B9">
        <w:rPr>
          <w:b/>
        </w:rPr>
        <w:t>Double-blind, Active-controlled Phase Safety Sample:</w:t>
      </w:r>
      <w:r>
        <w:t xml:space="preserve"> All subjects who were randomized to double-blind treatment and received at least one dose of double-blind trial medication in the Double-blind, Active-controlled Phase.</w:t>
      </w:r>
    </w:p>
    <w:p w14:paraId="24A3308B" w14:textId="77777777" w:rsidR="002B55D9" w:rsidRPr="004B259C" w:rsidDel="0081373E" w:rsidRDefault="002B55D9" w:rsidP="00161C79">
      <w:r w:rsidRPr="00CA48B9">
        <w:rPr>
          <w:b/>
        </w:rPr>
        <w:t>Double-blind, Active-controlled Phase Efficacy Sample:</w:t>
      </w:r>
      <w:r>
        <w:t xml:space="preserve"> The Intent-to-Treat (ITT) dataset was composed of all subjects randomized to the double-blind treatment.</w:t>
      </w:r>
    </w:p>
    <w:p w14:paraId="24A3308C" w14:textId="77777777" w:rsidR="002B55D9" w:rsidRPr="004B259C" w:rsidDel="0081373E" w:rsidRDefault="002B55D9" w:rsidP="00161C79">
      <w:pPr>
        <w:pStyle w:val="Heading6"/>
      </w:pPr>
      <w:r w:rsidRPr="004B259C" w:rsidDel="0081373E">
        <w:t>Sample size</w:t>
      </w:r>
    </w:p>
    <w:p w14:paraId="24A3308D" w14:textId="218F06D8" w:rsidR="002B55D9" w:rsidRPr="00142469" w:rsidRDefault="002B55D9" w:rsidP="00161C79">
      <w:pPr>
        <w:ind w:left="284"/>
      </w:pPr>
      <w:r w:rsidRPr="00142469">
        <w:t>Comment: These calculations changed from the original with protocol amendment of the primary endpoint midway th</w:t>
      </w:r>
      <w:r w:rsidR="000B39DE">
        <w:t>rough the study (14 July 2011).</w:t>
      </w:r>
    </w:p>
    <w:p w14:paraId="24A3308E" w14:textId="16A4AF05" w:rsidR="002B55D9" w:rsidRDefault="002B55D9" w:rsidP="00161C79">
      <w:r>
        <w:t xml:space="preserve">The sample sizes were estimated to achieve about 93% power for the primary non-inferiority comparison at the 0.05 significance level (2-sided) using large sample normal approximations for the distribution of the difference in binomial proportions. The assumed population proportion of impending relapse at or before Week 26 (Day 182) for the oral </w:t>
      </w:r>
      <w:proofErr w:type="spellStart"/>
      <w:r>
        <w:t>aripiprazole</w:t>
      </w:r>
      <w:proofErr w:type="spellEnd"/>
      <w:r>
        <w:t xml:space="preserve"> (10 to 3</w:t>
      </w:r>
      <w:r w:rsidR="002C1F46">
        <w:t>0 mg</w:t>
      </w:r>
      <w:r>
        <w:t xml:space="preserve">) was 18%, and the predefined </w:t>
      </w:r>
      <w:r w:rsidRPr="00CA48B9">
        <w:rPr>
          <w:b/>
        </w:rPr>
        <w:t>non-inferiority margin</w:t>
      </w:r>
      <w:r>
        <w:t xml:space="preserve"> was 11.5%. The resulting sample </w:t>
      </w:r>
      <w:r>
        <w:lastRenderedPageBreak/>
        <w:t xml:space="preserve">size was projected to be </w:t>
      </w:r>
      <w:r w:rsidRPr="00CA48B9">
        <w:rPr>
          <w:b/>
        </w:rPr>
        <w:t>260 subjects per arm</w:t>
      </w:r>
      <w:r>
        <w:t xml:space="preserve"> for the IM depot 400/30</w:t>
      </w:r>
      <w:r w:rsidR="002C1F46">
        <w:t>0 mg</w:t>
      </w:r>
      <w:r>
        <w:t xml:space="preserve"> and oral </w:t>
      </w:r>
      <w:proofErr w:type="spellStart"/>
      <w:r>
        <w:t>aripiprazole</w:t>
      </w:r>
      <w:proofErr w:type="spellEnd"/>
      <w:r>
        <w:t xml:space="preserve"> 10 to 3</w:t>
      </w:r>
      <w:r w:rsidR="002C1F46">
        <w:t>0 mg</w:t>
      </w:r>
      <w:r w:rsidR="000B39DE">
        <w:t xml:space="preserve"> arms.</w:t>
      </w:r>
    </w:p>
    <w:p w14:paraId="24A3308F" w14:textId="77777777" w:rsidR="002B55D9" w:rsidRDefault="002B55D9" w:rsidP="00161C79">
      <w:r>
        <w:t xml:space="preserve">The data from a previous trial (CN138-047)56 which compared time to relapse for oral </w:t>
      </w:r>
      <w:proofErr w:type="spellStart"/>
      <w:r>
        <w:t>aripiprazole</w:t>
      </w:r>
      <w:proofErr w:type="spellEnd"/>
      <w:r>
        <w:t xml:space="preserve"> to placebo were taken into consideration in setting of non-inferiority margin. From this trial, the estimated relapse rates by end of Week 26 (from Kaplan-Meier estimates) were 37.4% for oral </w:t>
      </w:r>
      <w:proofErr w:type="spellStart"/>
      <w:r>
        <w:t>aripiprazole</w:t>
      </w:r>
      <w:proofErr w:type="spellEnd"/>
      <w:r>
        <w:t xml:space="preserve"> and 60.6% for placebo. The associated standard errors for these estimated relapse rates were 4.22% and 4.24% for oral </w:t>
      </w:r>
      <w:proofErr w:type="spellStart"/>
      <w:r>
        <w:t>aripiprazole</w:t>
      </w:r>
      <w:proofErr w:type="spellEnd"/>
      <w:r>
        <w:t xml:space="preserve"> and placebo, respectively. Assuming that the difference between estimated relapse rates was approximately normally distributed led to a 1-sided 97.5% lower CI of 15% for difference in relapse rate at Day 182. Given the compliance advantage of a depot formulation, the conservative 11.5% was selected as the margin in this trial.</w:t>
      </w:r>
    </w:p>
    <w:p w14:paraId="24A33090" w14:textId="2904A1F0" w:rsidR="002B55D9" w:rsidRDefault="002B55D9" w:rsidP="00161C79">
      <w:r>
        <w:t>For the superiority comparison (assay sensitivity analysis) of IM depot 400/30</w:t>
      </w:r>
      <w:r w:rsidR="002C1F46">
        <w:t>0 mg</w:t>
      </w:r>
      <w:r>
        <w:t xml:space="preserve"> to IM depot 50/25mg, on a 2:1 randomization, sample sizes of 260 and 130, respectively, were calculated to provide about 95% power at the 0.05 significance level (2-sided). A superiority margin of 17% was assumed. In total, it was estimated that 65</w:t>
      </w:r>
      <w:r w:rsidR="00161C79">
        <w:t>0 subjects would be randomized.</w:t>
      </w:r>
    </w:p>
    <w:p w14:paraId="24A33091" w14:textId="77777777" w:rsidR="002B55D9" w:rsidRPr="004B259C" w:rsidRDefault="002B55D9" w:rsidP="00161C79">
      <w:pPr>
        <w:pStyle w:val="Heading6"/>
      </w:pPr>
      <w:r w:rsidRPr="004B259C">
        <w:t>Statistical methods</w:t>
      </w:r>
    </w:p>
    <w:p w14:paraId="24A33092" w14:textId="77777777" w:rsidR="002B55D9" w:rsidRDefault="002B55D9" w:rsidP="00161C79">
      <w:r>
        <w:t>Both the primary endpoint and the non-inferiority margin were changed mid trial (14 July 2011).</w:t>
      </w:r>
    </w:p>
    <w:p w14:paraId="24A33093" w14:textId="77777777" w:rsidR="002B55D9" w:rsidRDefault="002B55D9" w:rsidP="00161C79">
      <w:r w:rsidRPr="00CA48B9">
        <w:t xml:space="preserve">Based on the ITT Population, </w:t>
      </w:r>
      <w:r>
        <w:t xml:space="preserve">the test of non-inferiority of </w:t>
      </w:r>
      <w:proofErr w:type="spellStart"/>
      <w:r>
        <w:t>aripiprazole</w:t>
      </w:r>
      <w:proofErr w:type="spellEnd"/>
      <w:r>
        <w:t xml:space="preserve"> IM depot (400/30</w:t>
      </w:r>
      <w:r w:rsidR="002C1F46">
        <w:t>0 mg</w:t>
      </w:r>
      <w:r>
        <w:t xml:space="preserve">) to oral </w:t>
      </w:r>
      <w:proofErr w:type="spellStart"/>
      <w:r>
        <w:t>aripiprazole</w:t>
      </w:r>
      <w:proofErr w:type="spellEnd"/>
      <w:r>
        <w:t xml:space="preserve"> (10 to 3</w:t>
      </w:r>
      <w:r w:rsidR="002C1F46">
        <w:t>0 mg</w:t>
      </w:r>
      <w:r>
        <w:t>) was performed using a 95% CI (2-sided) for the difference in the estimated proportion of impending relapse (</w:t>
      </w:r>
      <w:proofErr w:type="spellStart"/>
      <w:r>
        <w:t>aripiprazole</w:t>
      </w:r>
      <w:proofErr w:type="spellEnd"/>
      <w:r>
        <w:t xml:space="preserve"> IM depot 400/30</w:t>
      </w:r>
      <w:r w:rsidR="002C1F46">
        <w:t>0 mg</w:t>
      </w:r>
      <w:r>
        <w:t xml:space="preserve"> </w:t>
      </w:r>
      <w:r w:rsidR="00BF2105">
        <w:t>versus</w:t>
      </w:r>
      <w:r>
        <w:t xml:space="preserve"> oral </w:t>
      </w:r>
      <w:proofErr w:type="spellStart"/>
      <w:r>
        <w:t>aripiprazole</w:t>
      </w:r>
      <w:proofErr w:type="spellEnd"/>
      <w:r>
        <w:t xml:space="preserve"> tablets 10 to 3</w:t>
      </w:r>
      <w:r w:rsidR="002C1F46">
        <w:t>0 mg</w:t>
      </w:r>
      <w:r>
        <w:t>). Non-inferiority was considered confirmed if the upper bound of the 2-sided 95% CI was below the predefined margin, 11.5%.</w:t>
      </w:r>
    </w:p>
    <w:p w14:paraId="24A33094" w14:textId="77777777" w:rsidR="002B55D9" w:rsidRDefault="002B55D9" w:rsidP="00161C79">
      <w:r>
        <w:t>To compute the CI of difference in the estimated proportion of subjects with impending relapse by end of Week 26, the proportion of subjects with impending relapse for each treatment group was computed using the Kaplan-Meier estimate at Day 182, and its SE was computed using the Greenwood formula.</w:t>
      </w:r>
    </w:p>
    <w:p w14:paraId="24A33095" w14:textId="4BE70513" w:rsidR="002B55D9" w:rsidRDefault="002B55D9" w:rsidP="00161C79">
      <w:r>
        <w:t xml:space="preserve">The 95% CI of difference in proportions of subjects with impending relapse events between </w:t>
      </w:r>
      <w:proofErr w:type="spellStart"/>
      <w:r>
        <w:t>aripiprazole</w:t>
      </w:r>
      <w:proofErr w:type="spellEnd"/>
      <w:r>
        <w:t xml:space="preserve"> IM depot 400/30</w:t>
      </w:r>
      <w:r w:rsidR="002C1F46">
        <w:t>0 mg</w:t>
      </w:r>
      <w:r>
        <w:t xml:space="preserve"> and oral </w:t>
      </w:r>
      <w:proofErr w:type="spellStart"/>
      <w:r>
        <w:t>aripiprazole</w:t>
      </w:r>
      <w:proofErr w:type="spellEnd"/>
      <w:r>
        <w:t xml:space="preserve"> were provided using the pooled SE with assumption of normali</w:t>
      </w:r>
      <w:r w:rsidR="00161C79">
        <w:t>ty of the estimated difference.</w:t>
      </w:r>
    </w:p>
    <w:p w14:paraId="24A33096" w14:textId="24E452A4" w:rsidR="002B55D9" w:rsidRDefault="002B55D9" w:rsidP="00161C79">
      <w:r>
        <w:t>Once non-inferiority was declared, superiority of IM depot 400/30</w:t>
      </w:r>
      <w:r w:rsidR="002C1F46">
        <w:t>0 mg</w:t>
      </w:r>
      <w:r>
        <w:t xml:space="preserve"> over IM depot 50/25mg was tested by examining the difference between the proportions of subjects experiencing impending relapse with IM depot 400/30</w:t>
      </w:r>
      <w:r w:rsidR="002C1F46">
        <w:t>0 mg</w:t>
      </w:r>
      <w:r>
        <w:t xml:space="preserve"> and IM depot 50/25mg by end of Week 26 using z-statistic for statistical significance at the 0.0</w:t>
      </w:r>
      <w:r w:rsidR="00161C79">
        <w:t>5 significance level (2-sided).</w:t>
      </w:r>
    </w:p>
    <w:p w14:paraId="24A33097" w14:textId="77777777" w:rsidR="002B55D9" w:rsidRDefault="002B55D9" w:rsidP="00161C79">
      <w:r>
        <w:t>The Cox Proportional Hazard model in the model was fitted to the time to impending relapse event data with treatment as factor. The 95% CIs for the hazard ratio (</w:t>
      </w:r>
      <w:proofErr w:type="spellStart"/>
      <w:r>
        <w:t>aripiprazole</w:t>
      </w:r>
      <w:proofErr w:type="spellEnd"/>
      <w:r>
        <w:t xml:space="preserve"> IM depot 400/30</w:t>
      </w:r>
      <w:r w:rsidR="002C1F46">
        <w:t>0 mg</w:t>
      </w:r>
      <w:r>
        <w:t xml:space="preserve"> to oral </w:t>
      </w:r>
      <w:proofErr w:type="spellStart"/>
      <w:r>
        <w:t>aripiprazole</w:t>
      </w:r>
      <w:proofErr w:type="spellEnd"/>
      <w:r>
        <w:t xml:space="preserve">, </w:t>
      </w:r>
      <w:proofErr w:type="spellStart"/>
      <w:r>
        <w:t>aripiprazole</w:t>
      </w:r>
      <w:proofErr w:type="spellEnd"/>
      <w:r>
        <w:t xml:space="preserve"> IM depot 400/30</w:t>
      </w:r>
      <w:r w:rsidR="002C1F46">
        <w:t>0 mg</w:t>
      </w:r>
      <w:r>
        <w:t xml:space="preserve"> to </w:t>
      </w:r>
      <w:proofErr w:type="spellStart"/>
      <w:r>
        <w:t>aripiprazole</w:t>
      </w:r>
      <w:proofErr w:type="spellEnd"/>
      <w:r>
        <w:t xml:space="preserve"> IM depot 50/25mg) were provided. In the event that times were the same, times were handled using the </w:t>
      </w:r>
      <w:r w:rsidR="00D43EBA">
        <w:t>‘</w:t>
      </w:r>
      <w:r>
        <w:t>exact</w:t>
      </w:r>
      <w:r w:rsidR="00D43EBA">
        <w:t>’</w:t>
      </w:r>
      <w:r>
        <w:t xml:space="preserve"> option in SAS PROC PHREG. The log-rank test was performed to test the equality of survival curves (</w:t>
      </w:r>
      <w:proofErr w:type="spellStart"/>
      <w:r>
        <w:t>aripiprazole</w:t>
      </w:r>
      <w:proofErr w:type="spellEnd"/>
      <w:r>
        <w:t xml:space="preserve"> IM depot 400/30</w:t>
      </w:r>
      <w:r w:rsidR="002C1F46">
        <w:t>0 mg</w:t>
      </w:r>
      <w:r>
        <w:t xml:space="preserve"> </w:t>
      </w:r>
      <w:r w:rsidR="00BF2105">
        <w:t>versus</w:t>
      </w:r>
      <w:r>
        <w:t xml:space="preserve"> </w:t>
      </w:r>
      <w:proofErr w:type="spellStart"/>
      <w:r>
        <w:t>aripiprazole</w:t>
      </w:r>
      <w:proofErr w:type="spellEnd"/>
      <w:r>
        <w:t xml:space="preserve"> IM depot 50/25mg) at the 0.05 significance level (2-sided).</w:t>
      </w:r>
    </w:p>
    <w:p w14:paraId="24A33098" w14:textId="7C4563F8" w:rsidR="002B55D9" w:rsidRDefault="002B55D9" w:rsidP="00161C79">
      <w:pPr>
        <w:pStyle w:val="TableTitle"/>
      </w:pPr>
      <w:bookmarkStart w:id="153" w:name="_Toc381104332"/>
      <w:r>
        <w:lastRenderedPageBreak/>
        <w:t xml:space="preserve">Table </w:t>
      </w:r>
      <w:r w:rsidR="00383AAD">
        <w:t>14</w:t>
      </w:r>
      <w:r w:rsidR="00142469">
        <w:rPr>
          <w:noProof/>
        </w:rPr>
        <w:t>.</w:t>
      </w:r>
      <w:r>
        <w:t xml:space="preserve"> </w:t>
      </w:r>
      <w:r w:rsidRPr="001E1989">
        <w:t xml:space="preserve">Subject </w:t>
      </w:r>
      <w:r w:rsidR="00161C79">
        <w:t>d</w:t>
      </w:r>
      <w:r w:rsidRPr="001E1989">
        <w:t>isposition (</w:t>
      </w:r>
      <w:r w:rsidR="00161C79">
        <w:t>e</w:t>
      </w:r>
      <w:r w:rsidRPr="001E1989">
        <w:t xml:space="preserve">nrolled </w:t>
      </w:r>
      <w:r w:rsidR="00161C79">
        <w:t>s</w:t>
      </w:r>
      <w:r w:rsidRPr="001E1989">
        <w:t>ample)</w:t>
      </w:r>
      <w:bookmarkEnd w:id="153"/>
    </w:p>
    <w:p w14:paraId="24A33099" w14:textId="77777777" w:rsidR="002B55D9" w:rsidRDefault="002B55D9" w:rsidP="002B55D9">
      <w:pPr>
        <w:autoSpaceDE w:val="0"/>
        <w:autoSpaceDN w:val="0"/>
        <w:adjustRightInd w:val="0"/>
      </w:pPr>
      <w:r>
        <w:rPr>
          <w:noProof/>
          <w:lang w:eastAsia="en-AU"/>
        </w:rPr>
        <w:drawing>
          <wp:inline distT="0" distB="0" distL="0" distR="0" wp14:anchorId="24A33258" wp14:editId="24A33259">
            <wp:extent cx="5350193" cy="4319207"/>
            <wp:effectExtent l="0" t="0" r="0" b="0"/>
            <wp:docPr id="175" name="Picture 3" descr="Table 14. Subject Disposition (Enrolled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5350193" cy="4319207"/>
                    </a:xfrm>
                    <a:prstGeom prst="rect">
                      <a:avLst/>
                    </a:prstGeom>
                    <a:noFill/>
                    <a:ln w="9525">
                      <a:noFill/>
                      <a:miter lim="800000"/>
                      <a:headEnd/>
                      <a:tailEnd/>
                    </a:ln>
                  </pic:spPr>
                </pic:pic>
              </a:graphicData>
            </a:graphic>
          </wp:inline>
        </w:drawing>
      </w:r>
    </w:p>
    <w:p w14:paraId="24A3309A" w14:textId="77777777" w:rsidR="002B55D9" w:rsidRPr="00B76867" w:rsidRDefault="002B55D9" w:rsidP="000B39DE">
      <w:pPr>
        <w:pStyle w:val="TableDescription"/>
      </w:pPr>
      <w:r w:rsidRPr="00B76867">
        <w:rPr>
          <w:vertAlign w:val="superscript"/>
        </w:rPr>
        <w:t>a</w:t>
      </w:r>
      <w:r w:rsidRPr="00B76867">
        <w:t xml:space="preserve"> Subjects completed the Double-blind, Active-controlled Phase Week 38 Visit. </w:t>
      </w:r>
      <w:r w:rsidR="00142469">
        <w:t xml:space="preserve"> </w:t>
      </w:r>
      <w:r w:rsidRPr="00B76867">
        <w:rPr>
          <w:vertAlign w:val="superscript"/>
        </w:rPr>
        <w:t xml:space="preserve">b </w:t>
      </w:r>
      <w:r w:rsidRPr="00B76867">
        <w:t xml:space="preserve">Subjects receiving </w:t>
      </w:r>
      <w:r>
        <w:t>≥</w:t>
      </w:r>
      <w:r w:rsidRPr="00B76867">
        <w:t xml:space="preserve"> dose of trial medication in the corresponding phase are included in the safety analysis.</w:t>
      </w:r>
      <w:r w:rsidR="00142469">
        <w:t xml:space="preserve"> </w:t>
      </w:r>
      <w:r w:rsidRPr="00B76867">
        <w:rPr>
          <w:vertAlign w:val="superscript"/>
        </w:rPr>
        <w:t xml:space="preserve">c </w:t>
      </w:r>
      <w:r w:rsidRPr="00B76867">
        <w:t xml:space="preserve">Subjects evaluated for </w:t>
      </w:r>
      <w:r>
        <w:t>≥ 1</w:t>
      </w:r>
      <w:r w:rsidRPr="00B76867">
        <w:t xml:space="preserve"> efficacy endpoint in the corresponding phase are included in the efficacy analysis.</w:t>
      </w:r>
      <w:r w:rsidR="00142469">
        <w:t xml:space="preserve"> </w:t>
      </w:r>
      <w:r w:rsidRPr="00B76867">
        <w:rPr>
          <w:vertAlign w:val="superscript"/>
        </w:rPr>
        <w:t>d</w:t>
      </w:r>
      <w:r w:rsidRPr="00B76867">
        <w:t xml:space="preserve"> Percentages are based on number of enrolled subjects in the corresponding phase; for the </w:t>
      </w:r>
      <w:r w:rsidR="00D43EBA">
        <w:t>‘</w:t>
      </w:r>
      <w:r w:rsidRPr="00B76867">
        <w:t>Total</w:t>
      </w:r>
      <w:r w:rsidR="00D43EBA">
        <w:t>’</w:t>
      </w:r>
      <w:r w:rsidRPr="00B76867">
        <w:t xml:space="preserve"> group percentages are based on number of enrolled sample in the trial period.</w:t>
      </w:r>
      <w:r w:rsidR="00142469">
        <w:t xml:space="preserve"> </w:t>
      </w:r>
      <w:r w:rsidRPr="00B76867">
        <w:rPr>
          <w:vertAlign w:val="superscript"/>
        </w:rPr>
        <w:t>e</w:t>
      </w:r>
      <w:r w:rsidRPr="00B76867">
        <w:t xml:space="preserve"> Sponsor discontinued randomization into the Double-blind, Active-controlled Phase of the trial after a sufficient number of subjects had been randomized. Subjects who were still enrolled in the Conversion Phase or Oral Stabilization Phase at that time were discontinued.</w:t>
      </w:r>
      <w:r w:rsidR="00142469">
        <w:t xml:space="preserve"> </w:t>
      </w:r>
      <w:r w:rsidRPr="00B76867">
        <w:rPr>
          <w:vertAlign w:val="superscript"/>
        </w:rPr>
        <w:t xml:space="preserve">f </w:t>
      </w:r>
      <w:r w:rsidRPr="00B76867">
        <w:t>A</w:t>
      </w:r>
      <w:r>
        <w:t xml:space="preserve">E </w:t>
      </w:r>
      <w:r w:rsidRPr="00B76867">
        <w:t xml:space="preserve">without lack of efficacy (Conversion or Oral </w:t>
      </w:r>
      <w:r w:rsidRPr="000B39DE">
        <w:t>Stabilization</w:t>
      </w:r>
      <w:r w:rsidRPr="00B76867">
        <w:t xml:space="preserve"> Phase) or impending relapse (Double-blind, Active-controlled Phase) with </w:t>
      </w:r>
      <w:r>
        <w:t>AE</w:t>
      </w:r>
      <w:r w:rsidR="00142469">
        <w:t xml:space="preserve">  </w:t>
      </w:r>
      <w:r w:rsidRPr="00B76867">
        <w:rPr>
          <w:vertAlign w:val="superscript"/>
        </w:rPr>
        <w:t xml:space="preserve">g </w:t>
      </w:r>
      <w:r w:rsidRPr="00B76867">
        <w:t xml:space="preserve">Lack of efficacy (Conversion or Oral Stabilization Phase) or impending relapse (Double-blind, Active-controlled Phase) with </w:t>
      </w:r>
      <w:r>
        <w:t>AE</w:t>
      </w:r>
      <w:r w:rsidRPr="00B76867">
        <w:t>.</w:t>
      </w:r>
      <w:r w:rsidR="00142469">
        <w:t xml:space="preserve"> </w:t>
      </w:r>
      <w:r w:rsidRPr="00B76867">
        <w:rPr>
          <w:vertAlign w:val="superscript"/>
        </w:rPr>
        <w:t>h</w:t>
      </w:r>
      <w:r w:rsidRPr="00B76867">
        <w:t xml:space="preserve"> Lack of efficacy (Conversion or Oral Stabilization Phase) or impending relapse (Double-blind, Active-controlled Phase) without </w:t>
      </w:r>
      <w:r>
        <w:t>AE</w:t>
      </w:r>
      <w:r w:rsidRPr="00B76867">
        <w:t>.</w:t>
      </w:r>
    </w:p>
    <w:p w14:paraId="24A3309B" w14:textId="77777777" w:rsidR="002B55D9" w:rsidRDefault="002B55D9" w:rsidP="00161C79">
      <w:pPr>
        <w:pStyle w:val="Heading6"/>
      </w:pPr>
      <w:r>
        <w:t>Blinding</w:t>
      </w:r>
    </w:p>
    <w:p w14:paraId="24A3309C" w14:textId="77777777" w:rsidR="002B55D9" w:rsidRDefault="002B55D9" w:rsidP="00161C79">
      <w:r>
        <w:t xml:space="preserve">There were 13 confirmed individual subject </w:t>
      </w:r>
      <w:proofErr w:type="spellStart"/>
      <w:r>
        <w:t>unblindings</w:t>
      </w:r>
      <w:proofErr w:type="spellEnd"/>
      <w:r>
        <w:t xml:space="preserve">, including 2 intentional (for pregnancy and for neuroleptic malignant syndrome) and 11 unintentional </w:t>
      </w:r>
      <w:proofErr w:type="spellStart"/>
      <w:r>
        <w:t>unblindings</w:t>
      </w:r>
      <w:proofErr w:type="spellEnd"/>
      <w:r>
        <w:t>.</w:t>
      </w:r>
    </w:p>
    <w:p w14:paraId="24A330A0" w14:textId="77777777" w:rsidR="002B55D9" w:rsidRDefault="002B55D9" w:rsidP="00161C79">
      <w:pPr>
        <w:pStyle w:val="Heading6"/>
        <w:keepLines/>
      </w:pPr>
      <w:r w:rsidRPr="004B259C">
        <w:lastRenderedPageBreak/>
        <w:t>Participant flow</w:t>
      </w:r>
    </w:p>
    <w:p w14:paraId="24A330A1" w14:textId="77777777" w:rsidR="00142469" w:rsidRPr="00142469" w:rsidRDefault="00142469" w:rsidP="00161C79">
      <w:pPr>
        <w:pStyle w:val="FigureTitle"/>
        <w:keepLines/>
      </w:pPr>
      <w:r>
        <w:t>Figure 16. Participant flow</w:t>
      </w:r>
    </w:p>
    <w:p w14:paraId="24A330A2" w14:textId="77777777" w:rsidR="002B55D9" w:rsidRDefault="002B55D9" w:rsidP="000B39DE">
      <w:r>
        <w:rPr>
          <w:noProof/>
          <w:lang w:eastAsia="en-AU"/>
        </w:rPr>
        <w:drawing>
          <wp:inline distT="0" distB="0" distL="0" distR="0" wp14:anchorId="24A3325A" wp14:editId="00CFCDB1">
            <wp:extent cx="4729163" cy="2881468"/>
            <wp:effectExtent l="0" t="0" r="0" b="0"/>
            <wp:docPr id="12" name="Picture 2" descr="Figure 16.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4733289" cy="2883982"/>
                    </a:xfrm>
                    <a:prstGeom prst="rect">
                      <a:avLst/>
                    </a:prstGeom>
                    <a:noFill/>
                    <a:ln w="9525">
                      <a:noFill/>
                      <a:miter lim="800000"/>
                      <a:headEnd/>
                      <a:tailEnd/>
                    </a:ln>
                  </pic:spPr>
                </pic:pic>
              </a:graphicData>
            </a:graphic>
          </wp:inline>
        </w:drawing>
      </w:r>
    </w:p>
    <w:p w14:paraId="24A330A4" w14:textId="77777777" w:rsidR="002B55D9" w:rsidRDefault="002B55D9" w:rsidP="00161C79">
      <w:pPr>
        <w:pStyle w:val="Heading6"/>
      </w:pPr>
      <w:r>
        <w:t>Major protocol violations/deviations</w:t>
      </w:r>
    </w:p>
    <w:p w14:paraId="24A330A5" w14:textId="226E8389" w:rsidR="002B55D9" w:rsidRDefault="002B55D9" w:rsidP="00161C79">
      <w:r>
        <w:t xml:space="preserve">The most common type of major protocol deviation during the entire trial were procedural, primarily procedures that were not completed at the required time point (55.5%, 58.6%, and 64.9% of subjects in the </w:t>
      </w:r>
      <w:proofErr w:type="spellStart"/>
      <w:r>
        <w:t>aripiprazole</w:t>
      </w:r>
      <w:proofErr w:type="spellEnd"/>
      <w:r>
        <w:t xml:space="preserve"> IM depot 400/30</w:t>
      </w:r>
      <w:r w:rsidR="002C1F46">
        <w:t>0 mg</w:t>
      </w:r>
      <w:r>
        <w:t xml:space="preserve">, oral </w:t>
      </w:r>
      <w:proofErr w:type="spellStart"/>
      <w:r>
        <w:t>aripiprazole</w:t>
      </w:r>
      <w:proofErr w:type="spellEnd"/>
      <w:r>
        <w:t xml:space="preserve"> tablets 10-3</w:t>
      </w:r>
      <w:r w:rsidR="002C1F46">
        <w:t>0 mg</w:t>
      </w:r>
      <w:r>
        <w:t xml:space="preserve">, and </w:t>
      </w:r>
      <w:proofErr w:type="spellStart"/>
      <w:r>
        <w:t>aripiprazole</w:t>
      </w:r>
      <w:proofErr w:type="spellEnd"/>
      <w:r>
        <w:t xml:space="preserve"> IM depot 50/25mg groups, respectively). Major protocol deviations in concomitant medication use were the next most common type of protocol deviation in the </w:t>
      </w:r>
      <w:proofErr w:type="spellStart"/>
      <w:r>
        <w:t>aripiprazole</w:t>
      </w:r>
      <w:proofErr w:type="spellEnd"/>
      <w:r>
        <w:t xml:space="preserve"> IM depot groups (26.8% and 20.6% of subjects in the </w:t>
      </w:r>
      <w:proofErr w:type="spellStart"/>
      <w:r>
        <w:t>aripiprazole</w:t>
      </w:r>
      <w:proofErr w:type="spellEnd"/>
      <w:r>
        <w:t xml:space="preserve"> IM depot 400/30</w:t>
      </w:r>
      <w:r w:rsidR="002C1F46">
        <w:t>0 mg</w:t>
      </w:r>
      <w:r>
        <w:t xml:space="preserve"> and </w:t>
      </w:r>
      <w:proofErr w:type="spellStart"/>
      <w:r>
        <w:t>aripiprazole</w:t>
      </w:r>
      <w:proofErr w:type="spellEnd"/>
      <w:r>
        <w:t xml:space="preserve"> IM depot</w:t>
      </w:r>
      <w:r w:rsidR="00161C79">
        <w:t xml:space="preserve"> 50/25mg groups, respectively).</w:t>
      </w:r>
    </w:p>
    <w:p w14:paraId="24A330A6" w14:textId="04DBB464" w:rsidR="002B55D9" w:rsidRPr="00B962D7" w:rsidRDefault="002B55D9" w:rsidP="00161C79">
      <w:pPr>
        <w:pStyle w:val="TableTitle"/>
      </w:pPr>
      <w:bookmarkStart w:id="154" w:name="_Toc381104333"/>
      <w:r>
        <w:t xml:space="preserve">Table </w:t>
      </w:r>
      <w:r w:rsidR="00383AAD">
        <w:t>15</w:t>
      </w:r>
      <w:r w:rsidR="00142469">
        <w:rPr>
          <w:noProof/>
        </w:rPr>
        <w:t>.</w:t>
      </w:r>
      <w:r>
        <w:t xml:space="preserve"> Major </w:t>
      </w:r>
      <w:r w:rsidR="00161C79">
        <w:t>p</w:t>
      </w:r>
      <w:r>
        <w:t xml:space="preserve">rotocol </w:t>
      </w:r>
      <w:r w:rsidR="00161C79">
        <w:t>d</w:t>
      </w:r>
      <w:r>
        <w:t xml:space="preserve">eviations by </w:t>
      </w:r>
      <w:r w:rsidR="00161C79">
        <w:t>t</w:t>
      </w:r>
      <w:r>
        <w:t xml:space="preserve">ype - </w:t>
      </w:r>
      <w:r w:rsidR="00485910">
        <w:t>Phase III</w:t>
      </w:r>
      <w:r>
        <w:t xml:space="preserve"> </w:t>
      </w:r>
      <w:r w:rsidR="0052799D">
        <w:t>and</w:t>
      </w:r>
      <w:r>
        <w:t xml:space="preserve"> </w:t>
      </w:r>
      <w:r w:rsidR="00161C79">
        <w:t>t</w:t>
      </w:r>
      <w:r>
        <w:t>otal (</w:t>
      </w:r>
      <w:r w:rsidR="00161C79">
        <w:t>r</w:t>
      </w:r>
      <w:r>
        <w:t xml:space="preserve">andomized </w:t>
      </w:r>
      <w:r w:rsidR="00161C79">
        <w:t>s</w:t>
      </w:r>
      <w:r>
        <w:t>ubjects)</w:t>
      </w:r>
      <w:bookmarkEnd w:id="154"/>
    </w:p>
    <w:tbl>
      <w:tblPr>
        <w:tblStyle w:val="LightList-Accent3"/>
        <w:tblW w:w="9215" w:type="dxa"/>
        <w:tblInd w:w="108" w:type="dxa"/>
        <w:tblLayout w:type="fixed"/>
        <w:tblLook w:val="04A0" w:firstRow="1" w:lastRow="0" w:firstColumn="1" w:lastColumn="0" w:noHBand="0" w:noVBand="1"/>
      </w:tblPr>
      <w:tblGrid>
        <w:gridCol w:w="1418"/>
        <w:gridCol w:w="850"/>
        <w:gridCol w:w="709"/>
        <w:gridCol w:w="1418"/>
        <w:gridCol w:w="1559"/>
        <w:gridCol w:w="1701"/>
        <w:gridCol w:w="1560"/>
      </w:tblGrid>
      <w:tr w:rsidR="00142469" w:rsidRPr="000B39DE" w14:paraId="24A330AB" w14:textId="77777777" w:rsidTr="000B39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8" w:type="dxa"/>
            <w:vMerge w:val="restart"/>
            <w:shd w:val="clear" w:color="auto" w:fill="0070C0"/>
            <w:hideMark/>
          </w:tcPr>
          <w:p w14:paraId="24A330A7" w14:textId="77777777" w:rsidR="002B55D9" w:rsidRPr="000B39DE" w:rsidRDefault="002B55D9" w:rsidP="00161C79">
            <w:pPr>
              <w:ind w:left="-108"/>
              <w:rPr>
                <w:sz w:val="20"/>
                <w:szCs w:val="20"/>
              </w:rPr>
            </w:pPr>
            <w:proofErr w:type="spellStart"/>
            <w:r w:rsidRPr="000B39DE">
              <w:rPr>
                <w:sz w:val="20"/>
                <w:szCs w:val="20"/>
              </w:rPr>
              <w:t>Aripiprazole</w:t>
            </w:r>
            <w:proofErr w:type="spellEnd"/>
            <w:r w:rsidRPr="000B39DE">
              <w:rPr>
                <w:sz w:val="20"/>
                <w:szCs w:val="20"/>
              </w:rPr>
              <w:t xml:space="preserve"> </w:t>
            </w:r>
            <w:r w:rsidR="00485910" w:rsidRPr="000B39DE">
              <w:rPr>
                <w:sz w:val="20"/>
                <w:szCs w:val="20"/>
              </w:rPr>
              <w:t>Phase III</w:t>
            </w:r>
            <w:r w:rsidRPr="000B39DE">
              <w:rPr>
                <w:sz w:val="20"/>
                <w:szCs w:val="20"/>
              </w:rPr>
              <w:t xml:space="preserve"> treatment</w:t>
            </w:r>
          </w:p>
        </w:tc>
        <w:tc>
          <w:tcPr>
            <w:tcW w:w="850" w:type="dxa"/>
            <w:vMerge w:val="restart"/>
            <w:shd w:val="clear" w:color="auto" w:fill="0070C0"/>
            <w:hideMark/>
          </w:tcPr>
          <w:p w14:paraId="24A330A8" w14:textId="77777777" w:rsidR="002B55D9" w:rsidRPr="000B39DE" w:rsidRDefault="002B55D9" w:rsidP="00161C79">
            <w:pPr>
              <w:cnfStyle w:val="100000000000" w:firstRow="1" w:lastRow="0" w:firstColumn="0" w:lastColumn="0" w:oddVBand="0" w:evenVBand="0" w:oddHBand="0" w:evenHBand="0" w:firstRowFirstColumn="0" w:firstRowLastColumn="0" w:lastRowFirstColumn="0" w:lastRowLastColumn="0"/>
              <w:rPr>
                <w:sz w:val="20"/>
                <w:szCs w:val="20"/>
              </w:rPr>
            </w:pPr>
            <w:r w:rsidRPr="000B39DE">
              <w:rPr>
                <w:sz w:val="20"/>
                <w:szCs w:val="20"/>
              </w:rPr>
              <w:t>Study phase</w:t>
            </w:r>
          </w:p>
        </w:tc>
        <w:tc>
          <w:tcPr>
            <w:tcW w:w="709" w:type="dxa"/>
            <w:vMerge w:val="restart"/>
            <w:shd w:val="clear" w:color="auto" w:fill="0070C0"/>
            <w:hideMark/>
          </w:tcPr>
          <w:p w14:paraId="24A330A9" w14:textId="77777777" w:rsidR="002B55D9" w:rsidRPr="000B39DE" w:rsidRDefault="002B55D9" w:rsidP="00161C79">
            <w:pPr>
              <w:cnfStyle w:val="100000000000" w:firstRow="1" w:lastRow="0" w:firstColumn="0" w:lastColumn="0" w:oddVBand="0" w:evenVBand="0" w:oddHBand="0" w:evenHBand="0" w:firstRowFirstColumn="0" w:firstRowLastColumn="0" w:lastRowFirstColumn="0" w:lastRowLastColumn="0"/>
              <w:rPr>
                <w:sz w:val="20"/>
                <w:szCs w:val="20"/>
              </w:rPr>
            </w:pPr>
            <w:r w:rsidRPr="000B39DE">
              <w:rPr>
                <w:sz w:val="20"/>
                <w:szCs w:val="20"/>
              </w:rPr>
              <w:t>N¹</w:t>
            </w:r>
          </w:p>
        </w:tc>
        <w:tc>
          <w:tcPr>
            <w:tcW w:w="6238" w:type="dxa"/>
            <w:gridSpan w:val="4"/>
            <w:shd w:val="clear" w:color="auto" w:fill="0070C0"/>
            <w:hideMark/>
          </w:tcPr>
          <w:p w14:paraId="24A330AA" w14:textId="77777777" w:rsidR="002B55D9" w:rsidRPr="000B39DE" w:rsidRDefault="002B55D9" w:rsidP="00161C79">
            <w:pPr>
              <w:cnfStyle w:val="100000000000" w:firstRow="1" w:lastRow="0" w:firstColumn="0" w:lastColumn="0" w:oddVBand="0" w:evenVBand="0" w:oddHBand="0" w:evenHBand="0" w:firstRowFirstColumn="0" w:firstRowLastColumn="0" w:lastRowFirstColumn="0" w:lastRowLastColumn="0"/>
              <w:rPr>
                <w:sz w:val="20"/>
                <w:szCs w:val="20"/>
              </w:rPr>
            </w:pPr>
            <w:r w:rsidRPr="000B39DE">
              <w:rPr>
                <w:sz w:val="20"/>
                <w:szCs w:val="20"/>
              </w:rPr>
              <w:t>Deviation Classification</w:t>
            </w:r>
          </w:p>
        </w:tc>
      </w:tr>
      <w:tr w:rsidR="00142469" w:rsidRPr="000B39DE" w14:paraId="24A330B3" w14:textId="77777777" w:rsidTr="000B39DE">
        <w:trPr>
          <w:cnfStyle w:val="100000000000" w:firstRow="1" w:lastRow="0" w:firstColumn="0" w:lastColumn="0" w:oddVBand="0" w:evenVBand="0" w:oddHBand="0" w:evenHBand="0" w:firstRowFirstColumn="0" w:firstRowLastColumn="0" w:lastRowFirstColumn="0" w:lastRowLastColumn="0"/>
          <w:trHeight w:val="534"/>
          <w:tblHeader/>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0070C0"/>
            <w:hideMark/>
          </w:tcPr>
          <w:p w14:paraId="24A330AC" w14:textId="77777777" w:rsidR="002B55D9" w:rsidRPr="000B39DE" w:rsidRDefault="002B55D9" w:rsidP="000B39DE">
            <w:pPr>
              <w:spacing w:before="0" w:after="0"/>
              <w:ind w:left="-108"/>
              <w:rPr>
                <w:sz w:val="20"/>
                <w:szCs w:val="20"/>
              </w:rPr>
            </w:pPr>
          </w:p>
        </w:tc>
        <w:tc>
          <w:tcPr>
            <w:tcW w:w="850" w:type="dxa"/>
            <w:vMerge/>
            <w:shd w:val="clear" w:color="auto" w:fill="0070C0"/>
            <w:hideMark/>
          </w:tcPr>
          <w:p w14:paraId="24A330AD" w14:textId="77777777" w:rsidR="002B55D9" w:rsidRPr="000B39DE" w:rsidRDefault="002B55D9" w:rsidP="000B39DE">
            <w:pPr>
              <w:spacing w:before="0" w:after="0"/>
              <w:cnfStyle w:val="100000000000" w:firstRow="1" w:lastRow="0" w:firstColumn="0" w:lastColumn="0" w:oddVBand="0" w:evenVBand="0" w:oddHBand="0" w:evenHBand="0" w:firstRowFirstColumn="0" w:firstRowLastColumn="0" w:lastRowFirstColumn="0" w:lastRowLastColumn="0"/>
              <w:rPr>
                <w:sz w:val="20"/>
                <w:szCs w:val="20"/>
              </w:rPr>
            </w:pPr>
          </w:p>
        </w:tc>
        <w:tc>
          <w:tcPr>
            <w:tcW w:w="709" w:type="dxa"/>
            <w:vMerge/>
            <w:shd w:val="clear" w:color="auto" w:fill="0070C0"/>
            <w:hideMark/>
          </w:tcPr>
          <w:p w14:paraId="24A330AE" w14:textId="77777777" w:rsidR="002B55D9" w:rsidRPr="000B39DE" w:rsidRDefault="002B55D9" w:rsidP="000B39DE">
            <w:pPr>
              <w:spacing w:before="0" w:after="0"/>
              <w:cnfStyle w:val="100000000000" w:firstRow="1" w:lastRow="0" w:firstColumn="0" w:lastColumn="0" w:oddVBand="0" w:evenVBand="0" w:oddHBand="0" w:evenHBand="0" w:firstRowFirstColumn="0" w:firstRowLastColumn="0" w:lastRowFirstColumn="0" w:lastRowLastColumn="0"/>
              <w:rPr>
                <w:sz w:val="20"/>
                <w:szCs w:val="20"/>
              </w:rPr>
            </w:pPr>
          </w:p>
        </w:tc>
        <w:tc>
          <w:tcPr>
            <w:tcW w:w="1418" w:type="dxa"/>
            <w:shd w:val="clear" w:color="auto" w:fill="0070C0"/>
            <w:hideMark/>
          </w:tcPr>
          <w:p w14:paraId="24A330AF" w14:textId="77777777" w:rsidR="002B55D9" w:rsidRPr="000B39DE" w:rsidRDefault="002B55D9" w:rsidP="000B39DE">
            <w:pPr>
              <w:spacing w:before="0" w:after="0"/>
              <w:cnfStyle w:val="100000000000" w:firstRow="1" w:lastRow="0" w:firstColumn="0" w:lastColumn="0" w:oddVBand="0" w:evenVBand="0" w:oddHBand="0" w:evenHBand="0" w:firstRowFirstColumn="0" w:firstRowLastColumn="0" w:lastRowFirstColumn="0" w:lastRowLastColumn="0"/>
              <w:rPr>
                <w:b w:val="0"/>
                <w:sz w:val="20"/>
                <w:szCs w:val="20"/>
              </w:rPr>
            </w:pPr>
            <w:r w:rsidRPr="000B39DE">
              <w:rPr>
                <w:b w:val="0"/>
                <w:sz w:val="20"/>
                <w:szCs w:val="20"/>
              </w:rPr>
              <w:t>Dosing</w:t>
            </w:r>
          </w:p>
        </w:tc>
        <w:tc>
          <w:tcPr>
            <w:tcW w:w="1559" w:type="dxa"/>
            <w:shd w:val="clear" w:color="auto" w:fill="0070C0"/>
            <w:hideMark/>
          </w:tcPr>
          <w:p w14:paraId="24A330B0" w14:textId="77777777" w:rsidR="002B55D9" w:rsidRPr="000B39DE" w:rsidRDefault="002B55D9" w:rsidP="000B39DE">
            <w:pPr>
              <w:spacing w:before="0" w:after="0"/>
              <w:cnfStyle w:val="100000000000" w:firstRow="1" w:lastRow="0" w:firstColumn="0" w:lastColumn="0" w:oddVBand="0" w:evenVBand="0" w:oddHBand="0" w:evenHBand="0" w:firstRowFirstColumn="0" w:firstRowLastColumn="0" w:lastRowFirstColumn="0" w:lastRowLastColumn="0"/>
              <w:rPr>
                <w:b w:val="0"/>
                <w:sz w:val="20"/>
                <w:szCs w:val="20"/>
              </w:rPr>
            </w:pPr>
            <w:r w:rsidRPr="000B39DE">
              <w:rPr>
                <w:b w:val="0"/>
                <w:sz w:val="20"/>
                <w:szCs w:val="20"/>
              </w:rPr>
              <w:t>Concomitant medications</w:t>
            </w:r>
          </w:p>
        </w:tc>
        <w:tc>
          <w:tcPr>
            <w:tcW w:w="1701" w:type="dxa"/>
            <w:shd w:val="clear" w:color="auto" w:fill="0070C0"/>
            <w:hideMark/>
          </w:tcPr>
          <w:p w14:paraId="24A330B1" w14:textId="77777777" w:rsidR="002B55D9" w:rsidRPr="000B39DE" w:rsidRDefault="002B55D9" w:rsidP="000B39DE">
            <w:pPr>
              <w:spacing w:before="0" w:after="0"/>
              <w:cnfStyle w:val="100000000000" w:firstRow="1" w:lastRow="0" w:firstColumn="0" w:lastColumn="0" w:oddVBand="0" w:evenVBand="0" w:oddHBand="0" w:evenHBand="0" w:firstRowFirstColumn="0" w:firstRowLastColumn="0" w:lastRowFirstColumn="0" w:lastRowLastColumn="0"/>
              <w:rPr>
                <w:b w:val="0"/>
                <w:sz w:val="20"/>
                <w:szCs w:val="20"/>
              </w:rPr>
            </w:pPr>
            <w:r w:rsidRPr="000B39DE">
              <w:rPr>
                <w:b w:val="0"/>
                <w:sz w:val="20"/>
                <w:szCs w:val="20"/>
              </w:rPr>
              <w:t>Procedural</w:t>
            </w:r>
          </w:p>
        </w:tc>
        <w:tc>
          <w:tcPr>
            <w:tcW w:w="1560" w:type="dxa"/>
            <w:shd w:val="clear" w:color="auto" w:fill="0070C0"/>
            <w:hideMark/>
          </w:tcPr>
          <w:p w14:paraId="24A330B2" w14:textId="77777777" w:rsidR="002B55D9" w:rsidRPr="000B39DE" w:rsidRDefault="002B55D9" w:rsidP="000B39DE">
            <w:pPr>
              <w:spacing w:before="0" w:after="0"/>
              <w:cnfStyle w:val="100000000000" w:firstRow="1" w:lastRow="0" w:firstColumn="0" w:lastColumn="0" w:oddVBand="0" w:evenVBand="0" w:oddHBand="0" w:evenHBand="0" w:firstRowFirstColumn="0" w:firstRowLastColumn="0" w:lastRowFirstColumn="0" w:lastRowLastColumn="0"/>
              <w:rPr>
                <w:b w:val="0"/>
                <w:sz w:val="20"/>
                <w:szCs w:val="20"/>
              </w:rPr>
            </w:pPr>
            <w:r w:rsidRPr="000B39DE">
              <w:rPr>
                <w:b w:val="0"/>
                <w:sz w:val="20"/>
                <w:szCs w:val="20"/>
              </w:rPr>
              <w:t>Total</w:t>
            </w:r>
          </w:p>
        </w:tc>
      </w:tr>
      <w:tr w:rsidR="00142469" w:rsidRPr="000B39DE" w14:paraId="24A330BB" w14:textId="77777777" w:rsidTr="000B39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0070C0"/>
            <w:hideMark/>
          </w:tcPr>
          <w:p w14:paraId="24A330B4" w14:textId="77777777" w:rsidR="002B55D9" w:rsidRPr="000B39DE" w:rsidRDefault="002B55D9" w:rsidP="000B39DE">
            <w:pPr>
              <w:spacing w:before="0"/>
              <w:ind w:left="-108"/>
              <w:rPr>
                <w:sz w:val="20"/>
                <w:szCs w:val="20"/>
              </w:rPr>
            </w:pPr>
          </w:p>
        </w:tc>
        <w:tc>
          <w:tcPr>
            <w:tcW w:w="850" w:type="dxa"/>
            <w:vMerge/>
            <w:shd w:val="clear" w:color="auto" w:fill="0070C0"/>
            <w:hideMark/>
          </w:tcPr>
          <w:p w14:paraId="24A330B5" w14:textId="77777777" w:rsidR="002B55D9" w:rsidRPr="000B39DE" w:rsidRDefault="002B55D9" w:rsidP="000B39DE">
            <w:pPr>
              <w:spacing w:before="0"/>
              <w:cnfStyle w:val="100000000000" w:firstRow="1" w:lastRow="0" w:firstColumn="0" w:lastColumn="0" w:oddVBand="0" w:evenVBand="0" w:oddHBand="0" w:evenHBand="0" w:firstRowFirstColumn="0" w:firstRowLastColumn="0" w:lastRowFirstColumn="0" w:lastRowLastColumn="0"/>
              <w:rPr>
                <w:sz w:val="20"/>
                <w:szCs w:val="20"/>
              </w:rPr>
            </w:pPr>
          </w:p>
        </w:tc>
        <w:tc>
          <w:tcPr>
            <w:tcW w:w="709" w:type="dxa"/>
            <w:vMerge/>
            <w:shd w:val="clear" w:color="auto" w:fill="0070C0"/>
            <w:hideMark/>
          </w:tcPr>
          <w:p w14:paraId="24A330B6" w14:textId="77777777" w:rsidR="002B55D9" w:rsidRPr="000B39DE" w:rsidRDefault="002B55D9" w:rsidP="000B39DE">
            <w:pPr>
              <w:spacing w:before="0"/>
              <w:cnfStyle w:val="100000000000" w:firstRow="1" w:lastRow="0" w:firstColumn="0" w:lastColumn="0" w:oddVBand="0" w:evenVBand="0" w:oddHBand="0" w:evenHBand="0" w:firstRowFirstColumn="0" w:firstRowLastColumn="0" w:lastRowFirstColumn="0" w:lastRowLastColumn="0"/>
              <w:rPr>
                <w:sz w:val="20"/>
                <w:szCs w:val="20"/>
              </w:rPr>
            </w:pPr>
          </w:p>
        </w:tc>
        <w:tc>
          <w:tcPr>
            <w:tcW w:w="1418" w:type="dxa"/>
            <w:shd w:val="clear" w:color="auto" w:fill="0070C0"/>
            <w:hideMark/>
          </w:tcPr>
          <w:p w14:paraId="24A330B7" w14:textId="77777777" w:rsidR="002B55D9" w:rsidRPr="000B39DE" w:rsidRDefault="002B55D9" w:rsidP="000B39DE">
            <w:pPr>
              <w:spacing w:before="0"/>
              <w:cnfStyle w:val="100000000000" w:firstRow="1" w:lastRow="0" w:firstColumn="0" w:lastColumn="0" w:oddVBand="0" w:evenVBand="0" w:oddHBand="0" w:evenHBand="0" w:firstRowFirstColumn="0" w:firstRowLastColumn="0" w:lastRowFirstColumn="0" w:lastRowLastColumn="0"/>
              <w:rPr>
                <w:b w:val="0"/>
                <w:sz w:val="20"/>
                <w:szCs w:val="20"/>
              </w:rPr>
            </w:pPr>
            <w:r w:rsidRPr="000B39DE">
              <w:rPr>
                <w:b w:val="0"/>
                <w:sz w:val="20"/>
                <w:szCs w:val="20"/>
              </w:rPr>
              <w:t>N² (%)²</w:t>
            </w:r>
          </w:p>
        </w:tc>
        <w:tc>
          <w:tcPr>
            <w:tcW w:w="1559" w:type="dxa"/>
            <w:shd w:val="clear" w:color="auto" w:fill="0070C0"/>
            <w:hideMark/>
          </w:tcPr>
          <w:p w14:paraId="24A330B8" w14:textId="77777777" w:rsidR="002B55D9" w:rsidRPr="000B39DE" w:rsidRDefault="002B55D9" w:rsidP="000B39DE">
            <w:pPr>
              <w:spacing w:before="0"/>
              <w:cnfStyle w:val="100000000000" w:firstRow="1" w:lastRow="0" w:firstColumn="0" w:lastColumn="0" w:oddVBand="0" w:evenVBand="0" w:oddHBand="0" w:evenHBand="0" w:firstRowFirstColumn="0" w:firstRowLastColumn="0" w:lastRowFirstColumn="0" w:lastRowLastColumn="0"/>
              <w:rPr>
                <w:b w:val="0"/>
                <w:sz w:val="20"/>
                <w:szCs w:val="20"/>
              </w:rPr>
            </w:pPr>
            <w:r w:rsidRPr="000B39DE">
              <w:rPr>
                <w:b w:val="0"/>
                <w:sz w:val="20"/>
                <w:szCs w:val="20"/>
              </w:rPr>
              <w:t>N² (%)²</w:t>
            </w:r>
          </w:p>
        </w:tc>
        <w:tc>
          <w:tcPr>
            <w:tcW w:w="1701" w:type="dxa"/>
            <w:shd w:val="clear" w:color="auto" w:fill="0070C0"/>
            <w:hideMark/>
          </w:tcPr>
          <w:p w14:paraId="24A330B9" w14:textId="77777777" w:rsidR="002B55D9" w:rsidRPr="000B39DE" w:rsidRDefault="002B55D9" w:rsidP="000B39DE">
            <w:pPr>
              <w:spacing w:before="0"/>
              <w:cnfStyle w:val="100000000000" w:firstRow="1" w:lastRow="0" w:firstColumn="0" w:lastColumn="0" w:oddVBand="0" w:evenVBand="0" w:oddHBand="0" w:evenHBand="0" w:firstRowFirstColumn="0" w:firstRowLastColumn="0" w:lastRowFirstColumn="0" w:lastRowLastColumn="0"/>
              <w:rPr>
                <w:b w:val="0"/>
                <w:sz w:val="20"/>
                <w:szCs w:val="20"/>
              </w:rPr>
            </w:pPr>
            <w:r w:rsidRPr="000B39DE">
              <w:rPr>
                <w:b w:val="0"/>
                <w:sz w:val="20"/>
                <w:szCs w:val="20"/>
              </w:rPr>
              <w:t>N² (%)²</w:t>
            </w:r>
          </w:p>
        </w:tc>
        <w:tc>
          <w:tcPr>
            <w:tcW w:w="1560" w:type="dxa"/>
            <w:shd w:val="clear" w:color="auto" w:fill="0070C0"/>
            <w:hideMark/>
          </w:tcPr>
          <w:p w14:paraId="24A330BA" w14:textId="77777777" w:rsidR="002B55D9" w:rsidRPr="000B39DE" w:rsidRDefault="002B55D9" w:rsidP="000B39DE">
            <w:pPr>
              <w:spacing w:before="0"/>
              <w:cnfStyle w:val="100000000000" w:firstRow="1" w:lastRow="0" w:firstColumn="0" w:lastColumn="0" w:oddVBand="0" w:evenVBand="0" w:oddHBand="0" w:evenHBand="0" w:firstRowFirstColumn="0" w:firstRowLastColumn="0" w:lastRowFirstColumn="0" w:lastRowLastColumn="0"/>
              <w:rPr>
                <w:b w:val="0"/>
                <w:sz w:val="20"/>
                <w:szCs w:val="20"/>
              </w:rPr>
            </w:pPr>
            <w:r w:rsidRPr="000B39DE">
              <w:rPr>
                <w:b w:val="0"/>
                <w:sz w:val="20"/>
                <w:szCs w:val="20"/>
              </w:rPr>
              <w:t>N² (%)²</w:t>
            </w:r>
          </w:p>
        </w:tc>
      </w:tr>
      <w:tr w:rsidR="002B55D9" w:rsidRPr="00E95270" w14:paraId="24A330C3" w14:textId="77777777" w:rsidTr="000B39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hideMark/>
          </w:tcPr>
          <w:p w14:paraId="24A330BC" w14:textId="77777777" w:rsidR="002B55D9" w:rsidRPr="000B39DE" w:rsidRDefault="002B55D9" w:rsidP="00161C79">
            <w:pPr>
              <w:ind w:left="-108"/>
              <w:rPr>
                <w:sz w:val="20"/>
                <w:szCs w:val="20"/>
              </w:rPr>
            </w:pPr>
            <w:r w:rsidRPr="000B39DE">
              <w:rPr>
                <w:sz w:val="20"/>
                <w:szCs w:val="20"/>
              </w:rPr>
              <w:t>ARIP IMD 400/300MG</w:t>
            </w:r>
          </w:p>
        </w:tc>
        <w:tc>
          <w:tcPr>
            <w:tcW w:w="850" w:type="dxa"/>
            <w:hideMark/>
          </w:tcPr>
          <w:p w14:paraId="24A330BD" w14:textId="77777777" w:rsidR="002B55D9" w:rsidRPr="000B39DE" w:rsidRDefault="00485910" w:rsidP="00161C79">
            <w:pPr>
              <w:cnfStyle w:val="000000100000" w:firstRow="0" w:lastRow="0" w:firstColumn="0" w:lastColumn="0" w:oddVBand="0" w:evenVBand="0" w:oddHBand="1" w:evenHBand="0" w:firstRowFirstColumn="0" w:firstRowLastColumn="0" w:lastRowFirstColumn="0" w:lastRowLastColumn="0"/>
              <w:rPr>
                <w:sz w:val="20"/>
                <w:szCs w:val="20"/>
              </w:rPr>
            </w:pPr>
            <w:r w:rsidRPr="000B39DE">
              <w:rPr>
                <w:sz w:val="20"/>
                <w:szCs w:val="20"/>
              </w:rPr>
              <w:t>Phase III</w:t>
            </w:r>
          </w:p>
        </w:tc>
        <w:tc>
          <w:tcPr>
            <w:tcW w:w="709" w:type="dxa"/>
            <w:hideMark/>
          </w:tcPr>
          <w:p w14:paraId="24A330BE" w14:textId="77777777" w:rsidR="002B55D9" w:rsidRPr="000B39DE" w:rsidRDefault="002B55D9" w:rsidP="00161C79">
            <w:pPr>
              <w:cnfStyle w:val="000000100000" w:firstRow="0" w:lastRow="0" w:firstColumn="0" w:lastColumn="0" w:oddVBand="0" w:evenVBand="0" w:oddHBand="1" w:evenHBand="0" w:firstRowFirstColumn="0" w:firstRowLastColumn="0" w:lastRowFirstColumn="0" w:lastRowLastColumn="0"/>
              <w:rPr>
                <w:sz w:val="20"/>
                <w:szCs w:val="20"/>
              </w:rPr>
            </w:pPr>
            <w:r w:rsidRPr="000B39DE">
              <w:rPr>
                <w:sz w:val="20"/>
                <w:szCs w:val="20"/>
              </w:rPr>
              <w:t>265</w:t>
            </w:r>
          </w:p>
        </w:tc>
        <w:tc>
          <w:tcPr>
            <w:tcW w:w="1418" w:type="dxa"/>
            <w:hideMark/>
          </w:tcPr>
          <w:p w14:paraId="24A330BF" w14:textId="77777777" w:rsidR="002B55D9" w:rsidRPr="000B39DE" w:rsidRDefault="002B55D9" w:rsidP="00161C79">
            <w:pPr>
              <w:cnfStyle w:val="000000100000" w:firstRow="0" w:lastRow="0" w:firstColumn="0" w:lastColumn="0" w:oddVBand="0" w:evenVBand="0" w:oddHBand="1" w:evenHBand="0" w:firstRowFirstColumn="0" w:firstRowLastColumn="0" w:lastRowFirstColumn="0" w:lastRowLastColumn="0"/>
              <w:rPr>
                <w:sz w:val="20"/>
                <w:szCs w:val="20"/>
              </w:rPr>
            </w:pPr>
            <w:r w:rsidRPr="000B39DE">
              <w:rPr>
                <w:sz w:val="20"/>
                <w:szCs w:val="20"/>
              </w:rPr>
              <w:t>30 (11.3)</w:t>
            </w:r>
          </w:p>
        </w:tc>
        <w:tc>
          <w:tcPr>
            <w:tcW w:w="1559" w:type="dxa"/>
            <w:hideMark/>
          </w:tcPr>
          <w:p w14:paraId="24A330C0" w14:textId="77777777" w:rsidR="002B55D9" w:rsidRPr="000B39DE" w:rsidRDefault="002B55D9" w:rsidP="00161C79">
            <w:pPr>
              <w:cnfStyle w:val="000000100000" w:firstRow="0" w:lastRow="0" w:firstColumn="0" w:lastColumn="0" w:oddVBand="0" w:evenVBand="0" w:oddHBand="1" w:evenHBand="0" w:firstRowFirstColumn="0" w:firstRowLastColumn="0" w:lastRowFirstColumn="0" w:lastRowLastColumn="0"/>
              <w:rPr>
                <w:sz w:val="20"/>
                <w:szCs w:val="20"/>
              </w:rPr>
            </w:pPr>
            <w:r w:rsidRPr="000B39DE">
              <w:rPr>
                <w:sz w:val="20"/>
                <w:szCs w:val="20"/>
              </w:rPr>
              <w:t>46 (17.4)</w:t>
            </w:r>
          </w:p>
        </w:tc>
        <w:tc>
          <w:tcPr>
            <w:tcW w:w="1701" w:type="dxa"/>
            <w:hideMark/>
          </w:tcPr>
          <w:p w14:paraId="24A330C1" w14:textId="77777777" w:rsidR="002B55D9" w:rsidRPr="000B39DE" w:rsidRDefault="002B55D9" w:rsidP="00161C79">
            <w:pPr>
              <w:cnfStyle w:val="000000100000" w:firstRow="0" w:lastRow="0" w:firstColumn="0" w:lastColumn="0" w:oddVBand="0" w:evenVBand="0" w:oddHBand="1" w:evenHBand="0" w:firstRowFirstColumn="0" w:firstRowLastColumn="0" w:lastRowFirstColumn="0" w:lastRowLastColumn="0"/>
              <w:rPr>
                <w:sz w:val="20"/>
                <w:szCs w:val="20"/>
              </w:rPr>
            </w:pPr>
            <w:r w:rsidRPr="000B39DE">
              <w:rPr>
                <w:sz w:val="20"/>
                <w:szCs w:val="20"/>
              </w:rPr>
              <w:t>109 (41.1)</w:t>
            </w:r>
          </w:p>
        </w:tc>
        <w:tc>
          <w:tcPr>
            <w:tcW w:w="1560" w:type="dxa"/>
            <w:hideMark/>
          </w:tcPr>
          <w:p w14:paraId="24A330C2" w14:textId="77777777" w:rsidR="002B55D9" w:rsidRPr="000B39DE" w:rsidRDefault="002B55D9" w:rsidP="00161C79">
            <w:pPr>
              <w:cnfStyle w:val="000000100000" w:firstRow="0" w:lastRow="0" w:firstColumn="0" w:lastColumn="0" w:oddVBand="0" w:evenVBand="0" w:oddHBand="1" w:evenHBand="0" w:firstRowFirstColumn="0" w:firstRowLastColumn="0" w:lastRowFirstColumn="0" w:lastRowLastColumn="0"/>
              <w:rPr>
                <w:sz w:val="20"/>
                <w:szCs w:val="20"/>
              </w:rPr>
            </w:pPr>
            <w:r w:rsidRPr="000B39DE">
              <w:rPr>
                <w:sz w:val="20"/>
                <w:szCs w:val="20"/>
              </w:rPr>
              <w:t>141 (53.2)</w:t>
            </w:r>
          </w:p>
        </w:tc>
      </w:tr>
      <w:tr w:rsidR="002B55D9" w:rsidRPr="00E95270" w14:paraId="24A330CB" w14:textId="77777777" w:rsidTr="000B39DE">
        <w:tc>
          <w:tcPr>
            <w:cnfStyle w:val="001000000000" w:firstRow="0" w:lastRow="0" w:firstColumn="1" w:lastColumn="0" w:oddVBand="0" w:evenVBand="0" w:oddHBand="0" w:evenHBand="0" w:firstRowFirstColumn="0" w:firstRowLastColumn="0" w:lastRowFirstColumn="0" w:lastRowLastColumn="0"/>
            <w:tcW w:w="1418" w:type="dxa"/>
            <w:vMerge/>
            <w:hideMark/>
          </w:tcPr>
          <w:p w14:paraId="24A330C4" w14:textId="77777777" w:rsidR="002B55D9" w:rsidRPr="000B39DE" w:rsidRDefault="002B55D9" w:rsidP="00161C79">
            <w:pPr>
              <w:ind w:left="-108"/>
              <w:rPr>
                <w:sz w:val="20"/>
                <w:szCs w:val="20"/>
              </w:rPr>
            </w:pPr>
          </w:p>
        </w:tc>
        <w:tc>
          <w:tcPr>
            <w:tcW w:w="850" w:type="dxa"/>
            <w:hideMark/>
          </w:tcPr>
          <w:p w14:paraId="24A330C5" w14:textId="77777777" w:rsidR="002B55D9" w:rsidRPr="000B39DE" w:rsidRDefault="002B55D9" w:rsidP="00161C79">
            <w:pPr>
              <w:cnfStyle w:val="000000000000" w:firstRow="0" w:lastRow="0" w:firstColumn="0" w:lastColumn="0" w:oddVBand="0" w:evenVBand="0" w:oddHBand="0" w:evenHBand="0" w:firstRowFirstColumn="0" w:firstRowLastColumn="0" w:lastRowFirstColumn="0" w:lastRowLastColumn="0"/>
              <w:rPr>
                <w:sz w:val="20"/>
                <w:szCs w:val="20"/>
              </w:rPr>
            </w:pPr>
            <w:r w:rsidRPr="000B39DE">
              <w:rPr>
                <w:sz w:val="20"/>
                <w:szCs w:val="20"/>
              </w:rPr>
              <w:t>Total</w:t>
            </w:r>
          </w:p>
        </w:tc>
        <w:tc>
          <w:tcPr>
            <w:tcW w:w="709" w:type="dxa"/>
            <w:hideMark/>
          </w:tcPr>
          <w:p w14:paraId="24A330C6" w14:textId="77777777" w:rsidR="002B55D9" w:rsidRPr="000B39DE" w:rsidRDefault="002B55D9" w:rsidP="00161C79">
            <w:pPr>
              <w:cnfStyle w:val="000000000000" w:firstRow="0" w:lastRow="0" w:firstColumn="0" w:lastColumn="0" w:oddVBand="0" w:evenVBand="0" w:oddHBand="0" w:evenHBand="0" w:firstRowFirstColumn="0" w:firstRowLastColumn="0" w:lastRowFirstColumn="0" w:lastRowLastColumn="0"/>
              <w:rPr>
                <w:sz w:val="20"/>
                <w:szCs w:val="20"/>
              </w:rPr>
            </w:pPr>
            <w:r w:rsidRPr="000B39DE">
              <w:rPr>
                <w:sz w:val="20"/>
                <w:szCs w:val="20"/>
              </w:rPr>
              <w:t>265</w:t>
            </w:r>
          </w:p>
        </w:tc>
        <w:tc>
          <w:tcPr>
            <w:tcW w:w="1418" w:type="dxa"/>
            <w:hideMark/>
          </w:tcPr>
          <w:p w14:paraId="24A330C7" w14:textId="77777777" w:rsidR="002B55D9" w:rsidRPr="000B39DE" w:rsidRDefault="002B55D9" w:rsidP="00161C79">
            <w:pPr>
              <w:cnfStyle w:val="000000000000" w:firstRow="0" w:lastRow="0" w:firstColumn="0" w:lastColumn="0" w:oddVBand="0" w:evenVBand="0" w:oddHBand="0" w:evenHBand="0" w:firstRowFirstColumn="0" w:firstRowLastColumn="0" w:lastRowFirstColumn="0" w:lastRowLastColumn="0"/>
              <w:rPr>
                <w:sz w:val="20"/>
                <w:szCs w:val="20"/>
              </w:rPr>
            </w:pPr>
            <w:r w:rsidRPr="000B39DE">
              <w:rPr>
                <w:sz w:val="20"/>
                <w:szCs w:val="20"/>
              </w:rPr>
              <w:t>35 (13.2)</w:t>
            </w:r>
          </w:p>
        </w:tc>
        <w:tc>
          <w:tcPr>
            <w:tcW w:w="1559" w:type="dxa"/>
            <w:hideMark/>
          </w:tcPr>
          <w:p w14:paraId="24A330C8" w14:textId="77777777" w:rsidR="002B55D9" w:rsidRPr="000B39DE" w:rsidRDefault="002B55D9" w:rsidP="00161C79">
            <w:pPr>
              <w:cnfStyle w:val="000000000000" w:firstRow="0" w:lastRow="0" w:firstColumn="0" w:lastColumn="0" w:oddVBand="0" w:evenVBand="0" w:oddHBand="0" w:evenHBand="0" w:firstRowFirstColumn="0" w:firstRowLastColumn="0" w:lastRowFirstColumn="0" w:lastRowLastColumn="0"/>
              <w:rPr>
                <w:sz w:val="20"/>
                <w:szCs w:val="20"/>
              </w:rPr>
            </w:pPr>
            <w:r w:rsidRPr="000B39DE">
              <w:rPr>
                <w:sz w:val="20"/>
                <w:szCs w:val="20"/>
              </w:rPr>
              <w:t>71 (26.8)</w:t>
            </w:r>
          </w:p>
        </w:tc>
        <w:tc>
          <w:tcPr>
            <w:tcW w:w="1701" w:type="dxa"/>
            <w:hideMark/>
          </w:tcPr>
          <w:p w14:paraId="24A330C9" w14:textId="77777777" w:rsidR="002B55D9" w:rsidRPr="000B39DE" w:rsidRDefault="002B55D9" w:rsidP="00161C79">
            <w:pPr>
              <w:cnfStyle w:val="000000000000" w:firstRow="0" w:lastRow="0" w:firstColumn="0" w:lastColumn="0" w:oddVBand="0" w:evenVBand="0" w:oddHBand="0" w:evenHBand="0" w:firstRowFirstColumn="0" w:firstRowLastColumn="0" w:lastRowFirstColumn="0" w:lastRowLastColumn="0"/>
              <w:rPr>
                <w:sz w:val="20"/>
                <w:szCs w:val="20"/>
              </w:rPr>
            </w:pPr>
            <w:r w:rsidRPr="000B39DE">
              <w:rPr>
                <w:sz w:val="20"/>
                <w:szCs w:val="20"/>
              </w:rPr>
              <w:t>147 (55.5)</w:t>
            </w:r>
          </w:p>
        </w:tc>
        <w:tc>
          <w:tcPr>
            <w:tcW w:w="1560" w:type="dxa"/>
            <w:hideMark/>
          </w:tcPr>
          <w:p w14:paraId="24A330CA" w14:textId="77777777" w:rsidR="002B55D9" w:rsidRPr="000B39DE" w:rsidRDefault="002B55D9" w:rsidP="00161C79">
            <w:pPr>
              <w:cnfStyle w:val="000000000000" w:firstRow="0" w:lastRow="0" w:firstColumn="0" w:lastColumn="0" w:oddVBand="0" w:evenVBand="0" w:oddHBand="0" w:evenHBand="0" w:firstRowFirstColumn="0" w:firstRowLastColumn="0" w:lastRowFirstColumn="0" w:lastRowLastColumn="0"/>
              <w:rPr>
                <w:sz w:val="20"/>
                <w:szCs w:val="20"/>
              </w:rPr>
            </w:pPr>
            <w:r w:rsidRPr="000B39DE">
              <w:rPr>
                <w:sz w:val="20"/>
                <w:szCs w:val="20"/>
              </w:rPr>
              <w:t>180 (67.9)</w:t>
            </w:r>
          </w:p>
        </w:tc>
      </w:tr>
      <w:tr w:rsidR="002B55D9" w:rsidRPr="00E95270" w14:paraId="24A330D3" w14:textId="77777777" w:rsidTr="000B39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hideMark/>
          </w:tcPr>
          <w:p w14:paraId="24A330CC" w14:textId="5C957146" w:rsidR="002B55D9" w:rsidRPr="000B39DE" w:rsidRDefault="000B39DE" w:rsidP="00161C79">
            <w:pPr>
              <w:ind w:left="-108"/>
              <w:rPr>
                <w:sz w:val="20"/>
                <w:szCs w:val="20"/>
              </w:rPr>
            </w:pPr>
            <w:r>
              <w:rPr>
                <w:sz w:val="20"/>
                <w:szCs w:val="20"/>
              </w:rPr>
              <w:t>ARIP 10-30MG</w:t>
            </w:r>
          </w:p>
        </w:tc>
        <w:tc>
          <w:tcPr>
            <w:tcW w:w="850" w:type="dxa"/>
            <w:hideMark/>
          </w:tcPr>
          <w:p w14:paraId="24A330CD" w14:textId="77777777" w:rsidR="002B55D9" w:rsidRPr="000B39DE" w:rsidRDefault="00485910" w:rsidP="00161C79">
            <w:pPr>
              <w:cnfStyle w:val="000000100000" w:firstRow="0" w:lastRow="0" w:firstColumn="0" w:lastColumn="0" w:oddVBand="0" w:evenVBand="0" w:oddHBand="1" w:evenHBand="0" w:firstRowFirstColumn="0" w:firstRowLastColumn="0" w:lastRowFirstColumn="0" w:lastRowLastColumn="0"/>
              <w:rPr>
                <w:sz w:val="20"/>
                <w:szCs w:val="20"/>
              </w:rPr>
            </w:pPr>
            <w:r w:rsidRPr="000B39DE">
              <w:rPr>
                <w:sz w:val="20"/>
                <w:szCs w:val="20"/>
              </w:rPr>
              <w:t>Phase III</w:t>
            </w:r>
          </w:p>
        </w:tc>
        <w:tc>
          <w:tcPr>
            <w:tcW w:w="709" w:type="dxa"/>
            <w:hideMark/>
          </w:tcPr>
          <w:p w14:paraId="24A330CE" w14:textId="77777777" w:rsidR="002B55D9" w:rsidRPr="000B39DE" w:rsidRDefault="002B55D9" w:rsidP="00161C79">
            <w:pPr>
              <w:cnfStyle w:val="000000100000" w:firstRow="0" w:lastRow="0" w:firstColumn="0" w:lastColumn="0" w:oddVBand="0" w:evenVBand="0" w:oddHBand="1" w:evenHBand="0" w:firstRowFirstColumn="0" w:firstRowLastColumn="0" w:lastRowFirstColumn="0" w:lastRowLastColumn="0"/>
              <w:rPr>
                <w:sz w:val="20"/>
                <w:szCs w:val="20"/>
              </w:rPr>
            </w:pPr>
            <w:r w:rsidRPr="000B39DE">
              <w:rPr>
                <w:sz w:val="20"/>
                <w:szCs w:val="20"/>
              </w:rPr>
              <w:t>266</w:t>
            </w:r>
          </w:p>
        </w:tc>
        <w:tc>
          <w:tcPr>
            <w:tcW w:w="1418" w:type="dxa"/>
            <w:hideMark/>
          </w:tcPr>
          <w:p w14:paraId="24A330CF" w14:textId="77777777" w:rsidR="002B55D9" w:rsidRPr="000B39DE" w:rsidRDefault="002B55D9" w:rsidP="00161C79">
            <w:pPr>
              <w:cnfStyle w:val="000000100000" w:firstRow="0" w:lastRow="0" w:firstColumn="0" w:lastColumn="0" w:oddVBand="0" w:evenVBand="0" w:oddHBand="1" w:evenHBand="0" w:firstRowFirstColumn="0" w:firstRowLastColumn="0" w:lastRowFirstColumn="0" w:lastRowLastColumn="0"/>
              <w:rPr>
                <w:sz w:val="20"/>
                <w:szCs w:val="20"/>
              </w:rPr>
            </w:pPr>
            <w:r w:rsidRPr="000B39DE">
              <w:rPr>
                <w:sz w:val="20"/>
                <w:szCs w:val="20"/>
              </w:rPr>
              <w:t>45 (16.9)</w:t>
            </w:r>
          </w:p>
        </w:tc>
        <w:tc>
          <w:tcPr>
            <w:tcW w:w="1559" w:type="dxa"/>
            <w:hideMark/>
          </w:tcPr>
          <w:p w14:paraId="24A330D0" w14:textId="77777777" w:rsidR="002B55D9" w:rsidRPr="000B39DE" w:rsidRDefault="002B55D9" w:rsidP="00161C79">
            <w:pPr>
              <w:cnfStyle w:val="000000100000" w:firstRow="0" w:lastRow="0" w:firstColumn="0" w:lastColumn="0" w:oddVBand="0" w:evenVBand="0" w:oddHBand="1" w:evenHBand="0" w:firstRowFirstColumn="0" w:firstRowLastColumn="0" w:lastRowFirstColumn="0" w:lastRowLastColumn="0"/>
              <w:rPr>
                <w:sz w:val="20"/>
                <w:szCs w:val="20"/>
              </w:rPr>
            </w:pPr>
            <w:r w:rsidRPr="000B39DE">
              <w:rPr>
                <w:sz w:val="20"/>
                <w:szCs w:val="20"/>
              </w:rPr>
              <w:t>30 (11.3)</w:t>
            </w:r>
          </w:p>
        </w:tc>
        <w:tc>
          <w:tcPr>
            <w:tcW w:w="1701" w:type="dxa"/>
            <w:hideMark/>
          </w:tcPr>
          <w:p w14:paraId="24A330D1" w14:textId="77777777" w:rsidR="002B55D9" w:rsidRPr="000B39DE" w:rsidRDefault="002B55D9" w:rsidP="00161C79">
            <w:pPr>
              <w:cnfStyle w:val="000000100000" w:firstRow="0" w:lastRow="0" w:firstColumn="0" w:lastColumn="0" w:oddVBand="0" w:evenVBand="0" w:oddHBand="1" w:evenHBand="0" w:firstRowFirstColumn="0" w:firstRowLastColumn="0" w:lastRowFirstColumn="0" w:lastRowLastColumn="0"/>
              <w:rPr>
                <w:sz w:val="20"/>
                <w:szCs w:val="20"/>
              </w:rPr>
            </w:pPr>
            <w:r w:rsidRPr="000B39DE">
              <w:rPr>
                <w:sz w:val="20"/>
                <w:szCs w:val="20"/>
              </w:rPr>
              <w:t>129 (48.5)</w:t>
            </w:r>
          </w:p>
        </w:tc>
        <w:tc>
          <w:tcPr>
            <w:tcW w:w="1560" w:type="dxa"/>
            <w:hideMark/>
          </w:tcPr>
          <w:p w14:paraId="24A330D2" w14:textId="77777777" w:rsidR="002B55D9" w:rsidRPr="000B39DE" w:rsidRDefault="002B55D9" w:rsidP="00161C79">
            <w:pPr>
              <w:cnfStyle w:val="000000100000" w:firstRow="0" w:lastRow="0" w:firstColumn="0" w:lastColumn="0" w:oddVBand="0" w:evenVBand="0" w:oddHBand="1" w:evenHBand="0" w:firstRowFirstColumn="0" w:firstRowLastColumn="0" w:lastRowFirstColumn="0" w:lastRowLastColumn="0"/>
              <w:rPr>
                <w:sz w:val="20"/>
                <w:szCs w:val="20"/>
              </w:rPr>
            </w:pPr>
            <w:r w:rsidRPr="000B39DE">
              <w:rPr>
                <w:sz w:val="20"/>
                <w:szCs w:val="20"/>
              </w:rPr>
              <w:t>162 (60.9)</w:t>
            </w:r>
          </w:p>
        </w:tc>
      </w:tr>
      <w:tr w:rsidR="002B55D9" w:rsidRPr="00E95270" w14:paraId="24A330DB" w14:textId="77777777" w:rsidTr="000B39DE">
        <w:tc>
          <w:tcPr>
            <w:cnfStyle w:val="001000000000" w:firstRow="0" w:lastRow="0" w:firstColumn="1" w:lastColumn="0" w:oddVBand="0" w:evenVBand="0" w:oddHBand="0" w:evenHBand="0" w:firstRowFirstColumn="0" w:firstRowLastColumn="0" w:lastRowFirstColumn="0" w:lastRowLastColumn="0"/>
            <w:tcW w:w="1418" w:type="dxa"/>
            <w:vMerge/>
            <w:hideMark/>
          </w:tcPr>
          <w:p w14:paraId="24A330D4" w14:textId="77777777" w:rsidR="002B55D9" w:rsidRPr="000B39DE" w:rsidRDefault="002B55D9" w:rsidP="00161C79">
            <w:pPr>
              <w:ind w:left="-108"/>
              <w:rPr>
                <w:sz w:val="20"/>
                <w:szCs w:val="20"/>
              </w:rPr>
            </w:pPr>
          </w:p>
        </w:tc>
        <w:tc>
          <w:tcPr>
            <w:tcW w:w="850" w:type="dxa"/>
            <w:hideMark/>
          </w:tcPr>
          <w:p w14:paraId="24A330D5" w14:textId="77777777" w:rsidR="002B55D9" w:rsidRPr="000B39DE" w:rsidRDefault="002B55D9" w:rsidP="00161C79">
            <w:pPr>
              <w:cnfStyle w:val="000000000000" w:firstRow="0" w:lastRow="0" w:firstColumn="0" w:lastColumn="0" w:oddVBand="0" w:evenVBand="0" w:oddHBand="0" w:evenHBand="0" w:firstRowFirstColumn="0" w:firstRowLastColumn="0" w:lastRowFirstColumn="0" w:lastRowLastColumn="0"/>
              <w:rPr>
                <w:sz w:val="20"/>
                <w:szCs w:val="20"/>
              </w:rPr>
            </w:pPr>
            <w:r w:rsidRPr="000B39DE">
              <w:rPr>
                <w:sz w:val="20"/>
                <w:szCs w:val="20"/>
              </w:rPr>
              <w:t>Total</w:t>
            </w:r>
          </w:p>
        </w:tc>
        <w:tc>
          <w:tcPr>
            <w:tcW w:w="709" w:type="dxa"/>
            <w:hideMark/>
          </w:tcPr>
          <w:p w14:paraId="24A330D6" w14:textId="77777777" w:rsidR="002B55D9" w:rsidRPr="000B39DE" w:rsidRDefault="002B55D9" w:rsidP="00161C79">
            <w:pPr>
              <w:cnfStyle w:val="000000000000" w:firstRow="0" w:lastRow="0" w:firstColumn="0" w:lastColumn="0" w:oddVBand="0" w:evenVBand="0" w:oddHBand="0" w:evenHBand="0" w:firstRowFirstColumn="0" w:firstRowLastColumn="0" w:lastRowFirstColumn="0" w:lastRowLastColumn="0"/>
              <w:rPr>
                <w:sz w:val="20"/>
                <w:szCs w:val="20"/>
              </w:rPr>
            </w:pPr>
            <w:r w:rsidRPr="000B39DE">
              <w:rPr>
                <w:sz w:val="20"/>
                <w:szCs w:val="20"/>
              </w:rPr>
              <w:t>266</w:t>
            </w:r>
          </w:p>
        </w:tc>
        <w:tc>
          <w:tcPr>
            <w:tcW w:w="1418" w:type="dxa"/>
            <w:hideMark/>
          </w:tcPr>
          <w:p w14:paraId="24A330D7" w14:textId="77777777" w:rsidR="002B55D9" w:rsidRPr="000B39DE" w:rsidRDefault="002B55D9" w:rsidP="00161C79">
            <w:pPr>
              <w:cnfStyle w:val="000000000000" w:firstRow="0" w:lastRow="0" w:firstColumn="0" w:lastColumn="0" w:oddVBand="0" w:evenVBand="0" w:oddHBand="0" w:evenHBand="0" w:firstRowFirstColumn="0" w:firstRowLastColumn="0" w:lastRowFirstColumn="0" w:lastRowLastColumn="0"/>
              <w:rPr>
                <w:sz w:val="20"/>
                <w:szCs w:val="20"/>
              </w:rPr>
            </w:pPr>
            <w:r w:rsidRPr="000B39DE">
              <w:rPr>
                <w:sz w:val="20"/>
                <w:szCs w:val="20"/>
              </w:rPr>
              <w:t>58 (21.8)</w:t>
            </w:r>
          </w:p>
        </w:tc>
        <w:tc>
          <w:tcPr>
            <w:tcW w:w="1559" w:type="dxa"/>
            <w:hideMark/>
          </w:tcPr>
          <w:p w14:paraId="24A330D8" w14:textId="77777777" w:rsidR="002B55D9" w:rsidRPr="000B39DE" w:rsidRDefault="002B55D9" w:rsidP="00161C79">
            <w:pPr>
              <w:cnfStyle w:val="000000000000" w:firstRow="0" w:lastRow="0" w:firstColumn="0" w:lastColumn="0" w:oddVBand="0" w:evenVBand="0" w:oddHBand="0" w:evenHBand="0" w:firstRowFirstColumn="0" w:firstRowLastColumn="0" w:lastRowFirstColumn="0" w:lastRowLastColumn="0"/>
              <w:rPr>
                <w:sz w:val="20"/>
                <w:szCs w:val="20"/>
              </w:rPr>
            </w:pPr>
            <w:r w:rsidRPr="000B39DE">
              <w:rPr>
                <w:sz w:val="20"/>
                <w:szCs w:val="20"/>
              </w:rPr>
              <w:t>46 (17.3)</w:t>
            </w:r>
          </w:p>
        </w:tc>
        <w:tc>
          <w:tcPr>
            <w:tcW w:w="1701" w:type="dxa"/>
            <w:hideMark/>
          </w:tcPr>
          <w:p w14:paraId="24A330D9" w14:textId="77777777" w:rsidR="002B55D9" w:rsidRPr="000B39DE" w:rsidRDefault="002B55D9" w:rsidP="00161C79">
            <w:pPr>
              <w:cnfStyle w:val="000000000000" w:firstRow="0" w:lastRow="0" w:firstColumn="0" w:lastColumn="0" w:oddVBand="0" w:evenVBand="0" w:oddHBand="0" w:evenHBand="0" w:firstRowFirstColumn="0" w:firstRowLastColumn="0" w:lastRowFirstColumn="0" w:lastRowLastColumn="0"/>
              <w:rPr>
                <w:sz w:val="20"/>
                <w:szCs w:val="20"/>
              </w:rPr>
            </w:pPr>
            <w:r w:rsidRPr="000B39DE">
              <w:rPr>
                <w:sz w:val="20"/>
                <w:szCs w:val="20"/>
              </w:rPr>
              <w:t>156 (58.6)</w:t>
            </w:r>
          </w:p>
        </w:tc>
        <w:tc>
          <w:tcPr>
            <w:tcW w:w="1560" w:type="dxa"/>
            <w:hideMark/>
          </w:tcPr>
          <w:p w14:paraId="24A330DA" w14:textId="77777777" w:rsidR="002B55D9" w:rsidRPr="000B39DE" w:rsidRDefault="002B55D9" w:rsidP="00161C79">
            <w:pPr>
              <w:cnfStyle w:val="000000000000" w:firstRow="0" w:lastRow="0" w:firstColumn="0" w:lastColumn="0" w:oddVBand="0" w:evenVBand="0" w:oddHBand="0" w:evenHBand="0" w:firstRowFirstColumn="0" w:firstRowLastColumn="0" w:lastRowFirstColumn="0" w:lastRowLastColumn="0"/>
              <w:rPr>
                <w:sz w:val="20"/>
                <w:szCs w:val="20"/>
              </w:rPr>
            </w:pPr>
            <w:r w:rsidRPr="000B39DE">
              <w:rPr>
                <w:sz w:val="20"/>
                <w:szCs w:val="20"/>
              </w:rPr>
              <w:t>185 (69.5)</w:t>
            </w:r>
          </w:p>
        </w:tc>
      </w:tr>
      <w:tr w:rsidR="002B55D9" w:rsidRPr="00E95270" w14:paraId="24A330E3" w14:textId="77777777" w:rsidTr="000B39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hideMark/>
          </w:tcPr>
          <w:p w14:paraId="24A330DC" w14:textId="53A29776" w:rsidR="002B55D9" w:rsidRPr="000B39DE" w:rsidRDefault="000B39DE" w:rsidP="00161C79">
            <w:pPr>
              <w:ind w:left="-108"/>
              <w:rPr>
                <w:sz w:val="20"/>
                <w:szCs w:val="20"/>
              </w:rPr>
            </w:pPr>
            <w:r>
              <w:rPr>
                <w:sz w:val="20"/>
                <w:szCs w:val="20"/>
              </w:rPr>
              <w:t>ARIP IMD 50/25MG</w:t>
            </w:r>
          </w:p>
        </w:tc>
        <w:tc>
          <w:tcPr>
            <w:tcW w:w="850" w:type="dxa"/>
            <w:hideMark/>
          </w:tcPr>
          <w:p w14:paraId="24A330DD" w14:textId="77777777" w:rsidR="002B55D9" w:rsidRPr="000B39DE" w:rsidRDefault="00485910" w:rsidP="00161C79">
            <w:pPr>
              <w:cnfStyle w:val="000000100000" w:firstRow="0" w:lastRow="0" w:firstColumn="0" w:lastColumn="0" w:oddVBand="0" w:evenVBand="0" w:oddHBand="1" w:evenHBand="0" w:firstRowFirstColumn="0" w:firstRowLastColumn="0" w:lastRowFirstColumn="0" w:lastRowLastColumn="0"/>
              <w:rPr>
                <w:sz w:val="20"/>
                <w:szCs w:val="20"/>
              </w:rPr>
            </w:pPr>
            <w:r w:rsidRPr="000B39DE">
              <w:rPr>
                <w:sz w:val="20"/>
                <w:szCs w:val="20"/>
              </w:rPr>
              <w:t>Phase III</w:t>
            </w:r>
          </w:p>
        </w:tc>
        <w:tc>
          <w:tcPr>
            <w:tcW w:w="709" w:type="dxa"/>
            <w:hideMark/>
          </w:tcPr>
          <w:p w14:paraId="24A330DE" w14:textId="77777777" w:rsidR="002B55D9" w:rsidRPr="000B39DE" w:rsidRDefault="002B55D9" w:rsidP="00161C79">
            <w:pPr>
              <w:cnfStyle w:val="000000100000" w:firstRow="0" w:lastRow="0" w:firstColumn="0" w:lastColumn="0" w:oddVBand="0" w:evenVBand="0" w:oddHBand="1" w:evenHBand="0" w:firstRowFirstColumn="0" w:firstRowLastColumn="0" w:lastRowFirstColumn="0" w:lastRowLastColumn="0"/>
              <w:rPr>
                <w:sz w:val="20"/>
                <w:szCs w:val="20"/>
              </w:rPr>
            </w:pPr>
            <w:r w:rsidRPr="000B39DE">
              <w:rPr>
                <w:sz w:val="20"/>
                <w:szCs w:val="20"/>
              </w:rPr>
              <w:t>131</w:t>
            </w:r>
          </w:p>
        </w:tc>
        <w:tc>
          <w:tcPr>
            <w:tcW w:w="1418" w:type="dxa"/>
            <w:hideMark/>
          </w:tcPr>
          <w:p w14:paraId="24A330DF" w14:textId="77777777" w:rsidR="002B55D9" w:rsidRPr="000B39DE" w:rsidRDefault="002B55D9" w:rsidP="00161C79">
            <w:pPr>
              <w:cnfStyle w:val="000000100000" w:firstRow="0" w:lastRow="0" w:firstColumn="0" w:lastColumn="0" w:oddVBand="0" w:evenVBand="0" w:oddHBand="1" w:evenHBand="0" w:firstRowFirstColumn="0" w:firstRowLastColumn="0" w:lastRowFirstColumn="0" w:lastRowLastColumn="0"/>
              <w:rPr>
                <w:sz w:val="20"/>
                <w:szCs w:val="20"/>
              </w:rPr>
            </w:pPr>
            <w:r w:rsidRPr="000B39DE">
              <w:rPr>
                <w:sz w:val="20"/>
                <w:szCs w:val="20"/>
              </w:rPr>
              <w:t>15 (11.5)</w:t>
            </w:r>
          </w:p>
        </w:tc>
        <w:tc>
          <w:tcPr>
            <w:tcW w:w="1559" w:type="dxa"/>
            <w:hideMark/>
          </w:tcPr>
          <w:p w14:paraId="24A330E0" w14:textId="77777777" w:rsidR="002B55D9" w:rsidRPr="000B39DE" w:rsidRDefault="002B55D9" w:rsidP="00161C79">
            <w:pPr>
              <w:cnfStyle w:val="000000100000" w:firstRow="0" w:lastRow="0" w:firstColumn="0" w:lastColumn="0" w:oddVBand="0" w:evenVBand="0" w:oddHBand="1" w:evenHBand="0" w:firstRowFirstColumn="0" w:firstRowLastColumn="0" w:lastRowFirstColumn="0" w:lastRowLastColumn="0"/>
              <w:rPr>
                <w:sz w:val="20"/>
                <w:szCs w:val="20"/>
              </w:rPr>
            </w:pPr>
            <w:r w:rsidRPr="000B39DE">
              <w:rPr>
                <w:sz w:val="20"/>
                <w:szCs w:val="20"/>
              </w:rPr>
              <w:t>18 (13.7)</w:t>
            </w:r>
          </w:p>
        </w:tc>
        <w:tc>
          <w:tcPr>
            <w:tcW w:w="1701" w:type="dxa"/>
            <w:hideMark/>
          </w:tcPr>
          <w:p w14:paraId="24A330E1" w14:textId="77777777" w:rsidR="002B55D9" w:rsidRPr="000B39DE" w:rsidRDefault="002B55D9" w:rsidP="00161C79">
            <w:pPr>
              <w:cnfStyle w:val="000000100000" w:firstRow="0" w:lastRow="0" w:firstColumn="0" w:lastColumn="0" w:oddVBand="0" w:evenVBand="0" w:oddHBand="1" w:evenHBand="0" w:firstRowFirstColumn="0" w:firstRowLastColumn="0" w:lastRowFirstColumn="0" w:lastRowLastColumn="0"/>
              <w:rPr>
                <w:sz w:val="20"/>
                <w:szCs w:val="20"/>
              </w:rPr>
            </w:pPr>
            <w:r w:rsidRPr="000B39DE">
              <w:rPr>
                <w:sz w:val="20"/>
                <w:szCs w:val="20"/>
              </w:rPr>
              <w:t>75 (57.3)</w:t>
            </w:r>
          </w:p>
        </w:tc>
        <w:tc>
          <w:tcPr>
            <w:tcW w:w="1560" w:type="dxa"/>
            <w:hideMark/>
          </w:tcPr>
          <w:p w14:paraId="24A330E2" w14:textId="77777777" w:rsidR="002B55D9" w:rsidRPr="000B39DE" w:rsidRDefault="002B55D9" w:rsidP="00161C79">
            <w:pPr>
              <w:cnfStyle w:val="000000100000" w:firstRow="0" w:lastRow="0" w:firstColumn="0" w:lastColumn="0" w:oddVBand="0" w:evenVBand="0" w:oddHBand="1" w:evenHBand="0" w:firstRowFirstColumn="0" w:firstRowLastColumn="0" w:lastRowFirstColumn="0" w:lastRowLastColumn="0"/>
              <w:rPr>
                <w:sz w:val="20"/>
                <w:szCs w:val="20"/>
              </w:rPr>
            </w:pPr>
            <w:r w:rsidRPr="000B39DE">
              <w:rPr>
                <w:sz w:val="20"/>
                <w:szCs w:val="20"/>
              </w:rPr>
              <w:t>90 (68.7)</w:t>
            </w:r>
          </w:p>
        </w:tc>
      </w:tr>
      <w:tr w:rsidR="002B55D9" w:rsidRPr="00E95270" w14:paraId="24A330EB" w14:textId="77777777" w:rsidTr="000B39DE">
        <w:tc>
          <w:tcPr>
            <w:cnfStyle w:val="001000000000" w:firstRow="0" w:lastRow="0" w:firstColumn="1" w:lastColumn="0" w:oddVBand="0" w:evenVBand="0" w:oddHBand="0" w:evenHBand="0" w:firstRowFirstColumn="0" w:firstRowLastColumn="0" w:lastRowFirstColumn="0" w:lastRowLastColumn="0"/>
            <w:tcW w:w="1418" w:type="dxa"/>
            <w:vMerge/>
            <w:hideMark/>
          </w:tcPr>
          <w:p w14:paraId="24A330E4" w14:textId="77777777" w:rsidR="002B55D9" w:rsidRPr="000B39DE" w:rsidRDefault="002B55D9" w:rsidP="00161C79">
            <w:pPr>
              <w:ind w:left="-108"/>
              <w:rPr>
                <w:sz w:val="20"/>
                <w:szCs w:val="20"/>
              </w:rPr>
            </w:pPr>
          </w:p>
        </w:tc>
        <w:tc>
          <w:tcPr>
            <w:tcW w:w="850" w:type="dxa"/>
            <w:hideMark/>
          </w:tcPr>
          <w:p w14:paraId="24A330E5" w14:textId="77777777" w:rsidR="002B55D9" w:rsidRPr="000B39DE" w:rsidRDefault="002B55D9" w:rsidP="00161C79">
            <w:pPr>
              <w:cnfStyle w:val="000000000000" w:firstRow="0" w:lastRow="0" w:firstColumn="0" w:lastColumn="0" w:oddVBand="0" w:evenVBand="0" w:oddHBand="0" w:evenHBand="0" w:firstRowFirstColumn="0" w:firstRowLastColumn="0" w:lastRowFirstColumn="0" w:lastRowLastColumn="0"/>
              <w:rPr>
                <w:sz w:val="20"/>
                <w:szCs w:val="20"/>
              </w:rPr>
            </w:pPr>
            <w:r w:rsidRPr="000B39DE">
              <w:rPr>
                <w:sz w:val="20"/>
                <w:szCs w:val="20"/>
              </w:rPr>
              <w:t>Total</w:t>
            </w:r>
          </w:p>
        </w:tc>
        <w:tc>
          <w:tcPr>
            <w:tcW w:w="709" w:type="dxa"/>
            <w:hideMark/>
          </w:tcPr>
          <w:p w14:paraId="24A330E6" w14:textId="77777777" w:rsidR="002B55D9" w:rsidRPr="000B39DE" w:rsidRDefault="002B55D9" w:rsidP="00161C79">
            <w:pPr>
              <w:cnfStyle w:val="000000000000" w:firstRow="0" w:lastRow="0" w:firstColumn="0" w:lastColumn="0" w:oddVBand="0" w:evenVBand="0" w:oddHBand="0" w:evenHBand="0" w:firstRowFirstColumn="0" w:firstRowLastColumn="0" w:lastRowFirstColumn="0" w:lastRowLastColumn="0"/>
              <w:rPr>
                <w:sz w:val="20"/>
                <w:szCs w:val="20"/>
              </w:rPr>
            </w:pPr>
            <w:r w:rsidRPr="000B39DE">
              <w:rPr>
                <w:sz w:val="20"/>
                <w:szCs w:val="20"/>
              </w:rPr>
              <w:t>131</w:t>
            </w:r>
          </w:p>
        </w:tc>
        <w:tc>
          <w:tcPr>
            <w:tcW w:w="1418" w:type="dxa"/>
            <w:hideMark/>
          </w:tcPr>
          <w:p w14:paraId="24A330E7" w14:textId="77777777" w:rsidR="002B55D9" w:rsidRPr="000B39DE" w:rsidRDefault="002B55D9" w:rsidP="00161C79">
            <w:pPr>
              <w:cnfStyle w:val="000000000000" w:firstRow="0" w:lastRow="0" w:firstColumn="0" w:lastColumn="0" w:oddVBand="0" w:evenVBand="0" w:oddHBand="0" w:evenHBand="0" w:firstRowFirstColumn="0" w:firstRowLastColumn="0" w:lastRowFirstColumn="0" w:lastRowLastColumn="0"/>
              <w:rPr>
                <w:sz w:val="20"/>
                <w:szCs w:val="20"/>
              </w:rPr>
            </w:pPr>
            <w:r w:rsidRPr="000B39DE">
              <w:rPr>
                <w:sz w:val="20"/>
                <w:szCs w:val="20"/>
              </w:rPr>
              <w:t>21 (16.0)</w:t>
            </w:r>
          </w:p>
        </w:tc>
        <w:tc>
          <w:tcPr>
            <w:tcW w:w="1559" w:type="dxa"/>
            <w:hideMark/>
          </w:tcPr>
          <w:p w14:paraId="24A330E8" w14:textId="77777777" w:rsidR="002B55D9" w:rsidRPr="000B39DE" w:rsidRDefault="002B55D9" w:rsidP="00161C79">
            <w:pPr>
              <w:cnfStyle w:val="000000000000" w:firstRow="0" w:lastRow="0" w:firstColumn="0" w:lastColumn="0" w:oddVBand="0" w:evenVBand="0" w:oddHBand="0" w:evenHBand="0" w:firstRowFirstColumn="0" w:firstRowLastColumn="0" w:lastRowFirstColumn="0" w:lastRowLastColumn="0"/>
              <w:rPr>
                <w:sz w:val="20"/>
                <w:szCs w:val="20"/>
              </w:rPr>
            </w:pPr>
            <w:r w:rsidRPr="000B39DE">
              <w:rPr>
                <w:sz w:val="20"/>
                <w:szCs w:val="20"/>
              </w:rPr>
              <w:t>27 (20.6)</w:t>
            </w:r>
          </w:p>
        </w:tc>
        <w:tc>
          <w:tcPr>
            <w:tcW w:w="1701" w:type="dxa"/>
            <w:hideMark/>
          </w:tcPr>
          <w:p w14:paraId="24A330E9" w14:textId="77777777" w:rsidR="002B55D9" w:rsidRPr="000B39DE" w:rsidRDefault="002B55D9" w:rsidP="00161C79">
            <w:pPr>
              <w:cnfStyle w:val="000000000000" w:firstRow="0" w:lastRow="0" w:firstColumn="0" w:lastColumn="0" w:oddVBand="0" w:evenVBand="0" w:oddHBand="0" w:evenHBand="0" w:firstRowFirstColumn="0" w:firstRowLastColumn="0" w:lastRowFirstColumn="0" w:lastRowLastColumn="0"/>
              <w:rPr>
                <w:sz w:val="20"/>
                <w:szCs w:val="20"/>
              </w:rPr>
            </w:pPr>
            <w:r w:rsidRPr="000B39DE">
              <w:rPr>
                <w:sz w:val="20"/>
                <w:szCs w:val="20"/>
              </w:rPr>
              <w:t>85 (64.9)</w:t>
            </w:r>
          </w:p>
        </w:tc>
        <w:tc>
          <w:tcPr>
            <w:tcW w:w="1560" w:type="dxa"/>
            <w:hideMark/>
          </w:tcPr>
          <w:p w14:paraId="24A330EA" w14:textId="77777777" w:rsidR="002B55D9" w:rsidRPr="000B39DE" w:rsidRDefault="002B55D9" w:rsidP="00161C79">
            <w:pPr>
              <w:cnfStyle w:val="000000000000" w:firstRow="0" w:lastRow="0" w:firstColumn="0" w:lastColumn="0" w:oddVBand="0" w:evenVBand="0" w:oddHBand="0" w:evenHBand="0" w:firstRowFirstColumn="0" w:firstRowLastColumn="0" w:lastRowFirstColumn="0" w:lastRowLastColumn="0"/>
              <w:rPr>
                <w:sz w:val="20"/>
                <w:szCs w:val="20"/>
              </w:rPr>
            </w:pPr>
            <w:r w:rsidRPr="000B39DE">
              <w:rPr>
                <w:sz w:val="20"/>
                <w:szCs w:val="20"/>
              </w:rPr>
              <w:t>100 (76.3)</w:t>
            </w:r>
          </w:p>
        </w:tc>
      </w:tr>
    </w:tbl>
    <w:p w14:paraId="24A330EC" w14:textId="42DCD795" w:rsidR="002B55D9" w:rsidRPr="00B962D7" w:rsidRDefault="002B55D9" w:rsidP="000B39DE">
      <w:pPr>
        <w:pStyle w:val="TableDescription"/>
      </w:pPr>
      <w:r w:rsidRPr="00B962D7">
        <w:t xml:space="preserve">¹N is the total </w:t>
      </w:r>
      <w:r w:rsidRPr="000B39DE">
        <w:t>number</w:t>
      </w:r>
      <w:r w:rsidRPr="00B962D7">
        <w:t xml:space="preserve"> of subjects randomized into the specified </w:t>
      </w:r>
      <w:r w:rsidR="0053374E">
        <w:t>Phase III</w:t>
      </w:r>
      <w:r w:rsidRPr="00B962D7">
        <w:t xml:space="preserve"> treatment group.</w:t>
      </w:r>
      <w:r w:rsidR="00142469">
        <w:t xml:space="preserve"> </w:t>
      </w:r>
      <w:r w:rsidRPr="00B962D7">
        <w:t>²n is the number of subjects with protocol deviation; the denominator for percentage calculation is N.</w:t>
      </w:r>
    </w:p>
    <w:p w14:paraId="24A330ED" w14:textId="77777777" w:rsidR="002B55D9" w:rsidRPr="004B259C" w:rsidRDefault="002B55D9" w:rsidP="00142469">
      <w:pPr>
        <w:pStyle w:val="Heading6"/>
      </w:pPr>
      <w:r w:rsidRPr="004B259C">
        <w:lastRenderedPageBreak/>
        <w:t>Baseline data</w:t>
      </w:r>
    </w:p>
    <w:p w14:paraId="24A330EE" w14:textId="77777777" w:rsidR="002B55D9" w:rsidRDefault="002B55D9" w:rsidP="002B55D9">
      <w:pPr>
        <w:autoSpaceDE w:val="0"/>
        <w:autoSpaceDN w:val="0"/>
        <w:adjustRightInd w:val="0"/>
      </w:pPr>
      <w:r>
        <w:t>Most subjects randomized were male (406/662, 61.3%), Caucasian (387/662, 58.5%), and non-Hispanic/Latino (564/662, 85.2%). The percentages of Black or African American and Asian subjects were 23.1% (153/662 subjects) and 10.4% (69/662 subjects), respectively. The mean age was 41.2 years (range, 18 to 60 years) and mean BMI was 28.8 kg/m</w:t>
      </w:r>
      <w:r w:rsidRPr="00411C1F">
        <w:rPr>
          <w:vertAlign w:val="superscript"/>
        </w:rPr>
        <w:t>2</w:t>
      </w:r>
      <w:r>
        <w:t xml:space="preserve"> (range, 17.3 to 57.6 kg/m</w:t>
      </w:r>
      <w:r w:rsidRPr="00411C1F">
        <w:rPr>
          <w:vertAlign w:val="superscript"/>
        </w:rPr>
        <w:t>2</w:t>
      </w:r>
      <w:r>
        <w:t>).</w:t>
      </w:r>
      <w:r w:rsidRPr="00411C1F">
        <w:t xml:space="preserve"> </w:t>
      </w:r>
      <w:r>
        <w:t>Demographics were similar among the 3 treatment groups.</w:t>
      </w:r>
    </w:p>
    <w:p w14:paraId="24A330EF" w14:textId="77777777" w:rsidR="002B55D9" w:rsidRPr="004B259C" w:rsidRDefault="002B55D9" w:rsidP="00142469">
      <w:pPr>
        <w:pStyle w:val="Heading5"/>
      </w:pPr>
      <w:r w:rsidRPr="004B259C">
        <w:t>Results for the primary efficacy outcome</w:t>
      </w:r>
    </w:p>
    <w:p w14:paraId="24A330F0" w14:textId="77777777" w:rsidR="002B55D9" w:rsidRDefault="002B55D9" w:rsidP="00702F20">
      <w:r w:rsidRPr="00C66A88">
        <w:t>The</w:t>
      </w:r>
      <w:r>
        <w:t xml:space="preserve"> </w:t>
      </w:r>
      <w:r w:rsidRPr="00D07E62">
        <w:rPr>
          <w:b/>
        </w:rPr>
        <w:t>new primary endpoint</w:t>
      </w:r>
      <w:r>
        <w:t xml:space="preserve"> of the estimated proportion of subjects experiencing impending relapse by end of Week 26 was 7.12% in the </w:t>
      </w:r>
      <w:proofErr w:type="spellStart"/>
      <w:r>
        <w:t>aripiprazole</w:t>
      </w:r>
      <w:proofErr w:type="spellEnd"/>
      <w:r>
        <w:t xml:space="preserve"> IM depot 400/30</w:t>
      </w:r>
      <w:r w:rsidR="002C1F46">
        <w:t>0 mg</w:t>
      </w:r>
      <w:r>
        <w:t xml:space="preserve"> group and 7.76% in the oral </w:t>
      </w:r>
      <w:proofErr w:type="spellStart"/>
      <w:r>
        <w:t>aripiprazole</w:t>
      </w:r>
      <w:proofErr w:type="spellEnd"/>
      <w:r>
        <w:t xml:space="preserve"> tablets 10-3</w:t>
      </w:r>
      <w:r w:rsidR="002C1F46">
        <w:t>0 mg</w:t>
      </w:r>
      <w:r>
        <w:t xml:space="preserve"> group, a difference of −0.64%. The 95% CI (−5.26, 3.99) for the difference in the estimated proportion of subjects experiencing impending relapse by end of Week 26 excluded the predefined non-inferiority margin, 11.5%. Based on which </w:t>
      </w:r>
      <w:proofErr w:type="spellStart"/>
      <w:r>
        <w:t>aripiprazole</w:t>
      </w:r>
      <w:proofErr w:type="spellEnd"/>
      <w:r>
        <w:t xml:space="preserve"> IM depot 400/30</w:t>
      </w:r>
      <w:r w:rsidR="002C1F46">
        <w:t>0 mg</w:t>
      </w:r>
      <w:r>
        <w:t xml:space="preserve"> is non-inferior to the </w:t>
      </w:r>
      <w:proofErr w:type="spellStart"/>
      <w:r>
        <w:t>aripiprazole</w:t>
      </w:r>
      <w:proofErr w:type="spellEnd"/>
      <w:r>
        <w:t xml:space="preserve"> oral tablets 10-3</w:t>
      </w:r>
      <w:r w:rsidR="002C1F46">
        <w:t>0 mg</w:t>
      </w:r>
      <w:r>
        <w:t xml:space="preserve"> formulation.</w:t>
      </w:r>
    </w:p>
    <w:p w14:paraId="24A330F1" w14:textId="77777777" w:rsidR="002B55D9" w:rsidRDefault="002B55D9" w:rsidP="00702F20">
      <w:r>
        <w:t>When the</w:t>
      </w:r>
      <w:r w:rsidRPr="00C66A88">
        <w:t xml:space="preserve"> </w:t>
      </w:r>
      <w:proofErr w:type="spellStart"/>
      <w:r>
        <w:t>unblinded</w:t>
      </w:r>
      <w:proofErr w:type="spellEnd"/>
      <w:r>
        <w:t xml:space="preserve"> and duplicate-entry subjects are excluded the treatment difference between the </w:t>
      </w:r>
      <w:proofErr w:type="spellStart"/>
      <w:r>
        <w:t>aripiprazole</w:t>
      </w:r>
      <w:proofErr w:type="spellEnd"/>
      <w:r>
        <w:t xml:space="preserve"> IM depot 400/30</w:t>
      </w:r>
      <w:r w:rsidR="002C1F46">
        <w:t>0 mg</w:t>
      </w:r>
      <w:r>
        <w:t xml:space="preserve"> group and the oral </w:t>
      </w:r>
      <w:proofErr w:type="spellStart"/>
      <w:r>
        <w:t>aripiprazole</w:t>
      </w:r>
      <w:proofErr w:type="spellEnd"/>
      <w:r>
        <w:t xml:space="preserve"> tablets group in the estimated proportion of subjects experiencing impending relapse by end of Week 26 was −1.50 (in favour of the </w:t>
      </w:r>
      <w:proofErr w:type="spellStart"/>
      <w:r>
        <w:t>aripiprazole</w:t>
      </w:r>
      <w:proofErr w:type="spellEnd"/>
      <w:r>
        <w:t xml:space="preserve"> IM depot 400/30</w:t>
      </w:r>
      <w:r w:rsidR="002C1F46">
        <w:t>0 mg</w:t>
      </w:r>
      <w:r>
        <w:t xml:space="preserve"> group), and the 95% CI for the difference was −6.01, 3.02, which excluded the predefined non-inferiority margin, 11.5%.</w:t>
      </w:r>
    </w:p>
    <w:p w14:paraId="24A330F2" w14:textId="7A0DB19C" w:rsidR="002B55D9" w:rsidRDefault="002B55D9" w:rsidP="00702F20">
      <w:r>
        <w:t xml:space="preserve">The proportion of subjects experiencing impending relapse by end of Week 26 for the </w:t>
      </w:r>
      <w:proofErr w:type="spellStart"/>
      <w:r>
        <w:t>aripiprazole</w:t>
      </w:r>
      <w:proofErr w:type="spellEnd"/>
      <w:r>
        <w:t xml:space="preserve"> IM depot 400/30</w:t>
      </w:r>
      <w:r w:rsidR="002C1F46">
        <w:t>0 mg</w:t>
      </w:r>
      <w:r>
        <w:t xml:space="preserve"> group was 7.12%, which was statistically significantly lower than that in the </w:t>
      </w:r>
      <w:proofErr w:type="spellStart"/>
      <w:r>
        <w:t>aripiprazole</w:t>
      </w:r>
      <w:proofErr w:type="spellEnd"/>
      <w:r>
        <w:t xml:space="preserve"> IM depot 50/2</w:t>
      </w:r>
      <w:r w:rsidR="00702F20">
        <w:t>5mg group (21.80%; p = 0.0006).</w:t>
      </w:r>
    </w:p>
    <w:p w14:paraId="24A330F3" w14:textId="77777777" w:rsidR="002B55D9" w:rsidRDefault="002B55D9" w:rsidP="00702F20">
      <w:r>
        <w:t xml:space="preserve">The </w:t>
      </w:r>
      <w:r w:rsidRPr="00D07E62">
        <w:rPr>
          <w:b/>
        </w:rPr>
        <w:t>original primary endpoint</w:t>
      </w:r>
      <w:r>
        <w:t xml:space="preserve"> required first to show statistical superiority of IM depot 400/30</w:t>
      </w:r>
      <w:r w:rsidR="002C1F46">
        <w:t>0 mg</w:t>
      </w:r>
      <w:r>
        <w:t xml:space="preserve"> over IM depot 50/25mg group (HR.317 95%CI 0.182, 0.552; p &lt; 0.0001), then non-inferiority of IM depot 400/30</w:t>
      </w:r>
      <w:r w:rsidR="002C1F46">
        <w:t>0 mg</w:t>
      </w:r>
      <w:r>
        <w:t xml:space="preserve"> to oral tablets 10-3</w:t>
      </w:r>
      <w:r w:rsidR="002C1F46">
        <w:t>0 mg</w:t>
      </w:r>
      <w:r>
        <w:t xml:space="preserve"> could be tested.</w:t>
      </w:r>
      <w:r>
        <w:rPr>
          <w:rStyle w:val="FootnoteReference"/>
        </w:rPr>
        <w:footnoteReference w:id="34"/>
      </w:r>
      <w:r>
        <w:t xml:space="preserve"> </w:t>
      </w:r>
      <w:r w:rsidRPr="00B265E8">
        <w:t>If the upper bound of th</w:t>
      </w:r>
      <w:r>
        <w:t>e HR</w:t>
      </w:r>
      <w:r w:rsidRPr="00B265E8">
        <w:t xml:space="preserve"> </w:t>
      </w:r>
      <w:r>
        <w:t>CI was</w:t>
      </w:r>
      <w:r w:rsidRPr="00B265E8">
        <w:t xml:space="preserve"> lower than 1.68, then non-inferiority </w:t>
      </w:r>
      <w:r>
        <w:t xml:space="preserve">of </w:t>
      </w:r>
      <w:proofErr w:type="spellStart"/>
      <w:r>
        <w:t>aripiprazole</w:t>
      </w:r>
      <w:proofErr w:type="spellEnd"/>
      <w:r>
        <w:t xml:space="preserve"> IM depot (400</w:t>
      </w:r>
      <w:r w:rsidRPr="00B265E8">
        <w:t xml:space="preserve"> or 30</w:t>
      </w:r>
      <w:r w:rsidR="002C1F46">
        <w:t>0 mg</w:t>
      </w:r>
      <w:r w:rsidRPr="00B265E8">
        <w:t xml:space="preserve">) to oral </w:t>
      </w:r>
      <w:proofErr w:type="spellStart"/>
      <w:r w:rsidRPr="00B265E8">
        <w:t>aripiprazole</w:t>
      </w:r>
      <w:proofErr w:type="spellEnd"/>
      <w:r w:rsidRPr="00B265E8">
        <w:t xml:space="preserve"> </w:t>
      </w:r>
      <w:r>
        <w:t>could</w:t>
      </w:r>
      <w:r w:rsidRPr="00B265E8">
        <w:t xml:space="preserve"> be declared.</w:t>
      </w:r>
      <w:r>
        <w:t xml:space="preserve"> The upper bound for the </w:t>
      </w:r>
      <w:r w:rsidRPr="00D07E62">
        <w:rPr>
          <w:b/>
        </w:rPr>
        <w:t>original primary objective and endpoint</w:t>
      </w:r>
      <w:r>
        <w:t xml:space="preserve"> did exceed 1.68 (0.991, 95% CI 0.545, 1.803; p = 0.9920).</w:t>
      </w:r>
    </w:p>
    <w:p w14:paraId="24A330F4" w14:textId="08DFE8C2" w:rsidR="002B55D9" w:rsidRDefault="002B55D9" w:rsidP="00702F20">
      <w:pPr>
        <w:pStyle w:val="TableTitle"/>
      </w:pPr>
      <w:bookmarkStart w:id="155" w:name="_Toc381104334"/>
      <w:r>
        <w:t xml:space="preserve">Table </w:t>
      </w:r>
      <w:r w:rsidR="00383AAD">
        <w:t>16</w:t>
      </w:r>
      <w:r w:rsidR="00142469">
        <w:rPr>
          <w:noProof/>
        </w:rPr>
        <w:t>.</w:t>
      </w:r>
      <w:r>
        <w:t xml:space="preserve"> Analysis of </w:t>
      </w:r>
      <w:r w:rsidR="00702F20">
        <w:t>p</w:t>
      </w:r>
      <w:r>
        <w:t xml:space="preserve">roportion of </w:t>
      </w:r>
      <w:r w:rsidR="00702F20">
        <w:t>s</w:t>
      </w:r>
      <w:r>
        <w:t xml:space="preserve">ubjects with </w:t>
      </w:r>
      <w:r w:rsidR="00702F20">
        <w:t>i</w:t>
      </w:r>
      <w:r>
        <w:t xml:space="preserve">mpending </w:t>
      </w:r>
      <w:r w:rsidR="00702F20">
        <w:t>r</w:t>
      </w:r>
      <w:r>
        <w:t xml:space="preserve">elapse by </w:t>
      </w:r>
      <w:r w:rsidR="00702F20">
        <w:t>e</w:t>
      </w:r>
      <w:r>
        <w:t xml:space="preserve">nd of </w:t>
      </w:r>
      <w:r w:rsidR="00702F20">
        <w:t>w</w:t>
      </w:r>
      <w:r>
        <w:t>eek 26 (</w:t>
      </w:r>
      <w:r w:rsidR="00702F20">
        <w:t>d</w:t>
      </w:r>
      <w:r>
        <w:t xml:space="preserve">ouble-blind, </w:t>
      </w:r>
      <w:r w:rsidR="00702F20">
        <w:t>a</w:t>
      </w:r>
      <w:r>
        <w:t xml:space="preserve">ctive-controlled </w:t>
      </w:r>
      <w:r w:rsidR="00702F20">
        <w:t>p</w:t>
      </w:r>
      <w:r>
        <w:t xml:space="preserve">hase </w:t>
      </w:r>
      <w:r w:rsidR="00702F20">
        <w:t>e</w:t>
      </w:r>
      <w:r>
        <w:t xml:space="preserve">fficacy </w:t>
      </w:r>
      <w:r w:rsidR="00702F20">
        <w:t>s</w:t>
      </w:r>
      <w:r>
        <w:t>ample)</w:t>
      </w:r>
      <w:bookmarkEnd w:id="155"/>
    </w:p>
    <w:p w14:paraId="24A330F5" w14:textId="77777777" w:rsidR="002B55D9" w:rsidRPr="009E51A3" w:rsidRDefault="002B55D9" w:rsidP="00702F20">
      <w:r w:rsidRPr="009E51A3">
        <w:rPr>
          <w:noProof/>
          <w:lang w:eastAsia="en-AU"/>
        </w:rPr>
        <w:drawing>
          <wp:inline distT="0" distB="0" distL="0" distR="0" wp14:anchorId="24A3325C" wp14:editId="251D05EC">
            <wp:extent cx="5895975" cy="1400149"/>
            <wp:effectExtent l="19050" t="19050" r="9525" b="10160"/>
            <wp:docPr id="129" name="Picture 13" descr="Table 16. Analysis of proportion of subjects with impending relapse by end of week 26 (double-blind, active-controlled phase efficacy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6" cstate="print"/>
                    <a:srcRect l="1154" t="4271" r="342"/>
                    <a:stretch/>
                  </pic:blipFill>
                  <pic:spPr bwMode="auto">
                    <a:xfrm>
                      <a:off x="0" y="0"/>
                      <a:ext cx="5895917" cy="1400135"/>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24A330F6" w14:textId="6EBA11C0" w:rsidR="00A344B7" w:rsidRDefault="002B55D9" w:rsidP="00B82B11">
      <w:pPr>
        <w:pStyle w:val="TableDescription"/>
      </w:pPr>
      <w:r w:rsidRPr="009E51A3">
        <w:rPr>
          <w:vertAlign w:val="superscript"/>
        </w:rPr>
        <w:t xml:space="preserve">a </w:t>
      </w:r>
      <w:r w:rsidRPr="009E51A3">
        <w:t>The summary statistics are based on all available relapse data for all subjects in the efficacy sample.</w:t>
      </w:r>
      <w:r w:rsidR="00142469">
        <w:t xml:space="preserve"> </w:t>
      </w:r>
      <w:r w:rsidRPr="009E51A3">
        <w:rPr>
          <w:vertAlign w:val="superscript"/>
        </w:rPr>
        <w:t>b</w:t>
      </w:r>
      <w:r w:rsidRPr="009E51A3">
        <w:t xml:space="preserve"> Relapse rates are estimated </w:t>
      </w:r>
      <w:r w:rsidRPr="00B82B11">
        <w:t>from</w:t>
      </w:r>
      <w:r w:rsidRPr="009E51A3">
        <w:t xml:space="preserve"> the Kaplan-Meier curves for time to impending relapse at Day 182 (Week 26) and SEs were calculated using Greenwood’s formula.</w:t>
      </w:r>
      <w:r w:rsidR="00142469">
        <w:t xml:space="preserve"> </w:t>
      </w:r>
      <w:r w:rsidRPr="009E51A3">
        <w:rPr>
          <w:vertAlign w:val="superscript"/>
        </w:rPr>
        <w:t>c</w:t>
      </w:r>
      <w:r w:rsidRPr="009E51A3">
        <w:t xml:space="preserve"> Difference = estimated relapse rate for </w:t>
      </w:r>
      <w:proofErr w:type="spellStart"/>
      <w:r w:rsidRPr="009E51A3">
        <w:t>aripiprazole</w:t>
      </w:r>
      <w:proofErr w:type="spellEnd"/>
      <w:r w:rsidRPr="009E51A3">
        <w:t xml:space="preserve"> IM depot 40</w:t>
      </w:r>
      <w:r w:rsidR="002C1F46">
        <w:t>0 mg</w:t>
      </w:r>
      <w:r w:rsidRPr="009E51A3">
        <w:t>/30</w:t>
      </w:r>
      <w:r w:rsidR="002C1F46">
        <w:t>0 mg</w:t>
      </w:r>
      <w:r w:rsidRPr="009E51A3">
        <w:t xml:space="preserve"> group minus estimated relapse rate for the oral </w:t>
      </w:r>
      <w:proofErr w:type="spellStart"/>
      <w:r w:rsidRPr="009E51A3">
        <w:t>aripiprazole</w:t>
      </w:r>
      <w:proofErr w:type="spellEnd"/>
      <w:r w:rsidRPr="009E51A3">
        <w:t xml:space="preserve"> tablets 10-3</w:t>
      </w:r>
      <w:r w:rsidR="002C1F46">
        <w:t>0 mg</w:t>
      </w:r>
      <w:r w:rsidRPr="009E51A3">
        <w:t xml:space="preserve"> group in the non-inferiority test, or </w:t>
      </w:r>
      <w:proofErr w:type="spellStart"/>
      <w:r w:rsidRPr="009E51A3">
        <w:t>aripiprazole</w:t>
      </w:r>
      <w:proofErr w:type="spellEnd"/>
      <w:r w:rsidRPr="009E51A3">
        <w:t xml:space="preserve"> IM depot 5</w:t>
      </w:r>
      <w:r w:rsidR="002C1F46">
        <w:t>0 mg</w:t>
      </w:r>
      <w:r w:rsidRPr="009E51A3">
        <w:t>/25</w:t>
      </w:r>
      <w:r>
        <w:t>mg</w:t>
      </w:r>
      <w:r w:rsidRPr="009E51A3">
        <w:t xml:space="preserve"> in the superiority test.</w:t>
      </w:r>
      <w:r w:rsidR="00B82B11">
        <w:t xml:space="preserve"> </w:t>
      </w:r>
      <w:r w:rsidRPr="009E51A3">
        <w:rPr>
          <w:vertAlign w:val="superscript"/>
        </w:rPr>
        <w:t>d</w:t>
      </w:r>
      <w:r w:rsidRPr="009E51A3">
        <w:t xml:space="preserve"> P-values were derived using z-statistics.</w:t>
      </w:r>
      <w:r w:rsidR="00142469">
        <w:t xml:space="preserve"> </w:t>
      </w:r>
      <w:r w:rsidRPr="009E51A3">
        <w:rPr>
          <w:vertAlign w:val="superscript"/>
        </w:rPr>
        <w:t>e</w:t>
      </w:r>
      <w:r w:rsidRPr="009E51A3">
        <w:t xml:space="preserve"> Superiority comparison was done to test assay sensitivity for the non</w:t>
      </w:r>
      <w:bookmarkStart w:id="156" w:name="_Toc381104335"/>
      <w:r w:rsidR="00A344B7">
        <w:t>-inferiority study design.</w:t>
      </w:r>
    </w:p>
    <w:p w14:paraId="24A330F7" w14:textId="76B4B5F1" w:rsidR="002B55D9" w:rsidRDefault="002B55D9" w:rsidP="00702F20">
      <w:pPr>
        <w:pStyle w:val="TableTitle"/>
      </w:pPr>
      <w:r>
        <w:lastRenderedPageBreak/>
        <w:t xml:space="preserve">Table </w:t>
      </w:r>
      <w:r w:rsidR="00383AAD">
        <w:t>17</w:t>
      </w:r>
      <w:r w:rsidR="00142469">
        <w:rPr>
          <w:noProof/>
        </w:rPr>
        <w:t>.</w:t>
      </w:r>
      <w:r>
        <w:t xml:space="preserve"> </w:t>
      </w:r>
      <w:r w:rsidRPr="00B265E8">
        <w:t xml:space="preserve">Analysis of </w:t>
      </w:r>
      <w:r w:rsidR="00702F20">
        <w:t>t</w:t>
      </w:r>
      <w:r w:rsidRPr="00B265E8">
        <w:t xml:space="preserve">ime to </w:t>
      </w:r>
      <w:r w:rsidR="00702F20">
        <w:t>i</w:t>
      </w:r>
      <w:r w:rsidRPr="00B265E8">
        <w:t xml:space="preserve">mpending </w:t>
      </w:r>
      <w:r w:rsidR="00702F20">
        <w:t>r</w:t>
      </w:r>
      <w:r w:rsidRPr="00B265E8">
        <w:t>elapse (</w:t>
      </w:r>
      <w:r w:rsidR="00702F20">
        <w:t>d</w:t>
      </w:r>
      <w:r w:rsidRPr="00B265E8">
        <w:t xml:space="preserve">ouble-blind, </w:t>
      </w:r>
      <w:r w:rsidR="00702F20">
        <w:t>a</w:t>
      </w:r>
      <w:r w:rsidRPr="00B265E8">
        <w:t xml:space="preserve">ctive-controlled </w:t>
      </w:r>
      <w:r w:rsidR="00702F20">
        <w:t>p</w:t>
      </w:r>
      <w:r w:rsidRPr="00B265E8">
        <w:t xml:space="preserve">hase </w:t>
      </w:r>
      <w:r w:rsidR="00702F20">
        <w:t>e</w:t>
      </w:r>
      <w:r w:rsidRPr="00B265E8">
        <w:t xml:space="preserve">fficacy </w:t>
      </w:r>
      <w:r w:rsidR="00702F20">
        <w:t>s</w:t>
      </w:r>
      <w:r w:rsidRPr="00B265E8">
        <w:t>ample)</w:t>
      </w:r>
      <w:bookmarkEnd w:id="156"/>
    </w:p>
    <w:p w14:paraId="24A330F8" w14:textId="77777777" w:rsidR="00142469" w:rsidRDefault="00142469" w:rsidP="00702F20">
      <w:r>
        <w:rPr>
          <w:noProof/>
          <w:lang w:eastAsia="en-AU"/>
        </w:rPr>
        <w:drawing>
          <wp:inline distT="0" distB="0" distL="0" distR="0" wp14:anchorId="24A3325E" wp14:editId="2EFA309D">
            <wp:extent cx="5619750" cy="1605034"/>
            <wp:effectExtent l="19050" t="19050" r="19050" b="14605"/>
            <wp:docPr id="22" name="Picture 22" descr="Table 17. Analysis of time to impending relapse (double-blind, active-controlled phase efficacy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479"/>
                    <a:stretch/>
                  </pic:blipFill>
                  <pic:spPr bwMode="auto">
                    <a:xfrm>
                      <a:off x="0" y="0"/>
                      <a:ext cx="5619750" cy="1605034"/>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3430D761" w14:textId="0DB4E08E" w:rsidR="00EC2B15" w:rsidRDefault="002B55D9" w:rsidP="00702F20">
      <w:pPr>
        <w:pStyle w:val="TableDescription"/>
      </w:pPr>
      <w:r w:rsidRPr="00F65E60">
        <w:rPr>
          <w:vertAlign w:val="superscript"/>
        </w:rPr>
        <w:t>a</w:t>
      </w:r>
      <w:r w:rsidRPr="00F65E60">
        <w:t xml:space="preserve"> Other group is </w:t>
      </w:r>
      <w:proofErr w:type="spellStart"/>
      <w:r w:rsidRPr="00F65E60">
        <w:t>aripiprazole</w:t>
      </w:r>
      <w:proofErr w:type="spellEnd"/>
      <w:r w:rsidRPr="00F65E60">
        <w:t xml:space="preserve"> oral tablets 10-3</w:t>
      </w:r>
      <w:r w:rsidR="002C1F46">
        <w:t>0 mg</w:t>
      </w:r>
      <w:r w:rsidRPr="00F65E60">
        <w:t xml:space="preserve"> in comparison 1 and </w:t>
      </w:r>
      <w:proofErr w:type="spellStart"/>
      <w:r w:rsidRPr="00F65E60">
        <w:t>aripiprazole</w:t>
      </w:r>
      <w:proofErr w:type="spellEnd"/>
      <w:r w:rsidRPr="00F65E60">
        <w:t xml:space="preserve"> IM depot 5</w:t>
      </w:r>
      <w:r w:rsidR="002C1F46">
        <w:t>0 mg</w:t>
      </w:r>
      <w:r w:rsidRPr="00F65E60">
        <w:t>/25</w:t>
      </w:r>
      <w:r>
        <w:t>mg</w:t>
      </w:r>
      <w:r w:rsidRPr="00F65E60">
        <w:t xml:space="preserve"> in comparison 2.</w:t>
      </w:r>
      <w:r w:rsidR="00142469">
        <w:t xml:space="preserve"> </w:t>
      </w:r>
      <w:r w:rsidRPr="00F65E60">
        <w:rPr>
          <w:vertAlign w:val="superscript"/>
        </w:rPr>
        <w:t xml:space="preserve">b </w:t>
      </w:r>
      <w:r w:rsidRPr="00F65E60">
        <w:t>Hazard ratios (HRs) and their 95% CIs were derived from the Cox proportional hazard model with treatment as term. HR &lt; 1 is in favour of IM depot</w:t>
      </w:r>
      <w:r>
        <w:t xml:space="preserve"> </w:t>
      </w:r>
      <w:r w:rsidRPr="00F65E60">
        <w:t>40</w:t>
      </w:r>
      <w:r w:rsidR="002C1F46">
        <w:t>0 mg</w:t>
      </w:r>
      <w:r w:rsidRPr="00F65E60">
        <w:t>/30</w:t>
      </w:r>
      <w:r w:rsidR="002C1F46">
        <w:t>0 mg</w:t>
      </w:r>
      <w:r w:rsidRPr="00F65E60">
        <w:t xml:space="preserve"> group for comparison 2.</w:t>
      </w:r>
      <w:r w:rsidR="00142469">
        <w:t xml:space="preserve"> </w:t>
      </w:r>
      <w:r w:rsidRPr="00F65E60">
        <w:rPr>
          <w:vertAlign w:val="superscript"/>
        </w:rPr>
        <w:t xml:space="preserve">c </w:t>
      </w:r>
      <w:r w:rsidRPr="00F65E60">
        <w:t>Hazard ratios and their 95% CIs were derived from the Cox proportional hazard model with treatment as term. HR &gt; 1 is in favour of IM depot</w:t>
      </w:r>
      <w:r>
        <w:t xml:space="preserve"> </w:t>
      </w:r>
      <w:r w:rsidRPr="00F65E60">
        <w:t>40</w:t>
      </w:r>
      <w:r w:rsidR="002C1F46">
        <w:t>0 mg</w:t>
      </w:r>
      <w:r w:rsidRPr="00F65E60">
        <w:t>/30</w:t>
      </w:r>
      <w:r w:rsidR="002C1F46">
        <w:t>0 mg</w:t>
      </w:r>
      <w:r w:rsidRPr="00F65E60">
        <w:t xml:space="preserve"> group for comparison 2.</w:t>
      </w:r>
      <w:r w:rsidR="00142469">
        <w:t xml:space="preserve"> </w:t>
      </w:r>
      <w:r w:rsidRPr="00F65E60">
        <w:rPr>
          <w:vertAlign w:val="superscript"/>
        </w:rPr>
        <w:t>d</w:t>
      </w:r>
      <w:r w:rsidRPr="00F65E60">
        <w:t xml:space="preserve"> P-values were derived from the log-rank test</w:t>
      </w:r>
      <w:r>
        <w:t xml:space="preserve"> for time to impending relapse.</w:t>
      </w:r>
    </w:p>
    <w:p w14:paraId="24A330FB" w14:textId="1CF2D1BF" w:rsidR="002B55D9" w:rsidRDefault="002B55D9" w:rsidP="00702F20">
      <w:pPr>
        <w:pStyle w:val="FigureTitle"/>
        <w:keepLines/>
      </w:pPr>
      <w:bookmarkStart w:id="157" w:name="_Toc381104428"/>
      <w:r>
        <w:t xml:space="preserve">Figure </w:t>
      </w:r>
      <w:r w:rsidR="00D43EBA">
        <w:t>17.</w:t>
      </w:r>
      <w:r>
        <w:t xml:space="preserve"> Kaplan-Meier </w:t>
      </w:r>
      <w:r w:rsidR="00702F20">
        <w:t>p</w:t>
      </w:r>
      <w:r>
        <w:t xml:space="preserve">roduct </w:t>
      </w:r>
      <w:r w:rsidR="00702F20">
        <w:t>l</w:t>
      </w:r>
      <w:r>
        <w:t xml:space="preserve">imit </w:t>
      </w:r>
      <w:r w:rsidR="00702F20">
        <w:t>p</w:t>
      </w:r>
      <w:r>
        <w:t xml:space="preserve">lot of </w:t>
      </w:r>
      <w:r w:rsidR="00702F20">
        <w:t>t</w:t>
      </w:r>
      <w:r>
        <w:t xml:space="preserve">ime to </w:t>
      </w:r>
      <w:r w:rsidR="00702F20">
        <w:t>i</w:t>
      </w:r>
      <w:r>
        <w:t xml:space="preserve">mpending </w:t>
      </w:r>
      <w:r w:rsidR="00702F20">
        <w:t>r</w:t>
      </w:r>
      <w:r>
        <w:t>elapse (</w:t>
      </w:r>
      <w:r w:rsidR="00702F20">
        <w:t>d</w:t>
      </w:r>
      <w:r>
        <w:t xml:space="preserve">ouble-blind, </w:t>
      </w:r>
      <w:r w:rsidR="00702F20">
        <w:t>a</w:t>
      </w:r>
      <w:r>
        <w:t>ctive-</w:t>
      </w:r>
      <w:r w:rsidR="00702F20">
        <w:t>c</w:t>
      </w:r>
      <w:r>
        <w:t xml:space="preserve">ontrolled </w:t>
      </w:r>
      <w:r w:rsidR="00702F20">
        <w:t>p</w:t>
      </w:r>
      <w:r>
        <w:t xml:space="preserve">hase </w:t>
      </w:r>
      <w:r w:rsidR="00702F20">
        <w:t>e</w:t>
      </w:r>
      <w:r>
        <w:t xml:space="preserve">fficacy </w:t>
      </w:r>
      <w:r w:rsidR="00702F20">
        <w:t>s</w:t>
      </w:r>
      <w:r>
        <w:t>ample)</w:t>
      </w:r>
      <w:bookmarkEnd w:id="157"/>
    </w:p>
    <w:p w14:paraId="24A330FC" w14:textId="77777777" w:rsidR="002B55D9" w:rsidRDefault="002B55D9" w:rsidP="00B82B11">
      <w:r>
        <w:rPr>
          <w:noProof/>
          <w:lang w:eastAsia="en-AU"/>
        </w:rPr>
        <w:drawing>
          <wp:inline distT="0" distB="0" distL="0" distR="0" wp14:anchorId="24A33260" wp14:editId="24A33261">
            <wp:extent cx="4704703" cy="3190875"/>
            <wp:effectExtent l="0" t="0" r="0" b="0"/>
            <wp:docPr id="127" name="Picture 1" descr="Figure 17. Kaplan-Meier Product Limit Plot of Time to Impending Relapse (Double-blind, Active-controlled Phase Efficacy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4707725" cy="3192925"/>
                    </a:xfrm>
                    <a:prstGeom prst="rect">
                      <a:avLst/>
                    </a:prstGeom>
                    <a:noFill/>
                    <a:ln w="9525">
                      <a:noFill/>
                      <a:miter lim="800000"/>
                      <a:headEnd/>
                      <a:tailEnd/>
                    </a:ln>
                  </pic:spPr>
                </pic:pic>
              </a:graphicData>
            </a:graphic>
          </wp:inline>
        </w:drawing>
      </w:r>
    </w:p>
    <w:p w14:paraId="24A330FD" w14:textId="5F1B0BEA" w:rsidR="002B55D9" w:rsidRPr="00FC314D" w:rsidRDefault="002B55D9" w:rsidP="00702F20">
      <w:pPr>
        <w:pStyle w:val="FigureDescription"/>
      </w:pPr>
      <w:r w:rsidRPr="00FC314D">
        <w:t xml:space="preserve">ARIP = </w:t>
      </w:r>
      <w:proofErr w:type="spellStart"/>
      <w:r w:rsidRPr="00FC314D">
        <w:t>aripiprazole</w:t>
      </w:r>
      <w:proofErr w:type="spellEnd"/>
      <w:r w:rsidRPr="00FC314D">
        <w:t xml:space="preserve">; IMD = IM </w:t>
      </w:r>
      <w:r w:rsidRPr="00B82B11">
        <w:t>d</w:t>
      </w:r>
      <w:r w:rsidRPr="00FC314D">
        <w:t>epot</w:t>
      </w:r>
    </w:p>
    <w:p w14:paraId="24A330FE" w14:textId="77777777" w:rsidR="002B55D9" w:rsidRPr="004B259C" w:rsidRDefault="002B55D9" w:rsidP="00702F20">
      <w:pPr>
        <w:pStyle w:val="Heading5"/>
      </w:pPr>
      <w:r w:rsidRPr="004B259C">
        <w:t>Results for other efficacy outcomes</w:t>
      </w:r>
    </w:p>
    <w:p w14:paraId="24A330FF" w14:textId="77777777" w:rsidR="002B55D9" w:rsidRDefault="002B55D9" w:rsidP="00702F20">
      <w:r>
        <w:t xml:space="preserve">The </w:t>
      </w:r>
      <w:r w:rsidRPr="007D7533">
        <w:rPr>
          <w:b/>
        </w:rPr>
        <w:t>proportion of responders</w:t>
      </w:r>
      <w:r>
        <w:t xml:space="preserve"> at last visit was 89.8% (237/264) for IM depot 400/30</w:t>
      </w:r>
      <w:r w:rsidR="002C1F46">
        <w:t>0 mg</w:t>
      </w:r>
      <w:r>
        <w:t xml:space="preserve"> with 89.4% (235/263) on oral 10 - 3</w:t>
      </w:r>
      <w:r w:rsidR="002C1F46">
        <w:t>0 mg</w:t>
      </w:r>
      <w:r w:rsidRPr="00604509">
        <w:t xml:space="preserve"> </w:t>
      </w:r>
      <w:r>
        <w:t>tablets, no significant difference between them could be shown (p = 0.8750). For IM depot 50/25mg</w:t>
      </w:r>
      <w:r w:rsidRPr="00604509">
        <w:t xml:space="preserve"> </w:t>
      </w:r>
      <w:r>
        <w:t>the proportion of responders at last visit was 75.2% (97/129) which was statistically significantly from the IM depot 400/30</w:t>
      </w:r>
      <w:r w:rsidR="002C1F46">
        <w:t>0 mg</w:t>
      </w:r>
      <w:r>
        <w:t xml:space="preserve"> result.</w:t>
      </w:r>
    </w:p>
    <w:p w14:paraId="24A33100" w14:textId="77777777" w:rsidR="002B55D9" w:rsidRDefault="002B55D9" w:rsidP="00702F20">
      <w:r>
        <w:t xml:space="preserve">The </w:t>
      </w:r>
      <w:r w:rsidRPr="007D7533">
        <w:rPr>
          <w:b/>
        </w:rPr>
        <w:t>proportion of subjects achieving remission</w:t>
      </w:r>
      <w:r>
        <w:t xml:space="preserve"> was 48.8% (105/215) for IM depot 400/30</w:t>
      </w:r>
      <w:r w:rsidR="002C1F46">
        <w:t>0 mg</w:t>
      </w:r>
      <w:r>
        <w:t xml:space="preserve"> with 53.2% (107/201) on oral 10 -3</w:t>
      </w:r>
      <w:r w:rsidR="002C1F46">
        <w:t>0 mg</w:t>
      </w:r>
      <w:r>
        <w:t xml:space="preserve"> tablets, no significant difference between them could be shown (p = 0.3700). For IM depot 50/25mg 59.7% (43/72) achieved remission for which </w:t>
      </w:r>
      <w:r w:rsidRPr="007D7533">
        <w:t>no significant difference could be shown</w:t>
      </w:r>
      <w:r>
        <w:t xml:space="preserve"> from the </w:t>
      </w:r>
      <w:r w:rsidRPr="007D7533">
        <w:t>IM depot 400/30</w:t>
      </w:r>
      <w:r w:rsidR="002C1F46">
        <w:t>0 mg</w:t>
      </w:r>
      <w:r>
        <w:t>.</w:t>
      </w:r>
    </w:p>
    <w:p w14:paraId="24A33101" w14:textId="77777777" w:rsidR="002B55D9" w:rsidRDefault="002B55D9" w:rsidP="00702F20">
      <w:pPr>
        <w:pStyle w:val="Heading3"/>
      </w:pPr>
      <w:bookmarkStart w:id="158" w:name="_Ref271037188"/>
      <w:bookmarkStart w:id="159" w:name="_Ref271037210"/>
      <w:bookmarkStart w:id="160" w:name="_Toc272414655"/>
      <w:bookmarkStart w:id="161" w:name="_Toc290846277"/>
      <w:bookmarkStart w:id="162" w:name="_Toc381104204"/>
      <w:bookmarkStart w:id="163" w:name="_Toc241374311"/>
      <w:bookmarkStart w:id="164" w:name="_Ref243294291"/>
      <w:bookmarkStart w:id="165" w:name="_Toc408930643"/>
      <w:r>
        <w:lastRenderedPageBreak/>
        <w:t>Other efficacy studies</w:t>
      </w:r>
      <w:bookmarkEnd w:id="158"/>
      <w:bookmarkEnd w:id="159"/>
      <w:bookmarkEnd w:id="160"/>
      <w:bookmarkEnd w:id="161"/>
      <w:bookmarkEnd w:id="162"/>
      <w:bookmarkEnd w:id="165"/>
    </w:p>
    <w:bookmarkEnd w:id="163"/>
    <w:bookmarkEnd w:id="164"/>
    <w:p w14:paraId="24A33102" w14:textId="77777777" w:rsidR="002B55D9" w:rsidRDefault="002B55D9" w:rsidP="00702F20">
      <w:r>
        <w:t>There were 5 other efficacy studies, the submitted abbreviated study reports show they were only submitted for safety and were thus not fully evaluated:</w:t>
      </w:r>
    </w:p>
    <w:p w14:paraId="24A33103" w14:textId="77777777" w:rsidR="002B55D9" w:rsidRPr="00323E97" w:rsidRDefault="002B55D9" w:rsidP="00702F20">
      <w:pPr>
        <w:pStyle w:val="ListBullet"/>
      </w:pPr>
      <w:r w:rsidRPr="00323E97">
        <w:t xml:space="preserve">31-08-003 - A </w:t>
      </w:r>
      <w:proofErr w:type="spellStart"/>
      <w:r w:rsidRPr="00323E97">
        <w:t>Multicenter</w:t>
      </w:r>
      <w:proofErr w:type="spellEnd"/>
      <w:r w:rsidRPr="00323E97">
        <w:t xml:space="preserve">, Active-controlled Double-blind, Parallel Group-comparison Trial to Investigate the Efficacy and Safety of </w:t>
      </w:r>
      <w:proofErr w:type="spellStart"/>
      <w:r w:rsidRPr="00323E97">
        <w:t>Aripiprazole</w:t>
      </w:r>
      <w:proofErr w:type="spellEnd"/>
      <w:r w:rsidRPr="00323E97">
        <w:t xml:space="preserve"> IM Depot (OPC-14597IMD) Compared with </w:t>
      </w:r>
      <w:proofErr w:type="spellStart"/>
      <w:r w:rsidRPr="00323E97">
        <w:t>Aripiprazole</w:t>
      </w:r>
      <w:proofErr w:type="spellEnd"/>
      <w:r w:rsidRPr="00323E97">
        <w:t xml:space="preserve"> Tablets in Patients with Schizophrenia</w:t>
      </w:r>
      <w:r>
        <w:t>.</w:t>
      </w:r>
    </w:p>
    <w:p w14:paraId="24A33104" w14:textId="77777777" w:rsidR="002B55D9" w:rsidRPr="00323E97" w:rsidRDefault="002B55D9" w:rsidP="00702F20">
      <w:pPr>
        <w:pStyle w:val="ListBullet"/>
      </w:pPr>
      <w:r w:rsidRPr="00323E97">
        <w:t xml:space="preserve">31-08-248 - A 52-week, </w:t>
      </w:r>
      <w:proofErr w:type="spellStart"/>
      <w:r w:rsidRPr="00323E97">
        <w:t>Multicenter</w:t>
      </w:r>
      <w:proofErr w:type="spellEnd"/>
      <w:r w:rsidRPr="00323E97">
        <w:t xml:space="preserve">, Open-label Study to Evaluate the Effectiveness of </w:t>
      </w:r>
      <w:proofErr w:type="spellStart"/>
      <w:r w:rsidRPr="00323E97">
        <w:t>Aripiprazole</w:t>
      </w:r>
      <w:proofErr w:type="spellEnd"/>
      <w:r w:rsidRPr="00323E97">
        <w:t xml:space="preserve"> Intramuscular Depot as Maintenance Treatment in Patients with S</w:t>
      </w:r>
      <w:r>
        <w:t xml:space="preserve">chizophrenia </w:t>
      </w:r>
      <w:r w:rsidR="00D43EBA">
        <w:t>‘</w:t>
      </w:r>
      <w:r>
        <w:t>ASPIRE OPEN-LABEL</w:t>
      </w:r>
      <w:r w:rsidR="00D43EBA">
        <w:t>’</w:t>
      </w:r>
      <w:r w:rsidRPr="00323E97">
        <w:t xml:space="preserve"> (</w:t>
      </w:r>
      <w:proofErr w:type="spellStart"/>
      <w:r w:rsidRPr="00323E97">
        <w:t>Aripiprazole</w:t>
      </w:r>
      <w:proofErr w:type="spellEnd"/>
      <w:r w:rsidRPr="00323E97">
        <w:t xml:space="preserve"> Intramuscular Depot Program in Schizophrenia)</w:t>
      </w:r>
      <w:r>
        <w:t>.</w:t>
      </w:r>
    </w:p>
    <w:p w14:paraId="24A33105" w14:textId="77777777" w:rsidR="002B55D9" w:rsidRPr="00323E97" w:rsidRDefault="002B55D9" w:rsidP="00702F20">
      <w:pPr>
        <w:pStyle w:val="ListBullet"/>
      </w:pPr>
      <w:r w:rsidRPr="00323E97">
        <w:t xml:space="preserve">31-11-283 - A </w:t>
      </w:r>
      <w:proofErr w:type="spellStart"/>
      <w:r w:rsidRPr="00323E97">
        <w:t>Multicenter</w:t>
      </w:r>
      <w:proofErr w:type="spellEnd"/>
      <w:r w:rsidRPr="00323E97">
        <w:t xml:space="preserve">, Open-label Study to Assess Hospitalization Rates in Adult Subjects with Schizophrenia Treated Prospectively for 6 Months with </w:t>
      </w:r>
      <w:proofErr w:type="spellStart"/>
      <w:r w:rsidRPr="00323E97">
        <w:t>Aripiprazole</w:t>
      </w:r>
      <w:proofErr w:type="spellEnd"/>
      <w:r w:rsidRPr="00323E97">
        <w:t xml:space="preserve"> IM Depot Compared with 6-month Retrospective Treatment with Oral Antipsychotics in a Naturalistic Community Setting in the US</w:t>
      </w:r>
      <w:r>
        <w:t>.</w:t>
      </w:r>
    </w:p>
    <w:p w14:paraId="24A33106" w14:textId="77777777" w:rsidR="002B55D9" w:rsidRPr="00323E97" w:rsidRDefault="002B55D9" w:rsidP="00702F20">
      <w:pPr>
        <w:pStyle w:val="ListBullet"/>
      </w:pPr>
      <w:r w:rsidRPr="00323E97">
        <w:t xml:space="preserve">31-10-270 - An Open-Label, </w:t>
      </w:r>
      <w:proofErr w:type="spellStart"/>
      <w:r w:rsidRPr="00323E97">
        <w:t>Multicenter</w:t>
      </w:r>
      <w:proofErr w:type="spellEnd"/>
      <w:r w:rsidRPr="00323E97">
        <w:t xml:space="preserve">, Rollover, Long-term Study of </w:t>
      </w:r>
      <w:proofErr w:type="spellStart"/>
      <w:r w:rsidRPr="00323E97">
        <w:t>Aripiprazole</w:t>
      </w:r>
      <w:proofErr w:type="spellEnd"/>
      <w:r w:rsidRPr="00323E97">
        <w:t xml:space="preserve"> Intramuscular Depot in Patients with Schizophrenia</w:t>
      </w:r>
      <w:r>
        <w:t>.</w:t>
      </w:r>
    </w:p>
    <w:p w14:paraId="24A33107" w14:textId="77777777" w:rsidR="002B55D9" w:rsidRPr="00323E97" w:rsidRDefault="002B55D9" w:rsidP="00702F20">
      <w:pPr>
        <w:pStyle w:val="ListBullet"/>
      </w:pPr>
      <w:r w:rsidRPr="00323E97">
        <w:t xml:space="preserve">31-11-284 - A </w:t>
      </w:r>
      <w:proofErr w:type="spellStart"/>
      <w:r w:rsidRPr="00323E97">
        <w:t>Multicenter</w:t>
      </w:r>
      <w:proofErr w:type="spellEnd"/>
      <w:r w:rsidRPr="00323E97">
        <w:t>, Open-label Study to Assess Hospitalization Rates in Adult Subjects with Schizophrenia</w:t>
      </w:r>
      <w:r>
        <w:t>.</w:t>
      </w:r>
    </w:p>
    <w:p w14:paraId="24A33108" w14:textId="5DB59C18" w:rsidR="002B55D9" w:rsidRDefault="002B55D9" w:rsidP="003C04E7">
      <w:pPr>
        <w:pStyle w:val="Heading3"/>
      </w:pPr>
      <w:bookmarkStart w:id="166" w:name="_Ref271126605"/>
      <w:bookmarkStart w:id="167" w:name="_Toc272414657"/>
      <w:bookmarkStart w:id="168" w:name="_Toc290846282"/>
      <w:bookmarkStart w:id="169" w:name="_Ref366236899"/>
      <w:bookmarkStart w:id="170" w:name="_Toc381104205"/>
      <w:bookmarkStart w:id="171" w:name="_Toc408930644"/>
      <w:r w:rsidRPr="003C04E7">
        <w:t>Evaluator’s</w:t>
      </w:r>
      <w:r w:rsidRPr="003C0A48">
        <w:t xml:space="preserve"> </w:t>
      </w:r>
      <w:r w:rsidRPr="00D43EBA">
        <w:t>conclusions</w:t>
      </w:r>
      <w:r w:rsidRPr="003C0A48">
        <w:t xml:space="preserve"> on clinical efficacy for</w:t>
      </w:r>
      <w:r>
        <w:t xml:space="preserve"> </w:t>
      </w:r>
      <w:bookmarkEnd w:id="166"/>
      <w:bookmarkEnd w:id="167"/>
      <w:bookmarkEnd w:id="168"/>
      <w:r w:rsidRPr="00C86842">
        <w:t>the treatment of schizophrenia</w:t>
      </w:r>
      <w:bookmarkEnd w:id="169"/>
      <w:bookmarkEnd w:id="170"/>
      <w:bookmarkEnd w:id="171"/>
    </w:p>
    <w:p w14:paraId="24A33109" w14:textId="1B322FA5" w:rsidR="002B55D9" w:rsidRPr="003C04E7" w:rsidRDefault="002B55D9" w:rsidP="003C04E7">
      <w:pPr>
        <w:pStyle w:val="Heading4"/>
      </w:pPr>
      <w:bookmarkStart w:id="172" w:name="_Toc381104206"/>
      <w:r w:rsidRPr="003C04E7">
        <w:t>Guidance</w:t>
      </w:r>
      <w:bookmarkEnd w:id="172"/>
    </w:p>
    <w:p w14:paraId="24A3310A" w14:textId="77777777" w:rsidR="002B55D9" w:rsidRDefault="002B55D9" w:rsidP="00702F20">
      <w:r w:rsidRPr="00001AC0">
        <w:t>CPMP/EWP/49/01 Appendix to the Note for Guidance on the Clinical Investigation of Medicinal Products in the Treatment of Schizophrenia - Methodology of Clinical Trials Concerning the Development of Depot Preparations of Approved Medicinal Products in Schizophrenia.</w:t>
      </w:r>
    </w:p>
    <w:p w14:paraId="24A3310B" w14:textId="77777777" w:rsidR="002B55D9" w:rsidRDefault="002B55D9" w:rsidP="00702F20">
      <w:pPr>
        <w:pStyle w:val="ListBullet"/>
      </w:pPr>
      <w:r>
        <w:t>The efficacy and safety of the compound are known and it is not necessary to show this in itself for the depot formulation, provided no specific claims are made.</w:t>
      </w:r>
    </w:p>
    <w:p w14:paraId="24A3310C" w14:textId="77777777" w:rsidR="002B55D9" w:rsidRDefault="002B55D9" w:rsidP="00702F20">
      <w:pPr>
        <w:pStyle w:val="ListBullet"/>
      </w:pPr>
      <w:r>
        <w:t>It is of importance to know whether the new formulation affects efficacy or safety in comparison to the oral formulation.</w:t>
      </w:r>
    </w:p>
    <w:p w14:paraId="24A3310D" w14:textId="77777777" w:rsidR="002B55D9" w:rsidRDefault="002B55D9" w:rsidP="00702F20">
      <w:pPr>
        <w:pStyle w:val="ListBullet"/>
      </w:pPr>
      <w:r>
        <w:t>The purpose of the study is to show non-inferiority of the depot formulation versus the oral formulation. This can be done in various ways, e.g., by showing that the situation at baseline is maintained or improved to the same extent, or by using relapse/deterioration as endpoint.</w:t>
      </w:r>
    </w:p>
    <w:p w14:paraId="24A3310E" w14:textId="77777777" w:rsidR="002B55D9" w:rsidRDefault="002B55D9" w:rsidP="00702F20">
      <w:pPr>
        <w:pStyle w:val="ListBullet"/>
      </w:pPr>
      <w:r>
        <w:t>The results should demonstrate non-inferiority. The non-inferiority margin should be defined in advance and justified, taking into account among others, the available efficacy data and the patient population, the duration of the trial and the endpoint.</w:t>
      </w:r>
    </w:p>
    <w:p w14:paraId="24A3310F" w14:textId="77777777" w:rsidR="002B55D9" w:rsidRDefault="002B55D9" w:rsidP="00702F20">
      <w:pPr>
        <w:pStyle w:val="ListBullet"/>
      </w:pPr>
      <w:r>
        <w:t>Assay sensitivity needs to be addressed. One way to address this could be to include a placebo arm. Alternatively the trial could include various dose arms.</w:t>
      </w:r>
    </w:p>
    <w:p w14:paraId="24A33110" w14:textId="77777777" w:rsidR="002B55D9" w:rsidRDefault="002B55D9" w:rsidP="00D43EBA">
      <w:pPr>
        <w:pStyle w:val="ListBullet"/>
      </w:pPr>
      <w:r>
        <w:t>Placebo, as an additional arm would ensure assay sensitivity, but might be less feasible in this setting.</w:t>
      </w:r>
    </w:p>
    <w:p w14:paraId="24A33111" w14:textId="77777777" w:rsidR="002B55D9" w:rsidRDefault="002B55D9" w:rsidP="005403B3">
      <w:pPr>
        <w:pStyle w:val="ListBullet"/>
      </w:pPr>
      <w:r>
        <w:t>Efficacy should be scored by using appropriate scales, the choice of which should be justified. Maintenance of effect can be assessed by comparing scores at baseline and end of the trial. Relapse/deterioration, expressed as number of patients relapsing and/or time to relapse is another option and might be a more sensitive.</w:t>
      </w:r>
    </w:p>
    <w:p w14:paraId="24A33112" w14:textId="77777777" w:rsidR="002B55D9" w:rsidRDefault="002B55D9" w:rsidP="005403B3">
      <w:pPr>
        <w:pStyle w:val="ListBullet"/>
      </w:pPr>
      <w:r>
        <w:lastRenderedPageBreak/>
        <w:t>Duration of 3 months of the double blind maintenance period will be acceptable, depending on the inter-injection interval, but a longer duration (e.g. 6 months) might increase the assurance that the study indeed has sufficient assay sensitivity.</w:t>
      </w:r>
    </w:p>
    <w:p w14:paraId="24A33113" w14:textId="77777777" w:rsidR="002B55D9" w:rsidRDefault="002B55D9" w:rsidP="005403B3">
      <w:r w:rsidRPr="00C92443">
        <w:t>CPMP/EWP/2330/99 Points to Consider on Application with</w:t>
      </w:r>
      <w:r>
        <w:t xml:space="preserve"> </w:t>
      </w:r>
      <w:r w:rsidRPr="00C92443">
        <w:t>1. Meta-Analyses;</w:t>
      </w:r>
      <w:r>
        <w:t xml:space="preserve"> </w:t>
      </w:r>
      <w:r w:rsidRPr="00C92443">
        <w:t>2. One Pivotal Study</w:t>
      </w:r>
    </w:p>
    <w:p w14:paraId="24A33114" w14:textId="77777777" w:rsidR="002B55D9" w:rsidRDefault="002B55D9" w:rsidP="002B55D9">
      <w:r>
        <w:t xml:space="preserve">The fundamental requirement on the </w:t>
      </w:r>
      <w:r w:rsidR="00D43EBA">
        <w:t>P</w:t>
      </w:r>
      <w:r>
        <w:t>hase III documentation is that it consists of adequate and well-controlled data of good quality from a sufficient number of patients, with a sufficient variety of symptoms and disease conditions, collected by a sufficient number of investigators, demonstrating a positive benefit/risk in the intended population at the intended dose and manner of use.</w:t>
      </w:r>
    </w:p>
    <w:p w14:paraId="24A33115" w14:textId="77777777" w:rsidR="002B55D9" w:rsidRDefault="002B55D9" w:rsidP="005403B3">
      <w:r>
        <w:t>The minimum requirement is generally one controlled study with statistically compelling and clinically relevant results.</w:t>
      </w:r>
    </w:p>
    <w:p w14:paraId="24A33116" w14:textId="77777777" w:rsidR="002B55D9" w:rsidRDefault="002B55D9" w:rsidP="005403B3">
      <w:r>
        <w:t>Special attention will be paid to:</w:t>
      </w:r>
    </w:p>
    <w:p w14:paraId="24A33117" w14:textId="77777777" w:rsidR="002B55D9" w:rsidRDefault="002B55D9" w:rsidP="005403B3">
      <w:pPr>
        <w:pStyle w:val="ListBullet"/>
      </w:pPr>
      <w:r>
        <w:t>The internal validity. There should be no indications of a potential bias.</w:t>
      </w:r>
    </w:p>
    <w:p w14:paraId="24A33118" w14:textId="77777777" w:rsidR="002B55D9" w:rsidRDefault="002B55D9" w:rsidP="005403B3">
      <w:pPr>
        <w:pStyle w:val="ListBullet"/>
      </w:pPr>
      <w:r>
        <w:t>The external validity. The study population should be suitable for extrapolation to the population to be treated.</w:t>
      </w:r>
    </w:p>
    <w:p w14:paraId="24A33119" w14:textId="77777777" w:rsidR="002B55D9" w:rsidRDefault="002B55D9" w:rsidP="005403B3">
      <w:pPr>
        <w:pStyle w:val="ListBullet"/>
      </w:pPr>
      <w:r>
        <w:t>Clinical relevance. The estimated size of treatment benefit must be large enough to be clinically valuable.</w:t>
      </w:r>
    </w:p>
    <w:p w14:paraId="24A3311A" w14:textId="77777777" w:rsidR="002B55D9" w:rsidRDefault="002B55D9" w:rsidP="005403B3">
      <w:pPr>
        <w:pStyle w:val="ListBullet"/>
      </w:pPr>
      <w:r>
        <w:t xml:space="preserve">The degree of statistical significance. Statistical evidence considerably stronger than p &lt; 0.05 is usually required, accompanied by precise estimates of treatment effects, </w:t>
      </w:r>
      <w:r w:rsidR="0052799D">
        <w:t xml:space="preserve">that is, </w:t>
      </w:r>
      <w:r>
        <w:t>narrow confidence intervals. The required degree of significance will depend on factors such as the therapeutic indication the primary endpoint, the amount of supportive data and whether the alternative analyses demonstrating consistency are pre-specified. When the aim is to demonstrate non-inferiority, one study is more likely to be accepted if the lower 95% confidence bound is well away from the non-inferiority margin.</w:t>
      </w:r>
    </w:p>
    <w:p w14:paraId="24A3311B" w14:textId="77777777" w:rsidR="002B55D9" w:rsidRDefault="002B55D9" w:rsidP="005403B3">
      <w:pPr>
        <w:pStyle w:val="ListBullet"/>
      </w:pPr>
      <w:r>
        <w:t>Data quality.</w:t>
      </w:r>
    </w:p>
    <w:p w14:paraId="24A3311C" w14:textId="77777777" w:rsidR="002B55D9" w:rsidRDefault="002B55D9" w:rsidP="005403B3">
      <w:pPr>
        <w:pStyle w:val="ListBullet"/>
      </w:pPr>
      <w:r>
        <w:t>Internal consistency. Similar effects demonstrated in different pre-specified sub-populations. All-important endpoints showing similar findings.</w:t>
      </w:r>
    </w:p>
    <w:p w14:paraId="24A3311D" w14:textId="77777777" w:rsidR="002B55D9" w:rsidRDefault="002B55D9" w:rsidP="005403B3">
      <w:pPr>
        <w:pStyle w:val="ListBullet"/>
      </w:pPr>
      <w:r>
        <w:t>Centre effects. None of the study centres should dominate the overall result, neither in terms of number of subjects nor in terms of magnitude of effect.</w:t>
      </w:r>
    </w:p>
    <w:p w14:paraId="24A3311E" w14:textId="77777777" w:rsidR="002B55D9" w:rsidRDefault="002B55D9" w:rsidP="005403B3">
      <w:pPr>
        <w:pStyle w:val="ListBullet"/>
      </w:pPr>
      <w:r>
        <w:t>The plausibility of the hypothesis tested.</w:t>
      </w:r>
    </w:p>
    <w:p w14:paraId="24A3311F" w14:textId="77777777" w:rsidR="002B55D9" w:rsidRDefault="00D43EBA" w:rsidP="005403B3">
      <w:pPr>
        <w:pStyle w:val="Heading4"/>
      </w:pPr>
      <w:bookmarkStart w:id="173" w:name="_Toc381104207"/>
      <w:r w:rsidRPr="003C0A48">
        <w:t>Evaluator’s conclusions</w:t>
      </w:r>
      <w:bookmarkEnd w:id="173"/>
    </w:p>
    <w:p w14:paraId="24A33120" w14:textId="77777777" w:rsidR="002B55D9" w:rsidRDefault="002B55D9" w:rsidP="005403B3">
      <w:r>
        <w:t>The submission rests for efficacy on 2 studies.</w:t>
      </w:r>
    </w:p>
    <w:p w14:paraId="24A33121" w14:textId="77777777" w:rsidR="002B55D9" w:rsidRDefault="002B55D9" w:rsidP="002B55D9">
      <w:r w:rsidRPr="003C0A48">
        <w:t>S</w:t>
      </w:r>
      <w:r>
        <w:t xml:space="preserve">tudy </w:t>
      </w:r>
      <w:r w:rsidRPr="00C86842">
        <w:t>31-07-246</w:t>
      </w:r>
      <w:r>
        <w:t xml:space="preserve"> was a comparison with placebo that by its interim analysis was able to show efficacy and in order to minimise exposure of participants to placebo was terminated after the interim analysis. Thus the sponsor says the requirements of efficacy for FDA registration were met.</w:t>
      </w:r>
    </w:p>
    <w:p w14:paraId="24A33122" w14:textId="469B82FF" w:rsidR="002B55D9" w:rsidRDefault="002B55D9" w:rsidP="005403B3">
      <w:r>
        <w:t>At 3</w:t>
      </w:r>
      <w:r w:rsidR="00CD7D4B">
        <w:t xml:space="preserve"> </w:t>
      </w:r>
      <w:r>
        <w:t xml:space="preserve">months there were 123 patients on </w:t>
      </w:r>
      <w:proofErr w:type="spellStart"/>
      <w:r>
        <w:t>aripiprazole</w:t>
      </w:r>
      <w:proofErr w:type="spellEnd"/>
      <w:r>
        <w:t xml:space="preserve"> IM depot and 47 on placebo. PK data suggests steady state is reached by the 4</w:t>
      </w:r>
      <w:r w:rsidRPr="009D1381">
        <w:rPr>
          <w:vertAlign w:val="superscript"/>
        </w:rPr>
        <w:t>th</w:t>
      </w:r>
      <w:r>
        <w:t xml:space="preserve"> injection (</w:t>
      </w:r>
      <w:r w:rsidR="0052799D">
        <w:t xml:space="preserve">that is, </w:t>
      </w:r>
      <w:r>
        <w:t>at the end of 3 months after the initial injection).</w:t>
      </w:r>
    </w:p>
    <w:p w14:paraId="24A33123" w14:textId="77777777" w:rsidR="002B55D9" w:rsidRPr="00503B8E" w:rsidRDefault="002B55D9" w:rsidP="005403B3">
      <w:r w:rsidRPr="003C0A48">
        <w:t>S</w:t>
      </w:r>
      <w:r>
        <w:t xml:space="preserve">tudy 31-07-247 was intended to compare efficacy of the IM depot with the oral formulation and ensure assay sensitivity by using various dose arms. However despite there not being provision for an interim analysis, some analysis was undertaken because, almost 3years into the trial, </w:t>
      </w:r>
      <w:r w:rsidRPr="006A300A">
        <w:t>the primary efficacy endpoint was changed because of a lower than anticipated relapse</w:t>
      </w:r>
      <w:r w:rsidR="00D43EBA">
        <w:t xml:space="preserve"> </w:t>
      </w:r>
      <w:r w:rsidRPr="006A300A">
        <w:t>rate.</w:t>
      </w:r>
      <w:r>
        <w:t xml:space="preserve"> As a result </w:t>
      </w:r>
      <w:r w:rsidRPr="00503B8E">
        <w:t xml:space="preserve">the primary efficacy endpoint was changed from </w:t>
      </w:r>
      <w:r w:rsidR="00D43EBA">
        <w:t>‘</w:t>
      </w:r>
      <w:r w:rsidRPr="00D43EBA">
        <w:rPr>
          <w:i/>
        </w:rPr>
        <w:t xml:space="preserve">time from randomization to </w:t>
      </w:r>
      <w:r w:rsidRPr="00D43EBA">
        <w:rPr>
          <w:i/>
        </w:rPr>
        <w:lastRenderedPageBreak/>
        <w:t xml:space="preserve">exacerbation of psychotic symptoms/impending relapse in </w:t>
      </w:r>
      <w:r w:rsidR="00485910" w:rsidRPr="00D43EBA">
        <w:rPr>
          <w:i/>
        </w:rPr>
        <w:t>Phase III</w:t>
      </w:r>
      <w:r w:rsidR="00D43EBA" w:rsidRPr="00D43EBA">
        <w:rPr>
          <w:i/>
        </w:rPr>
        <w:t>’</w:t>
      </w:r>
      <w:r w:rsidRPr="00D43EBA">
        <w:rPr>
          <w:i/>
        </w:rPr>
        <w:t xml:space="preserve"> </w:t>
      </w:r>
      <w:r w:rsidRPr="00D43EBA">
        <w:t xml:space="preserve">to </w:t>
      </w:r>
      <w:r w:rsidR="00D43EBA" w:rsidRPr="00D43EBA">
        <w:rPr>
          <w:i/>
        </w:rPr>
        <w:t>‘</w:t>
      </w:r>
      <w:r w:rsidRPr="00D43EBA">
        <w:rPr>
          <w:i/>
        </w:rPr>
        <w:t xml:space="preserve">the proportion of subjects experiencing exacerbation of psychotic symptoms/impending relapse by end of 26 weeks of treatment from the date of randomization in </w:t>
      </w:r>
      <w:r w:rsidR="00485910" w:rsidRPr="00D43EBA">
        <w:rPr>
          <w:i/>
        </w:rPr>
        <w:t>Phase III</w:t>
      </w:r>
      <w:r w:rsidRPr="00D43EBA">
        <w:rPr>
          <w:i/>
        </w:rPr>
        <w:t xml:space="preserve">, in schizophrenic subjects who have maintained stability on oral </w:t>
      </w:r>
      <w:proofErr w:type="spellStart"/>
      <w:r w:rsidRPr="00D43EBA">
        <w:rPr>
          <w:i/>
        </w:rPr>
        <w:t>aripiprazole</w:t>
      </w:r>
      <w:proofErr w:type="spellEnd"/>
      <w:r w:rsidRPr="00D43EBA">
        <w:rPr>
          <w:i/>
        </w:rPr>
        <w:t xml:space="preserve"> for at least 8 consecutive weeks in </w:t>
      </w:r>
      <w:r w:rsidR="00485910" w:rsidRPr="00D43EBA">
        <w:rPr>
          <w:i/>
        </w:rPr>
        <w:t>Phase II</w:t>
      </w:r>
      <w:r w:rsidRPr="00D43EBA">
        <w:rPr>
          <w:i/>
        </w:rPr>
        <w:t xml:space="preserve"> of the study</w:t>
      </w:r>
      <w:r w:rsidRPr="00503B8E">
        <w:t>.</w:t>
      </w:r>
      <w:r w:rsidR="00D43EBA">
        <w:t>’</w:t>
      </w:r>
      <w:r w:rsidRPr="00503B8E">
        <w:t xml:space="preserve"> </w:t>
      </w:r>
      <w:r>
        <w:t>Although not submitted there must have been a change to the primary objective too since it refers to the primary endpoint in specific terms. This also means that the non-inferiority margin was no longer predefined. The original primary endpoint failed to meet the non-inferiority margins.</w:t>
      </w:r>
    </w:p>
    <w:p w14:paraId="24A33124" w14:textId="77777777" w:rsidR="002B55D9" w:rsidRDefault="002B55D9" w:rsidP="005403B3">
      <w:r>
        <w:t>The options this evaluator sees for study 31-07-247are</w:t>
      </w:r>
    </w:p>
    <w:p w14:paraId="24A33125" w14:textId="0E4B6F51" w:rsidR="002B55D9" w:rsidRDefault="002B55D9" w:rsidP="005403B3">
      <w:pPr>
        <w:pStyle w:val="ListBullet"/>
      </w:pPr>
      <w:r>
        <w:t>To reject it on the basis that it has flawed methodology from changing the primary endpoint (and hence th</w:t>
      </w:r>
      <w:r w:rsidR="005403B3">
        <w:t>e primary objective) mid-study.</w:t>
      </w:r>
    </w:p>
    <w:p w14:paraId="24A33126" w14:textId="77777777" w:rsidR="002B55D9" w:rsidRDefault="002B55D9" w:rsidP="005403B3">
      <w:pPr>
        <w:pStyle w:val="ListBullet"/>
        <w:keepNext/>
        <w:keepLines/>
        <w:ind w:left="357" w:hanging="357"/>
      </w:pPr>
      <w:r>
        <w:t>To accept the methodology as constituting a new trial started mid study. This leaves the original study abandoned as a failure (it failed to achieve its primary endpoint anyway). It also requires a new population since one of the exclusion criteria precluded the use of the original trial participants in the new trial.</w:t>
      </w:r>
      <w:r>
        <w:rPr>
          <w:rStyle w:val="FootnoteReference"/>
        </w:rPr>
        <w:footnoteReference w:id="35"/>
      </w:r>
      <w:r>
        <w:t xml:space="preserve"> Even if this is overlooked, and the new trial is accepted as incorporating the original population as well, the 2 results (from the first part of the trial </w:t>
      </w:r>
      <w:r w:rsidR="00BF2105">
        <w:t>versus</w:t>
      </w:r>
      <w:r>
        <w:t xml:space="preserve"> the second part of the trial) cancel each other for efficacy.</w:t>
      </w:r>
    </w:p>
    <w:p w14:paraId="24A33127" w14:textId="2A2BA9D9" w:rsidR="002B55D9" w:rsidRDefault="002B55D9" w:rsidP="005403B3">
      <w:r>
        <w:t xml:space="preserve">This evaluator believes the former – rejection on the basis of flawed methodology is the </w:t>
      </w:r>
      <w:r w:rsidR="005403B3">
        <w:t>appropriate approach.</w:t>
      </w:r>
    </w:p>
    <w:p w14:paraId="24A33128" w14:textId="25F8AB47" w:rsidR="002B55D9" w:rsidRPr="00590A10" w:rsidRDefault="002B55D9" w:rsidP="005403B3">
      <w:pPr>
        <w:rPr>
          <w:b/>
        </w:rPr>
      </w:pPr>
      <w:r>
        <w:t>The other studies looking at various aspects of efficacy were incomplete at the time of submission and were submitted for evidence of safety. The PK comparison of oral and IM formulations while showing comparability of AUC, show very different C</w:t>
      </w:r>
      <w:r w:rsidRPr="00683C46">
        <w:rPr>
          <w:vertAlign w:val="subscript"/>
        </w:rPr>
        <w:t>max</w:t>
      </w:r>
      <w:r>
        <w:t xml:space="preserve"> results as well as there being concerns of sub therapeutic concentrations. </w:t>
      </w:r>
      <w:r w:rsidRPr="00590A10">
        <w:rPr>
          <w:b/>
        </w:rPr>
        <w:t>The evidence of efficacy of the IM depot formulation thus rests</w:t>
      </w:r>
      <w:r w:rsidR="005403B3">
        <w:rPr>
          <w:b/>
        </w:rPr>
        <w:t xml:space="preserve"> on the single study 31-07-246.</w:t>
      </w:r>
    </w:p>
    <w:p w14:paraId="24A33129" w14:textId="77777777" w:rsidR="00C22678" w:rsidRDefault="00C22678" w:rsidP="003D7F36">
      <w:pPr>
        <w:pStyle w:val="Heading2"/>
      </w:pPr>
      <w:bookmarkStart w:id="174" w:name="_Toc408930645"/>
      <w:r>
        <w:t>Clinical safety</w:t>
      </w:r>
      <w:bookmarkEnd w:id="174"/>
    </w:p>
    <w:p w14:paraId="24A3312A" w14:textId="77777777" w:rsidR="002B55D9" w:rsidRPr="004B259C" w:rsidRDefault="002B55D9" w:rsidP="003D7F36">
      <w:pPr>
        <w:pStyle w:val="Heading3"/>
      </w:pPr>
      <w:bookmarkStart w:id="175" w:name="_Toc272414659"/>
      <w:bookmarkStart w:id="176" w:name="_Toc290846284"/>
      <w:bookmarkStart w:id="177" w:name="_Toc381104209"/>
      <w:bookmarkStart w:id="178" w:name="_Toc408930646"/>
      <w:r>
        <w:t>Studies providing evaluable safety data</w:t>
      </w:r>
      <w:bookmarkEnd w:id="175"/>
      <w:bookmarkEnd w:id="176"/>
      <w:bookmarkEnd w:id="177"/>
      <w:bookmarkEnd w:id="178"/>
    </w:p>
    <w:p w14:paraId="24A3312B" w14:textId="11F12290" w:rsidR="002B55D9" w:rsidRDefault="002B55D9" w:rsidP="003D7F36">
      <w:bookmarkStart w:id="179" w:name="_Ref268776745"/>
      <w:r>
        <w:t xml:space="preserve">The main safety data set was from pooling data from the double-blind phases of the 2 completed </w:t>
      </w:r>
      <w:r w:rsidR="0053374E">
        <w:t>Phase III</w:t>
      </w:r>
      <w:r w:rsidR="003D7F36">
        <w:t xml:space="preserve"> trials (Controlled Trials).</w:t>
      </w:r>
    </w:p>
    <w:p w14:paraId="24A3312C" w14:textId="77777777" w:rsidR="002B55D9" w:rsidRDefault="002B55D9" w:rsidP="003D7F36">
      <w:r>
        <w:t xml:space="preserve">Pooled data from any of the </w:t>
      </w:r>
      <w:proofErr w:type="spellStart"/>
      <w:r>
        <w:t>aripiprazole</w:t>
      </w:r>
      <w:proofErr w:type="spellEnd"/>
      <w:r>
        <w:t xml:space="preserve"> IM depot schizophrenia trials (except Trial 031-08-003) was used to allow detection of rare events, (All Trials).</w:t>
      </w:r>
    </w:p>
    <w:p w14:paraId="24A3312D" w14:textId="77777777" w:rsidR="002B55D9" w:rsidRPr="00027276" w:rsidRDefault="002B55D9" w:rsidP="003D7F36">
      <w:pPr>
        <w:pStyle w:val="Heading4"/>
      </w:pPr>
      <w:r w:rsidRPr="00027276">
        <w:t>Pivotal efficacy studies</w:t>
      </w:r>
      <w:bookmarkEnd w:id="179"/>
    </w:p>
    <w:p w14:paraId="24A3312E" w14:textId="77777777" w:rsidR="002B55D9" w:rsidRDefault="002B55D9" w:rsidP="003D7F36">
      <w:r>
        <w:t>In the pivotal efficacy studies, the following safety data were collected:</w:t>
      </w:r>
    </w:p>
    <w:p w14:paraId="24A3312F" w14:textId="77777777" w:rsidR="002B55D9" w:rsidRDefault="002B55D9" w:rsidP="003D7F36">
      <w:r>
        <w:t xml:space="preserve">General adverse events (AEs) were assessed by </w:t>
      </w:r>
      <w:r w:rsidRPr="00293025">
        <w:t>frequency, severity, seriousness, and discontinuation</w:t>
      </w:r>
      <w:r>
        <w:t>.</w:t>
      </w:r>
    </w:p>
    <w:p w14:paraId="24A33130" w14:textId="77777777" w:rsidR="002B55D9" w:rsidRDefault="002B55D9" w:rsidP="003D7F36">
      <w:r>
        <w:t>AEs of particular interest, including injection site reactions, were assessed by:</w:t>
      </w:r>
    </w:p>
    <w:p w14:paraId="24A33131" w14:textId="0AFD8CDF" w:rsidR="002B55D9" w:rsidRDefault="002B55D9" w:rsidP="003D7F36">
      <w:pPr>
        <w:pStyle w:val="ListBullet"/>
      </w:pPr>
      <w:r>
        <w:t>Injection site pain during the IM Depot Stabilization Phase and the Double-blind, Placebo-controlled Phase was assessed by using a visual analog</w:t>
      </w:r>
      <w:r w:rsidR="0076034B">
        <w:t>ue</w:t>
      </w:r>
      <w:r>
        <w:t xml:space="preserve"> scale (VAS) as reported by the subject before and 1 hour (</w:t>
      </w:r>
      <w:r w:rsidR="0076034B">
        <w:t xml:space="preserve">± </w:t>
      </w:r>
      <w:r>
        <w:t>15 minutes) after each injection together with the investigator rating of pain, redness, swelling, and in</w:t>
      </w:r>
      <w:r w:rsidR="003D7F36">
        <w:t>duration at the injection site.</w:t>
      </w:r>
    </w:p>
    <w:p w14:paraId="24A33132" w14:textId="77777777" w:rsidR="002B55D9" w:rsidRDefault="002B55D9" w:rsidP="003D7F36">
      <w:pPr>
        <w:pStyle w:val="ListBullet"/>
      </w:pPr>
      <w:r>
        <w:lastRenderedPageBreak/>
        <w:t>The CGI-SS and the Columbia Suicide Severity Rating Scale (C-SSRS) were used to assess the risk of suicidal events and to classify reported suicide events. The Columbia Classification Algorithm of Suicide Assessment (C-CASA) was used to classify potential suicidality events recorded on the AE form.</w:t>
      </w:r>
    </w:p>
    <w:p w14:paraId="24A33133" w14:textId="77777777" w:rsidR="002B55D9" w:rsidRDefault="002B55D9" w:rsidP="003D7F36">
      <w:r w:rsidRPr="00293025">
        <w:t>The incidence of potentially clinically relevant changes was calculated for vital sign</w:t>
      </w:r>
      <w:r>
        <w:t xml:space="preserve"> </w:t>
      </w:r>
      <w:r w:rsidRPr="00293025">
        <w:t>abnormalities (including body weight) and laboratory test abnormalitie</w:t>
      </w:r>
      <w:r>
        <w:t>s.</w:t>
      </w:r>
    </w:p>
    <w:p w14:paraId="24A33134" w14:textId="77777777" w:rsidR="002B55D9" w:rsidRDefault="002B55D9" w:rsidP="003D7F36">
      <w:pPr>
        <w:pStyle w:val="Heading4"/>
      </w:pPr>
      <w:r>
        <w:t>Other studies evaluable for safety only</w:t>
      </w:r>
    </w:p>
    <w:p w14:paraId="24A33135" w14:textId="77777777" w:rsidR="002B55D9" w:rsidRPr="000A1782" w:rsidRDefault="002B55D9" w:rsidP="003D7F36">
      <w:r w:rsidRPr="000A1782">
        <w:t>(Data cut-off date</w:t>
      </w:r>
      <w:r>
        <w:t xml:space="preserve"> </w:t>
      </w:r>
      <w:r w:rsidRPr="000A1782">
        <w:t>02 April 2012)</w:t>
      </w:r>
      <w:r>
        <w:t>.</w:t>
      </w:r>
    </w:p>
    <w:p w14:paraId="24A33136" w14:textId="77777777" w:rsidR="002B55D9" w:rsidRDefault="002B55D9" w:rsidP="003D7F36">
      <w:pPr>
        <w:pStyle w:val="Heading5"/>
      </w:pPr>
      <w:bookmarkStart w:id="180" w:name="_Toc290846278"/>
      <w:bookmarkStart w:id="181" w:name="_Toc381104210"/>
      <w:r w:rsidRPr="00B058DE">
        <w:t xml:space="preserve">Study </w:t>
      </w:r>
      <w:bookmarkEnd w:id="180"/>
      <w:r w:rsidRPr="00B058DE">
        <w:t>31-08-003</w:t>
      </w:r>
      <w:bookmarkEnd w:id="181"/>
    </w:p>
    <w:p w14:paraId="24A33137" w14:textId="77777777" w:rsidR="002B55D9" w:rsidRPr="00AB1AE8" w:rsidRDefault="002B55D9" w:rsidP="003D7F36">
      <w:r>
        <w:t xml:space="preserve">Submitted as a synopsis only </w:t>
      </w:r>
      <w:r w:rsidRPr="00AB1AE8">
        <w:t>to provide supportive safety data</w:t>
      </w:r>
      <w:r>
        <w:t>. Data was not pooled as this study remained double-blinded at the time of submission.</w:t>
      </w:r>
    </w:p>
    <w:p w14:paraId="24A33138" w14:textId="77777777" w:rsidR="002B55D9" w:rsidRPr="00B058DE" w:rsidRDefault="002B55D9" w:rsidP="003D7F36">
      <w:r>
        <w:t xml:space="preserve">An </w:t>
      </w:r>
      <w:r w:rsidRPr="00AB1AE8">
        <w:t>ongoing, randomized</w:t>
      </w:r>
      <w:r>
        <w:t>,</w:t>
      </w:r>
      <w:r w:rsidRPr="00B058DE">
        <w:t xml:space="preserve"> </w:t>
      </w:r>
      <w:proofErr w:type="spellStart"/>
      <w:r w:rsidRPr="00B058DE">
        <w:t>multicenter</w:t>
      </w:r>
      <w:proofErr w:type="spellEnd"/>
      <w:r w:rsidRPr="00B058DE">
        <w:t xml:space="preserve">, </w:t>
      </w:r>
      <w:r w:rsidRPr="00AB1AE8">
        <w:t>double-blind, double-dummy,</w:t>
      </w:r>
      <w:r>
        <w:t xml:space="preserve"> active-controlled, </w:t>
      </w:r>
      <w:r w:rsidRPr="00B058DE">
        <w:t xml:space="preserve">parallel group-comparison trial to investigate the efficacy and safety of </w:t>
      </w:r>
      <w:proofErr w:type="spellStart"/>
      <w:r w:rsidRPr="00B058DE">
        <w:t>aripiprazole</w:t>
      </w:r>
      <w:proofErr w:type="spellEnd"/>
      <w:r w:rsidRPr="00B058DE">
        <w:t xml:space="preserve"> IM depot (OPC-14597IMD) compared with </w:t>
      </w:r>
      <w:proofErr w:type="spellStart"/>
      <w:r w:rsidRPr="00B058DE">
        <w:t>aripiprazole</w:t>
      </w:r>
      <w:proofErr w:type="spellEnd"/>
      <w:r w:rsidRPr="00B058DE">
        <w:t xml:space="preserve"> tablets in patients with schizophrenia</w:t>
      </w:r>
      <w:r>
        <w:t xml:space="preserve">. Conducted in </w:t>
      </w:r>
      <w:r w:rsidRPr="00AB1AE8">
        <w:t>91 sites in Asia,</w:t>
      </w:r>
      <w:r>
        <w:t xml:space="preserve"> from 7 July 2010 to 2 April 2012.</w:t>
      </w:r>
    </w:p>
    <w:p w14:paraId="24A33139" w14:textId="77777777" w:rsidR="002B55D9" w:rsidRDefault="002B55D9" w:rsidP="003D7F36">
      <w:pPr>
        <w:pStyle w:val="Heading5"/>
      </w:pPr>
      <w:bookmarkStart w:id="182" w:name="_Toc290846279"/>
      <w:bookmarkStart w:id="183" w:name="_Toc381104211"/>
      <w:r w:rsidRPr="00B058DE">
        <w:t xml:space="preserve">Study </w:t>
      </w:r>
      <w:bookmarkEnd w:id="182"/>
      <w:r w:rsidRPr="00B058DE">
        <w:t>31-08-248</w:t>
      </w:r>
      <w:bookmarkEnd w:id="183"/>
    </w:p>
    <w:p w14:paraId="24A3313A" w14:textId="77777777" w:rsidR="002B55D9" w:rsidRPr="000C47EB" w:rsidRDefault="002B55D9" w:rsidP="003D7F36">
      <w:r w:rsidRPr="000C47EB">
        <w:t>In this abbreviated CSR, results are presented primarily for an evaluation of safety parameters for data available as of the data cut-off date. No formal statistical analyses were planned due to the open-label nature of this trial.</w:t>
      </w:r>
      <w:r w:rsidRPr="000C47EB">
        <w:rPr>
          <w:rStyle w:val="FootnoteReference"/>
          <w:rFonts w:ascii="Arial" w:hAnsi="Arial" w:cs="Arial"/>
        </w:rPr>
        <w:footnoteReference w:id="36"/>
      </w:r>
    </w:p>
    <w:p w14:paraId="24A3313B" w14:textId="77777777" w:rsidR="002B55D9" w:rsidRPr="00B058DE" w:rsidRDefault="002B55D9" w:rsidP="003D7F36">
      <w:r w:rsidRPr="00B058DE">
        <w:t>A, multi</w:t>
      </w:r>
      <w:r w:rsidR="0076034B">
        <w:t>-</w:t>
      </w:r>
      <w:r w:rsidRPr="00B058DE">
        <w:t xml:space="preserve">center, open-label study </w:t>
      </w:r>
      <w:r>
        <w:t xml:space="preserve">(an extension of </w:t>
      </w:r>
      <w:r w:rsidRPr="009256CD">
        <w:t xml:space="preserve">Trials 246/247 and </w:t>
      </w:r>
      <w:r w:rsidRPr="009256CD">
        <w:rPr>
          <w:i/>
          <w:iCs/>
        </w:rPr>
        <w:t xml:space="preserve">de novo </w:t>
      </w:r>
      <w:r>
        <w:t xml:space="preserve">subjects) </w:t>
      </w:r>
      <w:r w:rsidRPr="00B058DE">
        <w:t xml:space="preserve">to evaluate the effectiveness of </w:t>
      </w:r>
      <w:proofErr w:type="spellStart"/>
      <w:r w:rsidRPr="00B058DE">
        <w:t>aripiprazole</w:t>
      </w:r>
      <w:proofErr w:type="spellEnd"/>
      <w:r w:rsidRPr="00B058DE">
        <w:t xml:space="preserve"> intramuscular depot as maintenance treatment in patients with schizophrenia </w:t>
      </w:r>
      <w:r w:rsidR="00D43EBA">
        <w:t>‘</w:t>
      </w:r>
      <w:r>
        <w:t>ASPIRE OPEN-LABEL</w:t>
      </w:r>
      <w:r w:rsidR="00D43EBA">
        <w:t>’</w:t>
      </w:r>
      <w:r w:rsidRPr="00B058DE">
        <w:t xml:space="preserve"> (</w:t>
      </w:r>
      <w:proofErr w:type="spellStart"/>
      <w:r w:rsidRPr="00B058DE">
        <w:t>aripiprazole</w:t>
      </w:r>
      <w:proofErr w:type="spellEnd"/>
      <w:r w:rsidRPr="00B058DE">
        <w:t xml:space="preserve"> intramuscular depot program in schizophrenia)</w:t>
      </w:r>
      <w:r>
        <w:t>.</w:t>
      </w:r>
    </w:p>
    <w:p w14:paraId="24A3313C" w14:textId="77777777" w:rsidR="002B55D9" w:rsidRDefault="002B55D9" w:rsidP="003D7F36">
      <w:pPr>
        <w:pStyle w:val="Heading5"/>
      </w:pPr>
      <w:bookmarkStart w:id="184" w:name="_Toc290846280"/>
      <w:bookmarkStart w:id="185" w:name="_Toc381104212"/>
      <w:r w:rsidRPr="00B058DE">
        <w:t xml:space="preserve">Study </w:t>
      </w:r>
      <w:bookmarkEnd w:id="184"/>
      <w:r w:rsidRPr="00045485">
        <w:t>31-11-283</w:t>
      </w:r>
      <w:bookmarkEnd w:id="185"/>
    </w:p>
    <w:p w14:paraId="24A3313D" w14:textId="77777777" w:rsidR="002B55D9" w:rsidRPr="000C47EB" w:rsidRDefault="002B55D9" w:rsidP="003D7F36">
      <w:r w:rsidRPr="000C47EB">
        <w:t>In this abbreviated CSR, results are presented primarily for an evaluation of safety parameters and for selected efficacy parameters for data available as of the data cut-off date (02 April 2012). The primary efficacy endpoint is not analysed for this abbreviated report as only one subject completed the Open-label IM Depot Treatment Phase at the time of the report.</w:t>
      </w:r>
      <w:r w:rsidRPr="000C47EB">
        <w:rPr>
          <w:rStyle w:val="FootnoteReference"/>
          <w:rFonts w:ascii="Arial" w:hAnsi="Arial" w:cs="Arial"/>
        </w:rPr>
        <w:footnoteReference w:id="37"/>
      </w:r>
    </w:p>
    <w:p w14:paraId="24A3313E" w14:textId="77777777" w:rsidR="002B55D9" w:rsidRPr="00C42E26" w:rsidRDefault="002B55D9" w:rsidP="003D7F36">
      <w:r w:rsidRPr="00C42E26">
        <w:t xml:space="preserve">A </w:t>
      </w:r>
      <w:proofErr w:type="spellStart"/>
      <w:r w:rsidRPr="00C42E26">
        <w:t>multicenter</w:t>
      </w:r>
      <w:proofErr w:type="spellEnd"/>
      <w:r w:rsidRPr="00C42E26">
        <w:t xml:space="preserve">, open-label study to assess hospitalization rates in adult subjects with schizophrenia treated prospectively for 6 months with </w:t>
      </w:r>
      <w:proofErr w:type="spellStart"/>
      <w:r w:rsidRPr="00C42E26">
        <w:t>aripiprazole</w:t>
      </w:r>
      <w:proofErr w:type="spellEnd"/>
      <w:r w:rsidRPr="00C42E26">
        <w:t xml:space="preserve"> IM depot compared with 6-month retrospective treatment with oral antipsychotics in a naturalistic community setting in the US</w:t>
      </w:r>
      <w:r>
        <w:t>.</w:t>
      </w:r>
    </w:p>
    <w:p w14:paraId="24A3313F" w14:textId="77777777" w:rsidR="002B55D9" w:rsidRPr="00C42E26" w:rsidRDefault="002B55D9" w:rsidP="003D7F36">
      <w:r w:rsidRPr="00C42E26">
        <w:t>In this interim CSR, results are presented primarily for an evaluation of safety parameters for data available as of the data cut-off date (02 April 2012).</w:t>
      </w:r>
    </w:p>
    <w:p w14:paraId="24A33140" w14:textId="77777777" w:rsidR="002B55D9" w:rsidRDefault="002B55D9" w:rsidP="003D7F36">
      <w:pPr>
        <w:pStyle w:val="Heading5"/>
      </w:pPr>
      <w:bookmarkStart w:id="186" w:name="_Toc381104213"/>
      <w:r>
        <w:t>Study 31-10-270</w:t>
      </w:r>
      <w:bookmarkEnd w:id="186"/>
    </w:p>
    <w:p w14:paraId="24A33141" w14:textId="77777777" w:rsidR="002B55D9" w:rsidRPr="00A07221" w:rsidRDefault="002B55D9" w:rsidP="003D7F36">
      <w:r w:rsidRPr="00A07221">
        <w:t>Due to the open-label single-arm nature of the trial, all endpoints are summarized using descriptive statistics.</w:t>
      </w:r>
      <w:r w:rsidRPr="00A07221">
        <w:rPr>
          <w:rStyle w:val="FootnoteReference"/>
          <w:rFonts w:ascii="Arial" w:hAnsi="Arial" w:cs="Arial"/>
        </w:rPr>
        <w:footnoteReference w:id="38"/>
      </w:r>
    </w:p>
    <w:p w14:paraId="24A33142" w14:textId="77777777" w:rsidR="002B55D9" w:rsidRDefault="002B55D9" w:rsidP="003D7F36">
      <w:r>
        <w:t xml:space="preserve">An Open-Label, </w:t>
      </w:r>
      <w:proofErr w:type="spellStart"/>
      <w:r>
        <w:t>Multicenter</w:t>
      </w:r>
      <w:proofErr w:type="spellEnd"/>
      <w:r>
        <w:t xml:space="preserve">, Rollover, Long-term Study of </w:t>
      </w:r>
      <w:proofErr w:type="spellStart"/>
      <w:r>
        <w:t>Aripiprazole</w:t>
      </w:r>
      <w:proofErr w:type="spellEnd"/>
      <w:r>
        <w:t xml:space="preserve"> Intramuscular Depot in Patients with Schizophrenia.</w:t>
      </w:r>
    </w:p>
    <w:p w14:paraId="24A33143" w14:textId="77777777" w:rsidR="002B55D9" w:rsidRDefault="002B55D9" w:rsidP="003D7F36">
      <w:pPr>
        <w:pStyle w:val="Heading5"/>
      </w:pPr>
      <w:bookmarkStart w:id="187" w:name="_Toc381104214"/>
      <w:r w:rsidRPr="00045485">
        <w:t xml:space="preserve">Study </w:t>
      </w:r>
      <w:r w:rsidRPr="00A638D9">
        <w:t>31-11-284</w:t>
      </w:r>
      <w:bookmarkEnd w:id="187"/>
    </w:p>
    <w:p w14:paraId="24A33144" w14:textId="77777777" w:rsidR="002B55D9" w:rsidRDefault="002B55D9" w:rsidP="003D7F36">
      <w:r>
        <w:t>The protocol only was submitted for this study.</w:t>
      </w:r>
    </w:p>
    <w:p w14:paraId="24A33145" w14:textId="77777777" w:rsidR="002B55D9" w:rsidRPr="00A638D9" w:rsidRDefault="002B55D9" w:rsidP="003D7F36">
      <w:r w:rsidRPr="00A638D9">
        <w:lastRenderedPageBreak/>
        <w:t xml:space="preserve">A </w:t>
      </w:r>
      <w:proofErr w:type="spellStart"/>
      <w:r w:rsidRPr="00A638D9">
        <w:t>Multicenter</w:t>
      </w:r>
      <w:proofErr w:type="spellEnd"/>
      <w:r w:rsidRPr="00A638D9">
        <w:t>, Open-label Study to Assess Hospitalization Rates in Adult Subjects with Schizophrenia</w:t>
      </w:r>
      <w:r>
        <w:t>.</w:t>
      </w:r>
    </w:p>
    <w:p w14:paraId="24A33146" w14:textId="77777777" w:rsidR="002B55D9" w:rsidRDefault="002B55D9" w:rsidP="003D7F36">
      <w:pPr>
        <w:pStyle w:val="Heading3"/>
      </w:pPr>
      <w:bookmarkStart w:id="188" w:name="_Toc241374318"/>
      <w:bookmarkStart w:id="189" w:name="_Ref271196630"/>
      <w:bookmarkStart w:id="190" w:name="_Toc272414662"/>
      <w:bookmarkStart w:id="191" w:name="_Toc290846300"/>
      <w:bookmarkStart w:id="192" w:name="_Toc381104215"/>
      <w:bookmarkStart w:id="193" w:name="_Toc408930647"/>
      <w:r>
        <w:t>Patient exposure</w:t>
      </w:r>
      <w:bookmarkEnd w:id="188"/>
      <w:bookmarkEnd w:id="189"/>
      <w:bookmarkEnd w:id="190"/>
      <w:bookmarkEnd w:id="191"/>
      <w:bookmarkEnd w:id="192"/>
      <w:bookmarkEnd w:id="193"/>
    </w:p>
    <w:p w14:paraId="24A33147" w14:textId="77777777" w:rsidR="002B55D9" w:rsidRDefault="002B55D9" w:rsidP="003D7F36">
      <w:r>
        <w:t>At the time of cut-off (</w:t>
      </w:r>
      <w:r w:rsidRPr="00B56934">
        <w:t>2 April 2012</w:t>
      </w:r>
      <w:r>
        <w:t>):</w:t>
      </w:r>
    </w:p>
    <w:p w14:paraId="24A33148" w14:textId="1E3303D5" w:rsidR="002B55D9" w:rsidRDefault="002B55D9" w:rsidP="003D7F36">
      <w:pPr>
        <w:pStyle w:val="ListBullet"/>
      </w:pPr>
      <w:r>
        <w:t xml:space="preserve">Overall, 1,624 adult subjects with schizophrenia had received </w:t>
      </w:r>
      <w:proofErr w:type="spellStart"/>
      <w:r>
        <w:t>aripiprazole</w:t>
      </w:r>
      <w:proofErr w:type="spellEnd"/>
      <w:r>
        <w:t xml:space="preserve"> IM depot (15-40</w:t>
      </w:r>
      <w:r w:rsidR="002C1F46">
        <w:t>0 mg</w:t>
      </w:r>
      <w:r w:rsidR="00B82B11">
        <w:t>),</w:t>
      </w:r>
    </w:p>
    <w:p w14:paraId="24A33149" w14:textId="77777777" w:rsidR="002B55D9" w:rsidRDefault="002B55D9" w:rsidP="003D7F36">
      <w:pPr>
        <w:pStyle w:val="ListBullet"/>
      </w:pPr>
      <w:r>
        <w:t xml:space="preserve">1,539 subjects had received </w:t>
      </w:r>
      <w:proofErr w:type="spellStart"/>
      <w:r>
        <w:t>aripiprazole</w:t>
      </w:r>
      <w:proofErr w:type="spellEnd"/>
      <w:r>
        <w:t xml:space="preserve"> IM depot 400/30</w:t>
      </w:r>
      <w:r w:rsidR="002C1F46">
        <w:t>0 mg</w:t>
      </w:r>
      <w:r>
        <w:t>,</w:t>
      </w:r>
    </w:p>
    <w:p w14:paraId="24A3314A" w14:textId="1B4D01DB" w:rsidR="002B55D9" w:rsidRDefault="002B55D9" w:rsidP="003D7F36">
      <w:pPr>
        <w:pStyle w:val="ListBullet"/>
      </w:pPr>
      <w:r>
        <w:t xml:space="preserve">995 subjects have received </w:t>
      </w:r>
      <w:r w:rsidR="0076034B">
        <w:t>≥</w:t>
      </w:r>
      <w:r>
        <w:t xml:space="preserve"> 7 </w:t>
      </w:r>
      <w:proofErr w:type="spellStart"/>
      <w:r>
        <w:t>aripiprazole</w:t>
      </w:r>
      <w:proofErr w:type="spellEnd"/>
      <w:r>
        <w:t xml:space="preserve"> IM depot 400/30</w:t>
      </w:r>
      <w:r w:rsidR="002C1F46">
        <w:t>0 mg</w:t>
      </w:r>
      <w:r>
        <w:t xml:space="preserve"> injections (</w:t>
      </w:r>
      <w:r w:rsidR="00BF2105">
        <w:t xml:space="preserve">that is, </w:t>
      </w:r>
      <w:r>
        <w:t>ha</w:t>
      </w:r>
      <w:r w:rsidR="003D7F36">
        <w:t>d been treated for ≥ 6 months),</w:t>
      </w:r>
    </w:p>
    <w:p w14:paraId="24A3314B" w14:textId="489E95DE" w:rsidR="002B55D9" w:rsidRDefault="002B55D9" w:rsidP="003D7F36">
      <w:pPr>
        <w:pStyle w:val="ListBullet"/>
      </w:pPr>
      <w:r>
        <w:t xml:space="preserve">784 subjects had received </w:t>
      </w:r>
      <w:r w:rsidR="0076034B">
        <w:t>≥</w:t>
      </w:r>
      <w:r>
        <w:t xml:space="preserve"> 13 injections (</w:t>
      </w:r>
      <w:r w:rsidR="00BF2105">
        <w:t xml:space="preserve">that is, </w:t>
      </w:r>
      <w:r>
        <w:t xml:space="preserve">have been treated for </w:t>
      </w:r>
      <w:r w:rsidR="0076034B">
        <w:t>≥</w:t>
      </w:r>
      <w:r w:rsidR="003D7F36">
        <w:t xml:space="preserve"> 12 months),</w:t>
      </w:r>
    </w:p>
    <w:p w14:paraId="24A3314C" w14:textId="77777777" w:rsidR="002B55D9" w:rsidRDefault="002B55D9" w:rsidP="003D7F36">
      <w:pPr>
        <w:pStyle w:val="ListBullet"/>
      </w:pPr>
      <w:r>
        <w:t xml:space="preserve">244 subjects have received </w:t>
      </w:r>
      <w:r w:rsidR="0076034B">
        <w:t>≥</w:t>
      </w:r>
      <w:r>
        <w:t xml:space="preserve"> 26 injections (</w:t>
      </w:r>
      <w:r w:rsidR="00BF2105">
        <w:t xml:space="preserve">that is, </w:t>
      </w:r>
      <w:r>
        <w:t xml:space="preserve">have been treated for </w:t>
      </w:r>
      <w:r w:rsidR="0076034B">
        <w:t>≥</w:t>
      </w:r>
      <w:r>
        <w:t xml:space="preserve"> 24 months).</w:t>
      </w:r>
    </w:p>
    <w:p w14:paraId="24A3314D" w14:textId="2591AC6F" w:rsidR="002B55D9" w:rsidRDefault="002B55D9" w:rsidP="003D7F36">
      <w:pPr>
        <w:pStyle w:val="TableTitle"/>
      </w:pPr>
      <w:bookmarkStart w:id="194" w:name="_Toc381104336"/>
      <w:r>
        <w:t xml:space="preserve">Table </w:t>
      </w:r>
      <w:r w:rsidR="00383AAD">
        <w:t>18</w:t>
      </w:r>
      <w:r w:rsidR="0076034B">
        <w:rPr>
          <w:noProof/>
        </w:rPr>
        <w:t>.</w:t>
      </w:r>
      <w:r>
        <w:t xml:space="preserve"> Exposure to </w:t>
      </w:r>
      <w:proofErr w:type="spellStart"/>
      <w:r w:rsidR="003D7F36">
        <w:t>A</w:t>
      </w:r>
      <w:r>
        <w:t>ripiprazole</w:t>
      </w:r>
      <w:proofErr w:type="spellEnd"/>
      <w:r>
        <w:t xml:space="preserve"> IM </w:t>
      </w:r>
      <w:r w:rsidR="003D7F36">
        <w:t>d</w:t>
      </w:r>
      <w:r>
        <w:t xml:space="preserve">epot by </w:t>
      </w:r>
      <w:r w:rsidR="003D7F36">
        <w:t>n</w:t>
      </w:r>
      <w:r>
        <w:t xml:space="preserve">umber of </w:t>
      </w:r>
      <w:r w:rsidR="003D7F36">
        <w:t>c</w:t>
      </w:r>
      <w:r>
        <w:t xml:space="preserve">onsecutive </w:t>
      </w:r>
      <w:r w:rsidR="003D7F36">
        <w:t>i</w:t>
      </w:r>
      <w:r>
        <w:t>njections (</w:t>
      </w:r>
      <w:r w:rsidR="003D7F36">
        <w:t>c</w:t>
      </w:r>
      <w:r>
        <w:t xml:space="preserve">ontrolled </w:t>
      </w:r>
      <w:r w:rsidR="003D7F36">
        <w:t>t</w:t>
      </w:r>
      <w:r>
        <w:t>rials)</w:t>
      </w:r>
      <w:bookmarkEnd w:id="194"/>
    </w:p>
    <w:p w14:paraId="24A3314E" w14:textId="77777777" w:rsidR="002B55D9" w:rsidRDefault="002B55D9" w:rsidP="003D7F36">
      <w:r>
        <w:rPr>
          <w:noProof/>
          <w:lang w:eastAsia="en-AU"/>
        </w:rPr>
        <w:drawing>
          <wp:inline distT="0" distB="0" distL="0" distR="0" wp14:anchorId="24A33262" wp14:editId="6BC37FE1">
            <wp:extent cx="4714875" cy="2337044"/>
            <wp:effectExtent l="19050" t="19050" r="9525" b="25400"/>
            <wp:docPr id="139" name="Picture 10" descr="Table 18. Exposure to Aripiprazole IM Depot by Number of Consecutive Injections (Controlled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9" cstate="print"/>
                    <a:srcRect l="871" t="2041" r="1" b="2041"/>
                    <a:stretch/>
                  </pic:blipFill>
                  <pic:spPr bwMode="auto">
                    <a:xfrm>
                      <a:off x="0" y="0"/>
                      <a:ext cx="4723210" cy="2341176"/>
                    </a:xfrm>
                    <a:prstGeom prst="rect">
                      <a:avLst/>
                    </a:prstGeom>
                    <a:noFill/>
                    <a:ln w="19050"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24A3314F" w14:textId="77777777" w:rsidR="002B55D9" w:rsidRPr="0076034B" w:rsidRDefault="002B55D9" w:rsidP="003D7F36">
      <w:pPr>
        <w:pStyle w:val="TableDescription"/>
      </w:pPr>
      <w:r w:rsidRPr="0076034B">
        <w:rPr>
          <w:vertAlign w:val="superscript"/>
        </w:rPr>
        <w:t>a</w:t>
      </w:r>
      <w:r w:rsidRPr="0076034B">
        <w:t xml:space="preserve"> Matching placebo injection. NA = not </w:t>
      </w:r>
      <w:r w:rsidR="0076034B" w:rsidRPr="0076034B">
        <w:t xml:space="preserve">applicable.  </w:t>
      </w:r>
      <w:r w:rsidRPr="0076034B">
        <w:t>Up to 10 injections in Trial 31-07-247 and up to 13 injections in Trial 31-07-246.</w:t>
      </w:r>
    </w:p>
    <w:p w14:paraId="24A33150" w14:textId="363C5876" w:rsidR="002B55D9" w:rsidRPr="0089197D" w:rsidRDefault="002B55D9" w:rsidP="003D7F36">
      <w:pPr>
        <w:pStyle w:val="TableTitle"/>
      </w:pPr>
      <w:bookmarkStart w:id="195" w:name="_Toc381104337"/>
      <w:r>
        <w:t xml:space="preserve">Table </w:t>
      </w:r>
      <w:r w:rsidR="00383AAD">
        <w:t>19</w:t>
      </w:r>
      <w:r w:rsidR="0076034B">
        <w:rPr>
          <w:noProof/>
        </w:rPr>
        <w:t>.</w:t>
      </w:r>
      <w:r>
        <w:t xml:space="preserve"> </w:t>
      </w:r>
      <w:r w:rsidRPr="0089197D">
        <w:t xml:space="preserve">Extent of </w:t>
      </w:r>
      <w:r w:rsidR="003D7F36">
        <w:t>e</w:t>
      </w:r>
      <w:r w:rsidRPr="0089197D">
        <w:t xml:space="preserve">xposure to </w:t>
      </w:r>
      <w:proofErr w:type="spellStart"/>
      <w:r w:rsidRPr="0089197D">
        <w:t>Aripiprazole</w:t>
      </w:r>
      <w:proofErr w:type="spellEnd"/>
      <w:r w:rsidRPr="0089197D">
        <w:t xml:space="preserve"> IM </w:t>
      </w:r>
      <w:r w:rsidR="003D7F36">
        <w:t>d</w:t>
      </w:r>
      <w:r w:rsidRPr="0089197D">
        <w:t xml:space="preserve">epot: </w:t>
      </w:r>
      <w:r w:rsidR="003D7F36">
        <w:t>s</w:t>
      </w:r>
      <w:r w:rsidRPr="0089197D">
        <w:t xml:space="preserve">ubjects </w:t>
      </w:r>
      <w:r w:rsidR="003D7F36">
        <w:t>h</w:t>
      </w:r>
      <w:r w:rsidRPr="0089197D">
        <w:t xml:space="preserve">aving ≥ 1 </w:t>
      </w:r>
      <w:proofErr w:type="spellStart"/>
      <w:r w:rsidRPr="0089197D">
        <w:t>Aripiprazole</w:t>
      </w:r>
      <w:proofErr w:type="spellEnd"/>
      <w:r w:rsidRPr="0089197D">
        <w:t xml:space="preserve"> IM Depot </w:t>
      </w:r>
      <w:r w:rsidR="003D7F36">
        <w:t>i</w:t>
      </w:r>
      <w:r w:rsidRPr="0089197D">
        <w:t>njection (</w:t>
      </w:r>
      <w:r w:rsidR="003D7F36">
        <w:t>a</w:t>
      </w:r>
      <w:r w:rsidRPr="0089197D">
        <w:t xml:space="preserve">ll </w:t>
      </w:r>
      <w:r w:rsidR="003D7F36">
        <w:t>t</w:t>
      </w:r>
      <w:r w:rsidRPr="0089197D">
        <w:t>rials)</w:t>
      </w:r>
      <w:bookmarkEnd w:id="195"/>
    </w:p>
    <w:tbl>
      <w:tblPr>
        <w:tblStyle w:val="TableTGAblue"/>
        <w:tblW w:w="0" w:type="auto"/>
        <w:tblInd w:w="250" w:type="dxa"/>
        <w:tblLook w:val="04A0" w:firstRow="1" w:lastRow="0" w:firstColumn="1" w:lastColumn="0" w:noHBand="0" w:noVBand="1"/>
      </w:tblPr>
      <w:tblGrid>
        <w:gridCol w:w="4394"/>
        <w:gridCol w:w="1276"/>
        <w:gridCol w:w="1418"/>
        <w:gridCol w:w="1417"/>
      </w:tblGrid>
      <w:tr w:rsidR="002B55D9" w:rsidRPr="0089197D" w14:paraId="24A33155" w14:textId="77777777" w:rsidTr="003D7F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4" w:type="dxa"/>
            <w:hideMark/>
          </w:tcPr>
          <w:p w14:paraId="24A33151" w14:textId="77777777" w:rsidR="002B55D9" w:rsidRPr="00C05067" w:rsidRDefault="002B55D9" w:rsidP="003D7F36">
            <w:pPr>
              <w:rPr>
                <w:sz w:val="20"/>
                <w:szCs w:val="20"/>
              </w:rPr>
            </w:pPr>
            <w:r w:rsidRPr="00C05067">
              <w:rPr>
                <w:sz w:val="20"/>
                <w:szCs w:val="20"/>
              </w:rPr>
              <w:t>Number of subjects</w:t>
            </w:r>
          </w:p>
        </w:tc>
        <w:tc>
          <w:tcPr>
            <w:tcW w:w="1276" w:type="dxa"/>
            <w:hideMark/>
          </w:tcPr>
          <w:p w14:paraId="24A33152" w14:textId="3D74D04D" w:rsidR="002B55D9" w:rsidRPr="00C05067" w:rsidRDefault="002B55D9" w:rsidP="003D7F36">
            <w:pPr>
              <w:cnfStyle w:val="100000000000" w:firstRow="1" w:lastRow="0" w:firstColumn="0" w:lastColumn="0" w:oddVBand="0" w:evenVBand="0" w:oddHBand="0" w:evenHBand="0" w:firstRowFirstColumn="0" w:firstRowLastColumn="0" w:lastRowFirstColumn="0" w:lastRowLastColumn="0"/>
              <w:rPr>
                <w:sz w:val="20"/>
                <w:szCs w:val="20"/>
              </w:rPr>
            </w:pPr>
            <w:r w:rsidRPr="00C05067">
              <w:rPr>
                <w:sz w:val="20"/>
                <w:szCs w:val="20"/>
              </w:rPr>
              <w:t>ARIP-IMD &lt; 30</w:t>
            </w:r>
            <w:r w:rsidR="002C1F46" w:rsidRPr="00C05067">
              <w:rPr>
                <w:sz w:val="20"/>
                <w:szCs w:val="20"/>
              </w:rPr>
              <w:t>0 mg</w:t>
            </w:r>
          </w:p>
        </w:tc>
        <w:tc>
          <w:tcPr>
            <w:tcW w:w="1418" w:type="dxa"/>
            <w:hideMark/>
          </w:tcPr>
          <w:p w14:paraId="24A33153" w14:textId="4567F1CA" w:rsidR="002B55D9" w:rsidRPr="00C05067" w:rsidRDefault="002B55D9" w:rsidP="003D7F36">
            <w:pPr>
              <w:cnfStyle w:val="100000000000" w:firstRow="1" w:lastRow="0" w:firstColumn="0" w:lastColumn="0" w:oddVBand="0" w:evenVBand="0" w:oddHBand="0" w:evenHBand="0" w:firstRowFirstColumn="0" w:firstRowLastColumn="0" w:lastRowFirstColumn="0" w:lastRowLastColumn="0"/>
              <w:rPr>
                <w:sz w:val="20"/>
                <w:szCs w:val="20"/>
              </w:rPr>
            </w:pPr>
            <w:r w:rsidRPr="00C05067">
              <w:rPr>
                <w:sz w:val="20"/>
                <w:szCs w:val="20"/>
              </w:rPr>
              <w:t>ARIP-IMD 300-40</w:t>
            </w:r>
            <w:r w:rsidR="002C1F46" w:rsidRPr="00C05067">
              <w:rPr>
                <w:sz w:val="20"/>
                <w:szCs w:val="20"/>
              </w:rPr>
              <w:t>0 mg</w:t>
            </w:r>
          </w:p>
        </w:tc>
        <w:tc>
          <w:tcPr>
            <w:tcW w:w="1417" w:type="dxa"/>
            <w:hideMark/>
          </w:tcPr>
          <w:p w14:paraId="24A33154" w14:textId="77777777" w:rsidR="002B55D9" w:rsidRPr="00C05067" w:rsidRDefault="002B55D9" w:rsidP="003D7F36">
            <w:pPr>
              <w:cnfStyle w:val="100000000000" w:firstRow="1" w:lastRow="0" w:firstColumn="0" w:lastColumn="0" w:oddVBand="0" w:evenVBand="0" w:oddHBand="0" w:evenHBand="0" w:firstRowFirstColumn="0" w:firstRowLastColumn="0" w:lastRowFirstColumn="0" w:lastRowLastColumn="0"/>
              <w:rPr>
                <w:sz w:val="20"/>
                <w:szCs w:val="20"/>
              </w:rPr>
            </w:pPr>
            <w:r w:rsidRPr="00C05067">
              <w:rPr>
                <w:sz w:val="20"/>
                <w:szCs w:val="20"/>
              </w:rPr>
              <w:t>ARIP-IMD 15-40</w:t>
            </w:r>
            <w:r w:rsidR="002C1F46" w:rsidRPr="00C05067">
              <w:rPr>
                <w:sz w:val="20"/>
                <w:szCs w:val="20"/>
              </w:rPr>
              <w:t>0 mg</w:t>
            </w:r>
          </w:p>
        </w:tc>
      </w:tr>
      <w:tr w:rsidR="002B55D9" w:rsidRPr="0089197D" w14:paraId="24A3315A" w14:textId="77777777" w:rsidTr="00A344B7">
        <w:tc>
          <w:tcPr>
            <w:cnfStyle w:val="001000000000" w:firstRow="0" w:lastRow="0" w:firstColumn="1" w:lastColumn="0" w:oddVBand="0" w:evenVBand="0" w:oddHBand="0" w:evenHBand="0" w:firstRowFirstColumn="0" w:firstRowLastColumn="0" w:lastRowFirstColumn="0" w:lastRowLastColumn="0"/>
            <w:tcW w:w="4394" w:type="dxa"/>
            <w:hideMark/>
          </w:tcPr>
          <w:p w14:paraId="24A33156" w14:textId="77777777" w:rsidR="002B55D9" w:rsidRPr="00C05067" w:rsidRDefault="002B55D9" w:rsidP="003D7F36">
            <w:pPr>
              <w:rPr>
                <w:sz w:val="20"/>
                <w:szCs w:val="20"/>
              </w:rPr>
            </w:pPr>
            <w:r w:rsidRPr="00C05067">
              <w:rPr>
                <w:sz w:val="20"/>
                <w:szCs w:val="20"/>
              </w:rPr>
              <w:t>Treated</w:t>
            </w:r>
          </w:p>
        </w:tc>
        <w:tc>
          <w:tcPr>
            <w:tcW w:w="1276" w:type="dxa"/>
            <w:hideMark/>
          </w:tcPr>
          <w:p w14:paraId="24A33157" w14:textId="77777777" w:rsidR="002B55D9" w:rsidRPr="00C05067" w:rsidRDefault="002B55D9" w:rsidP="003D7F36">
            <w:pPr>
              <w:cnfStyle w:val="000000000000" w:firstRow="0" w:lastRow="0" w:firstColumn="0" w:lastColumn="0" w:oddVBand="0" w:evenVBand="0" w:oddHBand="0" w:evenHBand="0" w:firstRowFirstColumn="0" w:firstRowLastColumn="0" w:lastRowFirstColumn="0" w:lastRowLastColumn="0"/>
              <w:rPr>
                <w:sz w:val="20"/>
                <w:szCs w:val="20"/>
              </w:rPr>
            </w:pPr>
            <w:r w:rsidRPr="00C05067">
              <w:rPr>
                <w:sz w:val="20"/>
                <w:szCs w:val="20"/>
              </w:rPr>
              <w:t>168</w:t>
            </w:r>
          </w:p>
        </w:tc>
        <w:tc>
          <w:tcPr>
            <w:tcW w:w="1418" w:type="dxa"/>
            <w:hideMark/>
          </w:tcPr>
          <w:p w14:paraId="24A33158" w14:textId="77777777" w:rsidR="002B55D9" w:rsidRPr="00C05067" w:rsidRDefault="002B55D9" w:rsidP="003D7F36">
            <w:pPr>
              <w:cnfStyle w:val="000000000000" w:firstRow="0" w:lastRow="0" w:firstColumn="0" w:lastColumn="0" w:oddVBand="0" w:evenVBand="0" w:oddHBand="0" w:evenHBand="0" w:firstRowFirstColumn="0" w:firstRowLastColumn="0" w:lastRowFirstColumn="0" w:lastRowLastColumn="0"/>
              <w:rPr>
                <w:sz w:val="20"/>
                <w:szCs w:val="20"/>
              </w:rPr>
            </w:pPr>
            <w:r w:rsidRPr="00C05067">
              <w:rPr>
                <w:sz w:val="20"/>
                <w:szCs w:val="20"/>
              </w:rPr>
              <w:t>1539</w:t>
            </w:r>
          </w:p>
        </w:tc>
        <w:tc>
          <w:tcPr>
            <w:tcW w:w="1417" w:type="dxa"/>
            <w:hideMark/>
          </w:tcPr>
          <w:p w14:paraId="24A33159" w14:textId="77777777" w:rsidR="002B55D9" w:rsidRPr="00C05067" w:rsidRDefault="002B55D9" w:rsidP="003D7F36">
            <w:pPr>
              <w:cnfStyle w:val="000000000000" w:firstRow="0" w:lastRow="0" w:firstColumn="0" w:lastColumn="0" w:oddVBand="0" w:evenVBand="0" w:oddHBand="0" w:evenHBand="0" w:firstRowFirstColumn="0" w:firstRowLastColumn="0" w:lastRowFirstColumn="0" w:lastRowLastColumn="0"/>
              <w:rPr>
                <w:sz w:val="20"/>
                <w:szCs w:val="20"/>
              </w:rPr>
            </w:pPr>
            <w:r w:rsidRPr="00C05067">
              <w:rPr>
                <w:sz w:val="20"/>
                <w:szCs w:val="20"/>
              </w:rPr>
              <w:t>1624</w:t>
            </w:r>
          </w:p>
        </w:tc>
      </w:tr>
      <w:tr w:rsidR="002B55D9" w:rsidRPr="0089197D" w14:paraId="24A3315F" w14:textId="77777777" w:rsidTr="00A344B7">
        <w:tc>
          <w:tcPr>
            <w:cnfStyle w:val="001000000000" w:firstRow="0" w:lastRow="0" w:firstColumn="1" w:lastColumn="0" w:oddVBand="0" w:evenVBand="0" w:oddHBand="0" w:evenHBand="0" w:firstRowFirstColumn="0" w:firstRowLastColumn="0" w:lastRowFirstColumn="0" w:lastRowLastColumn="0"/>
            <w:tcW w:w="4394" w:type="dxa"/>
            <w:hideMark/>
          </w:tcPr>
          <w:p w14:paraId="24A3315B" w14:textId="77777777" w:rsidR="002B55D9" w:rsidRPr="00C05067" w:rsidRDefault="002B55D9" w:rsidP="003D7F36">
            <w:pPr>
              <w:rPr>
                <w:sz w:val="20"/>
                <w:szCs w:val="20"/>
              </w:rPr>
            </w:pPr>
            <w:r w:rsidRPr="00C05067">
              <w:rPr>
                <w:sz w:val="20"/>
                <w:szCs w:val="20"/>
              </w:rPr>
              <w:t xml:space="preserve">Total </w:t>
            </w:r>
            <w:proofErr w:type="spellStart"/>
            <w:r w:rsidRPr="00C05067">
              <w:rPr>
                <w:sz w:val="20"/>
                <w:szCs w:val="20"/>
              </w:rPr>
              <w:t>aripiprazole</w:t>
            </w:r>
            <w:proofErr w:type="spellEnd"/>
            <w:r w:rsidRPr="00C05067">
              <w:rPr>
                <w:sz w:val="20"/>
                <w:szCs w:val="20"/>
              </w:rPr>
              <w:t xml:space="preserve"> IMD injections</w:t>
            </w:r>
          </w:p>
        </w:tc>
        <w:tc>
          <w:tcPr>
            <w:tcW w:w="1276" w:type="dxa"/>
            <w:hideMark/>
          </w:tcPr>
          <w:p w14:paraId="24A3315C" w14:textId="77777777" w:rsidR="002B55D9" w:rsidRPr="00C05067" w:rsidRDefault="002B55D9" w:rsidP="003D7F36">
            <w:pPr>
              <w:cnfStyle w:val="000000000000" w:firstRow="0" w:lastRow="0" w:firstColumn="0" w:lastColumn="0" w:oddVBand="0" w:evenVBand="0" w:oddHBand="0" w:evenHBand="0" w:firstRowFirstColumn="0" w:firstRowLastColumn="0" w:lastRowFirstColumn="0" w:lastRowLastColumn="0"/>
              <w:rPr>
                <w:sz w:val="20"/>
                <w:szCs w:val="20"/>
              </w:rPr>
            </w:pPr>
            <w:r w:rsidRPr="00C05067">
              <w:rPr>
                <w:sz w:val="20"/>
                <w:szCs w:val="20"/>
              </w:rPr>
              <w:t>948</w:t>
            </w:r>
          </w:p>
        </w:tc>
        <w:tc>
          <w:tcPr>
            <w:tcW w:w="1418" w:type="dxa"/>
            <w:hideMark/>
          </w:tcPr>
          <w:p w14:paraId="24A3315D" w14:textId="77777777" w:rsidR="002B55D9" w:rsidRPr="00C05067" w:rsidRDefault="002B55D9" w:rsidP="003D7F36">
            <w:pPr>
              <w:cnfStyle w:val="000000000000" w:firstRow="0" w:lastRow="0" w:firstColumn="0" w:lastColumn="0" w:oddVBand="0" w:evenVBand="0" w:oddHBand="0" w:evenHBand="0" w:firstRowFirstColumn="0" w:firstRowLastColumn="0" w:lastRowFirstColumn="0" w:lastRowLastColumn="0"/>
              <w:rPr>
                <w:sz w:val="20"/>
                <w:szCs w:val="20"/>
              </w:rPr>
            </w:pPr>
            <w:r w:rsidRPr="00C05067">
              <w:rPr>
                <w:sz w:val="20"/>
                <w:szCs w:val="20"/>
              </w:rPr>
              <w:t>21030</w:t>
            </w:r>
          </w:p>
        </w:tc>
        <w:tc>
          <w:tcPr>
            <w:tcW w:w="1417" w:type="dxa"/>
            <w:hideMark/>
          </w:tcPr>
          <w:p w14:paraId="24A3315E" w14:textId="77777777" w:rsidR="002B55D9" w:rsidRPr="00C05067" w:rsidRDefault="002B55D9" w:rsidP="003D7F36">
            <w:pPr>
              <w:cnfStyle w:val="000000000000" w:firstRow="0" w:lastRow="0" w:firstColumn="0" w:lastColumn="0" w:oddVBand="0" w:evenVBand="0" w:oddHBand="0" w:evenHBand="0" w:firstRowFirstColumn="0" w:firstRowLastColumn="0" w:lastRowFirstColumn="0" w:lastRowLastColumn="0"/>
              <w:rPr>
                <w:sz w:val="20"/>
                <w:szCs w:val="20"/>
              </w:rPr>
            </w:pPr>
            <w:r w:rsidRPr="00C05067">
              <w:rPr>
                <w:sz w:val="20"/>
                <w:szCs w:val="20"/>
              </w:rPr>
              <w:t>21978</w:t>
            </w:r>
          </w:p>
        </w:tc>
      </w:tr>
      <w:tr w:rsidR="002B55D9" w:rsidRPr="0089197D" w14:paraId="24A33164" w14:textId="77777777" w:rsidTr="00A344B7">
        <w:tc>
          <w:tcPr>
            <w:cnfStyle w:val="001000000000" w:firstRow="0" w:lastRow="0" w:firstColumn="1" w:lastColumn="0" w:oddVBand="0" w:evenVBand="0" w:oddHBand="0" w:evenHBand="0" w:firstRowFirstColumn="0" w:firstRowLastColumn="0" w:lastRowFirstColumn="0" w:lastRowLastColumn="0"/>
            <w:tcW w:w="4394" w:type="dxa"/>
            <w:hideMark/>
          </w:tcPr>
          <w:p w14:paraId="24A33160" w14:textId="77777777" w:rsidR="002B55D9" w:rsidRPr="00C05067" w:rsidRDefault="002B55D9" w:rsidP="003D7F36">
            <w:pPr>
              <w:rPr>
                <w:sz w:val="20"/>
                <w:szCs w:val="20"/>
              </w:rPr>
            </w:pPr>
            <w:r w:rsidRPr="00C05067">
              <w:rPr>
                <w:sz w:val="20"/>
                <w:szCs w:val="20"/>
              </w:rPr>
              <w:t xml:space="preserve">Total days of exposure to </w:t>
            </w:r>
            <w:proofErr w:type="spellStart"/>
            <w:r w:rsidRPr="00C05067">
              <w:rPr>
                <w:sz w:val="20"/>
                <w:szCs w:val="20"/>
              </w:rPr>
              <w:t>aripiprazole</w:t>
            </w:r>
            <w:proofErr w:type="spellEnd"/>
            <w:r w:rsidRPr="00C05067">
              <w:rPr>
                <w:sz w:val="20"/>
                <w:szCs w:val="20"/>
              </w:rPr>
              <w:t xml:space="preserve"> IMD</w:t>
            </w:r>
          </w:p>
        </w:tc>
        <w:tc>
          <w:tcPr>
            <w:tcW w:w="1276" w:type="dxa"/>
            <w:hideMark/>
          </w:tcPr>
          <w:p w14:paraId="24A33161" w14:textId="77777777" w:rsidR="002B55D9" w:rsidRPr="00C05067" w:rsidRDefault="002B55D9" w:rsidP="003D7F36">
            <w:pPr>
              <w:cnfStyle w:val="000000000000" w:firstRow="0" w:lastRow="0" w:firstColumn="0" w:lastColumn="0" w:oddVBand="0" w:evenVBand="0" w:oddHBand="0" w:evenHBand="0" w:firstRowFirstColumn="0" w:firstRowLastColumn="0" w:lastRowFirstColumn="0" w:lastRowLastColumn="0"/>
              <w:rPr>
                <w:sz w:val="20"/>
                <w:szCs w:val="20"/>
              </w:rPr>
            </w:pPr>
            <w:r w:rsidRPr="00C05067">
              <w:rPr>
                <w:sz w:val="20"/>
                <w:szCs w:val="20"/>
              </w:rPr>
              <w:t>26428</w:t>
            </w:r>
          </w:p>
        </w:tc>
        <w:tc>
          <w:tcPr>
            <w:tcW w:w="1418" w:type="dxa"/>
            <w:hideMark/>
          </w:tcPr>
          <w:p w14:paraId="24A33162" w14:textId="77777777" w:rsidR="002B55D9" w:rsidRPr="00C05067" w:rsidRDefault="002B55D9" w:rsidP="003D7F36">
            <w:pPr>
              <w:cnfStyle w:val="000000000000" w:firstRow="0" w:lastRow="0" w:firstColumn="0" w:lastColumn="0" w:oddVBand="0" w:evenVBand="0" w:oddHBand="0" w:evenHBand="0" w:firstRowFirstColumn="0" w:firstRowLastColumn="0" w:lastRowFirstColumn="0" w:lastRowLastColumn="0"/>
              <w:rPr>
                <w:sz w:val="20"/>
                <w:szCs w:val="20"/>
              </w:rPr>
            </w:pPr>
            <w:r w:rsidRPr="00C05067">
              <w:rPr>
                <w:sz w:val="20"/>
                <w:szCs w:val="20"/>
              </w:rPr>
              <w:t>590702</w:t>
            </w:r>
          </w:p>
        </w:tc>
        <w:tc>
          <w:tcPr>
            <w:tcW w:w="1417" w:type="dxa"/>
            <w:hideMark/>
          </w:tcPr>
          <w:p w14:paraId="24A33163" w14:textId="77777777" w:rsidR="002B55D9" w:rsidRPr="00C05067" w:rsidRDefault="002B55D9" w:rsidP="003D7F36">
            <w:pPr>
              <w:cnfStyle w:val="000000000000" w:firstRow="0" w:lastRow="0" w:firstColumn="0" w:lastColumn="0" w:oddVBand="0" w:evenVBand="0" w:oddHBand="0" w:evenHBand="0" w:firstRowFirstColumn="0" w:firstRowLastColumn="0" w:lastRowFirstColumn="0" w:lastRowLastColumn="0"/>
              <w:rPr>
                <w:sz w:val="20"/>
                <w:szCs w:val="20"/>
              </w:rPr>
            </w:pPr>
            <w:r w:rsidRPr="00C05067">
              <w:rPr>
                <w:sz w:val="20"/>
                <w:szCs w:val="20"/>
              </w:rPr>
              <w:t>617130</w:t>
            </w:r>
          </w:p>
        </w:tc>
      </w:tr>
      <w:tr w:rsidR="002B55D9" w:rsidRPr="0089197D" w14:paraId="24A33169" w14:textId="77777777" w:rsidTr="00A344B7">
        <w:tc>
          <w:tcPr>
            <w:cnfStyle w:val="001000000000" w:firstRow="0" w:lastRow="0" w:firstColumn="1" w:lastColumn="0" w:oddVBand="0" w:evenVBand="0" w:oddHBand="0" w:evenHBand="0" w:firstRowFirstColumn="0" w:firstRowLastColumn="0" w:lastRowFirstColumn="0" w:lastRowLastColumn="0"/>
            <w:tcW w:w="4394" w:type="dxa"/>
            <w:hideMark/>
          </w:tcPr>
          <w:p w14:paraId="24A33165" w14:textId="77777777" w:rsidR="002B55D9" w:rsidRPr="00C05067" w:rsidRDefault="002B55D9" w:rsidP="003D7F36">
            <w:pPr>
              <w:rPr>
                <w:sz w:val="20"/>
                <w:szCs w:val="20"/>
              </w:rPr>
            </w:pPr>
            <w:r w:rsidRPr="00C05067">
              <w:rPr>
                <w:sz w:val="20"/>
                <w:szCs w:val="20"/>
              </w:rPr>
              <w:t xml:space="preserve">Total years of exposure to </w:t>
            </w:r>
            <w:proofErr w:type="spellStart"/>
            <w:r w:rsidRPr="00C05067">
              <w:rPr>
                <w:sz w:val="20"/>
                <w:szCs w:val="20"/>
              </w:rPr>
              <w:t>aripiprazole</w:t>
            </w:r>
            <w:proofErr w:type="spellEnd"/>
            <w:r w:rsidRPr="00C05067">
              <w:rPr>
                <w:sz w:val="20"/>
                <w:szCs w:val="20"/>
              </w:rPr>
              <w:t xml:space="preserve"> IMD (PEY)¹</w:t>
            </w:r>
          </w:p>
        </w:tc>
        <w:tc>
          <w:tcPr>
            <w:tcW w:w="1276" w:type="dxa"/>
            <w:hideMark/>
          </w:tcPr>
          <w:p w14:paraId="24A33166" w14:textId="77777777" w:rsidR="002B55D9" w:rsidRPr="00C05067" w:rsidRDefault="002B55D9" w:rsidP="003D7F36">
            <w:pPr>
              <w:cnfStyle w:val="000000000000" w:firstRow="0" w:lastRow="0" w:firstColumn="0" w:lastColumn="0" w:oddVBand="0" w:evenVBand="0" w:oddHBand="0" w:evenHBand="0" w:firstRowFirstColumn="0" w:firstRowLastColumn="0" w:lastRowFirstColumn="0" w:lastRowLastColumn="0"/>
              <w:rPr>
                <w:sz w:val="20"/>
                <w:szCs w:val="20"/>
              </w:rPr>
            </w:pPr>
            <w:r w:rsidRPr="00C05067">
              <w:rPr>
                <w:sz w:val="20"/>
                <w:szCs w:val="20"/>
              </w:rPr>
              <w:t>72.4</w:t>
            </w:r>
          </w:p>
        </w:tc>
        <w:tc>
          <w:tcPr>
            <w:tcW w:w="1418" w:type="dxa"/>
            <w:hideMark/>
          </w:tcPr>
          <w:p w14:paraId="24A33167" w14:textId="77777777" w:rsidR="002B55D9" w:rsidRPr="00C05067" w:rsidRDefault="002B55D9" w:rsidP="003D7F36">
            <w:pPr>
              <w:cnfStyle w:val="000000000000" w:firstRow="0" w:lastRow="0" w:firstColumn="0" w:lastColumn="0" w:oddVBand="0" w:evenVBand="0" w:oddHBand="0" w:evenHBand="0" w:firstRowFirstColumn="0" w:firstRowLastColumn="0" w:lastRowFirstColumn="0" w:lastRowLastColumn="0"/>
              <w:rPr>
                <w:sz w:val="20"/>
                <w:szCs w:val="20"/>
              </w:rPr>
            </w:pPr>
            <w:r w:rsidRPr="00C05067">
              <w:rPr>
                <w:sz w:val="20"/>
                <w:szCs w:val="20"/>
              </w:rPr>
              <w:t>1617.3</w:t>
            </w:r>
          </w:p>
        </w:tc>
        <w:tc>
          <w:tcPr>
            <w:tcW w:w="1417" w:type="dxa"/>
            <w:hideMark/>
          </w:tcPr>
          <w:p w14:paraId="24A33168" w14:textId="77777777" w:rsidR="002B55D9" w:rsidRPr="00C05067" w:rsidRDefault="002B55D9" w:rsidP="003D7F36">
            <w:pPr>
              <w:cnfStyle w:val="000000000000" w:firstRow="0" w:lastRow="0" w:firstColumn="0" w:lastColumn="0" w:oddVBand="0" w:evenVBand="0" w:oddHBand="0" w:evenHBand="0" w:firstRowFirstColumn="0" w:firstRowLastColumn="0" w:lastRowFirstColumn="0" w:lastRowLastColumn="0"/>
              <w:rPr>
                <w:sz w:val="20"/>
                <w:szCs w:val="20"/>
              </w:rPr>
            </w:pPr>
            <w:r w:rsidRPr="00C05067">
              <w:rPr>
                <w:sz w:val="20"/>
                <w:szCs w:val="20"/>
              </w:rPr>
              <w:t>1689.6</w:t>
            </w:r>
          </w:p>
        </w:tc>
      </w:tr>
    </w:tbl>
    <w:p w14:paraId="24A3316A" w14:textId="48656575" w:rsidR="002B55D9" w:rsidRPr="0076034B" w:rsidRDefault="002B55D9" w:rsidP="003D7F36">
      <w:pPr>
        <w:pStyle w:val="TableDescription"/>
      </w:pPr>
      <w:r w:rsidRPr="0076034B">
        <w:t xml:space="preserve">¹PEY = Subjects total days of exposure to </w:t>
      </w:r>
      <w:proofErr w:type="spellStart"/>
      <w:r w:rsidRPr="0076034B">
        <w:t>Aripiprazole</w:t>
      </w:r>
      <w:proofErr w:type="spellEnd"/>
      <w:r w:rsidRPr="0076034B">
        <w:t xml:space="preserve"> IMD / 365.25</w:t>
      </w:r>
    </w:p>
    <w:p w14:paraId="24A3316B" w14:textId="77777777" w:rsidR="002B55D9" w:rsidRDefault="002B55D9" w:rsidP="0076034B">
      <w:pPr>
        <w:pStyle w:val="Heading3"/>
      </w:pPr>
      <w:bookmarkStart w:id="196" w:name="_Toc241374319"/>
      <w:bookmarkStart w:id="197" w:name="_Ref271044764"/>
      <w:bookmarkStart w:id="198" w:name="_Toc272414663"/>
      <w:bookmarkStart w:id="199" w:name="_Toc290846301"/>
      <w:bookmarkStart w:id="200" w:name="_Toc381104216"/>
      <w:bookmarkStart w:id="201" w:name="_Toc408930648"/>
      <w:r>
        <w:lastRenderedPageBreak/>
        <w:t>Adverse events</w:t>
      </w:r>
      <w:bookmarkEnd w:id="196"/>
      <w:bookmarkEnd w:id="197"/>
      <w:bookmarkEnd w:id="198"/>
      <w:bookmarkEnd w:id="199"/>
      <w:bookmarkEnd w:id="200"/>
      <w:bookmarkEnd w:id="201"/>
    </w:p>
    <w:p w14:paraId="24A3316C" w14:textId="77777777" w:rsidR="002B55D9" w:rsidRPr="00C27CB6" w:rsidRDefault="002B55D9" w:rsidP="0076034B">
      <w:pPr>
        <w:pStyle w:val="Heading4"/>
      </w:pPr>
      <w:bookmarkStart w:id="202" w:name="_Ref272317284"/>
      <w:bookmarkStart w:id="203" w:name="_Ref272333565"/>
      <w:bookmarkStart w:id="204" w:name="_Toc272414664"/>
      <w:bookmarkStart w:id="205" w:name="_Toc290846302"/>
      <w:bookmarkStart w:id="206" w:name="_Toc381104217"/>
      <w:r>
        <w:t>All adverse events (irrespective of relationship to study treatment)</w:t>
      </w:r>
      <w:bookmarkEnd w:id="202"/>
      <w:bookmarkEnd w:id="203"/>
      <w:bookmarkEnd w:id="204"/>
      <w:bookmarkEnd w:id="205"/>
      <w:bookmarkEnd w:id="206"/>
    </w:p>
    <w:p w14:paraId="24A3316D" w14:textId="43130930" w:rsidR="002B55D9" w:rsidRDefault="00C05067" w:rsidP="0076034B">
      <w:pPr>
        <w:pStyle w:val="Heading5"/>
      </w:pPr>
      <w:r>
        <w:t>Controlled t</w:t>
      </w:r>
      <w:r w:rsidR="002B55D9" w:rsidRPr="00AE4387">
        <w:t>rials</w:t>
      </w:r>
    </w:p>
    <w:p w14:paraId="24A3316E" w14:textId="77777777" w:rsidR="002B55D9" w:rsidRPr="00AE4387" w:rsidRDefault="002B55D9" w:rsidP="0076034B">
      <w:r w:rsidRPr="00920DD3">
        <w:t xml:space="preserve">The only TEAE reported for </w:t>
      </w:r>
      <w:r w:rsidR="0076034B">
        <w:t>≥</w:t>
      </w:r>
      <w:r w:rsidRPr="00920DD3">
        <w:t xml:space="preserve"> 10% of </w:t>
      </w:r>
      <w:proofErr w:type="spellStart"/>
      <w:r w:rsidRPr="00920DD3">
        <w:t>aripiprazole</w:t>
      </w:r>
      <w:proofErr w:type="spellEnd"/>
      <w:r w:rsidRPr="00920DD3">
        <w:t xml:space="preserve"> IM depot 400</w:t>
      </w:r>
      <w:r>
        <w:t>/30</w:t>
      </w:r>
      <w:r w:rsidR="002C1F46">
        <w:t>0 mg</w:t>
      </w:r>
      <w:r w:rsidRPr="00920DD3">
        <w:t xml:space="preserve"> subjects</w:t>
      </w:r>
      <w:r>
        <w:t xml:space="preserve"> </w:t>
      </w:r>
      <w:r w:rsidRPr="00920DD3">
        <w:t>was insomnia (58/534 subjects, 10.9%), which was reported in 37/266 (13.9%) oral</w:t>
      </w:r>
      <w:r>
        <w:t xml:space="preserve"> </w:t>
      </w:r>
      <w:proofErr w:type="spellStart"/>
      <w:r>
        <w:t>aripiprazole</w:t>
      </w:r>
      <w:proofErr w:type="spellEnd"/>
      <w:r>
        <w:t xml:space="preserve"> tablets 10-3</w:t>
      </w:r>
      <w:r w:rsidR="002C1F46">
        <w:t>0 mg</w:t>
      </w:r>
      <w:r w:rsidRPr="00920DD3">
        <w:t xml:space="preserve"> subjects, 18/131 (13.7%) </w:t>
      </w:r>
      <w:proofErr w:type="spellStart"/>
      <w:r w:rsidRPr="00920DD3">
        <w:t>aripiprazole</w:t>
      </w:r>
      <w:proofErr w:type="spellEnd"/>
      <w:r w:rsidRPr="00920DD3">
        <w:t xml:space="preserve"> IM depot</w:t>
      </w:r>
      <w:r>
        <w:t xml:space="preserve"> 50/25</w:t>
      </w:r>
      <w:r w:rsidRPr="00920DD3">
        <w:t>mg subjects, and 12/134 (9.0%) placebo subjects</w:t>
      </w:r>
      <w:r>
        <w:t xml:space="preserve">. </w:t>
      </w:r>
      <w:r w:rsidRPr="00920DD3">
        <w:t xml:space="preserve">AEs reported for ≥ 5% but &lt; 10% of </w:t>
      </w:r>
      <w:proofErr w:type="spellStart"/>
      <w:r w:rsidRPr="00920DD3">
        <w:t>aripiprazole</w:t>
      </w:r>
      <w:proofErr w:type="spellEnd"/>
      <w:r w:rsidRPr="00920DD3">
        <w:t xml:space="preserve"> IM depot</w:t>
      </w:r>
      <w:r>
        <w:t xml:space="preserve"> 400/30</w:t>
      </w:r>
      <w:r w:rsidR="002C1F46">
        <w:t>0 mg</w:t>
      </w:r>
      <w:r w:rsidRPr="00920DD3">
        <w:t xml:space="preserve"> subjects were increas</w:t>
      </w:r>
      <w:r>
        <w:t xml:space="preserve">ed weight (50/534, 9.4%), </w:t>
      </w:r>
      <w:proofErr w:type="spellStart"/>
      <w:r>
        <w:t>akathe</w:t>
      </w:r>
      <w:r w:rsidRPr="00920DD3">
        <w:t>sia</w:t>
      </w:r>
      <w:proofErr w:type="spellEnd"/>
      <w:r w:rsidRPr="00920DD3">
        <w:t xml:space="preserve"> (43/534, 8.1%),</w:t>
      </w:r>
      <w:r>
        <w:t xml:space="preserve"> </w:t>
      </w:r>
      <w:r w:rsidRPr="00920DD3">
        <w:t>headache (42/534, 7.9%), anxiety (35/534, 6.6%), decreased weight (35/534, 6.6%),</w:t>
      </w:r>
      <w:r>
        <w:t xml:space="preserve"> </w:t>
      </w:r>
      <w:r w:rsidRPr="00920DD3">
        <w:t>nasopharyngitis (31/534, 5.8%), and injection site pain (28/534, 5.2%).</w:t>
      </w:r>
    </w:p>
    <w:p w14:paraId="24A3316F" w14:textId="37428AD4" w:rsidR="002B55D9" w:rsidRDefault="002B55D9" w:rsidP="00182AE0">
      <w:pPr>
        <w:pStyle w:val="TableTitle"/>
        <w:rPr>
          <w:bCs/>
        </w:rPr>
      </w:pPr>
      <w:bookmarkStart w:id="207" w:name="_Toc381104338"/>
      <w:r>
        <w:t xml:space="preserve">Table </w:t>
      </w:r>
      <w:r w:rsidR="00383AAD">
        <w:t>20</w:t>
      </w:r>
      <w:r w:rsidR="0076034B">
        <w:rPr>
          <w:noProof/>
        </w:rPr>
        <w:t>.</w:t>
      </w:r>
      <w:r>
        <w:t xml:space="preserve"> </w:t>
      </w:r>
      <w:r w:rsidRPr="00AE4387">
        <w:t xml:space="preserve">Summary of </w:t>
      </w:r>
      <w:r>
        <w:t xml:space="preserve">AEs </w:t>
      </w:r>
      <w:r w:rsidR="00182AE0">
        <w:t>d</w:t>
      </w:r>
      <w:r>
        <w:t xml:space="preserve">uring </w:t>
      </w:r>
      <w:r w:rsidR="00182AE0">
        <w:t>d</w:t>
      </w:r>
      <w:r>
        <w:t xml:space="preserve">ouble-blind </w:t>
      </w:r>
      <w:r w:rsidR="00182AE0">
        <w:t>t</w:t>
      </w:r>
      <w:r>
        <w:t xml:space="preserve">reatment </w:t>
      </w:r>
      <w:r w:rsidR="00182AE0">
        <w:t>p</w:t>
      </w:r>
      <w:r w:rsidRPr="00AE4387">
        <w:t>hases (</w:t>
      </w:r>
      <w:r w:rsidR="00182AE0">
        <w:t>c</w:t>
      </w:r>
      <w:r w:rsidRPr="00AE4387">
        <w:t xml:space="preserve">ontrolled </w:t>
      </w:r>
      <w:r w:rsidR="00182AE0">
        <w:t>t</w:t>
      </w:r>
      <w:r w:rsidRPr="00AE4387">
        <w:t>rials)</w:t>
      </w:r>
      <w:bookmarkEnd w:id="207"/>
    </w:p>
    <w:p w14:paraId="24A33170" w14:textId="77777777" w:rsidR="0076034B" w:rsidRDefault="002B55D9" w:rsidP="002B55D9">
      <w:pPr>
        <w:rPr>
          <w:rFonts w:asciiTheme="minorHAnsi" w:hAnsiTheme="minorHAnsi"/>
          <w:bCs/>
          <w:iCs/>
          <w:sz w:val="18"/>
          <w:szCs w:val="18"/>
        </w:rPr>
      </w:pPr>
      <w:r>
        <w:rPr>
          <w:rFonts w:asciiTheme="majorHAnsi" w:hAnsiTheme="majorHAnsi"/>
          <w:bCs/>
          <w:iCs/>
          <w:noProof/>
          <w:lang w:eastAsia="en-AU"/>
        </w:rPr>
        <w:drawing>
          <wp:inline distT="0" distB="0" distL="0" distR="0" wp14:anchorId="24A33264" wp14:editId="24A33265">
            <wp:extent cx="4867275" cy="3063348"/>
            <wp:effectExtent l="19050" t="19050" r="0" b="3810"/>
            <wp:docPr id="153" name="Picture 13" descr="Table 20. Summary of AEs During Double-blind Treatment Phases (Controlled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0" cstate="print"/>
                    <a:srcRect l="839" t="1379"/>
                    <a:stretch/>
                  </pic:blipFill>
                  <pic:spPr bwMode="auto">
                    <a:xfrm>
                      <a:off x="0" y="0"/>
                      <a:ext cx="4879807" cy="3071235"/>
                    </a:xfrm>
                    <a:prstGeom prst="rect">
                      <a:avLst/>
                    </a:prstGeom>
                    <a:noFill/>
                    <a:ln w="19050"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24A33171" w14:textId="77777777" w:rsidR="002B55D9" w:rsidRPr="0076034B" w:rsidRDefault="002B55D9" w:rsidP="00182AE0">
      <w:pPr>
        <w:pStyle w:val="TableDescription"/>
      </w:pPr>
      <w:r w:rsidRPr="0076034B">
        <w:t>PEY = patient-exposure years; TEAE was defined as an AE which started after commencement of randomized, double-blind trial medication, or an event that continued from baseline or from the end of the specific previous other treatment period, and became serious, worsening, trial medication-related, or resulted in death, discontinuation, interruption, or reduction of trial medication during the current treatment period. Subjects with multiple occurrences of TEAEs are counted only once per specific category.</w:t>
      </w:r>
      <w:r w:rsidR="0076034B" w:rsidRPr="0076034B">
        <w:t xml:space="preserve"> </w:t>
      </w:r>
      <w:r w:rsidRPr="0076034B">
        <w:rPr>
          <w:vertAlign w:val="superscript"/>
        </w:rPr>
        <w:t>a</w:t>
      </w:r>
      <w:r w:rsidRPr="0076034B">
        <w:t xml:space="preserve"> Percentages are based on the number of treated randomized subjects.</w:t>
      </w:r>
      <w:r w:rsidR="0076034B" w:rsidRPr="0076034B">
        <w:t xml:space="preserve"> </w:t>
      </w:r>
      <w:r w:rsidRPr="0076034B">
        <w:rPr>
          <w:vertAlign w:val="superscript"/>
        </w:rPr>
        <w:t xml:space="preserve">b </w:t>
      </w:r>
      <w:r w:rsidRPr="0076034B">
        <w:t xml:space="preserve">During double-blind phase (includes concurrent oral </w:t>
      </w:r>
      <w:proofErr w:type="spellStart"/>
      <w:r w:rsidRPr="0076034B">
        <w:t>aripiprazole</w:t>
      </w:r>
      <w:proofErr w:type="spellEnd"/>
      <w:r w:rsidRPr="0076034B">
        <w:t xml:space="preserve"> tablet administration in the </w:t>
      </w:r>
      <w:proofErr w:type="spellStart"/>
      <w:r w:rsidRPr="0076034B">
        <w:t>aripiprazole</w:t>
      </w:r>
      <w:proofErr w:type="spellEnd"/>
      <w:r w:rsidRPr="0076034B">
        <w:t xml:space="preserve"> IM depot treatment groups during the first 14 days of double-blind treatment in Trial 31-07-247; not applicable for Trial 31-07-246 because subjects received concurrent oral </w:t>
      </w:r>
      <w:proofErr w:type="spellStart"/>
      <w:r w:rsidRPr="0076034B">
        <w:t>aripiprazole</w:t>
      </w:r>
      <w:proofErr w:type="spellEnd"/>
      <w:r w:rsidRPr="0076034B">
        <w:t xml:space="preserve"> in IM Depot Stabilization Phase).</w:t>
      </w:r>
      <w:r w:rsidR="0076034B" w:rsidRPr="0076034B">
        <w:t xml:space="preserve"> </w:t>
      </w:r>
      <w:r w:rsidRPr="0076034B">
        <w:rPr>
          <w:vertAlign w:val="superscript"/>
        </w:rPr>
        <w:t>c</w:t>
      </w:r>
      <w:r w:rsidRPr="0076034B">
        <w:t xml:space="preserve"> Number of AEs = Total number of all records of reported AEs.</w:t>
      </w:r>
    </w:p>
    <w:p w14:paraId="24A33172" w14:textId="112E57CC" w:rsidR="002B55D9" w:rsidRDefault="002B55D9" w:rsidP="00182AE0">
      <w:pPr>
        <w:pStyle w:val="Heading5"/>
      </w:pPr>
      <w:r w:rsidRPr="0089197D">
        <w:lastRenderedPageBreak/>
        <w:t xml:space="preserve">All </w:t>
      </w:r>
      <w:r w:rsidR="00182AE0">
        <w:t>t</w:t>
      </w:r>
      <w:r w:rsidRPr="0089197D">
        <w:t>rials</w:t>
      </w:r>
    </w:p>
    <w:p w14:paraId="24A33173" w14:textId="6B7940C1" w:rsidR="002B55D9" w:rsidRDefault="002B55D9" w:rsidP="0045290B">
      <w:pPr>
        <w:pStyle w:val="TableTitle"/>
      </w:pPr>
      <w:bookmarkStart w:id="208" w:name="_Toc381104339"/>
      <w:r>
        <w:t xml:space="preserve">Table </w:t>
      </w:r>
      <w:r w:rsidR="00383AAD">
        <w:t>21.</w:t>
      </w:r>
      <w:r w:rsidR="0076034B">
        <w:rPr>
          <w:noProof/>
        </w:rPr>
        <w:t xml:space="preserve"> </w:t>
      </w:r>
      <w:r>
        <w:t xml:space="preserve"> Summary of AEs in </w:t>
      </w:r>
      <w:r w:rsidR="0045290B">
        <w:t>s</w:t>
      </w:r>
      <w:r>
        <w:t xml:space="preserve">ubjects </w:t>
      </w:r>
      <w:r w:rsidR="0045290B">
        <w:t>h</w:t>
      </w:r>
      <w:r>
        <w:t xml:space="preserve">aving </w:t>
      </w:r>
      <w:r w:rsidR="0076034B">
        <w:t>≥</w:t>
      </w:r>
      <w:r>
        <w:t xml:space="preserve"> 1 </w:t>
      </w:r>
      <w:proofErr w:type="spellStart"/>
      <w:r>
        <w:t>Aripiprazole</w:t>
      </w:r>
      <w:proofErr w:type="spellEnd"/>
      <w:r>
        <w:t xml:space="preserve"> IM </w:t>
      </w:r>
      <w:r w:rsidR="0045290B">
        <w:t>d</w:t>
      </w:r>
      <w:r>
        <w:t xml:space="preserve">epot </w:t>
      </w:r>
      <w:r w:rsidR="0045290B">
        <w:t>i</w:t>
      </w:r>
      <w:r>
        <w:t>njection (</w:t>
      </w:r>
      <w:r w:rsidR="0045290B">
        <w:t>a</w:t>
      </w:r>
      <w:r>
        <w:t xml:space="preserve">ll </w:t>
      </w:r>
      <w:r w:rsidR="0045290B">
        <w:t>t</w:t>
      </w:r>
      <w:r>
        <w:t>rials)</w:t>
      </w:r>
      <w:bookmarkEnd w:id="208"/>
    </w:p>
    <w:p w14:paraId="24A33174" w14:textId="77777777" w:rsidR="002B55D9" w:rsidRDefault="002B55D9" w:rsidP="0045290B">
      <w:r>
        <w:rPr>
          <w:noProof/>
          <w:lang w:eastAsia="en-AU"/>
        </w:rPr>
        <w:drawing>
          <wp:inline distT="0" distB="0" distL="0" distR="0" wp14:anchorId="24A33266" wp14:editId="24A33267">
            <wp:extent cx="4552950" cy="2220757"/>
            <wp:effectExtent l="19050" t="19050" r="0" b="8255"/>
            <wp:docPr id="154" name="Picture 16" descr="Table 21.  Summary of AEs in Subjects Having ≥ 1 Aripiprazole IM Depot Injection (All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1" cstate="print"/>
                    <a:srcRect l="856" t="1479" r="1248" b="1613"/>
                    <a:stretch/>
                  </pic:blipFill>
                  <pic:spPr bwMode="auto">
                    <a:xfrm>
                      <a:off x="0" y="0"/>
                      <a:ext cx="4552950" cy="2220757"/>
                    </a:xfrm>
                    <a:prstGeom prst="rect">
                      <a:avLst/>
                    </a:prstGeom>
                    <a:noFill/>
                    <a:ln w="19050"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24A33175" w14:textId="25B613BE" w:rsidR="002B55D9" w:rsidRPr="00A631A0" w:rsidRDefault="002B55D9" w:rsidP="0045290B">
      <w:pPr>
        <w:pStyle w:val="TableDescription"/>
      </w:pPr>
      <w:r w:rsidRPr="00A631A0">
        <w:t xml:space="preserve">PEY = patient-exposure years; TEAE was defined as an AE which started after commencement of </w:t>
      </w:r>
      <w:proofErr w:type="spellStart"/>
      <w:r w:rsidRPr="00A631A0">
        <w:t>aripiprazole</w:t>
      </w:r>
      <w:proofErr w:type="spellEnd"/>
      <w:r w:rsidRPr="00A631A0">
        <w:t xml:space="preserve"> IM depot injection, or an event that continued from baseline or from the end of the specific previous other treatment period, and became serious, worsening, trial medication-related, or resulted in death, discontinuation, interruption, or reduction of trial medication during the current treatment period. Subjects with multiple occurrences of TEAEs are counted only once per specific category. 83 subjects received </w:t>
      </w:r>
      <w:proofErr w:type="spellStart"/>
      <w:r w:rsidRPr="00A631A0">
        <w:t>aripiprazole</w:t>
      </w:r>
      <w:proofErr w:type="spellEnd"/>
      <w:r w:rsidRPr="00A631A0">
        <w:t xml:space="preserve"> IM depot 5</w:t>
      </w:r>
      <w:r w:rsidR="002C1F46">
        <w:t>0 mg</w:t>
      </w:r>
      <w:r w:rsidRPr="00A631A0">
        <w:t>/25</w:t>
      </w:r>
      <w:r>
        <w:t>mg</w:t>
      </w:r>
      <w:r w:rsidRPr="00A631A0">
        <w:t xml:space="preserve"> in Trial 31-07-247 and also received </w:t>
      </w:r>
      <w:proofErr w:type="spellStart"/>
      <w:r w:rsidRPr="00A631A0">
        <w:t>aripiprazole</w:t>
      </w:r>
      <w:proofErr w:type="spellEnd"/>
      <w:r w:rsidRPr="00A631A0">
        <w:t xml:space="preserve"> IM depot 40</w:t>
      </w:r>
      <w:r w:rsidR="002C1F46">
        <w:t>0 mg</w:t>
      </w:r>
      <w:r w:rsidRPr="00A631A0">
        <w:t>/30</w:t>
      </w:r>
      <w:r w:rsidR="002C1F46">
        <w:t>0 mg</w:t>
      </w:r>
      <w:r w:rsidRPr="00A631A0">
        <w:t xml:space="preserve"> in Trial 31-08-248; these subjects are counted once in the total (</w:t>
      </w:r>
      <w:proofErr w:type="spellStart"/>
      <w:r w:rsidRPr="00A631A0">
        <w:t>aripiprazole</w:t>
      </w:r>
      <w:proofErr w:type="spellEnd"/>
      <w:r w:rsidRPr="00A631A0">
        <w:t xml:space="preserve"> IM depot 15-40</w:t>
      </w:r>
      <w:r w:rsidR="002C1F46">
        <w:t>0 mg</w:t>
      </w:r>
      <w:r w:rsidRPr="00A631A0">
        <w:t>) column.</w:t>
      </w:r>
      <w:r w:rsidR="0076034B">
        <w:t xml:space="preserve"> </w:t>
      </w:r>
      <w:r w:rsidRPr="00A631A0">
        <w:rPr>
          <w:vertAlign w:val="superscript"/>
        </w:rPr>
        <w:t xml:space="preserve">a </w:t>
      </w:r>
      <w:r w:rsidRPr="00A631A0">
        <w:t xml:space="preserve">Percentages are based on the number of subjects treated with </w:t>
      </w:r>
      <w:proofErr w:type="spellStart"/>
      <w:r w:rsidRPr="00A631A0">
        <w:t>aripiprazole</w:t>
      </w:r>
      <w:proofErr w:type="spellEnd"/>
      <w:r w:rsidRPr="00A631A0">
        <w:t xml:space="preserve"> IM depot.</w:t>
      </w:r>
      <w:r w:rsidR="0076034B">
        <w:t xml:space="preserve"> </w:t>
      </w:r>
      <w:r w:rsidRPr="00A631A0">
        <w:rPr>
          <w:vertAlign w:val="superscript"/>
        </w:rPr>
        <w:t>b</w:t>
      </w:r>
      <w:r w:rsidRPr="00A631A0">
        <w:t xml:space="preserve"> Number of AEs = Total number of all records of reported AEs.</w:t>
      </w:r>
    </w:p>
    <w:p w14:paraId="24A33176" w14:textId="77777777" w:rsidR="002B55D9" w:rsidRPr="00D12012" w:rsidRDefault="002B55D9" w:rsidP="0045290B">
      <w:pPr>
        <w:pStyle w:val="Heading4"/>
      </w:pPr>
      <w:bookmarkStart w:id="209" w:name="_Ref272333567"/>
      <w:bookmarkStart w:id="210" w:name="_Toc272414665"/>
      <w:bookmarkStart w:id="211" w:name="_Toc290846303"/>
      <w:bookmarkStart w:id="212" w:name="_Toc381104218"/>
      <w:r>
        <w:t>Treatment-related adverse events (adverse drug reactions)</w:t>
      </w:r>
      <w:bookmarkEnd w:id="209"/>
      <w:bookmarkEnd w:id="210"/>
      <w:bookmarkEnd w:id="211"/>
      <w:bookmarkEnd w:id="212"/>
    </w:p>
    <w:p w14:paraId="24A33177" w14:textId="4BCF5934" w:rsidR="002B55D9" w:rsidRDefault="002B55D9" w:rsidP="0045290B">
      <w:pPr>
        <w:pStyle w:val="Heading5"/>
      </w:pPr>
      <w:r>
        <w:t xml:space="preserve">Controlled </w:t>
      </w:r>
      <w:r w:rsidR="0045290B">
        <w:t>t</w:t>
      </w:r>
      <w:r>
        <w:t>rials</w:t>
      </w:r>
    </w:p>
    <w:p w14:paraId="24A33178" w14:textId="77777777" w:rsidR="002B55D9" w:rsidRPr="00F055D9" w:rsidRDefault="002B55D9" w:rsidP="0045290B">
      <w:r>
        <w:t xml:space="preserve">AEs potentially related to trial medication reported for </w:t>
      </w:r>
      <w:r w:rsidR="0076034B">
        <w:t>≥</w:t>
      </w:r>
      <w:r>
        <w:t xml:space="preserve"> 5% and &lt; 10% of </w:t>
      </w:r>
      <w:proofErr w:type="spellStart"/>
      <w:r>
        <w:t>aripiprazole</w:t>
      </w:r>
      <w:proofErr w:type="spellEnd"/>
      <w:r>
        <w:t xml:space="preserve"> IM depot 400/30</w:t>
      </w:r>
      <w:r w:rsidR="002C1F46">
        <w:t>0 mg</w:t>
      </w:r>
      <w:r>
        <w:t xml:space="preserve"> subjects were increased weight (48/534, 9.0%), </w:t>
      </w:r>
      <w:proofErr w:type="spellStart"/>
      <w:r>
        <w:t>akathesia</w:t>
      </w:r>
      <w:proofErr w:type="spellEnd"/>
      <w:r>
        <w:t xml:space="preserve"> (42/534, 7.9%), insomnia (31/534, 5.8%), and injection site pain (27/534, 5.1%). There were 7 (1.3%) subjects on IM depot 400/30</w:t>
      </w:r>
      <w:r w:rsidR="002C1F46">
        <w:t>0 mg</w:t>
      </w:r>
      <w:r>
        <w:t xml:space="preserve"> with extrapyramidal disorder, 2 (0.8%) on tablets and 0 among those on placebo.</w:t>
      </w:r>
    </w:p>
    <w:p w14:paraId="24A33179" w14:textId="13FBB389" w:rsidR="002B55D9" w:rsidRDefault="002B55D9" w:rsidP="0045290B">
      <w:pPr>
        <w:pStyle w:val="TableTitle"/>
      </w:pPr>
      <w:bookmarkStart w:id="213" w:name="_Toc381104340"/>
      <w:r>
        <w:lastRenderedPageBreak/>
        <w:t xml:space="preserve">Table </w:t>
      </w:r>
      <w:r w:rsidR="00383AAD">
        <w:t>22.</w:t>
      </w:r>
      <w:r>
        <w:t xml:space="preserve"> Potentially </w:t>
      </w:r>
      <w:r w:rsidR="0045290B">
        <w:t>t</w:t>
      </w:r>
      <w:r>
        <w:t xml:space="preserve">rial </w:t>
      </w:r>
      <w:r w:rsidR="0045290B">
        <w:t>m</w:t>
      </w:r>
      <w:r>
        <w:t xml:space="preserve">edication-related AEs </w:t>
      </w:r>
      <w:r w:rsidR="0045290B">
        <w:t>r</w:t>
      </w:r>
      <w:r>
        <w:t xml:space="preserve">eported for ≥ 1% </w:t>
      </w:r>
      <w:r w:rsidR="0045290B">
        <w:t>s</w:t>
      </w:r>
      <w:r>
        <w:t xml:space="preserve">ubjects in </w:t>
      </w:r>
      <w:r w:rsidR="0045290B">
        <w:t>a</w:t>
      </w:r>
      <w:r>
        <w:t xml:space="preserve">ny </w:t>
      </w:r>
      <w:r w:rsidR="0045290B">
        <w:t>d</w:t>
      </w:r>
      <w:r>
        <w:t xml:space="preserve">ouble-blind </w:t>
      </w:r>
      <w:r w:rsidR="0045290B">
        <w:t>t</w:t>
      </w:r>
      <w:r>
        <w:t xml:space="preserve">reatment </w:t>
      </w:r>
      <w:r w:rsidR="0045290B">
        <w:t>g</w:t>
      </w:r>
      <w:r>
        <w:t>roup (</w:t>
      </w:r>
      <w:r w:rsidR="0045290B">
        <w:t>c</w:t>
      </w:r>
      <w:r>
        <w:t xml:space="preserve">ontrolled </w:t>
      </w:r>
      <w:r w:rsidR="0045290B">
        <w:t>t</w:t>
      </w:r>
      <w:r>
        <w:t>rials)</w:t>
      </w:r>
      <w:bookmarkEnd w:id="213"/>
      <w:r w:rsidR="0076034B">
        <w:t xml:space="preserve">. </w:t>
      </w:r>
      <w:r w:rsidR="0045290B">
        <w:t>t</w:t>
      </w:r>
      <w:r w:rsidR="0076034B">
        <w:t>able continued across two pages.</w:t>
      </w:r>
    </w:p>
    <w:p w14:paraId="24A3317A" w14:textId="77777777" w:rsidR="002B55D9" w:rsidRDefault="002B55D9" w:rsidP="0045290B">
      <w:r w:rsidRPr="00C42E26">
        <w:rPr>
          <w:noProof/>
          <w:lang w:eastAsia="en-AU"/>
        </w:rPr>
        <w:drawing>
          <wp:inline distT="0" distB="0" distL="0" distR="0" wp14:anchorId="24A33268" wp14:editId="24A33269">
            <wp:extent cx="5925820" cy="6740116"/>
            <wp:effectExtent l="0" t="0" r="0" b="0"/>
            <wp:docPr id="158" name="Picture 28" descr="Table 22. Potentially Trial Medication-related AEs Reported for ≥ 1% Subjects in Any Double-blind Treatment Group (Controlled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srcRect/>
                    <a:stretch>
                      <a:fillRect/>
                    </a:stretch>
                  </pic:blipFill>
                  <pic:spPr bwMode="auto">
                    <a:xfrm>
                      <a:off x="0" y="0"/>
                      <a:ext cx="5925820" cy="6740116"/>
                    </a:xfrm>
                    <a:prstGeom prst="rect">
                      <a:avLst/>
                    </a:prstGeom>
                    <a:noFill/>
                    <a:ln w="9525">
                      <a:noFill/>
                      <a:miter lim="800000"/>
                      <a:headEnd/>
                      <a:tailEnd/>
                    </a:ln>
                  </pic:spPr>
                </pic:pic>
              </a:graphicData>
            </a:graphic>
          </wp:inline>
        </w:drawing>
      </w:r>
    </w:p>
    <w:p w14:paraId="24A3317B" w14:textId="77777777" w:rsidR="002B55D9" w:rsidRDefault="002B55D9" w:rsidP="002B55D9">
      <w:r>
        <w:rPr>
          <w:noProof/>
          <w:lang w:eastAsia="en-AU"/>
        </w:rPr>
        <w:lastRenderedPageBreak/>
        <w:drawing>
          <wp:inline distT="0" distB="0" distL="0" distR="0" wp14:anchorId="24A3326A" wp14:editId="24A3326B">
            <wp:extent cx="5925820" cy="1742888"/>
            <wp:effectExtent l="0" t="0" r="0" b="0"/>
            <wp:docPr id="159" name="Picture 31" descr="Table 21. Potentially Trial Medication-related AEs Reported for ≥ 1% Subjects in Any Double-blind Treatment Group (Controlled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srcRect/>
                    <a:stretch>
                      <a:fillRect/>
                    </a:stretch>
                  </pic:blipFill>
                  <pic:spPr bwMode="auto">
                    <a:xfrm>
                      <a:off x="0" y="0"/>
                      <a:ext cx="5925820" cy="1742888"/>
                    </a:xfrm>
                    <a:prstGeom prst="rect">
                      <a:avLst/>
                    </a:prstGeom>
                    <a:noFill/>
                    <a:ln w="9525">
                      <a:noFill/>
                      <a:miter lim="800000"/>
                      <a:headEnd/>
                      <a:tailEnd/>
                    </a:ln>
                  </pic:spPr>
                </pic:pic>
              </a:graphicData>
            </a:graphic>
          </wp:inline>
        </w:drawing>
      </w:r>
    </w:p>
    <w:p w14:paraId="24A3317C" w14:textId="17B8B6D6" w:rsidR="002B55D9" w:rsidRPr="00F055D9" w:rsidRDefault="002B55D9" w:rsidP="0045290B">
      <w:pPr>
        <w:pStyle w:val="TableDescription"/>
      </w:pPr>
      <w:r w:rsidRPr="00F055D9">
        <w:t xml:space="preserve">TEAE was defined as an AE which started after commencement of randomized, double-blind trial medication, or an event that continued from baseline or from the end of the specific previous other treatment period, and became serious, worsening, trial medication-related, or resulted in death, discontinuation, interruption, or reduction of trial medication during the current treatment period. Subjects with multiple occurrences of TEAEs are counted only once per specific category. </w:t>
      </w:r>
      <w:r w:rsidRPr="00F055D9">
        <w:rPr>
          <w:b/>
        </w:rPr>
        <w:t>Bolded</w:t>
      </w:r>
      <w:r w:rsidRPr="00F055D9">
        <w:t xml:space="preserve"> events were reported for ≥ 5% subjects in the </w:t>
      </w:r>
      <w:proofErr w:type="spellStart"/>
      <w:r w:rsidRPr="00F055D9">
        <w:t>aripiprazole</w:t>
      </w:r>
      <w:proofErr w:type="spellEnd"/>
      <w:r w:rsidRPr="00F055D9">
        <w:t xml:space="preserve"> IM depot 400/30</w:t>
      </w:r>
      <w:r w:rsidR="002C1F46">
        <w:t>0 mg</w:t>
      </w:r>
      <w:r w:rsidRPr="00F055D9">
        <w:t xml:space="preserve"> group.</w:t>
      </w:r>
      <w:r w:rsidR="0076034B">
        <w:t xml:space="preserve"> </w:t>
      </w:r>
      <w:r w:rsidRPr="00F055D9">
        <w:rPr>
          <w:vertAlign w:val="superscript"/>
        </w:rPr>
        <w:t>a</w:t>
      </w:r>
      <w:r w:rsidRPr="00F055D9">
        <w:t xml:space="preserve"> As assessed by investigator.</w:t>
      </w:r>
    </w:p>
    <w:p w14:paraId="24A3317D" w14:textId="67E4AE0C" w:rsidR="002B55D9" w:rsidRDefault="002B55D9" w:rsidP="0045290B">
      <w:pPr>
        <w:pStyle w:val="Heading5"/>
      </w:pPr>
      <w:r w:rsidRPr="00920DD3">
        <w:t xml:space="preserve">All </w:t>
      </w:r>
      <w:r w:rsidR="0045290B">
        <w:t>t</w:t>
      </w:r>
      <w:r w:rsidRPr="00920DD3">
        <w:t>rials</w:t>
      </w:r>
    </w:p>
    <w:p w14:paraId="24A3317E" w14:textId="77777777" w:rsidR="002B55D9" w:rsidRDefault="002B55D9" w:rsidP="0045290B">
      <w:r>
        <w:t xml:space="preserve">AEs potentially related to trial medication for </w:t>
      </w:r>
      <w:r w:rsidR="00A0647D">
        <w:t>≥</w:t>
      </w:r>
      <w:r>
        <w:t xml:space="preserve"> 5% and &lt; 10% of </w:t>
      </w:r>
      <w:proofErr w:type="spellStart"/>
      <w:r>
        <w:t>aripiprazole</w:t>
      </w:r>
      <w:proofErr w:type="spellEnd"/>
      <w:r>
        <w:t xml:space="preserve"> IM depot 300-40</w:t>
      </w:r>
      <w:r w:rsidR="002C1F46">
        <w:t>0 mg</w:t>
      </w:r>
      <w:r>
        <w:t xml:space="preserve"> subjects were increased weight (105/1539, 6.8%), </w:t>
      </w:r>
      <w:proofErr w:type="spellStart"/>
      <w:r>
        <w:t>akathesia</w:t>
      </w:r>
      <w:proofErr w:type="spellEnd"/>
      <w:r>
        <w:t xml:space="preserve"> (104/1539, 6.8%), injection site pain (103/1539, 6.7%), and insomnia (79/1539, 5.1%).</w:t>
      </w:r>
    </w:p>
    <w:p w14:paraId="24A3317F" w14:textId="77777777" w:rsidR="002B55D9" w:rsidRDefault="002B55D9" w:rsidP="0045290B">
      <w:pPr>
        <w:pStyle w:val="Heading4"/>
      </w:pPr>
      <w:bookmarkStart w:id="214" w:name="_Toc241374320"/>
      <w:bookmarkStart w:id="215" w:name="_Ref272333507"/>
      <w:bookmarkStart w:id="216" w:name="_Toc272414666"/>
      <w:bookmarkStart w:id="217" w:name="_Toc290846304"/>
      <w:bookmarkStart w:id="218" w:name="_Toc381104219"/>
      <w:r>
        <w:t>Deaths and other serious adverse events</w:t>
      </w:r>
      <w:bookmarkEnd w:id="214"/>
      <w:bookmarkEnd w:id="215"/>
      <w:bookmarkEnd w:id="216"/>
      <w:bookmarkEnd w:id="217"/>
      <w:bookmarkEnd w:id="218"/>
    </w:p>
    <w:p w14:paraId="24A33180" w14:textId="59ECEA12" w:rsidR="002B55D9" w:rsidRDefault="002B55D9" w:rsidP="0045290B">
      <w:pPr>
        <w:pStyle w:val="Heading5"/>
        <w:numPr>
          <w:ilvl w:val="4"/>
          <w:numId w:val="11"/>
        </w:numPr>
      </w:pPr>
      <w:r>
        <w:t xml:space="preserve">Controlled </w:t>
      </w:r>
      <w:r w:rsidR="0045290B">
        <w:t>t</w:t>
      </w:r>
      <w:r>
        <w:t>rials</w:t>
      </w:r>
    </w:p>
    <w:p w14:paraId="24A33181" w14:textId="77777777" w:rsidR="002B55D9" w:rsidRDefault="002B55D9" w:rsidP="0045290B">
      <w:r w:rsidRPr="00AA6479">
        <w:rPr>
          <w:b/>
        </w:rPr>
        <w:t>Deaths.</w:t>
      </w:r>
      <w:r>
        <w:rPr>
          <w:rStyle w:val="FootnoteReference"/>
        </w:rPr>
        <w:footnoteReference w:id="39"/>
      </w:r>
      <w:r>
        <w:t xml:space="preserve"> There was 1 death – not related to treatment.</w:t>
      </w:r>
    </w:p>
    <w:p w14:paraId="24A33182" w14:textId="77777777" w:rsidR="002B55D9" w:rsidRDefault="002B55D9" w:rsidP="0045290B">
      <w:r w:rsidRPr="00AA6479">
        <w:rPr>
          <w:b/>
        </w:rPr>
        <w:t>SAEs</w:t>
      </w:r>
      <w:r>
        <w:rPr>
          <w:b/>
        </w:rPr>
        <w:t>.</w:t>
      </w:r>
      <w:r>
        <w:t xml:space="preserve"> The only SAEs reported for ≥ 1% of </w:t>
      </w:r>
      <w:proofErr w:type="spellStart"/>
      <w:r>
        <w:t>aripiprazole</w:t>
      </w:r>
      <w:proofErr w:type="spellEnd"/>
      <w:r>
        <w:t xml:space="preserve"> IM depot 400/30</w:t>
      </w:r>
      <w:r w:rsidR="002C1F46">
        <w:t>0 mg</w:t>
      </w:r>
      <w:r>
        <w:t xml:space="preserve"> subjects were schizophrenia and psychotic disorder.</w:t>
      </w:r>
    </w:p>
    <w:p w14:paraId="24A33183" w14:textId="5A6B5898" w:rsidR="002B55D9" w:rsidRDefault="002B55D9" w:rsidP="0045290B">
      <w:pPr>
        <w:pStyle w:val="Heading5"/>
        <w:numPr>
          <w:ilvl w:val="4"/>
          <w:numId w:val="11"/>
        </w:numPr>
      </w:pPr>
      <w:r>
        <w:t xml:space="preserve">All </w:t>
      </w:r>
      <w:r w:rsidR="0045290B">
        <w:t>t</w:t>
      </w:r>
      <w:r>
        <w:t>rials</w:t>
      </w:r>
    </w:p>
    <w:p w14:paraId="24A33184" w14:textId="2B77DD19" w:rsidR="002B55D9" w:rsidRDefault="002B55D9" w:rsidP="0045290B">
      <w:r w:rsidRPr="00AA6479">
        <w:rPr>
          <w:b/>
        </w:rPr>
        <w:t>Deaths.</w:t>
      </w:r>
      <w:r>
        <w:t xml:space="preserve"> There was 1 death felt possibly related in a 34y old who had received IM depot for 6 months who died a sudden cardiac death with a diagnosis of </w:t>
      </w:r>
      <w:proofErr w:type="spellStart"/>
      <w:r w:rsidRPr="00172CC7">
        <w:t>Brugada</w:t>
      </w:r>
      <w:proofErr w:type="spellEnd"/>
      <w:r w:rsidRPr="00172CC7">
        <w:t xml:space="preserve"> syndrome.</w:t>
      </w:r>
      <w:r>
        <w:t xml:space="preserve"> </w:t>
      </w:r>
      <w:r w:rsidRPr="00172CC7">
        <w:t xml:space="preserve">There was 1 death felt possibly related in a </w:t>
      </w:r>
      <w:r>
        <w:t>60</w:t>
      </w:r>
      <w:r w:rsidRPr="00172CC7">
        <w:t>y</w:t>
      </w:r>
      <w:r>
        <w:t xml:space="preserve"> </w:t>
      </w:r>
      <w:r w:rsidRPr="00172CC7">
        <w:t xml:space="preserve">old who had received IM depot for 6 months who died </w:t>
      </w:r>
      <w:r>
        <w:t>of a cardiac arrest.</w:t>
      </w:r>
    </w:p>
    <w:p w14:paraId="24A33185" w14:textId="77777777" w:rsidR="002B55D9" w:rsidRDefault="002B55D9" w:rsidP="000A0DDB">
      <w:r>
        <w:t>There were 6 deaths not related to treatment.</w:t>
      </w:r>
    </w:p>
    <w:p w14:paraId="24A33186" w14:textId="77777777" w:rsidR="002B55D9" w:rsidRDefault="002B55D9" w:rsidP="000A0DDB">
      <w:r w:rsidRPr="008D7F2B">
        <w:rPr>
          <w:b/>
        </w:rPr>
        <w:t>SAEs</w:t>
      </w:r>
      <w:r>
        <w:rPr>
          <w:b/>
        </w:rPr>
        <w:t>.</w:t>
      </w:r>
      <w:r>
        <w:t xml:space="preserve"> The only SAEs reported for </w:t>
      </w:r>
      <w:r w:rsidR="00A0647D">
        <w:t>≥</w:t>
      </w:r>
      <w:r>
        <w:t xml:space="preserve"> 1% of </w:t>
      </w:r>
      <w:proofErr w:type="spellStart"/>
      <w:r>
        <w:t>aripiprazole</w:t>
      </w:r>
      <w:proofErr w:type="spellEnd"/>
      <w:r>
        <w:t xml:space="preserve"> IM depot 400/30</w:t>
      </w:r>
      <w:r w:rsidR="002C1F46">
        <w:t>0 mg</w:t>
      </w:r>
      <w:r>
        <w:t xml:space="preserve"> subjects were schizophrenia and psychotic disorder.</w:t>
      </w:r>
    </w:p>
    <w:p w14:paraId="24A33187" w14:textId="77777777" w:rsidR="002B55D9" w:rsidRPr="008F73B4" w:rsidRDefault="002B55D9" w:rsidP="000A0DDB">
      <w:pPr>
        <w:pStyle w:val="Heading4"/>
      </w:pPr>
      <w:bookmarkStart w:id="219" w:name="_Toc241374325"/>
      <w:bookmarkStart w:id="220" w:name="_Ref272333477"/>
      <w:bookmarkStart w:id="221" w:name="_Toc272414667"/>
      <w:bookmarkStart w:id="222" w:name="_Toc290846305"/>
      <w:bookmarkStart w:id="223" w:name="_Toc381104220"/>
      <w:r>
        <w:t>Discontinuation due to adverse events</w:t>
      </w:r>
      <w:bookmarkEnd w:id="219"/>
      <w:bookmarkEnd w:id="220"/>
      <w:bookmarkEnd w:id="221"/>
      <w:bookmarkEnd w:id="222"/>
      <w:bookmarkEnd w:id="223"/>
    </w:p>
    <w:p w14:paraId="24A33188" w14:textId="77777777" w:rsidR="002B55D9" w:rsidRDefault="002B55D9" w:rsidP="000A0DDB">
      <w:r>
        <w:t xml:space="preserve">The only AEs resulting in trial medication discontinuation reported for ≥ 1% of </w:t>
      </w:r>
      <w:proofErr w:type="spellStart"/>
      <w:r>
        <w:t>aripiprazole</w:t>
      </w:r>
      <w:proofErr w:type="spellEnd"/>
      <w:r>
        <w:t xml:space="preserve"> IM depot 400/30</w:t>
      </w:r>
      <w:r w:rsidR="002C1F46">
        <w:t>0 mg</w:t>
      </w:r>
      <w:r>
        <w:t xml:space="preserve"> subjects were psychotic disorder and schizophrenia in both data sets. Nervous System Disorders (Dyskinesia, Dystonia </w:t>
      </w:r>
      <w:r w:rsidR="0052799D">
        <w:t>and</w:t>
      </w:r>
      <w:r>
        <w:t xml:space="preserve"> </w:t>
      </w:r>
      <w:r w:rsidRPr="00D217AE">
        <w:t>Tremor</w:t>
      </w:r>
      <w:r>
        <w:t>) caused 4 (0.8%) discontinuations on IM depot, but none on tablets.</w:t>
      </w:r>
    </w:p>
    <w:p w14:paraId="24A33189" w14:textId="77777777" w:rsidR="002B55D9" w:rsidRDefault="002B55D9" w:rsidP="000A0DDB">
      <w:pPr>
        <w:pStyle w:val="Heading3"/>
      </w:pPr>
      <w:bookmarkStart w:id="224" w:name="_Toc241374321"/>
      <w:bookmarkStart w:id="225" w:name="_Ref271044780"/>
      <w:bookmarkStart w:id="226" w:name="_Ref271196640"/>
      <w:bookmarkStart w:id="227" w:name="_Ref272333085"/>
      <w:bookmarkStart w:id="228" w:name="_Toc272414668"/>
      <w:bookmarkStart w:id="229" w:name="_Toc290846306"/>
      <w:bookmarkStart w:id="230" w:name="_Toc381104221"/>
      <w:bookmarkStart w:id="231" w:name="_Toc408930649"/>
      <w:r>
        <w:t>Laboratory tests</w:t>
      </w:r>
      <w:bookmarkStart w:id="232" w:name="_Toc272414669"/>
      <w:bookmarkStart w:id="233" w:name="_Toc290846307"/>
      <w:bookmarkEnd w:id="224"/>
      <w:bookmarkEnd w:id="225"/>
      <w:bookmarkEnd w:id="226"/>
      <w:bookmarkEnd w:id="227"/>
      <w:bookmarkEnd w:id="228"/>
      <w:bookmarkEnd w:id="229"/>
      <w:bookmarkEnd w:id="230"/>
      <w:bookmarkEnd w:id="231"/>
    </w:p>
    <w:p w14:paraId="24A3318A" w14:textId="2BBD770E" w:rsidR="002B55D9" w:rsidRPr="00C42E26" w:rsidRDefault="002B55D9" w:rsidP="000A0DDB">
      <w:pPr>
        <w:rPr>
          <w:bCs/>
        </w:rPr>
      </w:pPr>
      <w:r>
        <w:t xml:space="preserve">No clinically relevant mean changes from baseline in serum chemistry, haematology, urinalysis, or other laboratory test (insulin, fasting insulin, and prolactin levels) results were observed during the </w:t>
      </w:r>
      <w:r w:rsidRPr="00694613">
        <w:t xml:space="preserve">Double-blind, Active-controlled Phase of Trials 31-07-247 </w:t>
      </w:r>
      <w:r w:rsidR="0052799D">
        <w:t>and</w:t>
      </w:r>
      <w:r w:rsidRPr="00694613">
        <w:t xml:space="preserve"> </w:t>
      </w:r>
      <w:r w:rsidRPr="00694613">
        <w:rPr>
          <w:bCs/>
        </w:rPr>
        <w:t>31-07-246</w:t>
      </w:r>
      <w:r>
        <w:rPr>
          <w:bCs/>
        </w:rPr>
        <w:t xml:space="preserve">, nor were </w:t>
      </w:r>
      <w:r>
        <w:rPr>
          <w:bCs/>
        </w:rPr>
        <w:lastRenderedPageBreak/>
        <w:t>there any</w:t>
      </w:r>
      <w:r w:rsidRPr="00694613">
        <w:rPr>
          <w:bCs/>
        </w:rPr>
        <w:t xml:space="preserve"> clinically relevant findings with regar</w:t>
      </w:r>
      <w:r>
        <w:rPr>
          <w:bCs/>
        </w:rPr>
        <w:t xml:space="preserve">d to laboratory values in other </w:t>
      </w:r>
      <w:proofErr w:type="spellStart"/>
      <w:r w:rsidRPr="00694613">
        <w:rPr>
          <w:bCs/>
        </w:rPr>
        <w:t>aripiprazole</w:t>
      </w:r>
      <w:proofErr w:type="spellEnd"/>
      <w:r w:rsidRPr="00694613">
        <w:rPr>
          <w:bCs/>
        </w:rPr>
        <w:t xml:space="preserve"> IM depot trials, including the </w:t>
      </w:r>
      <w:r>
        <w:rPr>
          <w:bCs/>
        </w:rPr>
        <w:t xml:space="preserve">IM Depot Stabilization Phase of </w:t>
      </w:r>
      <w:r w:rsidRPr="00694613">
        <w:rPr>
          <w:bCs/>
        </w:rPr>
        <w:t>Trial 31-07-246.</w:t>
      </w:r>
      <w:bookmarkEnd w:id="232"/>
      <w:bookmarkEnd w:id="233"/>
    </w:p>
    <w:p w14:paraId="24A3318B" w14:textId="77777777" w:rsidR="002B55D9" w:rsidRDefault="002B55D9" w:rsidP="000A0DDB">
      <w:pPr>
        <w:pStyle w:val="Heading4"/>
      </w:pPr>
      <w:bookmarkStart w:id="234" w:name="_Toc272414671"/>
      <w:bookmarkStart w:id="235" w:name="_Toc290846309"/>
      <w:bookmarkStart w:id="236" w:name="_Toc381104222"/>
      <w:r>
        <w:t>Other clinical chemistry</w:t>
      </w:r>
      <w:bookmarkEnd w:id="234"/>
      <w:bookmarkEnd w:id="235"/>
      <w:bookmarkEnd w:id="236"/>
    </w:p>
    <w:p w14:paraId="24A3318C" w14:textId="26CC09EE" w:rsidR="002B55D9" w:rsidRDefault="002B55D9" w:rsidP="000A0DDB">
      <w:pPr>
        <w:pStyle w:val="Heading5"/>
        <w:numPr>
          <w:ilvl w:val="4"/>
          <w:numId w:val="11"/>
        </w:numPr>
      </w:pPr>
      <w:r>
        <w:t xml:space="preserve">Controlled </w:t>
      </w:r>
      <w:r w:rsidR="000A0DDB">
        <w:t>t</w:t>
      </w:r>
      <w:r>
        <w:t>rials</w:t>
      </w:r>
    </w:p>
    <w:p w14:paraId="24A3318D" w14:textId="77777777" w:rsidR="002B55D9" w:rsidRDefault="002B55D9" w:rsidP="000A0DDB">
      <w:r>
        <w:t xml:space="preserve">AEs related to </w:t>
      </w:r>
      <w:r w:rsidRPr="006304A1">
        <w:rPr>
          <w:b/>
        </w:rPr>
        <w:t>glucose</w:t>
      </w:r>
      <w:r>
        <w:t xml:space="preserve"> metabolism occurred in 4/534 (0.7%) subjects on IM depot 400/30</w:t>
      </w:r>
      <w:r w:rsidR="002C1F46">
        <w:t>0 mg</w:t>
      </w:r>
      <w:r>
        <w:t xml:space="preserve"> (increased blood glucose in 3/534 [0.6%], decreased blood glucose in 1/534 [0.2%], and glucose present in urine in 1/534 [0.2%] subjects); 2/266</w:t>
      </w:r>
      <w:r w:rsidRPr="006304A1">
        <w:t xml:space="preserve"> </w:t>
      </w:r>
      <w:r>
        <w:t>(0.8%) subjects on tablets (increased blood glucose in 1/266 [0.4%] and impaired glucose tolerance in 1/266 [0.4%] subjects); and no placebo subject had AEs related to glucose metabolism.</w:t>
      </w:r>
    </w:p>
    <w:p w14:paraId="24A3318E" w14:textId="77777777" w:rsidR="002B55D9" w:rsidRDefault="002B55D9" w:rsidP="000A0DDB">
      <w:r>
        <w:t xml:space="preserve">AEs related to </w:t>
      </w:r>
      <w:r w:rsidRPr="00931CF0">
        <w:rPr>
          <w:b/>
        </w:rPr>
        <w:t>lipids</w:t>
      </w:r>
      <w:r>
        <w:t xml:space="preserve"> occurred in 8/534 (1.5%) subjects on IM depot 400/30</w:t>
      </w:r>
      <w:r w:rsidR="002C1F46">
        <w:t>0 mg</w:t>
      </w:r>
      <w:r>
        <w:t xml:space="preserve"> (increased blood triglycerides in 5/534 [0.9%], </w:t>
      </w:r>
      <w:proofErr w:type="spellStart"/>
      <w:r>
        <w:t>hypercholesterolaemia</w:t>
      </w:r>
      <w:proofErr w:type="spellEnd"/>
      <w:r>
        <w:t xml:space="preserve"> in 2/534 [0.4%], decreased blood cholesterol in 1/534 [0.2%], and decreased blood triglycerides in 1/534 [0.2%] subjects) and no subjects on tablets or placebo had AEs related to lipid parameters.</w:t>
      </w:r>
    </w:p>
    <w:p w14:paraId="24A3318F" w14:textId="77777777" w:rsidR="002B55D9" w:rsidRDefault="002B55D9" w:rsidP="000A0DDB">
      <w:r>
        <w:t xml:space="preserve">Decreased blood </w:t>
      </w:r>
      <w:r w:rsidRPr="00621E30">
        <w:rPr>
          <w:b/>
        </w:rPr>
        <w:t>prolactin</w:t>
      </w:r>
      <w:r>
        <w:t xml:space="preserve"> was reported as an AE for 1/534 (0.2%) subjects on IM depot 400/30</w:t>
      </w:r>
      <w:r w:rsidR="002C1F46">
        <w:t>0 mg</w:t>
      </w:r>
      <w:r>
        <w:t xml:space="preserve"> and 2/134 (1.5%) placebo subjects. </w:t>
      </w:r>
      <w:proofErr w:type="spellStart"/>
      <w:r>
        <w:t>Hyperprolactinaemia</w:t>
      </w:r>
      <w:proofErr w:type="spellEnd"/>
      <w:r>
        <w:t xml:space="preserve"> was also reported in 1/134 (0.7%) placebo subjects. No subjects on tablets experienced an AE related to prolactin levels.</w:t>
      </w:r>
    </w:p>
    <w:p w14:paraId="24A33190" w14:textId="77777777" w:rsidR="002B55D9" w:rsidRPr="00EA4CDA" w:rsidRDefault="002B55D9" w:rsidP="000A0DDB">
      <w:pPr>
        <w:pStyle w:val="Heading4"/>
      </w:pPr>
      <w:bookmarkStart w:id="237" w:name="_Toc272414672"/>
      <w:bookmarkStart w:id="238" w:name="_Toc290846310"/>
      <w:bookmarkStart w:id="239" w:name="_Toc381104223"/>
      <w:r w:rsidRPr="00EA4CDA">
        <w:t>Haematology</w:t>
      </w:r>
      <w:bookmarkEnd w:id="237"/>
      <w:bookmarkEnd w:id="238"/>
      <w:bookmarkEnd w:id="239"/>
    </w:p>
    <w:p w14:paraId="24A33191" w14:textId="77777777" w:rsidR="002B55D9" w:rsidRDefault="002B55D9" w:rsidP="000A0DDB">
      <w:pPr>
        <w:pStyle w:val="Heading5"/>
      </w:pPr>
      <w:r>
        <w:t>Pivotal studies</w:t>
      </w:r>
    </w:p>
    <w:p w14:paraId="24A33192" w14:textId="77777777" w:rsidR="002B55D9" w:rsidRDefault="002B55D9" w:rsidP="000A0DDB">
      <w:pPr>
        <w:pStyle w:val="Heading6"/>
      </w:pPr>
      <w:r>
        <w:t>Study 31-07-246</w:t>
      </w:r>
    </w:p>
    <w:p w14:paraId="24A33193" w14:textId="7CA5B7EA" w:rsidR="002B55D9" w:rsidRDefault="002B55D9" w:rsidP="000A0DDB">
      <w:r>
        <w:t>Potentially clinically relevant low WBC counts (</w:t>
      </w:r>
      <w:r w:rsidR="0052799D">
        <w:t>≤</w:t>
      </w:r>
      <w:r>
        <w:t xml:space="preserve"> 2.8 thous/</w:t>
      </w:r>
      <w:proofErr w:type="spellStart"/>
      <w:r>
        <w:t>mcL</w:t>
      </w:r>
      <w:proofErr w:type="spellEnd"/>
      <w:r>
        <w:t xml:space="preserve">) were reported for 3/139 placebo and no </w:t>
      </w:r>
      <w:proofErr w:type="spellStart"/>
      <w:r>
        <w:t>aripiprazole</w:t>
      </w:r>
      <w:proofErr w:type="spellEnd"/>
      <w:r>
        <w:t xml:space="preserve"> 400/30</w:t>
      </w:r>
      <w:r w:rsidR="002C1F46">
        <w:t>0 mg</w:t>
      </w:r>
      <w:r>
        <w:t xml:space="preserve"> IM depot patients. </w:t>
      </w:r>
      <w:r w:rsidRPr="00EA4CDA">
        <w:t xml:space="preserve">Potentially clinically relevant low </w:t>
      </w:r>
      <w:r>
        <w:t>neutrophil</w:t>
      </w:r>
      <w:r w:rsidRPr="00EA4CDA">
        <w:t xml:space="preserve"> counts</w:t>
      </w:r>
      <w:r>
        <w:t xml:space="preserve"> (</w:t>
      </w:r>
      <w:r w:rsidR="0052799D">
        <w:t>≤</w:t>
      </w:r>
      <w:r>
        <w:t xml:space="preserve"> 1.5</w:t>
      </w:r>
      <w:r w:rsidRPr="00EA4CDA">
        <w:t xml:space="preserve"> </w:t>
      </w:r>
      <w:r>
        <w:t>thous/</w:t>
      </w:r>
      <w:proofErr w:type="spellStart"/>
      <w:r>
        <w:t>mcL</w:t>
      </w:r>
      <w:proofErr w:type="spellEnd"/>
      <w:r>
        <w:t xml:space="preserve">) were reported for 1/139 placebo and 2/269 </w:t>
      </w:r>
      <w:proofErr w:type="spellStart"/>
      <w:r>
        <w:t>aripiprazole</w:t>
      </w:r>
      <w:proofErr w:type="spellEnd"/>
      <w:r>
        <w:t xml:space="preserve"> 400/30</w:t>
      </w:r>
      <w:r w:rsidR="002C1F46">
        <w:t>0 mg</w:t>
      </w:r>
      <w:r>
        <w:t xml:space="preserve"> IM depot patients. 1 patient on </w:t>
      </w:r>
      <w:proofErr w:type="spellStart"/>
      <w:r>
        <w:t>aripiprazole</w:t>
      </w:r>
      <w:proofErr w:type="spellEnd"/>
      <w:r>
        <w:t xml:space="preserve"> 400/30</w:t>
      </w:r>
      <w:r w:rsidR="002C1F46">
        <w:t>0 mg</w:t>
      </w:r>
      <w:r>
        <w:t xml:space="preserve"> IM depot had p</w:t>
      </w:r>
      <w:r w:rsidRPr="00EA4CDA">
        <w:t xml:space="preserve">otentially clinically relevant </w:t>
      </w:r>
      <w:r>
        <w:t xml:space="preserve">high eosinophil </w:t>
      </w:r>
      <w:r w:rsidRPr="00EA4CDA">
        <w:t>counts</w:t>
      </w:r>
      <w:r>
        <w:t xml:space="preserve"> (≥ </w:t>
      </w:r>
      <w:r w:rsidRPr="00EA4CDA">
        <w:t>10%)</w:t>
      </w:r>
      <w:r>
        <w:t>.</w:t>
      </w:r>
    </w:p>
    <w:p w14:paraId="24A33194" w14:textId="77777777" w:rsidR="002B55D9" w:rsidRDefault="002B55D9" w:rsidP="000A0DDB">
      <w:pPr>
        <w:pStyle w:val="Heading6"/>
      </w:pPr>
      <w:r>
        <w:t xml:space="preserve">Study </w:t>
      </w:r>
      <w:r w:rsidRPr="00CF43A5">
        <w:t>31-07-247</w:t>
      </w:r>
    </w:p>
    <w:p w14:paraId="24A33195" w14:textId="77777777" w:rsidR="002B55D9" w:rsidRDefault="002B55D9" w:rsidP="000A0DDB">
      <w:r>
        <w:t>Potentially clinically relevant low WBC counts (</w:t>
      </w:r>
      <w:r w:rsidR="0052799D">
        <w:t>≤</w:t>
      </w:r>
      <w:r>
        <w:t xml:space="preserve"> 2.8 thous/</w:t>
      </w:r>
      <w:proofErr w:type="spellStart"/>
      <w:r>
        <w:t>mcL</w:t>
      </w:r>
      <w:proofErr w:type="spellEnd"/>
      <w:r>
        <w:t xml:space="preserve">) 6/260 (2.3%) </w:t>
      </w:r>
      <w:proofErr w:type="spellStart"/>
      <w:r>
        <w:t>aripiprazole</w:t>
      </w:r>
      <w:proofErr w:type="spellEnd"/>
      <w:r>
        <w:t xml:space="preserve"> IM depot 400/30</w:t>
      </w:r>
      <w:r w:rsidR="002C1F46">
        <w:t>0 mg</w:t>
      </w:r>
      <w:r>
        <w:t xml:space="preserve"> subjects, 2/258 (0.8%) oral </w:t>
      </w:r>
      <w:proofErr w:type="spellStart"/>
      <w:r>
        <w:t>aripiprazole</w:t>
      </w:r>
      <w:proofErr w:type="spellEnd"/>
      <w:r>
        <w:t xml:space="preserve"> tablets 10-3</w:t>
      </w:r>
      <w:r w:rsidR="002C1F46">
        <w:t>0 mg</w:t>
      </w:r>
      <w:r>
        <w:t xml:space="preserve"> subjects, and no (0/128, 0.0%) </w:t>
      </w:r>
      <w:proofErr w:type="spellStart"/>
      <w:r>
        <w:t>aripiprazole</w:t>
      </w:r>
      <w:proofErr w:type="spellEnd"/>
      <w:r>
        <w:t xml:space="preserve"> IM depot 50/25mg subjects. Four (1.6%) of 258 oral </w:t>
      </w:r>
      <w:proofErr w:type="spellStart"/>
      <w:r>
        <w:t>aripiprazole</w:t>
      </w:r>
      <w:proofErr w:type="spellEnd"/>
      <w:r>
        <w:t xml:space="preserve"> tablets 10-3</w:t>
      </w:r>
      <w:r w:rsidR="002C1F46">
        <w:t>0 mg</w:t>
      </w:r>
      <w:r>
        <w:t xml:space="preserve"> subjects also had a potentially clinically relevant high WBC count. No </w:t>
      </w:r>
      <w:proofErr w:type="spellStart"/>
      <w:r>
        <w:t>aripiprazole</w:t>
      </w:r>
      <w:proofErr w:type="spellEnd"/>
      <w:r>
        <w:t xml:space="preserve"> IM depot 50/25mg subjects had a potentially clinically relevant low or high WBC value.</w:t>
      </w:r>
    </w:p>
    <w:p w14:paraId="24A33196" w14:textId="77777777" w:rsidR="002B55D9" w:rsidRDefault="002B55D9" w:rsidP="000A0DDB">
      <w:pPr>
        <w:pStyle w:val="Heading4"/>
      </w:pPr>
      <w:bookmarkStart w:id="240" w:name="_Toc272414675"/>
      <w:bookmarkStart w:id="241" w:name="_Toc290846313"/>
      <w:bookmarkStart w:id="242" w:name="_Toc381104224"/>
      <w:r w:rsidRPr="00931CF0">
        <w:t>Electrocardiograph</w:t>
      </w:r>
      <w:bookmarkEnd w:id="240"/>
      <w:bookmarkEnd w:id="241"/>
      <w:bookmarkEnd w:id="242"/>
    </w:p>
    <w:p w14:paraId="24A33197" w14:textId="689DD0C3" w:rsidR="002B55D9" w:rsidRPr="00DD262E" w:rsidRDefault="002B55D9" w:rsidP="000A0DDB">
      <w:r w:rsidRPr="00DD262E">
        <w:t>No clinically relevant mean changes from baseline were observed in ECG parameters during the Double-blind,</w:t>
      </w:r>
      <w:r>
        <w:t xml:space="preserve"> </w:t>
      </w:r>
      <w:r w:rsidRPr="00DD262E">
        <w:t xml:space="preserve">Active-controlled Phase of Trials 31-07-247 </w:t>
      </w:r>
      <w:r w:rsidR="0052799D">
        <w:t>and</w:t>
      </w:r>
      <w:r w:rsidRPr="00DD262E">
        <w:t xml:space="preserve"> 31-07-246,</w:t>
      </w:r>
      <w:r w:rsidRPr="00DD262E">
        <w:rPr>
          <w:bCs/>
        </w:rPr>
        <w:t xml:space="preserve"> nor were there any clinically relevant</w:t>
      </w:r>
      <w:r w:rsidRPr="00DD262E">
        <w:t xml:space="preserve"> mean changes from baseline observed in ECG parameters </w:t>
      </w:r>
      <w:r w:rsidRPr="00DD262E">
        <w:rPr>
          <w:bCs/>
        </w:rPr>
        <w:t xml:space="preserve">in other </w:t>
      </w:r>
      <w:proofErr w:type="spellStart"/>
      <w:r w:rsidRPr="00DD262E">
        <w:rPr>
          <w:bCs/>
        </w:rPr>
        <w:t>aripiprazole</w:t>
      </w:r>
      <w:proofErr w:type="spellEnd"/>
      <w:r w:rsidRPr="00DD262E">
        <w:rPr>
          <w:bCs/>
        </w:rPr>
        <w:t xml:space="preserve"> IM depot trials, including the IM Depot Stabilization Phase of Trial 31-07-246.</w:t>
      </w:r>
    </w:p>
    <w:p w14:paraId="24A33198" w14:textId="77777777" w:rsidR="002B55D9" w:rsidRDefault="002B55D9" w:rsidP="000A0DDB">
      <w:r>
        <w:t xml:space="preserve">Potentially clinically relevant ECG abnormalities reported in </w:t>
      </w:r>
      <w:r w:rsidRPr="00737651">
        <w:t>Trial 31-07-247</w:t>
      </w:r>
      <w:r>
        <w:t xml:space="preserve"> for ≥ 1% of subjects on IM depot 400/30</w:t>
      </w:r>
      <w:r w:rsidR="002C1F46">
        <w:t>0 mg</w:t>
      </w:r>
      <w:r>
        <w:t xml:space="preserve"> during the Double-blind, Active-controlled Phase were supraventricular premature beat (12/253, 4.7%), symmetrical T-wave inversion (11/253, 4.3%), ventricular premature beat (9/253, 3.6%), bradycardia (4/253, 1.6%), and sinus bradycardia (3/253, 1.2%); while reported for</w:t>
      </w:r>
      <w:r w:rsidRPr="00737651">
        <w:t xml:space="preserve"> </w:t>
      </w:r>
      <w:r>
        <w:t>≥ 1% of subjects on tablets they were supraventricular premature beat (12/248, 4.8%), symmetrical T-wave inversion (11/248, 4.4%), ventricular premature beat (9/248, 3.6%), myocardial ischemia (3/248, 1.2%), and QTcB (3/248, 1.2%).</w:t>
      </w:r>
    </w:p>
    <w:p w14:paraId="24A33199" w14:textId="1E0B53D4" w:rsidR="002B55D9" w:rsidRPr="00931CF0" w:rsidRDefault="002B55D9" w:rsidP="000A0DDB">
      <w:pPr>
        <w:pStyle w:val="Heading5"/>
      </w:pPr>
      <w:bookmarkStart w:id="243" w:name="_Toc381104225"/>
      <w:r>
        <w:lastRenderedPageBreak/>
        <w:t xml:space="preserve">QT interval - </w:t>
      </w:r>
      <w:r w:rsidR="000A0DDB">
        <w:t>c</w:t>
      </w:r>
      <w:r>
        <w:t xml:space="preserve">ontrolled </w:t>
      </w:r>
      <w:r w:rsidR="000A0DDB">
        <w:t>t</w:t>
      </w:r>
      <w:r>
        <w:t>rials</w:t>
      </w:r>
      <w:bookmarkEnd w:id="243"/>
    </w:p>
    <w:p w14:paraId="24A3319A" w14:textId="77777777" w:rsidR="002B55D9" w:rsidRPr="00931CF0" w:rsidRDefault="002B55D9" w:rsidP="000A0DDB">
      <w:r>
        <w:t>1/534 (0.2%) subjects on IM depot 400/30</w:t>
      </w:r>
      <w:r w:rsidR="002C1F46">
        <w:t>0 mg</w:t>
      </w:r>
      <w:r>
        <w:t xml:space="preserve"> had an AE related to QT interval change (prolonged ECG QT). There were no other QT changes.</w:t>
      </w:r>
    </w:p>
    <w:p w14:paraId="24A3319B" w14:textId="77777777" w:rsidR="002B55D9" w:rsidRDefault="002B55D9" w:rsidP="000A0DDB">
      <w:pPr>
        <w:pStyle w:val="Heading4"/>
      </w:pPr>
      <w:bookmarkStart w:id="244" w:name="_Toc272414676"/>
      <w:bookmarkStart w:id="245" w:name="_Toc290846314"/>
      <w:bookmarkStart w:id="246" w:name="_Toc381104226"/>
      <w:r w:rsidRPr="00931CF0">
        <w:t>Vital signs</w:t>
      </w:r>
      <w:bookmarkEnd w:id="244"/>
      <w:bookmarkEnd w:id="245"/>
      <w:bookmarkEnd w:id="246"/>
    </w:p>
    <w:p w14:paraId="24A3319C" w14:textId="77777777" w:rsidR="002B55D9" w:rsidRDefault="002B55D9" w:rsidP="000A0DDB">
      <w:r>
        <w:t xml:space="preserve">No clinically relevant mean changes from baseline were observed in vital signs parameters (including weight, waist circumference, and BMI) during the Double-blind, Active-controlled Phase </w:t>
      </w:r>
      <w:r w:rsidRPr="00694613">
        <w:t>of Trial</w:t>
      </w:r>
      <w:r>
        <w:t>s</w:t>
      </w:r>
      <w:r w:rsidRPr="00694613">
        <w:t xml:space="preserve"> 31-07-247</w:t>
      </w:r>
      <w:r>
        <w:t xml:space="preserve"> </w:t>
      </w:r>
      <w:r w:rsidR="0052799D">
        <w:t>and</w:t>
      </w:r>
      <w:r>
        <w:t xml:space="preserve"> </w:t>
      </w:r>
      <w:r w:rsidRPr="00694613">
        <w:t>31-07-246</w:t>
      </w:r>
      <w:r>
        <w:t>,</w:t>
      </w:r>
      <w:r w:rsidRPr="00694613">
        <w:rPr>
          <w:bCs/>
        </w:rPr>
        <w:t xml:space="preserve"> nor were there any clinically relevant</w:t>
      </w:r>
      <w:r w:rsidRPr="00694613">
        <w:t xml:space="preserve"> </w:t>
      </w:r>
      <w:r>
        <w:t>mean changes from baseline observed in vital signs</w:t>
      </w:r>
      <w:r w:rsidRPr="00694613">
        <w:rPr>
          <w:bCs/>
        </w:rPr>
        <w:t xml:space="preserve"> in other </w:t>
      </w:r>
      <w:proofErr w:type="spellStart"/>
      <w:r w:rsidRPr="00694613">
        <w:rPr>
          <w:bCs/>
        </w:rPr>
        <w:t>aripiprazole</w:t>
      </w:r>
      <w:proofErr w:type="spellEnd"/>
      <w:r w:rsidRPr="00694613">
        <w:rPr>
          <w:bCs/>
        </w:rPr>
        <w:t xml:space="preserve"> IM depot trials, including the IM Depot Stabilization Phase of Trial 31-07-246.</w:t>
      </w:r>
    </w:p>
    <w:p w14:paraId="24A3319D" w14:textId="1E3C5FCF" w:rsidR="002B55D9" w:rsidRPr="00931CF0" w:rsidRDefault="002B55D9" w:rsidP="000A0DDB">
      <w:pPr>
        <w:pStyle w:val="Heading5"/>
      </w:pPr>
      <w:proofErr w:type="spellStart"/>
      <w:r>
        <w:t>Orthostasis</w:t>
      </w:r>
      <w:proofErr w:type="spellEnd"/>
      <w:r>
        <w:t xml:space="preserve"> - </w:t>
      </w:r>
      <w:r w:rsidR="000A0DDB">
        <w:t>c</w:t>
      </w:r>
      <w:r>
        <w:t xml:space="preserve">ontrolled </w:t>
      </w:r>
      <w:r w:rsidR="000A0DDB">
        <w:t>trials</w:t>
      </w:r>
    </w:p>
    <w:p w14:paraId="24A3319E" w14:textId="085DA8B0" w:rsidR="002B55D9" w:rsidRPr="00931CF0" w:rsidRDefault="002B55D9" w:rsidP="000A0DDB">
      <w:r>
        <w:t>2/534 (0.4%) subjects on IM depot 400/30</w:t>
      </w:r>
      <w:r w:rsidR="002C1F46">
        <w:t>0 mg</w:t>
      </w:r>
      <w:r>
        <w:t xml:space="preserve">, 2/266 (0.8%) subjects on tablets, had AEs related to </w:t>
      </w:r>
      <w:proofErr w:type="spellStart"/>
      <w:r>
        <w:t>orthostasis</w:t>
      </w:r>
      <w:proofErr w:type="spellEnd"/>
      <w:r>
        <w:t xml:space="preserve">. No placebo subject </w:t>
      </w:r>
      <w:r w:rsidR="000A0DDB">
        <w:t xml:space="preserve">had AEs related to </w:t>
      </w:r>
      <w:proofErr w:type="spellStart"/>
      <w:r w:rsidR="000A0DDB">
        <w:t>orthostasis</w:t>
      </w:r>
      <w:proofErr w:type="spellEnd"/>
      <w:r w:rsidR="000A0DDB">
        <w:t>.</w:t>
      </w:r>
    </w:p>
    <w:p w14:paraId="24A3319F" w14:textId="77777777" w:rsidR="002B55D9" w:rsidRPr="00AE6E25" w:rsidRDefault="002B55D9" w:rsidP="001D2766">
      <w:pPr>
        <w:pStyle w:val="Heading3"/>
      </w:pPr>
      <w:bookmarkStart w:id="247" w:name="_Ref272333005"/>
      <w:bookmarkStart w:id="248" w:name="_Toc272414680"/>
      <w:bookmarkStart w:id="249" w:name="_Toc290846318"/>
      <w:bookmarkStart w:id="250" w:name="_Toc381104227"/>
      <w:bookmarkStart w:id="251" w:name="_Toc408930650"/>
      <w:r w:rsidRPr="00AE6E25">
        <w:t>Safety issues with the potential for major regulatory imp</w:t>
      </w:r>
      <w:bookmarkEnd w:id="247"/>
      <w:bookmarkEnd w:id="248"/>
      <w:r w:rsidRPr="00AE6E25">
        <w:t>act</w:t>
      </w:r>
      <w:bookmarkEnd w:id="249"/>
      <w:bookmarkEnd w:id="250"/>
      <w:bookmarkEnd w:id="251"/>
    </w:p>
    <w:p w14:paraId="24A331A0" w14:textId="566D2806" w:rsidR="002B55D9" w:rsidRPr="006304A1" w:rsidRDefault="002B55D9" w:rsidP="001D2766">
      <w:pPr>
        <w:pStyle w:val="Heading4"/>
      </w:pPr>
      <w:bookmarkStart w:id="252" w:name="_Toc272414683"/>
      <w:bookmarkStart w:id="253" w:name="_Toc290846321"/>
      <w:bookmarkStart w:id="254" w:name="_Toc381104228"/>
      <w:r>
        <w:t xml:space="preserve">Injection </w:t>
      </w:r>
      <w:r w:rsidR="001D2766">
        <w:t>s</w:t>
      </w:r>
      <w:r>
        <w:t>ite</w:t>
      </w:r>
      <w:r w:rsidRPr="006304A1">
        <w:t xml:space="preserve"> reactions</w:t>
      </w:r>
      <w:bookmarkEnd w:id="252"/>
      <w:bookmarkEnd w:id="253"/>
      <w:bookmarkEnd w:id="254"/>
    </w:p>
    <w:p w14:paraId="24A331A1" w14:textId="4618DED9" w:rsidR="00A0647D" w:rsidRDefault="002B55D9" w:rsidP="001D2766">
      <w:pPr>
        <w:pStyle w:val="Heading5"/>
      </w:pPr>
      <w:r w:rsidRPr="00AE6E25">
        <w:t xml:space="preserve">Controlled </w:t>
      </w:r>
      <w:r w:rsidR="001D2766">
        <w:t>t</w:t>
      </w:r>
      <w:r w:rsidRPr="00AE6E25">
        <w:t>rials</w:t>
      </w:r>
    </w:p>
    <w:p w14:paraId="24A331A2" w14:textId="77777777" w:rsidR="002B55D9" w:rsidRPr="00AE6E25" w:rsidRDefault="002B55D9" w:rsidP="001D2766">
      <w:r w:rsidRPr="00AE6E25">
        <w:t>37/534 (6.9%) subjects on IM depot 400/30</w:t>
      </w:r>
      <w:r w:rsidR="002C1F46">
        <w:t>0 mg</w:t>
      </w:r>
      <w:r w:rsidRPr="00AE6E25">
        <w:t>, 7/266 (2.6%) subjects on tablets, 1/131 (0.8%) subjects on IM depot 50/25mg, and 5/134 (3.7%) placebo subjects experienced AEs related to the injection site.</w:t>
      </w:r>
      <w:r w:rsidRPr="00AE6E25">
        <w:rPr>
          <w:rStyle w:val="FootnoteReference"/>
          <w:rFonts w:asciiTheme="majorHAnsi" w:hAnsiTheme="majorHAnsi"/>
        </w:rPr>
        <w:footnoteReference w:id="40"/>
      </w:r>
      <w:r w:rsidRPr="00AE6E25">
        <w:t xml:space="preserve"> Injection site reactions reported by subjects on tablets included injection site pain (6/266, 2.3%), injection site erythema (3/266, 1.1%), and injection site induration and injection site swelling (each in 2/266, 0.8%). In the placebo group, injection site-related TEAEs included injection site pain (5/134, 3.7%) and injection site erythema (1/134, 0.7%).</w:t>
      </w:r>
    </w:p>
    <w:p w14:paraId="24A331A3" w14:textId="77777777" w:rsidR="002B55D9" w:rsidRPr="00AE6E25" w:rsidRDefault="002B55D9" w:rsidP="001D2766">
      <w:r w:rsidRPr="00AE6E25">
        <w:t xml:space="preserve">In the IM depot 50/25mg group, injection site-related AEs included injection site pain (1/131, 0.8%). In the </w:t>
      </w:r>
      <w:proofErr w:type="spellStart"/>
      <w:r w:rsidRPr="00AE6E25">
        <w:t>aripiprazole</w:t>
      </w:r>
      <w:proofErr w:type="spellEnd"/>
      <w:r w:rsidRPr="00AE6E25">
        <w:t xml:space="preserve"> IM depot 400/30</w:t>
      </w:r>
      <w:r w:rsidR="002C1F46">
        <w:t>0 mg</w:t>
      </w:r>
      <w:r w:rsidRPr="00AE6E25">
        <w:t xml:space="preserve"> group, injection site-related AEs included injection site pain (28/534 subjects, 5.2%), injection site induration (8/534, 1.5%), injection site swelling (3/534, 0.6%), injection site erythema (3/534, 0.6%), and injection site discomfort, injection site </w:t>
      </w:r>
      <w:proofErr w:type="spellStart"/>
      <w:r w:rsidRPr="00AE6E25">
        <w:t>pruritis</w:t>
      </w:r>
      <w:proofErr w:type="spellEnd"/>
      <w:r w:rsidRPr="00AE6E25">
        <w:t>, injection site reaction, and vessel puncture site pain (each in 1/534, 0.2%).</w:t>
      </w:r>
    </w:p>
    <w:p w14:paraId="24A331A4" w14:textId="77777777" w:rsidR="002B55D9" w:rsidRPr="00AE6E25" w:rsidRDefault="002B55D9" w:rsidP="001D2766">
      <w:pPr>
        <w:pStyle w:val="Heading6"/>
      </w:pPr>
      <w:r w:rsidRPr="00AE6E25">
        <w:t>VAS Scores and Investigator Assessments</w:t>
      </w:r>
      <w:r w:rsidRPr="00AE6E25">
        <w:rPr>
          <w:rStyle w:val="FootnoteReference"/>
          <w:rFonts w:asciiTheme="majorHAnsi" w:hAnsiTheme="majorHAnsi"/>
        </w:rPr>
        <w:footnoteReference w:id="41"/>
      </w:r>
    </w:p>
    <w:p w14:paraId="24A331A5" w14:textId="77777777" w:rsidR="002B55D9" w:rsidRPr="00AE6E25" w:rsidRDefault="002B55D9" w:rsidP="001D2766">
      <w:r w:rsidRPr="00AE6E25">
        <w:t>Trial 31-07-247 Double-blind, Active-controlled Phase, the subjects mean VAS pain score on IM depot 400/30</w:t>
      </w:r>
      <w:r w:rsidR="002C1F46">
        <w:t>0 mg</w:t>
      </w:r>
      <w:r w:rsidRPr="00AE6E25">
        <w:t xml:space="preserve"> was 5.6 after the first injection and 3.7 after the last, for subjects on tablets</w:t>
      </w:r>
      <w:r w:rsidRPr="00AE6E25">
        <w:rPr>
          <w:rStyle w:val="FootnoteReference"/>
          <w:rFonts w:asciiTheme="majorHAnsi" w:hAnsiTheme="majorHAnsi"/>
        </w:rPr>
        <w:footnoteReference w:id="42"/>
      </w:r>
      <w:r w:rsidRPr="00AE6E25">
        <w:t xml:space="preserve"> mean VAS was 4.9 (first injection) and 3.5 (last injection), for IM depot 50/25mg mean VAS was 3.3 (first injection) and 2.4 (last injection).</w:t>
      </w:r>
    </w:p>
    <w:p w14:paraId="24A331A6" w14:textId="3D331578" w:rsidR="002B55D9" w:rsidRPr="00AE6E25" w:rsidRDefault="002B55D9" w:rsidP="001D2766">
      <w:r w:rsidRPr="00AE6E25">
        <w:t>Investigators rated pain, redness, swelling, and induration with IM depot 400/30</w:t>
      </w:r>
      <w:r w:rsidR="002C1F46">
        <w:t>0 mg</w:t>
      </w:r>
      <w:r w:rsidRPr="00AE6E25">
        <w:t xml:space="preserve"> as absent in 81.4% to 98.1% of subjects after the first injection and absent in 88.3% to 98.9% after the last injection, for subjects on tablets pain, redness, swelling and induration were absent in 83.3% to 98.5% (first injection) and 9</w:t>
      </w:r>
      <w:r w:rsidR="001D2766">
        <w:t>0.2% to 99.6% (last injection).</w:t>
      </w:r>
    </w:p>
    <w:p w14:paraId="24A331A7" w14:textId="77777777" w:rsidR="002B55D9" w:rsidRPr="00AE6E25" w:rsidRDefault="002B55D9" w:rsidP="00701C16">
      <w:r w:rsidRPr="00AE6E25">
        <w:t>For IM depot 50/25mg they were absent in 90.7% to 99.2% (first injection) and 90.0% to 99.2% (last injection).</w:t>
      </w:r>
    </w:p>
    <w:p w14:paraId="24A331A8" w14:textId="77777777" w:rsidR="002B55D9" w:rsidRPr="00AE6E25" w:rsidRDefault="002B55D9" w:rsidP="00701C16">
      <w:r w:rsidRPr="00AE6E25">
        <w:lastRenderedPageBreak/>
        <w:t>Trial 31-07-246 Double-blind, Placebo-controlled Phase, the subjects mean VAS pain score on IM depot 400/30</w:t>
      </w:r>
      <w:r w:rsidR="002C1F46">
        <w:t>0 mg</w:t>
      </w:r>
      <w:r w:rsidRPr="00AE6E25">
        <w:t xml:space="preserve"> was 5.1 after the first injection and 4.0 after the last, for placebo subjects mean VAS were 5.1 (first injection) and 4.9 (last injection).</w:t>
      </w:r>
    </w:p>
    <w:p w14:paraId="24A331A9" w14:textId="77777777" w:rsidR="002B55D9" w:rsidRPr="00AE6E25" w:rsidRDefault="002B55D9" w:rsidP="00701C16">
      <w:r w:rsidRPr="00AE6E25">
        <w:t>Investigators rated pain, redness, swelling, and induration for subjects on IM depot 400/30</w:t>
      </w:r>
      <w:r w:rsidR="002C1F46">
        <w:t>0 mg</w:t>
      </w:r>
      <w:r w:rsidRPr="00AE6E25">
        <w:t>, as absent in 80.1% to 98.1% of subjects after the first injection, and as absent in 84.4% to 98.5% of subjects after the last injection, for subjects on placebo was absent in 72.2% to 97.7% of (first injection) and 77.3% to 97.7% (last injection).</w:t>
      </w:r>
    </w:p>
    <w:p w14:paraId="24A331AA" w14:textId="21E34CE9" w:rsidR="00A0647D" w:rsidRDefault="002B55D9" w:rsidP="00701C16">
      <w:pPr>
        <w:pStyle w:val="Heading5"/>
      </w:pPr>
      <w:r w:rsidRPr="00AE6E25">
        <w:t xml:space="preserve">All </w:t>
      </w:r>
      <w:r w:rsidR="00701C16">
        <w:t>t</w:t>
      </w:r>
      <w:r w:rsidRPr="00AE6E25">
        <w:t>rials</w:t>
      </w:r>
    </w:p>
    <w:p w14:paraId="24A331AB" w14:textId="77777777" w:rsidR="002B55D9" w:rsidRPr="00AE6E25" w:rsidRDefault="002B55D9" w:rsidP="00701C16">
      <w:r w:rsidRPr="00AE6E25">
        <w:t xml:space="preserve">121/1539 (7.9%) </w:t>
      </w:r>
      <w:proofErr w:type="spellStart"/>
      <w:r w:rsidRPr="00AE6E25">
        <w:t>aripiprazole</w:t>
      </w:r>
      <w:proofErr w:type="spellEnd"/>
      <w:r w:rsidRPr="00AE6E25">
        <w:t xml:space="preserve"> IM depot 400</w:t>
      </w:r>
      <w:r>
        <w:t>/30</w:t>
      </w:r>
      <w:r w:rsidR="002C1F46">
        <w:t>0 mg</w:t>
      </w:r>
      <w:r w:rsidRPr="00AE6E25">
        <w:t xml:space="preserve"> subjects had AEs related to the injection site.</w:t>
      </w:r>
    </w:p>
    <w:p w14:paraId="24A331AC" w14:textId="77777777" w:rsidR="002B55D9" w:rsidRPr="00AE6E25" w:rsidRDefault="002B55D9" w:rsidP="00701C16">
      <w:r w:rsidRPr="00AE6E25">
        <w:t xml:space="preserve">The overall incidence of AEs related to the injection site in subjects treated with </w:t>
      </w:r>
      <w:proofErr w:type="spellStart"/>
      <w:r w:rsidRPr="00AE6E25">
        <w:t>aripiprazole</w:t>
      </w:r>
      <w:proofErr w:type="spellEnd"/>
      <w:r w:rsidRPr="00AE6E25">
        <w:t xml:space="preserve"> IM depot 400</w:t>
      </w:r>
      <w:r>
        <w:t>/30</w:t>
      </w:r>
      <w:r w:rsidR="002C1F46">
        <w:t>0 mg</w:t>
      </w:r>
      <w:r w:rsidRPr="00AE6E25">
        <w:t xml:space="preserve"> was 9.3% (108/1160) for subjects treated ≥ 3 months and 11.3% (25/221) for subjects treated ≥ 24 months.</w:t>
      </w:r>
    </w:p>
    <w:p w14:paraId="24A331AD" w14:textId="77777777" w:rsidR="002B55D9" w:rsidRPr="00AE6E25" w:rsidRDefault="002B55D9" w:rsidP="00701C16">
      <w:r w:rsidRPr="00AE6E25">
        <w:t xml:space="preserve">There were increases in the incidence of the following injection site-related AEs in subjects with longer exposure to </w:t>
      </w:r>
      <w:proofErr w:type="spellStart"/>
      <w:r w:rsidRPr="00AE6E25">
        <w:t>aripiprazole</w:t>
      </w:r>
      <w:proofErr w:type="spellEnd"/>
      <w:r w:rsidRPr="00AE6E25">
        <w:t xml:space="preserve"> IM depot 400</w:t>
      </w:r>
      <w:r>
        <w:t>/30</w:t>
      </w:r>
      <w:r w:rsidR="002C1F46">
        <w:t>0 mg</w:t>
      </w:r>
      <w:r w:rsidRPr="00AE6E25">
        <w:t xml:space="preserve"> injection site pain (95/1160 [8.2%] for subjects treated ≥ 3 months and 20/221 [9.0%] subjects treated for ≥ 24 months) and injection site induration (12/1160 [1.0%] and 6/221 [2.7%], respectively).</w:t>
      </w:r>
    </w:p>
    <w:p w14:paraId="24A331AE" w14:textId="0D0A629E" w:rsidR="002B55D9" w:rsidRPr="00A0647D" w:rsidRDefault="002B55D9" w:rsidP="00701C16">
      <w:pPr>
        <w:pStyle w:val="Heading4"/>
      </w:pPr>
      <w:bookmarkStart w:id="255" w:name="_Toc272414681"/>
      <w:bookmarkStart w:id="256" w:name="_Toc290846319"/>
      <w:bookmarkStart w:id="257" w:name="_Toc381104229"/>
      <w:r w:rsidRPr="00A0647D">
        <w:t>Liver toxicity</w:t>
      </w:r>
      <w:bookmarkEnd w:id="255"/>
      <w:bookmarkEnd w:id="256"/>
      <w:bookmarkEnd w:id="257"/>
    </w:p>
    <w:p w14:paraId="24A331AF" w14:textId="3E3186BA" w:rsidR="002B55D9" w:rsidRPr="00A0647D" w:rsidRDefault="002B55D9" w:rsidP="00701C16">
      <w:pPr>
        <w:pStyle w:val="Heading5"/>
      </w:pPr>
      <w:r w:rsidRPr="00A0647D">
        <w:t xml:space="preserve">Controlled </w:t>
      </w:r>
      <w:r w:rsidR="00701C16">
        <w:t>t</w:t>
      </w:r>
      <w:r w:rsidR="00C05067">
        <w:t>rials</w:t>
      </w:r>
    </w:p>
    <w:p w14:paraId="24A331B0" w14:textId="77777777" w:rsidR="002B55D9" w:rsidRDefault="002B55D9" w:rsidP="00701C16">
      <w:r w:rsidRPr="00A0647D">
        <w:t>No potential Hy’s Law cases were identified during</w:t>
      </w:r>
      <w:r>
        <w:t xml:space="preserve"> the Double-blind Phase of either study.</w:t>
      </w:r>
    </w:p>
    <w:p w14:paraId="24A331B1" w14:textId="77777777" w:rsidR="002B55D9" w:rsidRPr="00F56FB9" w:rsidRDefault="002B55D9" w:rsidP="00701C16">
      <w:r>
        <w:t>One subject in study 31-07-247 had laboratory results meeting the criteria for Hy’s Law during the Oral Stabilization Phase, 2 days later, during the Double-blind, Active-controlled Treatment Phase, abnormal hepatic function was reported as a TEAE for this subject. This event resolved and was considered mild in severity and unrelated to trial medication. No action was taken regarding trial medication due to this event.</w:t>
      </w:r>
    </w:p>
    <w:p w14:paraId="24A331B2" w14:textId="0FA74C60" w:rsidR="002B55D9" w:rsidRDefault="002B55D9" w:rsidP="00701C16">
      <w:pPr>
        <w:pStyle w:val="Heading4"/>
      </w:pPr>
      <w:bookmarkStart w:id="258" w:name="_Toc381104230"/>
      <w:r>
        <w:t>Suicide</w:t>
      </w:r>
      <w:bookmarkEnd w:id="258"/>
    </w:p>
    <w:p w14:paraId="24A331B3" w14:textId="77777777" w:rsidR="002B55D9" w:rsidRDefault="002B55D9" w:rsidP="00701C16">
      <w:r>
        <w:t>Controlled Trials:</w:t>
      </w:r>
      <w:r w:rsidRPr="00621E30">
        <w:t xml:space="preserve"> </w:t>
      </w:r>
      <w:r>
        <w:t>6/534 (1.1%) subjects on IM depot 400/30</w:t>
      </w:r>
      <w:r w:rsidR="002C1F46">
        <w:t>0 mg</w:t>
      </w:r>
      <w:r>
        <w:t xml:space="preserve">, 1/266 (0.4%) subjects on tablets, </w:t>
      </w:r>
      <w:r w:rsidRPr="002D38B0">
        <w:t xml:space="preserve">3/131 (2.3%) </w:t>
      </w:r>
      <w:r>
        <w:t>on IM depot 50/25</w:t>
      </w:r>
      <w:r w:rsidRPr="002D38B0">
        <w:t>mg</w:t>
      </w:r>
      <w:r>
        <w:t xml:space="preserve"> and no placebo subjects had an AE that was considered related to suicidal ideation/suicide.</w:t>
      </w:r>
    </w:p>
    <w:p w14:paraId="24A331B4" w14:textId="77777777" w:rsidR="002B55D9" w:rsidRPr="006304A1" w:rsidRDefault="002B55D9" w:rsidP="00701C16">
      <w:pPr>
        <w:pStyle w:val="Heading4"/>
      </w:pPr>
      <w:bookmarkStart w:id="259" w:name="_Ref366561286"/>
      <w:bookmarkStart w:id="260" w:name="_Toc381104231"/>
      <w:r>
        <w:t>Increased weight</w:t>
      </w:r>
      <w:bookmarkEnd w:id="259"/>
      <w:bookmarkEnd w:id="260"/>
    </w:p>
    <w:p w14:paraId="24A331B5" w14:textId="77777777" w:rsidR="002B55D9" w:rsidRDefault="002B55D9" w:rsidP="00701C16">
      <w:r>
        <w:t>Controlled Trials: Increased weight was a reported AE for 50/534 (9.4%) subjects on IM depot 400/30</w:t>
      </w:r>
      <w:r w:rsidR="002C1F46">
        <w:t>0 mg</w:t>
      </w:r>
      <w:r>
        <w:t>, 35/266 (13.2%) subjects on tablets and 13/134 (9.7%) placebo subjects. Decreased weight was reported for 35/534 (6.6%) subjects on IM depot 400/30</w:t>
      </w:r>
      <w:r w:rsidR="002C1F46">
        <w:t>0 mg</w:t>
      </w:r>
      <w:r>
        <w:t>, 16/266 (6.0%) subjects on tablets, and 4/134 (3.0%) placebo subjects.</w:t>
      </w:r>
      <w:bookmarkStart w:id="261" w:name="_Toc272414682"/>
      <w:bookmarkStart w:id="262" w:name="_Toc290846320"/>
    </w:p>
    <w:p w14:paraId="24A331B6" w14:textId="17466C46" w:rsidR="002B55D9" w:rsidRDefault="002B55D9" w:rsidP="00701C16">
      <w:pPr>
        <w:pStyle w:val="TableTitle"/>
      </w:pPr>
      <w:bookmarkStart w:id="263" w:name="_Toc381104341"/>
      <w:r>
        <w:lastRenderedPageBreak/>
        <w:t>Table</w:t>
      </w:r>
      <w:r w:rsidR="00383AAD">
        <w:t xml:space="preserve"> 23</w:t>
      </w:r>
      <w:r w:rsidR="00A0647D">
        <w:rPr>
          <w:noProof/>
        </w:rPr>
        <w:t>.</w:t>
      </w:r>
      <w:r>
        <w:t xml:space="preserve"> Incidence of </w:t>
      </w:r>
      <w:r w:rsidR="00B843F2">
        <w:t>p</w:t>
      </w:r>
      <w:r>
        <w:t xml:space="preserve">otentially </w:t>
      </w:r>
      <w:r w:rsidR="00B843F2">
        <w:t>c</w:t>
      </w:r>
      <w:r>
        <w:t xml:space="preserve">linically </w:t>
      </w:r>
      <w:r w:rsidR="00B843F2">
        <w:t>r</w:t>
      </w:r>
      <w:r>
        <w:t xml:space="preserve">elevant </w:t>
      </w:r>
      <w:r w:rsidR="00B843F2">
        <w:t>w</w:t>
      </w:r>
      <w:r>
        <w:t xml:space="preserve">eight </w:t>
      </w:r>
      <w:r w:rsidR="00B843F2">
        <w:t>g</w:t>
      </w:r>
      <w:r>
        <w:t xml:space="preserve">ain and </w:t>
      </w:r>
      <w:r w:rsidR="00B843F2">
        <w:t>w</w:t>
      </w:r>
      <w:r>
        <w:t xml:space="preserve">eight </w:t>
      </w:r>
      <w:r w:rsidR="00B843F2">
        <w:t>l</w:t>
      </w:r>
      <w:r>
        <w:t xml:space="preserve">oss in </w:t>
      </w:r>
      <w:r w:rsidR="00B843F2">
        <w:t>d</w:t>
      </w:r>
      <w:r>
        <w:t xml:space="preserve">ouble-blind, </w:t>
      </w:r>
      <w:r w:rsidR="00B843F2">
        <w:t>a</w:t>
      </w:r>
      <w:r>
        <w:t xml:space="preserve">ctive-controlled </w:t>
      </w:r>
      <w:r w:rsidR="00B843F2">
        <w:t>p</w:t>
      </w:r>
      <w:r>
        <w:t>hase (</w:t>
      </w:r>
      <w:r w:rsidR="00B843F2">
        <w:t>s</w:t>
      </w:r>
      <w:r>
        <w:t xml:space="preserve">ubjects </w:t>
      </w:r>
      <w:r w:rsidR="00B843F2">
        <w:t>t</w:t>
      </w:r>
      <w:r>
        <w:t xml:space="preserve">reated in </w:t>
      </w:r>
      <w:r w:rsidR="00B843F2">
        <w:t>d</w:t>
      </w:r>
      <w:r>
        <w:t xml:space="preserve">ouble-blind </w:t>
      </w:r>
      <w:r w:rsidR="00B843F2">
        <w:t>p</w:t>
      </w:r>
      <w:r>
        <w:t xml:space="preserve">hase of </w:t>
      </w:r>
      <w:r w:rsidR="00B843F2">
        <w:t>t</w:t>
      </w:r>
      <w:r>
        <w:t>rial 31-07-247)</w:t>
      </w:r>
      <w:bookmarkEnd w:id="263"/>
    </w:p>
    <w:p w14:paraId="24A331B7" w14:textId="77777777" w:rsidR="002B55D9" w:rsidRDefault="002B55D9" w:rsidP="00B843F2">
      <w:r>
        <w:rPr>
          <w:noProof/>
          <w:lang w:eastAsia="en-AU"/>
        </w:rPr>
        <w:drawing>
          <wp:inline distT="0" distB="0" distL="0" distR="0" wp14:anchorId="24A3326C" wp14:editId="24A3326D">
            <wp:extent cx="5095875" cy="1817306"/>
            <wp:effectExtent l="0" t="0" r="0" b="0"/>
            <wp:docPr id="138" name="Picture 1" descr="Table 23. Incidence of Potentially Clinically Relevant Weight Gain and Weight Loss in Double-blind, Active-controlled Phase (Subjects Treated in Double-blind Phase of Trial 31-07-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5096967" cy="1817696"/>
                    </a:xfrm>
                    <a:prstGeom prst="rect">
                      <a:avLst/>
                    </a:prstGeom>
                    <a:noFill/>
                    <a:ln w="9525">
                      <a:noFill/>
                      <a:miter lim="800000"/>
                      <a:headEnd/>
                      <a:tailEnd/>
                    </a:ln>
                  </pic:spPr>
                </pic:pic>
              </a:graphicData>
            </a:graphic>
          </wp:inline>
        </w:drawing>
      </w:r>
    </w:p>
    <w:p w14:paraId="24A331B8" w14:textId="77777777" w:rsidR="002B55D9" w:rsidRPr="00C61F67" w:rsidRDefault="002B55D9" w:rsidP="00A246D7">
      <w:pPr>
        <w:pStyle w:val="TableDescription"/>
      </w:pPr>
      <w:r w:rsidRPr="00C61F67">
        <w:rPr>
          <w:vertAlign w:val="superscript"/>
        </w:rPr>
        <w:t>a</w:t>
      </w:r>
      <w:r w:rsidRPr="00C61F67">
        <w:t xml:space="preserve"> Ne is the total number of subjects with a post-baseline weight result at the visit.</w:t>
      </w:r>
      <w:r w:rsidR="00A0647D">
        <w:t xml:space="preserve"> </w:t>
      </w:r>
      <w:r w:rsidRPr="00C61F67">
        <w:rPr>
          <w:vertAlign w:val="superscript"/>
        </w:rPr>
        <w:t>b</w:t>
      </w:r>
      <w:r w:rsidRPr="00C61F67">
        <w:t xml:space="preserve"> n is the number of subjects meeting the criteria </w:t>
      </w:r>
      <w:r w:rsidRPr="00A246D7">
        <w:t>for</w:t>
      </w:r>
      <w:r w:rsidRPr="00C61F67">
        <w:t xml:space="preserve"> potential clinical relevance.</w:t>
      </w:r>
      <w:r w:rsidR="00A0647D">
        <w:t xml:space="preserve"> </w:t>
      </w:r>
      <w:r w:rsidRPr="00C61F67">
        <w:rPr>
          <w:vertAlign w:val="superscript"/>
        </w:rPr>
        <w:t>c</w:t>
      </w:r>
      <w:r w:rsidRPr="00C61F67">
        <w:t xml:space="preserve"> Change from Double-blind, Active-controlled Phase baseline.</w:t>
      </w:r>
    </w:p>
    <w:p w14:paraId="24A331B9" w14:textId="77777777" w:rsidR="002B55D9" w:rsidRDefault="002B55D9" w:rsidP="00B843F2">
      <w:pPr>
        <w:pStyle w:val="Heading4"/>
      </w:pPr>
      <w:bookmarkStart w:id="264" w:name="_Toc381104232"/>
      <w:bookmarkStart w:id="265" w:name="_Toc272414684"/>
      <w:bookmarkStart w:id="266" w:name="_Toc290846322"/>
      <w:bookmarkEnd w:id="261"/>
      <w:bookmarkEnd w:id="262"/>
      <w:r w:rsidRPr="006304A1">
        <w:t>C</w:t>
      </w:r>
      <w:r>
        <w:t>onvulsions</w:t>
      </w:r>
      <w:bookmarkEnd w:id="264"/>
    </w:p>
    <w:p w14:paraId="24A331BA" w14:textId="77777777" w:rsidR="002B55D9" w:rsidRDefault="002B55D9" w:rsidP="00B843F2">
      <w:r w:rsidRPr="00243415">
        <w:t>Controlled Trials:</w:t>
      </w:r>
      <w:r>
        <w:t xml:space="preserve"> </w:t>
      </w:r>
      <w:r w:rsidRPr="00243415">
        <w:t xml:space="preserve">1/131 (0.8%) subjects </w:t>
      </w:r>
      <w:r>
        <w:t>on</w:t>
      </w:r>
      <w:r w:rsidRPr="00243415">
        <w:t xml:space="preserve"> IM depot</w:t>
      </w:r>
      <w:r>
        <w:t xml:space="preserve"> 50</w:t>
      </w:r>
      <w:r w:rsidRPr="00243415">
        <w:t>/25</w:t>
      </w:r>
      <w:r>
        <w:t>mg</w:t>
      </w:r>
      <w:r w:rsidRPr="00243415">
        <w:t xml:space="preserve"> and 1/13</w:t>
      </w:r>
      <w:r>
        <w:t xml:space="preserve">4 (0.7%) placebo subjects had </w:t>
      </w:r>
      <w:r w:rsidRPr="00243415">
        <w:t>AEs of</w:t>
      </w:r>
      <w:r>
        <w:t xml:space="preserve"> </w:t>
      </w:r>
      <w:r w:rsidRPr="00243415">
        <w:t>convulsions/seizures</w:t>
      </w:r>
      <w:r>
        <w:t xml:space="preserve">. No </w:t>
      </w:r>
      <w:proofErr w:type="spellStart"/>
      <w:r>
        <w:t>aripiprazole</w:t>
      </w:r>
      <w:proofErr w:type="spellEnd"/>
      <w:r>
        <w:t xml:space="preserve"> IM depot 400/30</w:t>
      </w:r>
      <w:r w:rsidR="002C1F46">
        <w:t>0 mg</w:t>
      </w:r>
      <w:r w:rsidRPr="00243415">
        <w:t xml:space="preserve"> subjects or tablets </w:t>
      </w:r>
      <w:r>
        <w:t xml:space="preserve">subjects had </w:t>
      </w:r>
      <w:r w:rsidRPr="00243415">
        <w:t>AEs of convulsions/seizures.</w:t>
      </w:r>
    </w:p>
    <w:p w14:paraId="24A331BB" w14:textId="0639679E" w:rsidR="00A0647D" w:rsidRDefault="002B55D9" w:rsidP="00B843F2">
      <w:pPr>
        <w:pStyle w:val="Heading5"/>
      </w:pPr>
      <w:r w:rsidRPr="00243415">
        <w:t xml:space="preserve">All </w:t>
      </w:r>
      <w:r w:rsidR="00B843F2">
        <w:t>t</w:t>
      </w:r>
      <w:r w:rsidRPr="00243415">
        <w:t>r</w:t>
      </w:r>
      <w:r w:rsidR="00A246D7">
        <w:t>ials</w:t>
      </w:r>
    </w:p>
    <w:p w14:paraId="24A331BC" w14:textId="77777777" w:rsidR="002B55D9" w:rsidRDefault="002B55D9" w:rsidP="00B843F2">
      <w:r w:rsidRPr="00A0647D">
        <w:t xml:space="preserve">2/1539 (0.1%) </w:t>
      </w:r>
      <w:proofErr w:type="spellStart"/>
      <w:r w:rsidRPr="00A0647D">
        <w:t>aripiprazole</w:t>
      </w:r>
      <w:proofErr w:type="spellEnd"/>
      <w:r w:rsidRPr="00A0647D">
        <w:t xml:space="preserve"> IM depot 400/30</w:t>
      </w:r>
      <w:r w:rsidR="002C1F46" w:rsidRPr="00A0647D">
        <w:t>0 mg</w:t>
      </w:r>
      <w:r w:rsidRPr="00AE6E25">
        <w:rPr>
          <w:rFonts w:asciiTheme="majorHAnsi" w:hAnsiTheme="majorHAnsi"/>
        </w:rPr>
        <w:t xml:space="preserve"> </w:t>
      </w:r>
      <w:r>
        <w:t xml:space="preserve">subjects had AEs related to convulsions/seizures within </w:t>
      </w:r>
      <w:r w:rsidR="00A0647D">
        <w:t>≤</w:t>
      </w:r>
      <w:r>
        <w:t xml:space="preserve"> 3 months.</w:t>
      </w:r>
    </w:p>
    <w:p w14:paraId="24A331BD" w14:textId="7DE56225" w:rsidR="002B55D9" w:rsidRDefault="002B55D9" w:rsidP="00B843F2">
      <w:pPr>
        <w:pStyle w:val="Heading4"/>
      </w:pPr>
      <w:bookmarkStart w:id="267" w:name="_Toc381104233"/>
      <w:r>
        <w:t xml:space="preserve">Hepatic </w:t>
      </w:r>
      <w:r w:rsidR="00B843F2">
        <w:t>i</w:t>
      </w:r>
      <w:r>
        <w:t>mpairment</w:t>
      </w:r>
      <w:bookmarkEnd w:id="267"/>
    </w:p>
    <w:p w14:paraId="24A331BE" w14:textId="012EC5BF" w:rsidR="002B55D9" w:rsidRPr="009C7C6B" w:rsidRDefault="002B55D9" w:rsidP="00B843F2">
      <w:r w:rsidRPr="00A0647D">
        <w:t>This had previously been studied (31-98-205) with a single oral dose. No new studies with IM depot. The sponsor comments</w:t>
      </w:r>
      <w:r>
        <w:rPr>
          <w:rFonts w:asciiTheme="majorHAnsi" w:hAnsiTheme="majorHAnsi"/>
        </w:rPr>
        <w:t xml:space="preserve"> </w:t>
      </w:r>
      <w:r w:rsidRPr="004E42A2">
        <w:t xml:space="preserve">Of note, in patients with severe hepatic impairment, the data available may be insufficient to establish recommendations. In these patients dosing should be managed cautiously; use of oral </w:t>
      </w:r>
      <w:proofErr w:type="spellStart"/>
      <w:r w:rsidRPr="004E42A2">
        <w:t>aripiprazole</w:t>
      </w:r>
      <w:proofErr w:type="spellEnd"/>
      <w:r w:rsidRPr="004E42A2">
        <w:t xml:space="preserve"> should be considered.</w:t>
      </w:r>
    </w:p>
    <w:p w14:paraId="24A331BF" w14:textId="77777777" w:rsidR="002B55D9" w:rsidRPr="006304A1" w:rsidRDefault="002B55D9" w:rsidP="00B843F2">
      <w:pPr>
        <w:pStyle w:val="Heading4"/>
      </w:pPr>
      <w:bookmarkStart w:id="268" w:name="_Toc381104234"/>
      <w:r>
        <w:t>Renal</w:t>
      </w:r>
      <w:r w:rsidRPr="006304A1">
        <w:t xml:space="preserve"> </w:t>
      </w:r>
      <w:bookmarkEnd w:id="265"/>
      <w:bookmarkEnd w:id="266"/>
      <w:r>
        <w:t>impairment</w:t>
      </w:r>
      <w:bookmarkEnd w:id="268"/>
    </w:p>
    <w:p w14:paraId="24A331C0" w14:textId="77777777" w:rsidR="002B55D9" w:rsidRPr="00A0647D" w:rsidRDefault="002B55D9" w:rsidP="00B843F2">
      <w:r w:rsidRPr="00A0647D">
        <w:t xml:space="preserve">This had previously been studied (31-98-208) with a single oral dose. No new studies with IM depot. The </w:t>
      </w:r>
      <w:proofErr w:type="spellStart"/>
      <w:r w:rsidRPr="00A0647D">
        <w:t>Abilify</w:t>
      </w:r>
      <w:proofErr w:type="spellEnd"/>
      <w:r w:rsidRPr="00A0647D">
        <w:t xml:space="preserve"> PI states In patients with severe renal impairment (creatinine clearance &lt; 30 mL/min), </w:t>
      </w:r>
      <w:proofErr w:type="spellStart"/>
      <w:r w:rsidRPr="00A0647D">
        <w:t>Cmax</w:t>
      </w:r>
      <w:proofErr w:type="spellEnd"/>
      <w:r w:rsidRPr="00A0647D">
        <w:t xml:space="preserve"> of </w:t>
      </w:r>
      <w:proofErr w:type="spellStart"/>
      <w:r w:rsidRPr="00A0647D">
        <w:t>aripiprazole</w:t>
      </w:r>
      <w:proofErr w:type="spellEnd"/>
      <w:r w:rsidRPr="00A0647D">
        <w:t xml:space="preserve"> (given in a single dose of 15mg) and </w:t>
      </w:r>
      <w:proofErr w:type="spellStart"/>
      <w:r w:rsidRPr="00A0647D">
        <w:t>dehydro-aripiprazole</w:t>
      </w:r>
      <w:proofErr w:type="spellEnd"/>
      <w:r w:rsidRPr="00A0647D">
        <w:t xml:space="preserve"> increased by 36% and 53%, respectively, but AUC was 15% lower for </w:t>
      </w:r>
      <w:proofErr w:type="spellStart"/>
      <w:r w:rsidRPr="00A0647D">
        <w:t>aripiprazole</w:t>
      </w:r>
      <w:proofErr w:type="spellEnd"/>
      <w:r w:rsidRPr="00A0647D">
        <w:t xml:space="preserve"> and 7% higher for </w:t>
      </w:r>
      <w:proofErr w:type="spellStart"/>
      <w:r w:rsidRPr="00A0647D">
        <w:t>dehydro-aripiprazole</w:t>
      </w:r>
      <w:proofErr w:type="spellEnd"/>
      <w:r w:rsidRPr="00A0647D">
        <w:t xml:space="preserve">. Renal excretion of both unchanged </w:t>
      </w:r>
      <w:proofErr w:type="spellStart"/>
      <w:r w:rsidRPr="00A0647D">
        <w:t>aripiprazole</w:t>
      </w:r>
      <w:proofErr w:type="spellEnd"/>
      <w:r w:rsidRPr="00A0647D">
        <w:t xml:space="preserve"> and </w:t>
      </w:r>
      <w:proofErr w:type="spellStart"/>
      <w:r w:rsidRPr="00A0647D">
        <w:t>dehydro-aripiprazole</w:t>
      </w:r>
      <w:proofErr w:type="spellEnd"/>
      <w:r w:rsidRPr="00A0647D">
        <w:t xml:space="preserve"> is less than 1% of the dose. No dosage adjustment is required in subjects with renal impairment.</w:t>
      </w:r>
    </w:p>
    <w:p w14:paraId="24A331C1" w14:textId="77777777" w:rsidR="002B55D9" w:rsidRPr="004155F0" w:rsidRDefault="002B55D9" w:rsidP="00B843F2">
      <w:pPr>
        <w:pStyle w:val="Heading3"/>
      </w:pPr>
      <w:bookmarkStart w:id="269" w:name="_Toc272414686"/>
      <w:bookmarkStart w:id="270" w:name="_Ref273005527"/>
      <w:bookmarkStart w:id="271" w:name="_Toc290846324"/>
      <w:bookmarkStart w:id="272" w:name="_Toc381104235"/>
      <w:bookmarkStart w:id="273" w:name="_Toc408930651"/>
      <w:r w:rsidRPr="004155F0">
        <w:t>Other safety issues</w:t>
      </w:r>
      <w:bookmarkEnd w:id="269"/>
      <w:bookmarkEnd w:id="270"/>
      <w:bookmarkEnd w:id="271"/>
      <w:bookmarkEnd w:id="272"/>
      <w:bookmarkEnd w:id="273"/>
    </w:p>
    <w:p w14:paraId="24A331C2" w14:textId="77777777" w:rsidR="002B55D9" w:rsidRDefault="002B55D9" w:rsidP="00B843F2">
      <w:pPr>
        <w:pStyle w:val="Heading4"/>
      </w:pPr>
      <w:bookmarkStart w:id="274" w:name="_Toc241374322"/>
      <w:bookmarkStart w:id="275" w:name="_Ref272331212"/>
      <w:bookmarkStart w:id="276" w:name="_Toc272414687"/>
      <w:bookmarkStart w:id="277" w:name="_Toc290846325"/>
      <w:bookmarkStart w:id="278" w:name="_Toc381104236"/>
      <w:r w:rsidRPr="004155F0">
        <w:t>Safety in special populations</w:t>
      </w:r>
      <w:bookmarkEnd w:id="274"/>
      <w:bookmarkEnd w:id="275"/>
      <w:bookmarkEnd w:id="276"/>
      <w:bookmarkEnd w:id="277"/>
      <w:bookmarkEnd w:id="278"/>
    </w:p>
    <w:p w14:paraId="24A331C3" w14:textId="77777777" w:rsidR="002B55D9" w:rsidRDefault="00A0647D" w:rsidP="00B843F2">
      <w:pPr>
        <w:pStyle w:val="Heading5"/>
      </w:pPr>
      <w:bookmarkStart w:id="279" w:name="_Toc381104237"/>
      <w:r>
        <w:t>Elderly</w:t>
      </w:r>
      <w:bookmarkEnd w:id="279"/>
    </w:p>
    <w:p w14:paraId="24A331C4" w14:textId="77777777" w:rsidR="002B55D9" w:rsidRPr="003A7AEB" w:rsidRDefault="002B55D9" w:rsidP="00B843F2">
      <w:r>
        <w:t xml:space="preserve">Pop PK </w:t>
      </w:r>
      <w:r w:rsidRPr="00D62EE8">
        <w:t xml:space="preserve">Report 31-11-287 age </w:t>
      </w:r>
      <w:r>
        <w:t>ranged from 18 to 62y</w:t>
      </w:r>
      <w:r w:rsidRPr="00D62EE8">
        <w:t>,</w:t>
      </w:r>
      <w:r>
        <w:t xml:space="preserve"> Pop PK</w:t>
      </w:r>
      <w:r w:rsidRPr="003A7AEB">
        <w:t xml:space="preserve"> Report 31-12-292 </w:t>
      </w:r>
      <w:r>
        <w:t xml:space="preserve">included that population and those of </w:t>
      </w:r>
      <w:r w:rsidRPr="003A7AEB">
        <w:t xml:space="preserve">Study 31-07-247 </w:t>
      </w:r>
      <w:r>
        <w:t>age range 18 to 60y, Study 31-07-246 age range 18 to 61y.</w:t>
      </w:r>
    </w:p>
    <w:p w14:paraId="24A331C5" w14:textId="77777777" w:rsidR="002B55D9" w:rsidRDefault="002B55D9" w:rsidP="00B843F2">
      <w:r>
        <w:t xml:space="preserve">Of the other Safety /Efficacy studies only Study </w:t>
      </w:r>
      <w:r w:rsidRPr="00150721">
        <w:t>31-11-283</w:t>
      </w:r>
      <w:r>
        <w:t xml:space="preserve"> had a population range that exceeded 60y (18- 65y) and in that study only 1 (aged 48y) of the 142 patients had completed the full 24-week treatment period at the time of the report.</w:t>
      </w:r>
    </w:p>
    <w:p w14:paraId="24A331C6" w14:textId="77777777" w:rsidR="002B55D9" w:rsidRDefault="002B55D9" w:rsidP="00B843F2">
      <w:r>
        <w:lastRenderedPageBreak/>
        <w:t xml:space="preserve">The sponsor did look at the number of subjects with AEs by </w:t>
      </w:r>
      <w:r w:rsidRPr="00442474">
        <w:t>age</w:t>
      </w:r>
      <w:r>
        <w:t xml:space="preserve"> and found little effect but then the grouping comparison was between &lt; 45y and ≥ 45y.</w:t>
      </w:r>
      <w:r>
        <w:rPr>
          <w:rStyle w:val="FootnoteReference"/>
        </w:rPr>
        <w:footnoteReference w:id="43"/>
      </w:r>
      <w:r>
        <w:t xml:space="preserve"> However the number of subjects with SAEs were greater with increased age on all treatments except IM depot 50/25mg and subject discontinuations due to AEs were likewise doubled in IM depot 400/30</w:t>
      </w:r>
      <w:r w:rsidR="002C1F46">
        <w:t>0 mg</w:t>
      </w:r>
      <w:r>
        <w:t xml:space="preserve"> and tablet subjects. The age grouping had an effect on the incidence of some AEs as did </w:t>
      </w:r>
      <w:r w:rsidRPr="00B34E7E">
        <w:rPr>
          <w:b/>
        </w:rPr>
        <w:t>sex</w:t>
      </w:r>
      <w:r>
        <w:t>.</w:t>
      </w:r>
    </w:p>
    <w:p w14:paraId="24A331C7" w14:textId="77777777" w:rsidR="002B55D9" w:rsidRDefault="002B55D9" w:rsidP="00B843F2">
      <w:pPr>
        <w:pStyle w:val="Heading5"/>
      </w:pPr>
      <w:bookmarkStart w:id="280" w:name="_Toc381104238"/>
      <w:r>
        <w:t>BMI</w:t>
      </w:r>
      <w:bookmarkEnd w:id="280"/>
    </w:p>
    <w:p w14:paraId="24A331C8" w14:textId="3FB59381" w:rsidR="002B55D9" w:rsidRPr="00B34E7E" w:rsidRDefault="002B55D9" w:rsidP="00B843F2">
      <w:r>
        <w:t>BMI &gt; 28kg/m</w:t>
      </w:r>
      <w:r>
        <w:rPr>
          <w:vertAlign w:val="superscript"/>
        </w:rPr>
        <w:t>2</w:t>
      </w:r>
      <w:r>
        <w:t xml:space="preserve"> had some </w:t>
      </w:r>
      <w:r w:rsidR="00483DCE">
        <w:t xml:space="preserve">increased </w:t>
      </w:r>
      <w:r>
        <w:t xml:space="preserve">effect on the number of subjects with </w:t>
      </w:r>
      <w:r w:rsidR="00483DCE">
        <w:t xml:space="preserve">AEs </w:t>
      </w:r>
      <w:r>
        <w:t>but the AEs diabetes and hyperglycaemia were among those AEs.</w:t>
      </w:r>
    </w:p>
    <w:p w14:paraId="24A331C9" w14:textId="77777777" w:rsidR="002B55D9" w:rsidRDefault="002B55D9" w:rsidP="00B843F2">
      <w:pPr>
        <w:pStyle w:val="Heading4"/>
      </w:pPr>
      <w:bookmarkStart w:id="281" w:name="_Toc381104239"/>
      <w:bookmarkStart w:id="282" w:name="_Toc241374324"/>
      <w:bookmarkStart w:id="283" w:name="_Ref272331214"/>
      <w:bookmarkStart w:id="284" w:name="_Toc272414688"/>
      <w:bookmarkStart w:id="285" w:name="_Toc290846326"/>
      <w:r w:rsidRPr="00164562">
        <w:t xml:space="preserve">Safety </w:t>
      </w:r>
      <w:r>
        <w:t xml:space="preserve">related to CYP2D6 </w:t>
      </w:r>
      <w:proofErr w:type="spellStart"/>
      <w:r>
        <w:t>metabolizer</w:t>
      </w:r>
      <w:proofErr w:type="spellEnd"/>
      <w:r>
        <w:t xml:space="preserve"> status</w:t>
      </w:r>
      <w:bookmarkEnd w:id="281"/>
    </w:p>
    <w:p w14:paraId="24A331CA" w14:textId="77777777" w:rsidR="002B55D9" w:rsidRPr="00AE6E25" w:rsidRDefault="002B55D9" w:rsidP="00B843F2">
      <w:pPr>
        <w:pStyle w:val="Heading5"/>
      </w:pPr>
      <w:r w:rsidRPr="00AE6E25">
        <w:t>Study 31-07-246</w:t>
      </w:r>
    </w:p>
    <w:p w14:paraId="24A331CB" w14:textId="6348D503" w:rsidR="002B55D9" w:rsidRDefault="002B55D9" w:rsidP="00B843F2">
      <w:r>
        <w:t xml:space="preserve">Single-blind </w:t>
      </w:r>
      <w:proofErr w:type="spellStart"/>
      <w:r>
        <w:t>aripiprazole</w:t>
      </w:r>
      <w:proofErr w:type="spellEnd"/>
      <w:r>
        <w:t xml:space="preserve"> IM Depot Stabilization Phase:</w:t>
      </w:r>
    </w:p>
    <w:p w14:paraId="24A331CC" w14:textId="77777777" w:rsidR="002B55D9" w:rsidRDefault="002B55D9" w:rsidP="00B843F2">
      <w:pPr>
        <w:pStyle w:val="ListBullet"/>
      </w:pPr>
      <w:r>
        <w:t>Of 31 poor metabolisers none discontinued due to AEs or had SAEs, and 18 (58.1%) had AEs.</w:t>
      </w:r>
    </w:p>
    <w:p w14:paraId="24A331CD" w14:textId="77777777" w:rsidR="002B55D9" w:rsidRDefault="002B55D9" w:rsidP="00B843F2">
      <w:pPr>
        <w:pStyle w:val="ListBullet"/>
      </w:pPr>
      <w:r>
        <w:t>Of 499 extensive metabolisers 25 (5.0%)</w:t>
      </w:r>
      <w:r w:rsidRPr="00A02548">
        <w:t xml:space="preserve"> </w:t>
      </w:r>
      <w:r>
        <w:t>discontinued due to AEs,</w:t>
      </w:r>
      <w:r w:rsidRPr="00493CAD">
        <w:t xml:space="preserve"> </w:t>
      </w:r>
      <w:r>
        <w:t>23 (4.6%) had SAEs and 296 (59.3%) had AEs.</w:t>
      </w:r>
    </w:p>
    <w:p w14:paraId="24A331CE" w14:textId="77777777" w:rsidR="002B55D9" w:rsidRDefault="002B55D9" w:rsidP="00B843F2">
      <w:pPr>
        <w:pStyle w:val="ListBullet"/>
      </w:pPr>
      <w:r>
        <w:t>46</w:t>
      </w:r>
      <w:r w:rsidRPr="00A02548">
        <w:t xml:space="preserve"> </w:t>
      </w:r>
      <w:r>
        <w:t>subjects of unknown metabolic status 3 (6.5%)</w:t>
      </w:r>
      <w:r w:rsidRPr="00493CAD">
        <w:t xml:space="preserve"> discontinued due to AEs</w:t>
      </w:r>
      <w:r>
        <w:t>, 2 (4.3%) had SAEs and 31 (67.4%) had AEs.</w:t>
      </w:r>
    </w:p>
    <w:p w14:paraId="24A331CF" w14:textId="09BD5B86" w:rsidR="002B55D9" w:rsidRDefault="002B55D9" w:rsidP="00B843F2">
      <w:r>
        <w:t>Double-b</w:t>
      </w:r>
      <w:r w:rsidR="00B843F2">
        <w:t>lind, Placebo-controlled Phase:</w:t>
      </w:r>
    </w:p>
    <w:p w14:paraId="24A331D0" w14:textId="77777777" w:rsidR="002B55D9" w:rsidRDefault="002B55D9" w:rsidP="00B843F2">
      <w:r>
        <w:t>IM depot 400/30</w:t>
      </w:r>
      <w:r w:rsidR="002C1F46">
        <w:t>0 mg</w:t>
      </w:r>
      <w:r>
        <w:t xml:space="preserve"> group:</w:t>
      </w:r>
    </w:p>
    <w:p w14:paraId="24A331D1" w14:textId="77777777" w:rsidR="002B55D9" w:rsidRDefault="002B55D9" w:rsidP="00B843F2">
      <w:pPr>
        <w:pStyle w:val="ListBullet"/>
      </w:pPr>
      <w:r>
        <w:t>Of 13 poor metabolisers 1 (7.7%)</w:t>
      </w:r>
      <w:r w:rsidRPr="00044178">
        <w:t xml:space="preserve"> discontinued due to AEs</w:t>
      </w:r>
      <w:r>
        <w:t>, none had SAEs and 10 (76.9%) had AEs.</w:t>
      </w:r>
    </w:p>
    <w:p w14:paraId="24A331D2" w14:textId="77777777" w:rsidR="002B55D9" w:rsidRDefault="002B55D9" w:rsidP="00B843F2">
      <w:pPr>
        <w:pStyle w:val="ListBullet"/>
      </w:pPr>
      <w:r>
        <w:t>Of 239 extensive metabolisers 16 (6.7%)</w:t>
      </w:r>
      <w:r w:rsidRPr="00044178">
        <w:t xml:space="preserve"> discontinued due to AEs</w:t>
      </w:r>
      <w:r>
        <w:t>, 9 (3.8%) had SAEs and 148 (61.9%)</w:t>
      </w:r>
      <w:r w:rsidRPr="00DB6A9D">
        <w:t xml:space="preserve"> </w:t>
      </w:r>
      <w:r>
        <w:t>had AEs.</w:t>
      </w:r>
    </w:p>
    <w:p w14:paraId="24A331D3" w14:textId="77777777" w:rsidR="002B55D9" w:rsidRDefault="002B55D9" w:rsidP="00B843F2">
      <w:pPr>
        <w:pStyle w:val="ListBullet"/>
      </w:pPr>
      <w:r>
        <w:t>Of 17</w:t>
      </w:r>
      <w:r w:rsidRPr="00493CAD">
        <w:t xml:space="preserve"> </w:t>
      </w:r>
      <w:r>
        <w:t>subjects of unknown metabolic status 2 (11.8%)</w:t>
      </w:r>
      <w:r w:rsidRPr="00044178">
        <w:t xml:space="preserve"> discontinued due to AEs</w:t>
      </w:r>
      <w:r>
        <w:t>, 2 (11.8%) had SAEs and 12 (70.6%) had AEs.</w:t>
      </w:r>
    </w:p>
    <w:p w14:paraId="24A331D4" w14:textId="77777777" w:rsidR="002B55D9" w:rsidRDefault="002B55D9" w:rsidP="00B843F2">
      <w:r>
        <w:t>Placebo group:</w:t>
      </w:r>
      <w:r>
        <w:rPr>
          <w:rStyle w:val="FootnoteReference"/>
        </w:rPr>
        <w:footnoteReference w:id="44"/>
      </w:r>
    </w:p>
    <w:p w14:paraId="24A331D5" w14:textId="77777777" w:rsidR="002B55D9" w:rsidRDefault="002B55D9" w:rsidP="00B843F2">
      <w:pPr>
        <w:pStyle w:val="ListBullet"/>
      </w:pPr>
      <w:r>
        <w:t>Of 11 poor metabolisers 1 (9.1%)</w:t>
      </w:r>
      <w:r w:rsidRPr="00691801">
        <w:t xml:space="preserve"> discontinued due to AEs</w:t>
      </w:r>
      <w:r>
        <w:t>, 1 (9.1%) had an SAE and 8 (72.7%) had AEs.</w:t>
      </w:r>
    </w:p>
    <w:p w14:paraId="24A331D6" w14:textId="77777777" w:rsidR="002B55D9" w:rsidRDefault="002B55D9" w:rsidP="00B843F2">
      <w:pPr>
        <w:pStyle w:val="ListBullet"/>
      </w:pPr>
      <w:r>
        <w:t>Of 112 extensive metabolisers 14 (12.5%)</w:t>
      </w:r>
      <w:r w:rsidRPr="00691801">
        <w:t xml:space="preserve"> discontinued due to AEs</w:t>
      </w:r>
      <w:r>
        <w:t>, 6 (5.4%) had SAEs and 69 (61.6%) had AEs.</w:t>
      </w:r>
    </w:p>
    <w:p w14:paraId="24A331D7" w14:textId="77777777" w:rsidR="002B55D9" w:rsidRDefault="002B55D9" w:rsidP="00B843F2">
      <w:pPr>
        <w:pStyle w:val="ListBullet"/>
      </w:pPr>
      <w:r>
        <w:t>Of 11 subjects of unknown metabolic Status 3 (27.3%)</w:t>
      </w:r>
      <w:r w:rsidRPr="00DC0C25">
        <w:t xml:space="preserve"> discontinued due to AEs</w:t>
      </w:r>
      <w:r>
        <w:t>, 2 (18.2%) had SAEs and 6 (54.5%) had AEs.</w:t>
      </w:r>
    </w:p>
    <w:p w14:paraId="24A331D8" w14:textId="77777777" w:rsidR="002B55D9" w:rsidRDefault="002B55D9" w:rsidP="00B843F2">
      <w:r w:rsidRPr="00AE6E25">
        <w:rPr>
          <w:b/>
        </w:rPr>
        <w:t>Study 31-07-247</w:t>
      </w:r>
      <w:r w:rsidRPr="003B61B2">
        <w:t xml:space="preserve"> </w:t>
      </w:r>
      <w:r>
        <w:t>Double-blind, Active-controlled Phase</w:t>
      </w:r>
      <w:r w:rsidRPr="003B61B2">
        <w:t xml:space="preserve"> </w:t>
      </w:r>
      <w:r>
        <w:t>IM depot 400/30</w:t>
      </w:r>
      <w:r w:rsidR="002C1F46">
        <w:t>0 mg</w:t>
      </w:r>
      <w:r>
        <w:t xml:space="preserve"> group:</w:t>
      </w:r>
    </w:p>
    <w:p w14:paraId="24A331D9" w14:textId="77777777" w:rsidR="002B55D9" w:rsidRDefault="002B55D9" w:rsidP="00B843F2">
      <w:pPr>
        <w:pStyle w:val="ListBullet"/>
      </w:pPr>
      <w:r>
        <w:t>Of 6 poor metabolisers none discontinued due to AEs or had SAEs,</w:t>
      </w:r>
      <w:r w:rsidRPr="003B61B2">
        <w:t xml:space="preserve"> </w:t>
      </w:r>
      <w:r>
        <w:t>4 (66.7%) had AEs.</w:t>
      </w:r>
    </w:p>
    <w:p w14:paraId="24A331DA" w14:textId="77777777" w:rsidR="002B55D9" w:rsidRDefault="002B55D9" w:rsidP="00B843F2">
      <w:pPr>
        <w:pStyle w:val="ListBullet"/>
      </w:pPr>
      <w:r>
        <w:t>Of 234 extensive metabolisers 21 (9.0%) discontinued</w:t>
      </w:r>
      <w:r w:rsidRPr="00A02548">
        <w:t xml:space="preserve"> </w:t>
      </w:r>
      <w:r>
        <w:t>due to AEs, 15(6.4%) had SAEs and 195 (83.3%) AEs.</w:t>
      </w:r>
    </w:p>
    <w:p w14:paraId="24A331DB" w14:textId="77777777" w:rsidR="002B55D9" w:rsidRDefault="002B55D9" w:rsidP="00B843F2">
      <w:pPr>
        <w:pStyle w:val="ListBullet"/>
      </w:pPr>
      <w:r>
        <w:t>Among 25 subjects of unknown metabolic status</w:t>
      </w:r>
      <w:r w:rsidRPr="003B61B2">
        <w:t xml:space="preserve"> </w:t>
      </w:r>
      <w:r>
        <w:t>none discontinued</w:t>
      </w:r>
      <w:r w:rsidRPr="00A02548">
        <w:t xml:space="preserve"> </w:t>
      </w:r>
      <w:r>
        <w:t>due to AEs or had SAEs, 20 (80.0%) had AEs.</w:t>
      </w:r>
    </w:p>
    <w:p w14:paraId="24A331DC" w14:textId="77777777" w:rsidR="002B55D9" w:rsidRPr="00164562" w:rsidRDefault="002B55D9" w:rsidP="00B843F2">
      <w:pPr>
        <w:pStyle w:val="Heading4"/>
      </w:pPr>
      <w:bookmarkStart w:id="286" w:name="_Toc381104240"/>
      <w:r>
        <w:lastRenderedPageBreak/>
        <w:t xml:space="preserve">Safety </w:t>
      </w:r>
      <w:r w:rsidRPr="00164562">
        <w:t>related to drug-drug interactions and other interactions</w:t>
      </w:r>
      <w:bookmarkEnd w:id="282"/>
      <w:bookmarkEnd w:id="283"/>
      <w:bookmarkEnd w:id="284"/>
      <w:bookmarkEnd w:id="285"/>
      <w:bookmarkEnd w:id="286"/>
    </w:p>
    <w:p w14:paraId="24A331DD" w14:textId="77777777" w:rsidR="002B55D9" w:rsidRPr="000B79C8" w:rsidRDefault="002B55D9" w:rsidP="00B843F2">
      <w:r w:rsidRPr="000B79C8">
        <w:t xml:space="preserve">For the </w:t>
      </w:r>
      <w:proofErr w:type="spellStart"/>
      <w:r w:rsidRPr="000B79C8">
        <w:t>aripiprazole</w:t>
      </w:r>
      <w:proofErr w:type="spellEnd"/>
      <w:r w:rsidRPr="000B79C8">
        <w:t xml:space="preserve"> IM depot formulation, no additional drug-drug interaction trials were conducted and simulation and modelling based on results of drug-drug interaction trials of oral </w:t>
      </w:r>
      <w:proofErr w:type="spellStart"/>
      <w:r w:rsidRPr="000B79C8">
        <w:t>aripiprazole</w:t>
      </w:r>
      <w:proofErr w:type="spellEnd"/>
      <w:r w:rsidRPr="000B79C8">
        <w:t xml:space="preserve"> as well as the population PK analysis of </w:t>
      </w:r>
      <w:proofErr w:type="spellStart"/>
      <w:r w:rsidRPr="000B79C8">
        <w:t>aripiprazole</w:t>
      </w:r>
      <w:proofErr w:type="spellEnd"/>
      <w:r w:rsidRPr="000B79C8">
        <w:t xml:space="preserve"> IM depot were performed to guide dose adjustments in different situations when a drug-drug interaction is expected.</w:t>
      </w:r>
    </w:p>
    <w:p w14:paraId="24A331DE" w14:textId="77777777" w:rsidR="002B55D9" w:rsidRDefault="002B55D9" w:rsidP="00B843F2">
      <w:r w:rsidRPr="000B79C8">
        <w:t xml:space="preserve">Due to the prolonged-release characteristics of </w:t>
      </w:r>
      <w:proofErr w:type="spellStart"/>
      <w:r w:rsidRPr="000B79C8">
        <w:t>aripiprazole</w:t>
      </w:r>
      <w:proofErr w:type="spellEnd"/>
      <w:r w:rsidRPr="000B79C8">
        <w:t xml:space="preserve"> IM depot, and based on the results of simulation and modelling, short-term </w:t>
      </w:r>
      <w:r w:rsidR="0052799D">
        <w:t>≤</w:t>
      </w:r>
      <w:r w:rsidRPr="000B79C8">
        <w:t xml:space="preserve"> 14 days) co administration of inhibitors of CYP3A4 with </w:t>
      </w:r>
      <w:proofErr w:type="spellStart"/>
      <w:r w:rsidRPr="000B79C8">
        <w:t>aripiprazole</w:t>
      </w:r>
      <w:proofErr w:type="spellEnd"/>
      <w:r w:rsidRPr="000B79C8">
        <w:t xml:space="preserve"> IM depot does not require a dose adjustment. When long-term co administration of </w:t>
      </w:r>
      <w:proofErr w:type="spellStart"/>
      <w:r w:rsidRPr="000B79C8">
        <w:t>aripiprazole</w:t>
      </w:r>
      <w:proofErr w:type="spellEnd"/>
      <w:r w:rsidRPr="000B79C8">
        <w:t xml:space="preserve"> IM depot with CYP3A4 inhibitors is required, the monthly maintenance dose of </w:t>
      </w:r>
      <w:proofErr w:type="spellStart"/>
      <w:r w:rsidRPr="000B79C8">
        <w:t>aripiprazole</w:t>
      </w:r>
      <w:proofErr w:type="spellEnd"/>
      <w:r w:rsidRPr="000B79C8">
        <w:t xml:space="preserve"> IM depot should be reduced from 40</w:t>
      </w:r>
      <w:r w:rsidR="002C1F46">
        <w:t>0 mg</w:t>
      </w:r>
      <w:r w:rsidRPr="000B79C8">
        <w:t xml:space="preserve"> to 30</w:t>
      </w:r>
      <w:r w:rsidR="002C1F46">
        <w:t>0 mg</w:t>
      </w:r>
      <w:r w:rsidRPr="000B79C8">
        <w:t xml:space="preserve"> or 300 to 20</w:t>
      </w:r>
      <w:r w:rsidR="002C1F46">
        <w:t>0 mg</w:t>
      </w:r>
      <w:r w:rsidRPr="000B79C8">
        <w:t>.</w:t>
      </w:r>
      <w:r w:rsidRPr="000B79C8">
        <w:rPr>
          <w:rStyle w:val="FootnoteReference"/>
          <w:rFonts w:ascii="Arial" w:hAnsi="Arial" w:cs="Arial"/>
        </w:rPr>
        <w:footnoteReference w:id="45"/>
      </w:r>
    </w:p>
    <w:p w14:paraId="24A331DF" w14:textId="77777777" w:rsidR="002B55D9" w:rsidRPr="000B79C8" w:rsidRDefault="002B55D9" w:rsidP="00B843F2">
      <w:r w:rsidRPr="000B79C8">
        <w:t>Due</w:t>
      </w:r>
      <w:r>
        <w:t xml:space="preserve"> </w:t>
      </w:r>
      <w:r w:rsidRPr="000B79C8">
        <w:t xml:space="preserve">to the slow and prolonged-release characteristics of </w:t>
      </w:r>
      <w:proofErr w:type="spellStart"/>
      <w:r w:rsidRPr="000B79C8">
        <w:t>aripiprazole</w:t>
      </w:r>
      <w:proofErr w:type="spellEnd"/>
      <w:r w:rsidRPr="000B79C8">
        <w:t xml:space="preserve"> IM depot, and based on</w:t>
      </w:r>
      <w:r>
        <w:t xml:space="preserve"> </w:t>
      </w:r>
      <w:r w:rsidRPr="000B79C8">
        <w:t>the results of simulation and modelling</w:t>
      </w:r>
      <w:r>
        <w:t>, short-term (</w:t>
      </w:r>
      <w:r w:rsidR="00A0647D">
        <w:t>≤</w:t>
      </w:r>
      <w:r>
        <w:t xml:space="preserve"> </w:t>
      </w:r>
      <w:r w:rsidRPr="000B79C8">
        <w:t>14 days) co administration of a</w:t>
      </w:r>
      <w:r w:rsidR="00A0647D">
        <w:t>n</w:t>
      </w:r>
      <w:r>
        <w:t xml:space="preserve"> </w:t>
      </w:r>
      <w:r w:rsidRPr="000B79C8">
        <w:t xml:space="preserve">inhibitor of CYP2D6, such as quinidine, with </w:t>
      </w:r>
      <w:proofErr w:type="spellStart"/>
      <w:r w:rsidRPr="000B79C8">
        <w:t>aripiprazole</w:t>
      </w:r>
      <w:proofErr w:type="spellEnd"/>
      <w:r w:rsidRPr="000B79C8">
        <w:t xml:space="preserve"> IM depot does not require a</w:t>
      </w:r>
      <w:r>
        <w:t xml:space="preserve"> </w:t>
      </w:r>
      <w:r w:rsidRPr="000B79C8">
        <w:t xml:space="preserve">dose adjustment. However, a dose reduction of the recommended monthly </w:t>
      </w:r>
      <w:proofErr w:type="spellStart"/>
      <w:r w:rsidRPr="000B79C8">
        <w:t>aripiprazole</w:t>
      </w:r>
      <w:proofErr w:type="spellEnd"/>
      <w:r>
        <w:t xml:space="preserve"> </w:t>
      </w:r>
      <w:r w:rsidRPr="000B79C8">
        <w:t>I</w:t>
      </w:r>
      <w:r>
        <w:t>M depot maintenance dose of 40</w:t>
      </w:r>
      <w:r w:rsidR="002C1F46">
        <w:t>0 mg</w:t>
      </w:r>
      <w:r>
        <w:t xml:space="preserve"> to 30</w:t>
      </w:r>
      <w:r w:rsidR="002C1F46">
        <w:t>0 mg</w:t>
      </w:r>
      <w:r>
        <w:t xml:space="preserve"> or 30</w:t>
      </w:r>
      <w:r w:rsidR="002C1F46">
        <w:t>0 mg</w:t>
      </w:r>
      <w:r>
        <w:t xml:space="preserve"> to 20</w:t>
      </w:r>
      <w:r w:rsidR="002C1F46">
        <w:t>0 mg</w:t>
      </w:r>
      <w:r w:rsidRPr="000B79C8">
        <w:t xml:space="preserve"> is required with</w:t>
      </w:r>
      <w:r>
        <w:t xml:space="preserve"> </w:t>
      </w:r>
      <w:r w:rsidRPr="000B79C8">
        <w:t xml:space="preserve">long-term concomitant administration of CYP2D6 inhibitors with </w:t>
      </w:r>
      <w:proofErr w:type="spellStart"/>
      <w:r w:rsidRPr="000B79C8">
        <w:t>aripiprazole</w:t>
      </w:r>
      <w:proofErr w:type="spellEnd"/>
      <w:r w:rsidRPr="000B79C8">
        <w:t xml:space="preserve"> IM depot</w:t>
      </w:r>
      <w:r>
        <w:t>.</w:t>
      </w:r>
      <w:r>
        <w:rPr>
          <w:rStyle w:val="FootnoteReference"/>
          <w:rFonts w:ascii="Arial" w:hAnsi="Arial" w:cs="Arial"/>
        </w:rPr>
        <w:footnoteReference w:id="46"/>
      </w:r>
    </w:p>
    <w:p w14:paraId="24A331E0" w14:textId="2CA352E4" w:rsidR="002B55D9" w:rsidRPr="001A268C" w:rsidRDefault="002B55D9" w:rsidP="00B843F2">
      <w:pPr>
        <w:pStyle w:val="Heading4"/>
      </w:pPr>
      <w:bookmarkStart w:id="287" w:name="_Toc272414689"/>
      <w:bookmarkStart w:id="288" w:name="_Toc290846327"/>
      <w:bookmarkStart w:id="289" w:name="_Toc381104241"/>
      <w:r w:rsidRPr="001A268C">
        <w:t xml:space="preserve">Analysis by </w:t>
      </w:r>
      <w:r w:rsidR="00B843F2">
        <w:t>r</w:t>
      </w:r>
      <w:r w:rsidRPr="001A268C">
        <w:t>egion</w:t>
      </w:r>
      <w:bookmarkEnd w:id="287"/>
      <w:bookmarkEnd w:id="288"/>
      <w:bookmarkEnd w:id="289"/>
    </w:p>
    <w:p w14:paraId="24A331E1" w14:textId="77777777" w:rsidR="002B55D9" w:rsidRDefault="002B55D9" w:rsidP="00B843F2">
      <w:r>
        <w:t>In the Controlled Trials, EU subjects comprised 28.8% (154/534) of subjects treated with IM depot 400/30</w:t>
      </w:r>
      <w:r w:rsidR="002C1F46">
        <w:t>0 mg</w:t>
      </w:r>
      <w:r>
        <w:t>, and during double-blind treatment the number of subjects with AEs was lower for EU subjects than for non-EU subjects in all treatment groups.</w:t>
      </w:r>
    </w:p>
    <w:p w14:paraId="24A331E2" w14:textId="77777777" w:rsidR="002B55D9" w:rsidRDefault="002B55D9" w:rsidP="00B843F2">
      <w:pPr>
        <w:pStyle w:val="Heading4"/>
      </w:pPr>
      <w:bookmarkStart w:id="290" w:name="_Toc381104242"/>
      <w:r w:rsidRPr="007209CB">
        <w:t>Timing of scoring of adverse effects</w:t>
      </w:r>
      <w:bookmarkEnd w:id="290"/>
    </w:p>
    <w:p w14:paraId="24A331E3" w14:textId="77777777" w:rsidR="002B55D9" w:rsidRPr="00A0647D" w:rsidRDefault="002B55D9" w:rsidP="00B843F2">
      <w:r w:rsidRPr="00A0647D">
        <w:t xml:space="preserve">Subjects treated with </w:t>
      </w:r>
      <w:proofErr w:type="spellStart"/>
      <w:r w:rsidRPr="00A0647D">
        <w:t>aripiprazole</w:t>
      </w:r>
      <w:proofErr w:type="spellEnd"/>
      <w:r w:rsidRPr="00A0647D">
        <w:t xml:space="preserve"> IM depot 400/30</w:t>
      </w:r>
      <w:r w:rsidR="002C1F46" w:rsidRPr="00A0647D">
        <w:t>0 mg</w:t>
      </w:r>
      <w:r w:rsidRPr="00A0647D">
        <w:t xml:space="preserve"> who had a dosing gap </w:t>
      </w:r>
      <w:r w:rsidR="00A0647D">
        <w:t xml:space="preserve">≤ </w:t>
      </w:r>
      <w:r w:rsidRPr="00A0647D">
        <w:t xml:space="preserve">4 weeks had a lower incidence of AEs (629/956, 65.8%) than subjects with longer dosing gaps (range 75.7% to 84.8%). The incidence of serious AEs by dosing gap in subjects treated with </w:t>
      </w:r>
      <w:proofErr w:type="spellStart"/>
      <w:r w:rsidRPr="00A0647D">
        <w:t>aripiprazole</w:t>
      </w:r>
      <w:proofErr w:type="spellEnd"/>
      <w:r w:rsidRPr="00A0647D">
        <w:t xml:space="preserve"> IM depot 400/30</w:t>
      </w:r>
      <w:r w:rsidR="002C1F46" w:rsidRPr="00A0647D">
        <w:t>0 mg</w:t>
      </w:r>
      <w:r w:rsidRPr="00A0647D">
        <w:t xml:space="preserve"> ranged from 8.3% (27/324) in subjects with a dosing gap 5-8 weeks to 18.2% (6/33) in subjects with a dosing gap of 13-16 weeks. The incidence of AEs resulting in discontinuation of trial medication by dosing gap ranged from 5.4% (2/37) in subjects with a dosing gap of 17-20 weeks to 18.2% (6/33) in subjects with a dosing gap of 13-16 weeks.</w:t>
      </w:r>
    </w:p>
    <w:p w14:paraId="24A331E4" w14:textId="42679580" w:rsidR="002B55D9" w:rsidRPr="00A0647D" w:rsidRDefault="002B55D9" w:rsidP="00B843F2">
      <w:r w:rsidRPr="00A0647D">
        <w:t xml:space="preserve">Of the 1,539 subjects treated with </w:t>
      </w:r>
      <w:proofErr w:type="spellStart"/>
      <w:r w:rsidRPr="00A0647D">
        <w:t>aripiprazole</w:t>
      </w:r>
      <w:proofErr w:type="spellEnd"/>
      <w:r w:rsidRPr="00A0647D">
        <w:t xml:space="preserve"> IM depot 400/30</w:t>
      </w:r>
      <w:r w:rsidR="002C1F46" w:rsidRPr="00A0647D">
        <w:t>0 mg</w:t>
      </w:r>
      <w:r w:rsidRPr="00A0647D">
        <w:t xml:space="preserve"> , 1,160 subjects had </w:t>
      </w:r>
      <w:r w:rsidR="00A0647D">
        <w:t>≥</w:t>
      </w:r>
      <w:r w:rsidRPr="00A0647D">
        <w:t xml:space="preserve"> 3 months exposure, 997 subjects had </w:t>
      </w:r>
      <w:r w:rsidR="00A0647D">
        <w:t>≥</w:t>
      </w:r>
      <w:r w:rsidRPr="00A0647D">
        <w:t xml:space="preserve"> 6 months exposure, 739 subjects had </w:t>
      </w:r>
      <w:r w:rsidR="00A0647D">
        <w:t>≥</w:t>
      </w:r>
      <w:r w:rsidRPr="00A0647D">
        <w:t xml:space="preserve"> 12 months exposure, 509 subjects had </w:t>
      </w:r>
      <w:r w:rsidR="00A0647D">
        <w:t>≥</w:t>
      </w:r>
      <w:r w:rsidRPr="00A0647D">
        <w:t xml:space="preserve"> 18 months exposure, and 221 subjects had </w:t>
      </w:r>
      <w:r w:rsidR="00A0647D">
        <w:t>≥</w:t>
      </w:r>
      <w:r w:rsidRPr="00A0647D">
        <w:t xml:space="preserve"> 24 months exposure. There were increases in the incidence of the following AEs with longer exposure to </w:t>
      </w:r>
      <w:proofErr w:type="spellStart"/>
      <w:r w:rsidRPr="00A0647D">
        <w:t>aripiprazole</w:t>
      </w:r>
      <w:proofErr w:type="spellEnd"/>
      <w:r w:rsidRPr="00A0647D">
        <w:t xml:space="preserve"> IM depot 400/30</w:t>
      </w:r>
      <w:r w:rsidR="002C1F46" w:rsidRPr="00A0647D">
        <w:t>0 mg</w:t>
      </w:r>
      <w:r w:rsidR="00B843F2">
        <w:t>:</w:t>
      </w:r>
    </w:p>
    <w:p w14:paraId="24A331E5" w14:textId="0069A773" w:rsidR="002B55D9" w:rsidRDefault="002B55D9" w:rsidP="00B843F2">
      <w:pPr>
        <w:pStyle w:val="ListBullet"/>
      </w:pPr>
      <w:r>
        <w:t xml:space="preserve">atrioventricular block first degree (0.5% for exposure </w:t>
      </w:r>
      <w:r w:rsidR="00A0647D">
        <w:t>≥</w:t>
      </w:r>
      <w:r>
        <w:t xml:space="preserve"> 3 months to 1.4% for exposure</w:t>
      </w:r>
      <w:r w:rsidR="00A0647D">
        <w:t xml:space="preserve"> ≥</w:t>
      </w:r>
      <w:r w:rsidR="00B843F2">
        <w:t xml:space="preserve"> 24 months),</w:t>
      </w:r>
    </w:p>
    <w:p w14:paraId="24A331E6" w14:textId="54C6293B" w:rsidR="002B55D9" w:rsidRDefault="002B55D9" w:rsidP="00B843F2">
      <w:pPr>
        <w:pStyle w:val="ListBullet"/>
      </w:pPr>
      <w:r>
        <w:t xml:space="preserve">injection site induration </w:t>
      </w:r>
      <w:r w:rsidR="00B843F2">
        <w:t>(1.0% and 2.7%, respectively),</w:t>
      </w:r>
    </w:p>
    <w:p w14:paraId="24A331E7" w14:textId="1F4D33C2" w:rsidR="002B55D9" w:rsidRDefault="002B55D9" w:rsidP="00B843F2">
      <w:pPr>
        <w:pStyle w:val="ListBullet"/>
      </w:pPr>
      <w:r>
        <w:t>injection site pain</w:t>
      </w:r>
      <w:r w:rsidR="00B843F2">
        <w:t xml:space="preserve"> (8.2% and 9.0%, respectively),</w:t>
      </w:r>
    </w:p>
    <w:p w14:paraId="24A331E8" w14:textId="77777777" w:rsidR="002B55D9" w:rsidRDefault="002B55D9" w:rsidP="00B843F2">
      <w:pPr>
        <w:pStyle w:val="ListBullet"/>
      </w:pPr>
      <w:r>
        <w:t>decreased blood pressure (0.3% and 1.4%, respectively),</w:t>
      </w:r>
    </w:p>
    <w:p w14:paraId="24A331E9" w14:textId="77777777" w:rsidR="002B55D9" w:rsidRDefault="002B55D9" w:rsidP="00B843F2">
      <w:pPr>
        <w:pStyle w:val="ListBullet"/>
      </w:pPr>
      <w:r>
        <w:t>increased weight (9.4% and 13.1%, respectively),</w:t>
      </w:r>
    </w:p>
    <w:p w14:paraId="24A331EA" w14:textId="122F766A" w:rsidR="002B55D9" w:rsidRDefault="002B55D9" w:rsidP="00B843F2">
      <w:pPr>
        <w:pStyle w:val="ListBullet"/>
      </w:pPr>
      <w:r>
        <w:t>decreased weigh</w:t>
      </w:r>
      <w:r w:rsidR="00A246D7">
        <w:t>t (5.0% and 5.9%,respectively),</w:t>
      </w:r>
    </w:p>
    <w:p w14:paraId="24A331EB" w14:textId="0D736377" w:rsidR="002B55D9" w:rsidRDefault="002B55D9" w:rsidP="00B843F2">
      <w:pPr>
        <w:pStyle w:val="ListBullet"/>
      </w:pPr>
      <w:r>
        <w:t>diabetes mellitus (1.0%</w:t>
      </w:r>
      <w:r w:rsidR="00A246D7">
        <w:t xml:space="preserve"> and 1.4%, respectively),</w:t>
      </w:r>
    </w:p>
    <w:p w14:paraId="24A331EC" w14:textId="73CD84C0" w:rsidR="002B55D9" w:rsidRDefault="002B55D9" w:rsidP="00B843F2">
      <w:pPr>
        <w:pStyle w:val="ListBullet"/>
      </w:pPr>
      <w:r>
        <w:lastRenderedPageBreak/>
        <w:t>hyperlipidaemia</w:t>
      </w:r>
      <w:r w:rsidR="00B843F2">
        <w:t xml:space="preserve"> (1.0% and 2.7%, respectively),</w:t>
      </w:r>
    </w:p>
    <w:p w14:paraId="24A331ED" w14:textId="77777777" w:rsidR="002B55D9" w:rsidRDefault="002B55D9" w:rsidP="00B843F2">
      <w:pPr>
        <w:pStyle w:val="ListBullet"/>
      </w:pPr>
      <w:r>
        <w:t>arthralgia (5.1% and 8.1%, respectively).</w:t>
      </w:r>
    </w:p>
    <w:p w14:paraId="24A331EE" w14:textId="77777777" w:rsidR="002B55D9" w:rsidRDefault="002B55D9" w:rsidP="00B843F2">
      <w:pPr>
        <w:pStyle w:val="Heading3"/>
      </w:pPr>
      <w:bookmarkStart w:id="291" w:name="_Toc241374328"/>
      <w:bookmarkStart w:id="292" w:name="_Toc272414691"/>
      <w:bookmarkStart w:id="293" w:name="_Toc290846329"/>
      <w:bookmarkStart w:id="294" w:name="_Toc381104243"/>
      <w:bookmarkStart w:id="295" w:name="_Toc408930652"/>
      <w:r>
        <w:t>Evaluator’s overall conclusions on clinical safety</w:t>
      </w:r>
      <w:bookmarkEnd w:id="291"/>
      <w:bookmarkEnd w:id="292"/>
      <w:bookmarkEnd w:id="293"/>
      <w:bookmarkEnd w:id="294"/>
      <w:bookmarkEnd w:id="295"/>
    </w:p>
    <w:p w14:paraId="24A331EF" w14:textId="2E6A9FA7" w:rsidR="002B55D9" w:rsidRDefault="002B55D9" w:rsidP="00B843F2">
      <w:pPr>
        <w:pStyle w:val="Heading4"/>
      </w:pPr>
      <w:bookmarkStart w:id="296" w:name="_Toc381104244"/>
      <w:r w:rsidRPr="00A13003">
        <w:t>Guidanc</w:t>
      </w:r>
      <w:r>
        <w:t>e</w:t>
      </w:r>
      <w:bookmarkEnd w:id="296"/>
    </w:p>
    <w:p w14:paraId="24A331F0" w14:textId="77777777" w:rsidR="002B55D9" w:rsidRDefault="002B55D9" w:rsidP="00B843F2">
      <w:r w:rsidRPr="00001AC0">
        <w:t>CPMP/EWP/49/01 Appendix to the Note for Guidance on the Clinical Investigation of Medicinal Products in the Treatment of Schizophrenia - Methodology of Clinical Trials Concerning the Development of Depot Preparations of Approved Medicinal Products in Schizophrenia.</w:t>
      </w:r>
    </w:p>
    <w:p w14:paraId="24A331F1" w14:textId="616A81D4" w:rsidR="002B55D9" w:rsidRDefault="002B55D9" w:rsidP="00B843F2">
      <w:pPr>
        <w:pStyle w:val="ListBullet"/>
      </w:pPr>
      <w:r w:rsidRPr="00A13003">
        <w:t>It is of importance to know whether the new formulation affects efficacy or safety in comparison to the oral formulation</w:t>
      </w:r>
      <w:r w:rsidR="00B843F2">
        <w:t>.</w:t>
      </w:r>
    </w:p>
    <w:p w14:paraId="24A331F2" w14:textId="4E038632" w:rsidR="002B55D9" w:rsidRDefault="002B55D9" w:rsidP="00B843F2">
      <w:pPr>
        <w:pStyle w:val="ListBullet"/>
      </w:pPr>
      <w:r>
        <w:t>Product-related and dose-related adverse effects are known from the oral formulation, but the database of the depot formulation should be checked for comparability and unexpected adverse effects.</w:t>
      </w:r>
    </w:p>
    <w:p w14:paraId="24A331F3" w14:textId="77777777" w:rsidR="002B55D9" w:rsidRDefault="002B55D9" w:rsidP="00B843F2">
      <w:pPr>
        <w:pStyle w:val="ListBullet"/>
      </w:pPr>
      <w:r>
        <w:t>In addition local adverse effects should be assessed specifically.</w:t>
      </w:r>
    </w:p>
    <w:p w14:paraId="24A331F4" w14:textId="77777777" w:rsidR="002B55D9" w:rsidRDefault="002B55D9" w:rsidP="00B843F2">
      <w:pPr>
        <w:pStyle w:val="ListBullet"/>
      </w:pPr>
      <w:r>
        <w:t>Timing of scoring of adverse effects should be justified, especially in case the plasma levels from each injection should exceed the corresponding levels from oral administration for a substantial part of the inter-injection interval.</w:t>
      </w:r>
    </w:p>
    <w:p w14:paraId="24A331F5" w14:textId="77777777" w:rsidR="002B55D9" w:rsidRDefault="002B55D9" w:rsidP="00B843F2">
      <w:pPr>
        <w:pStyle w:val="ListBullet"/>
      </w:pPr>
      <w:r>
        <w:t>Depending on the type of formulation the possibility of a sudden increase in absorption and subsequently in side effects should be addressed.</w:t>
      </w:r>
      <w:r>
        <w:rPr>
          <w:rStyle w:val="FootnoteReference"/>
        </w:rPr>
        <w:footnoteReference w:id="47"/>
      </w:r>
    </w:p>
    <w:p w14:paraId="24A331F6" w14:textId="77777777" w:rsidR="002B55D9" w:rsidRPr="0077648C" w:rsidRDefault="002B55D9" w:rsidP="00B843F2">
      <w:pPr>
        <w:pStyle w:val="ListBullet"/>
      </w:pPr>
      <w:r>
        <w:t>Data over a 6-month period will usually be sufficient, but this might depend on the length of the inter-injection interval.</w:t>
      </w:r>
    </w:p>
    <w:p w14:paraId="24A331F7" w14:textId="77777777" w:rsidR="002B55D9" w:rsidRPr="00596894" w:rsidRDefault="00596894" w:rsidP="00B843F2">
      <w:pPr>
        <w:pStyle w:val="Heading4"/>
      </w:pPr>
      <w:bookmarkStart w:id="297" w:name="_Toc381104245"/>
      <w:r w:rsidRPr="00596894">
        <w:t>Evaluator’s conclusions</w:t>
      </w:r>
      <w:bookmarkEnd w:id="297"/>
    </w:p>
    <w:p w14:paraId="24A331F8" w14:textId="77777777" w:rsidR="002B55D9" w:rsidRDefault="002B55D9" w:rsidP="00B843F2">
      <w:r>
        <w:t>In the controlled studies injection site reactions were greater (6.9%) with IM depot 300/40</w:t>
      </w:r>
      <w:r w:rsidR="002C1F46">
        <w:t>0 mg</w:t>
      </w:r>
      <w:r>
        <w:t xml:space="preserve"> than with the placebo used with (2.6%) or without (3.7%) oral tablets and they appeared to be dose related (0.8% on 25/5</w:t>
      </w:r>
      <w:r w:rsidR="002C1F46">
        <w:t>0 mg</w:t>
      </w:r>
      <w:r>
        <w:t xml:space="preserve"> IM depot).</w:t>
      </w:r>
    </w:p>
    <w:p w14:paraId="24A331F9" w14:textId="77777777" w:rsidR="002B55D9" w:rsidRDefault="002B55D9" w:rsidP="00B843F2">
      <w:r>
        <w:t>In the controlled trials suicidal ideation/suicide appeared greater (1.1%) with IM depot 400/30</w:t>
      </w:r>
      <w:r w:rsidR="002C1F46">
        <w:t>0 mg</w:t>
      </w:r>
      <w:r>
        <w:t xml:space="preserve"> than on tablets</w:t>
      </w:r>
      <w:r w:rsidRPr="00DE0144">
        <w:t xml:space="preserve"> </w:t>
      </w:r>
      <w:r>
        <w:t>(0.4%).</w:t>
      </w:r>
    </w:p>
    <w:p w14:paraId="24A331FA" w14:textId="77777777" w:rsidR="002B55D9" w:rsidRDefault="002B55D9" w:rsidP="00B843F2">
      <w:r>
        <w:t>Otherwise the AEs were comparable.</w:t>
      </w:r>
    </w:p>
    <w:p w14:paraId="24A331FB" w14:textId="77777777" w:rsidR="002B55D9" w:rsidRDefault="002B55D9" w:rsidP="00B843F2">
      <w:r>
        <w:t>The dosing gap appears to be appropriate in terms of incidence of AEs.</w:t>
      </w:r>
    </w:p>
    <w:p w14:paraId="24A331FC" w14:textId="77777777" w:rsidR="002B55D9" w:rsidRDefault="002B55D9" w:rsidP="00B843F2">
      <w:r>
        <w:t>There is sufficient duration of safety exposure.</w:t>
      </w:r>
    </w:p>
    <w:p w14:paraId="24A331FD" w14:textId="77777777" w:rsidR="002B55D9" w:rsidRDefault="002B55D9" w:rsidP="00B843F2">
      <w:r>
        <w:t xml:space="preserve">The lack of safety data in the elderly is of concern, particularly as </w:t>
      </w:r>
      <w:r w:rsidRPr="00150721">
        <w:t>the number of subjects with SAEs were greater with increased age</w:t>
      </w:r>
      <w:r>
        <w:t xml:space="preserve"> &gt; 45y and </w:t>
      </w:r>
      <w:r w:rsidRPr="00150721">
        <w:t>discontinuations d</w:t>
      </w:r>
      <w:r>
        <w:t>ue to AEs were likewise doubled. However the effect of age &gt;45y on SAEs and discontinuations appears to also apply to the oral formulation.</w:t>
      </w:r>
    </w:p>
    <w:p w14:paraId="24A331FE" w14:textId="77777777" w:rsidR="00C22678" w:rsidRDefault="00C22678" w:rsidP="00B843F2">
      <w:pPr>
        <w:pStyle w:val="Heading2"/>
      </w:pPr>
      <w:bookmarkStart w:id="298" w:name="_Toc408930653"/>
      <w:r>
        <w:t>First round benefit-risk assessment</w:t>
      </w:r>
      <w:bookmarkEnd w:id="298"/>
    </w:p>
    <w:p w14:paraId="24A331FF" w14:textId="77777777" w:rsidR="002B55D9" w:rsidRDefault="002B55D9" w:rsidP="00B843F2">
      <w:pPr>
        <w:pStyle w:val="Heading3"/>
      </w:pPr>
      <w:bookmarkStart w:id="299" w:name="_Toc236802592"/>
      <w:bookmarkStart w:id="300" w:name="_Toc241374331"/>
      <w:bookmarkStart w:id="301" w:name="_Ref272160836"/>
      <w:bookmarkStart w:id="302" w:name="_Toc272414693"/>
      <w:bookmarkStart w:id="303" w:name="_Toc290846331"/>
      <w:bookmarkStart w:id="304" w:name="_Toc381104247"/>
      <w:bookmarkStart w:id="305" w:name="_Toc408930654"/>
      <w:r>
        <w:t>First round assessment of benefits</w:t>
      </w:r>
      <w:bookmarkEnd w:id="299"/>
      <w:bookmarkEnd w:id="300"/>
      <w:bookmarkEnd w:id="301"/>
      <w:bookmarkEnd w:id="302"/>
      <w:bookmarkEnd w:id="303"/>
      <w:bookmarkEnd w:id="304"/>
      <w:bookmarkEnd w:id="305"/>
    </w:p>
    <w:p w14:paraId="24A33200" w14:textId="77777777" w:rsidR="002B55D9" w:rsidRDefault="002B55D9" w:rsidP="00B843F2">
      <w:r>
        <w:t xml:space="preserve">The benefits of </w:t>
      </w:r>
      <w:proofErr w:type="spellStart"/>
      <w:r>
        <w:t>Abilify</w:t>
      </w:r>
      <w:proofErr w:type="spellEnd"/>
      <w:r>
        <w:t xml:space="preserve"> </w:t>
      </w:r>
      <w:proofErr w:type="spellStart"/>
      <w:r>
        <w:t>Maintena</w:t>
      </w:r>
      <w:proofErr w:type="spellEnd"/>
      <w:r>
        <w:t xml:space="preserve"> in the proposed usage are:</w:t>
      </w:r>
    </w:p>
    <w:p w14:paraId="24A33201" w14:textId="77777777" w:rsidR="002B55D9" w:rsidRDefault="002B55D9" w:rsidP="00B843F2">
      <w:r>
        <w:lastRenderedPageBreak/>
        <w:t xml:space="preserve">Study </w:t>
      </w:r>
      <w:r w:rsidRPr="00FA76A3">
        <w:t>31-07-246</w:t>
      </w:r>
      <w:r>
        <w:t xml:space="preserve"> </w:t>
      </w:r>
      <w:r w:rsidRPr="00FA76A3">
        <w:t>showed that time to impending relapse was significantly shorter for</w:t>
      </w:r>
      <w:r>
        <w:t xml:space="preserve"> </w:t>
      </w:r>
      <w:r w:rsidRPr="00FA76A3">
        <w:t xml:space="preserve">subjects </w:t>
      </w:r>
      <w:r>
        <w:t xml:space="preserve">on </w:t>
      </w:r>
      <w:r w:rsidRPr="00FA76A3">
        <w:t xml:space="preserve">placebo compared with subjects </w:t>
      </w:r>
      <w:r>
        <w:t>on</w:t>
      </w:r>
      <w:r w:rsidRPr="00FA76A3">
        <w:t xml:space="preserve"> </w:t>
      </w:r>
      <w:proofErr w:type="spellStart"/>
      <w:r w:rsidRPr="00FA76A3">
        <w:t>aripiprazole</w:t>
      </w:r>
      <w:proofErr w:type="spellEnd"/>
      <w:r w:rsidRPr="00FA76A3">
        <w:t xml:space="preserve"> IM</w:t>
      </w:r>
      <w:r>
        <w:t xml:space="preserve"> depot 400/30</w:t>
      </w:r>
      <w:r w:rsidR="002C1F46">
        <w:t>0 mg</w:t>
      </w:r>
      <w:r w:rsidRPr="00FA76A3">
        <w:t xml:space="preserve"> in the Double-blind, Place</w:t>
      </w:r>
      <w:r>
        <w:t xml:space="preserve">bo-controlled Phase (p &lt; 0.0001 </w:t>
      </w:r>
      <w:r w:rsidRPr="00FA76A3">
        <w:t>log-rank test). The hazard ratio from the Cox proportional hazard model for the placebo</w:t>
      </w:r>
      <w:r>
        <w:t xml:space="preserve"> </w:t>
      </w:r>
      <w:r w:rsidRPr="00FA76A3">
        <w:t xml:space="preserve">to </w:t>
      </w:r>
      <w:proofErr w:type="spellStart"/>
      <w:r w:rsidRPr="00FA76A3">
        <w:t>aripiprazole</w:t>
      </w:r>
      <w:proofErr w:type="spellEnd"/>
      <w:r w:rsidRPr="00FA76A3">
        <w:t xml:space="preserve"> IM depot comparison was 5.029 (95% CI = 3.154, 8.018)</w:t>
      </w:r>
      <w:r>
        <w:t>.</w:t>
      </w:r>
    </w:p>
    <w:p w14:paraId="24A33202" w14:textId="77777777" w:rsidR="002B55D9" w:rsidRDefault="002B55D9" w:rsidP="00B843F2">
      <w:r>
        <w:t xml:space="preserve">The provision of a depot formulation for those patients who respond to </w:t>
      </w:r>
      <w:proofErr w:type="spellStart"/>
      <w:r>
        <w:t>aripiprazole</w:t>
      </w:r>
      <w:proofErr w:type="spellEnd"/>
      <w:r>
        <w:t xml:space="preserve"> means:</w:t>
      </w:r>
    </w:p>
    <w:p w14:paraId="24A33203" w14:textId="77777777" w:rsidR="002B55D9" w:rsidRDefault="002B55D9" w:rsidP="00B843F2">
      <w:pPr>
        <w:pStyle w:val="ListBullet"/>
      </w:pPr>
      <w:r>
        <w:t>The possibility of better adherence/oversight of compliance compared to oral medication.</w:t>
      </w:r>
    </w:p>
    <w:p w14:paraId="24A33204" w14:textId="77777777" w:rsidR="002B55D9" w:rsidRPr="00E71190" w:rsidRDefault="002B55D9" w:rsidP="00B843F2">
      <w:pPr>
        <w:pStyle w:val="ListBullet"/>
      </w:pPr>
      <w:r>
        <w:t>A decreased demand on health care providers compared with administration of the IM regimen.</w:t>
      </w:r>
    </w:p>
    <w:p w14:paraId="24A33205" w14:textId="77777777" w:rsidR="002B55D9" w:rsidRDefault="002B55D9" w:rsidP="00B843F2">
      <w:pPr>
        <w:pStyle w:val="Heading3"/>
      </w:pPr>
      <w:bookmarkStart w:id="306" w:name="_Toc236802596"/>
      <w:bookmarkStart w:id="307" w:name="_Toc241374334"/>
      <w:bookmarkStart w:id="308" w:name="_Ref272160964"/>
      <w:bookmarkStart w:id="309" w:name="_Toc272414694"/>
      <w:bookmarkStart w:id="310" w:name="_Toc290846332"/>
      <w:bookmarkStart w:id="311" w:name="_Toc381104248"/>
      <w:bookmarkStart w:id="312" w:name="_Toc408930655"/>
      <w:r>
        <w:t>First round assessment of risks</w:t>
      </w:r>
      <w:bookmarkEnd w:id="306"/>
      <w:bookmarkEnd w:id="307"/>
      <w:bookmarkEnd w:id="308"/>
      <w:bookmarkEnd w:id="309"/>
      <w:bookmarkEnd w:id="310"/>
      <w:bookmarkEnd w:id="311"/>
      <w:bookmarkEnd w:id="312"/>
    </w:p>
    <w:p w14:paraId="24A33206" w14:textId="77777777" w:rsidR="002B55D9" w:rsidRPr="00596894" w:rsidRDefault="002B55D9" w:rsidP="00B843F2">
      <w:r w:rsidRPr="00596894">
        <w:t xml:space="preserve">The risks of </w:t>
      </w:r>
      <w:proofErr w:type="spellStart"/>
      <w:r w:rsidRPr="00596894">
        <w:t>Abilify</w:t>
      </w:r>
      <w:proofErr w:type="spellEnd"/>
      <w:r w:rsidRPr="00596894">
        <w:t xml:space="preserve"> </w:t>
      </w:r>
      <w:proofErr w:type="spellStart"/>
      <w:r w:rsidRPr="00596894">
        <w:t>Maintena</w:t>
      </w:r>
      <w:proofErr w:type="spellEnd"/>
      <w:r w:rsidRPr="00596894">
        <w:t xml:space="preserve"> in the proposed usage are:</w:t>
      </w:r>
    </w:p>
    <w:p w14:paraId="24A33207" w14:textId="77777777" w:rsidR="002B55D9" w:rsidRPr="00596894" w:rsidRDefault="002B55D9" w:rsidP="00B843F2">
      <w:pPr>
        <w:pStyle w:val="ListBullet"/>
      </w:pPr>
      <w:r w:rsidRPr="00596894">
        <w:t>An increased risk of suicidal ideation/suicide.</w:t>
      </w:r>
    </w:p>
    <w:p w14:paraId="24A33208" w14:textId="77777777" w:rsidR="002B55D9" w:rsidRPr="00596894" w:rsidRDefault="002B55D9" w:rsidP="00B843F2">
      <w:pPr>
        <w:pStyle w:val="ListBullet"/>
      </w:pPr>
      <w:r w:rsidRPr="00596894">
        <w:t>The risk of injection site reactions.</w:t>
      </w:r>
    </w:p>
    <w:p w14:paraId="24A33209" w14:textId="4A5B8FBC" w:rsidR="002B55D9" w:rsidRPr="00596894" w:rsidRDefault="002B55D9" w:rsidP="00B843F2">
      <w:pPr>
        <w:pStyle w:val="ListBullet"/>
      </w:pPr>
      <w:r w:rsidRPr="00596894">
        <w:t>The lack o</w:t>
      </w:r>
      <w:r w:rsidR="00B843F2">
        <w:t>f adequate data in the elderly.</w:t>
      </w:r>
    </w:p>
    <w:p w14:paraId="24A3320A" w14:textId="77777777" w:rsidR="002B55D9" w:rsidRPr="00596894" w:rsidRDefault="002B55D9" w:rsidP="00B843F2">
      <w:pPr>
        <w:pStyle w:val="ListBullet"/>
      </w:pPr>
      <w:r w:rsidRPr="00596894">
        <w:t xml:space="preserve">While oral formulation study in patients with severe renal impairment showed AUC was 15% lower for </w:t>
      </w:r>
      <w:proofErr w:type="spellStart"/>
      <w:r w:rsidRPr="00596894">
        <w:t>aripiprazole</w:t>
      </w:r>
      <w:proofErr w:type="spellEnd"/>
      <w:r w:rsidRPr="00596894">
        <w:t xml:space="preserve">, </w:t>
      </w:r>
      <w:proofErr w:type="spellStart"/>
      <w:r w:rsidRPr="00596894">
        <w:t>C</w:t>
      </w:r>
      <w:r w:rsidRPr="00596894">
        <w:rPr>
          <w:vertAlign w:val="subscript"/>
        </w:rPr>
        <w:t>max</w:t>
      </w:r>
      <w:proofErr w:type="spellEnd"/>
      <w:r w:rsidRPr="00596894">
        <w:t xml:space="preserve"> was 36% higher, suggesting the possibility of mean sub-therapeutic levels towards the end of the cycle.</w:t>
      </w:r>
    </w:p>
    <w:p w14:paraId="24A3320B" w14:textId="77777777" w:rsidR="002B55D9" w:rsidRPr="00596894" w:rsidRDefault="002B55D9" w:rsidP="00B843F2">
      <w:pPr>
        <w:pStyle w:val="ListBullet"/>
      </w:pPr>
      <w:r w:rsidRPr="00596894">
        <w:t xml:space="preserve">Most of the existing risks associated with </w:t>
      </w:r>
      <w:proofErr w:type="spellStart"/>
      <w:r w:rsidRPr="00596894">
        <w:t>Abilify</w:t>
      </w:r>
      <w:proofErr w:type="spellEnd"/>
      <w:r w:rsidRPr="00596894">
        <w:t xml:space="preserve"> oral or IM formulations.</w:t>
      </w:r>
    </w:p>
    <w:p w14:paraId="24A3320C" w14:textId="77777777" w:rsidR="002B55D9" w:rsidRDefault="002B55D9" w:rsidP="00B843F2">
      <w:pPr>
        <w:pStyle w:val="Heading3"/>
      </w:pPr>
      <w:bookmarkStart w:id="313" w:name="_Toc236802597"/>
      <w:bookmarkStart w:id="314" w:name="_Toc241374335"/>
      <w:bookmarkStart w:id="315" w:name="_Toc272414695"/>
      <w:bookmarkStart w:id="316" w:name="_Toc290846333"/>
      <w:bookmarkStart w:id="317" w:name="_Toc381104249"/>
      <w:bookmarkStart w:id="318" w:name="_Toc408930656"/>
      <w:r>
        <w:t>First round assessment of benefit-risk balance</w:t>
      </w:r>
      <w:bookmarkEnd w:id="313"/>
      <w:bookmarkEnd w:id="314"/>
      <w:bookmarkEnd w:id="315"/>
      <w:bookmarkEnd w:id="316"/>
      <w:bookmarkEnd w:id="317"/>
      <w:bookmarkEnd w:id="318"/>
    </w:p>
    <w:p w14:paraId="24A3320D" w14:textId="77777777" w:rsidR="002B55D9" w:rsidRDefault="002B55D9" w:rsidP="00B843F2">
      <w:r>
        <w:t xml:space="preserve">The benefit-risk balance of </w:t>
      </w:r>
      <w:proofErr w:type="spellStart"/>
      <w:r>
        <w:t>Abilify</w:t>
      </w:r>
      <w:proofErr w:type="spellEnd"/>
      <w:r w:rsidRPr="0011190D">
        <w:t xml:space="preserve"> </w:t>
      </w:r>
      <w:proofErr w:type="spellStart"/>
      <w:r w:rsidRPr="0011190D">
        <w:t>Maintena</w:t>
      </w:r>
      <w:proofErr w:type="spellEnd"/>
      <w:r>
        <w:t xml:space="preserve"> is unfavourable given the proposed usage, but would become favourable if the changes recommended in Section</w:t>
      </w:r>
      <w:r w:rsidR="00596894">
        <w:t xml:space="preserve"> 9</w:t>
      </w:r>
      <w:r>
        <w:t xml:space="preserve"> are adopted.</w:t>
      </w:r>
    </w:p>
    <w:p w14:paraId="24A3320E" w14:textId="77777777" w:rsidR="00C22678" w:rsidRDefault="00C22678" w:rsidP="00B843F2">
      <w:pPr>
        <w:pStyle w:val="Heading2"/>
      </w:pPr>
      <w:bookmarkStart w:id="319" w:name="_Toc408930657"/>
      <w:r>
        <w:t>First round recommendation regarding authorisation</w:t>
      </w:r>
      <w:bookmarkEnd w:id="319"/>
    </w:p>
    <w:p w14:paraId="24A3320F" w14:textId="77777777" w:rsidR="002B55D9" w:rsidRDefault="002B55D9" w:rsidP="00B843F2">
      <w:r>
        <w:t>The sponsors propose the Indication:</w:t>
      </w:r>
    </w:p>
    <w:p w14:paraId="24A33210" w14:textId="77777777" w:rsidR="002B55D9" w:rsidRPr="00596894" w:rsidRDefault="002B55D9" w:rsidP="00596894">
      <w:pPr>
        <w:rPr>
          <w:strike/>
        </w:rPr>
      </w:pPr>
      <w:r>
        <w:tab/>
      </w:r>
      <w:r w:rsidRPr="00596894">
        <w:rPr>
          <w:strike/>
        </w:rPr>
        <w:t>For the treatment of schizophrenia.</w:t>
      </w:r>
    </w:p>
    <w:p w14:paraId="24A33211" w14:textId="3B988249" w:rsidR="002B55D9" w:rsidRPr="0011190D" w:rsidRDefault="002B55D9" w:rsidP="00B843F2">
      <w:r>
        <w:t>It is not recommended that the submitted p</w:t>
      </w:r>
      <w:r w:rsidR="00B843F2">
        <w:t>roposed Indication be approved.</w:t>
      </w:r>
    </w:p>
    <w:p w14:paraId="24A33212" w14:textId="77777777" w:rsidR="002B55D9" w:rsidRDefault="002B55D9" w:rsidP="00B843F2">
      <w:r>
        <w:t>In both Studies submitted (</w:t>
      </w:r>
      <w:r w:rsidRPr="0011190D">
        <w:t>31-07-</w:t>
      </w:r>
      <w:r>
        <w:t xml:space="preserve">246 </w:t>
      </w:r>
      <w:r w:rsidR="0052799D">
        <w:t>and</w:t>
      </w:r>
      <w:r>
        <w:t xml:space="preserve"> </w:t>
      </w:r>
      <w:r w:rsidRPr="0011190D">
        <w:t>31-07-247</w:t>
      </w:r>
      <w:r>
        <w:t>) initial treatment with IM depot was associated with oral treatment for the first 14 days. The sponsors support for the use of a sole injection of 40</w:t>
      </w:r>
      <w:r w:rsidR="002C1F46">
        <w:t>0 mg</w:t>
      </w:r>
      <w:r>
        <w:t xml:space="preserve"> </w:t>
      </w:r>
      <w:proofErr w:type="spellStart"/>
      <w:r>
        <w:t>Abilify</w:t>
      </w:r>
      <w:proofErr w:type="spellEnd"/>
      <w:r w:rsidRPr="0011190D">
        <w:t xml:space="preserve"> </w:t>
      </w:r>
      <w:proofErr w:type="spellStart"/>
      <w:r w:rsidRPr="0011190D">
        <w:t>Maintena</w:t>
      </w:r>
      <w:proofErr w:type="spellEnd"/>
      <w:r>
        <w:t xml:space="preserve"> is based on a PopPK analysis with no clinical or PK/PD studies.</w:t>
      </w:r>
    </w:p>
    <w:p w14:paraId="24A33213" w14:textId="77777777" w:rsidR="002B55D9" w:rsidRDefault="002B55D9" w:rsidP="00B843F2">
      <w:r>
        <w:t>Analysis of a single 40</w:t>
      </w:r>
      <w:r w:rsidR="002C1F46">
        <w:t>0 mg</w:t>
      </w:r>
      <w:r>
        <w:t xml:space="preserve"> IM depot dose is shown to achieve mean sub-therapeutic levels for the first and last 3 days of the initial treatment cycle, presumably extensive metabolisers will fare worse (</w:t>
      </w:r>
      <w:r w:rsidR="00383AAD">
        <w:t>s</w:t>
      </w:r>
      <w:r>
        <w:t xml:space="preserve">ee </w:t>
      </w:r>
      <w:r w:rsidR="00383AAD">
        <w:t>Figure 3</w:t>
      </w:r>
      <w:r>
        <w:t>).</w:t>
      </w:r>
    </w:p>
    <w:p w14:paraId="24A33214" w14:textId="77777777" w:rsidR="002B55D9" w:rsidRDefault="002B55D9" w:rsidP="00B843F2">
      <w:r>
        <w:t xml:space="preserve">It is recommended that </w:t>
      </w:r>
      <w:proofErr w:type="spellStart"/>
      <w:r>
        <w:t>Abilify</w:t>
      </w:r>
      <w:proofErr w:type="spellEnd"/>
      <w:r w:rsidRPr="00AF004E">
        <w:t xml:space="preserve"> </w:t>
      </w:r>
      <w:proofErr w:type="spellStart"/>
      <w:r w:rsidRPr="00AF004E">
        <w:t>Maintena</w:t>
      </w:r>
      <w:proofErr w:type="spellEnd"/>
      <w:r>
        <w:t xml:space="preserve"> be approved for the added Indication of:</w:t>
      </w:r>
      <w:r>
        <w:rPr>
          <w:rStyle w:val="FootnoteReference"/>
        </w:rPr>
        <w:footnoteReference w:id="48"/>
      </w:r>
    </w:p>
    <w:p w14:paraId="24A33215" w14:textId="580EF626" w:rsidR="002B55D9" w:rsidRPr="00596894" w:rsidRDefault="002B55D9" w:rsidP="00596894">
      <w:pPr>
        <w:rPr>
          <w:i/>
        </w:rPr>
      </w:pPr>
      <w:r>
        <w:lastRenderedPageBreak/>
        <w:tab/>
      </w:r>
      <w:r w:rsidRPr="00596894">
        <w:rPr>
          <w:i/>
        </w:rPr>
        <w:t>For the maintenance of clinical improvement in t</w:t>
      </w:r>
      <w:r w:rsidR="00B843F2">
        <w:rPr>
          <w:i/>
        </w:rPr>
        <w:t>he treatment of schizophrenia</w:t>
      </w:r>
    </w:p>
    <w:p w14:paraId="24A33216" w14:textId="77777777" w:rsidR="00C22678" w:rsidRDefault="00C22678" w:rsidP="00B843F2">
      <w:pPr>
        <w:pStyle w:val="Heading2"/>
      </w:pPr>
      <w:bookmarkStart w:id="320" w:name="_Toc408930658"/>
      <w:r>
        <w:t>Clinical questions</w:t>
      </w:r>
      <w:bookmarkEnd w:id="320"/>
    </w:p>
    <w:p w14:paraId="24A33217" w14:textId="5105FA21" w:rsidR="00596894" w:rsidRPr="00586F98" w:rsidRDefault="00596894" w:rsidP="00B843F2">
      <w:pPr>
        <w:rPr>
          <w:lang w:eastAsia="ja-JP"/>
        </w:rPr>
      </w:pPr>
      <w:bookmarkStart w:id="321" w:name="_Toc272414706"/>
      <w:bookmarkStart w:id="322" w:name="_Toc290846346"/>
      <w:bookmarkStart w:id="323" w:name="_Toc381104259"/>
      <w:r>
        <w:t xml:space="preserve">The evaluator submitted four questions relating to the draft PI and CMI documents. The details of these are beyond the scope of this </w:t>
      </w:r>
      <w:proofErr w:type="spellStart"/>
      <w:r>
        <w:t>AusPAR</w:t>
      </w:r>
      <w:proofErr w:type="spellEnd"/>
      <w:r>
        <w:t>.</w:t>
      </w:r>
      <w:bookmarkEnd w:id="321"/>
      <w:bookmarkEnd w:id="322"/>
      <w:bookmarkEnd w:id="323"/>
    </w:p>
    <w:p w14:paraId="24A33218" w14:textId="77777777" w:rsidR="00C618F7" w:rsidRDefault="00C618F7" w:rsidP="00B843F2">
      <w:pPr>
        <w:pStyle w:val="Heading2"/>
      </w:pPr>
      <w:bookmarkStart w:id="324" w:name="_Toc408930659"/>
      <w:r>
        <w:t>Second round benefit-risk assessment</w:t>
      </w:r>
      <w:bookmarkEnd w:id="324"/>
    </w:p>
    <w:p w14:paraId="24A33219" w14:textId="77777777" w:rsidR="002B55D9" w:rsidRDefault="002B55D9" w:rsidP="00B843F2">
      <w:r>
        <w:t>As in the first round assessment.</w:t>
      </w:r>
    </w:p>
    <w:p w14:paraId="24A3321A" w14:textId="77777777" w:rsidR="00C618F7" w:rsidRDefault="00C618F7" w:rsidP="00B843F2">
      <w:pPr>
        <w:pStyle w:val="Heading2"/>
      </w:pPr>
      <w:bookmarkStart w:id="325" w:name="_Toc408930660"/>
      <w:r>
        <w:t>Second round recommendation regarding authorisation</w:t>
      </w:r>
      <w:bookmarkEnd w:id="325"/>
    </w:p>
    <w:p w14:paraId="24A3321B" w14:textId="77777777" w:rsidR="002B55D9" w:rsidRDefault="002B55D9" w:rsidP="00B843F2">
      <w:r>
        <w:t>As in the first round assessment.</w:t>
      </w:r>
    </w:p>
    <w:bookmarkEnd w:id="1"/>
    <w:bookmarkEnd w:id="0"/>
    <w:bookmarkEnd w:id="3"/>
    <w:p w14:paraId="24A3321C" w14:textId="77777777" w:rsidR="003D1E62" w:rsidRPr="001D043B" w:rsidRDefault="003D1E62" w:rsidP="002666AC">
      <w:pPr>
        <w:sectPr w:rsidR="003D1E62" w:rsidRPr="001D043B" w:rsidSect="008D770F">
          <w:headerReference w:type="even" r:id="rId55"/>
          <w:headerReference w:type="default" r:id="rId56"/>
          <w:headerReference w:type="first" r:id="rId57"/>
          <w:footerReference w:type="first" r:id="rId58"/>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24A3321E" w14:textId="77777777" w:rsidTr="006D6E57">
        <w:trPr>
          <w:trHeight w:hRule="exact" w:val="564"/>
        </w:trPr>
        <w:tc>
          <w:tcPr>
            <w:tcW w:w="9175" w:type="dxa"/>
          </w:tcPr>
          <w:p w14:paraId="24A3321D" w14:textId="77777777" w:rsidR="00B3567E" w:rsidRPr="00487162" w:rsidRDefault="00B3567E" w:rsidP="006D6E57">
            <w:pPr>
              <w:pStyle w:val="TGASignoff"/>
            </w:pPr>
            <w:r w:rsidRPr="00487162">
              <w:lastRenderedPageBreak/>
              <w:t>Therapeutic Goods Administration</w:t>
            </w:r>
          </w:p>
        </w:tc>
      </w:tr>
      <w:tr w:rsidR="00B3567E" w:rsidRPr="00487162" w14:paraId="24A33222" w14:textId="77777777" w:rsidTr="006D6E57">
        <w:trPr>
          <w:trHeight w:val="1221"/>
        </w:trPr>
        <w:tc>
          <w:tcPr>
            <w:tcW w:w="9175" w:type="dxa"/>
            <w:tcMar>
              <w:top w:w="28" w:type="dxa"/>
            </w:tcMar>
          </w:tcPr>
          <w:p w14:paraId="24A3321F" w14:textId="77777777" w:rsidR="00B3567E" w:rsidRPr="00487162" w:rsidRDefault="00B3567E" w:rsidP="006D6E57">
            <w:pPr>
              <w:pStyle w:val="Address"/>
            </w:pPr>
            <w:r w:rsidRPr="00487162">
              <w:t>PO Box 100 Woden ACT 2606 Australia</w:t>
            </w:r>
          </w:p>
          <w:p w14:paraId="24A33220" w14:textId="77777777" w:rsidR="00B3567E" w:rsidRPr="00487162" w:rsidRDefault="00B3567E" w:rsidP="006D6E57">
            <w:pPr>
              <w:pStyle w:val="Address"/>
            </w:pPr>
            <w:r w:rsidRPr="00487162">
              <w:t xml:space="preserve">Email: </w:t>
            </w:r>
            <w:hyperlink r:id="rId59" w:history="1">
              <w:r w:rsidRPr="008D770F">
                <w:rPr>
                  <w:rStyle w:val="Hyperlink"/>
                </w:rPr>
                <w:t>info@tga.gov.au</w:t>
              </w:r>
            </w:hyperlink>
            <w:r w:rsidRPr="00487162">
              <w:t xml:space="preserve">  Phone: 1800 020 653  Fax: 02 6232 8605</w:t>
            </w:r>
          </w:p>
          <w:p w14:paraId="24A33221" w14:textId="77777777" w:rsidR="00B3567E" w:rsidRPr="008D770F" w:rsidRDefault="000D6249" w:rsidP="006D6E57">
            <w:pPr>
              <w:pStyle w:val="Address"/>
              <w:spacing w:line="260" w:lineRule="atLeast"/>
              <w:rPr>
                <w:b/>
                <w:color w:val="0000FF"/>
                <w:u w:val="single"/>
              </w:rPr>
            </w:pPr>
            <w:hyperlink r:id="rId60" w:history="1">
              <w:r w:rsidR="00B3567E" w:rsidRPr="007C06C7">
                <w:rPr>
                  <w:rStyle w:val="Hyperlink"/>
                  <w:b/>
                </w:rPr>
                <w:t>http://www.tga.gov.au</w:t>
              </w:r>
            </w:hyperlink>
          </w:p>
        </w:tc>
      </w:tr>
    </w:tbl>
    <w:p w14:paraId="24A33223" w14:textId="77777777" w:rsidR="00774E1D" w:rsidRPr="008A5E0B" w:rsidRDefault="00774E1D" w:rsidP="008A5E0B"/>
    <w:sectPr w:rsidR="00774E1D" w:rsidRPr="008A5E0B" w:rsidSect="00B3567E">
      <w:headerReference w:type="even" r:id="rId61"/>
      <w:headerReference w:type="default" r:id="rId62"/>
      <w:footerReference w:type="default" r:id="rId63"/>
      <w:headerReference w:type="first" r:id="rId64"/>
      <w:footerReference w:type="first" r:id="rId65"/>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A33270" w14:textId="77777777" w:rsidR="007669A1" w:rsidRDefault="007669A1" w:rsidP="00C40A36">
      <w:pPr>
        <w:spacing w:after="0"/>
      </w:pPr>
      <w:r>
        <w:separator/>
      </w:r>
    </w:p>
  </w:endnote>
  <w:endnote w:type="continuationSeparator" w:id="0">
    <w:p w14:paraId="24A33271" w14:textId="77777777" w:rsidR="007669A1" w:rsidRDefault="007669A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7669A1" w:rsidRPr="00487162" w14:paraId="24A33275" w14:textId="77777777" w:rsidTr="00702F20">
      <w:trPr>
        <w:trHeight w:val="269"/>
      </w:trPr>
      <w:tc>
        <w:tcPr>
          <w:tcW w:w="7655" w:type="dxa"/>
          <w:tcMar>
            <w:top w:w="142" w:type="dxa"/>
            <w:bottom w:w="0" w:type="dxa"/>
          </w:tcMar>
        </w:tcPr>
        <w:p w14:paraId="24A33273" w14:textId="3267DA0C" w:rsidR="007669A1" w:rsidRPr="00487162" w:rsidRDefault="007669A1" w:rsidP="00981D66">
          <w:pPr>
            <w:pStyle w:val="Footer"/>
          </w:pPr>
          <w:r>
            <w:t>Submission</w:t>
          </w:r>
          <w:r w:rsidRPr="00487162">
            <w:t xml:space="preserve"> </w:t>
          </w:r>
          <w:r w:rsidRPr="007669A1">
            <w:t>PM-2013-01100-1-1</w:t>
          </w:r>
          <w:r>
            <w:t xml:space="preserve"> Extract from the Clinical Evaluation Report for </w:t>
          </w:r>
          <w:proofErr w:type="spellStart"/>
          <w:r w:rsidRPr="007669A1">
            <w:t>Aripiprazole</w:t>
          </w:r>
          <w:proofErr w:type="spellEnd"/>
          <w:r w:rsidRPr="007669A1">
            <w:t xml:space="preserve"> Monohydrate</w:t>
          </w:r>
        </w:p>
      </w:tc>
      <w:tc>
        <w:tcPr>
          <w:tcW w:w="1206" w:type="dxa"/>
          <w:tcMar>
            <w:top w:w="142" w:type="dxa"/>
            <w:bottom w:w="0" w:type="dxa"/>
          </w:tcMar>
        </w:tcPr>
        <w:p w14:paraId="24A33274" w14:textId="77777777" w:rsidR="007669A1" w:rsidRPr="00981D66" w:rsidRDefault="007669A1"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0D6249">
            <w:rPr>
              <w:noProof/>
            </w:rPr>
            <w:t>4</w:t>
          </w:r>
          <w:r w:rsidRPr="00981D66">
            <w:fldChar w:fldCharType="end"/>
          </w:r>
          <w:r w:rsidRPr="00981D66">
            <w:t xml:space="preserve"> of </w:t>
          </w:r>
          <w:r w:rsidR="000D6249">
            <w:fldChar w:fldCharType="begin"/>
          </w:r>
          <w:r w:rsidR="000D6249">
            <w:instrText xml:space="preserve"> NUMPAGES  \* Arabic  \* MERGEFORMAT </w:instrText>
          </w:r>
          <w:r w:rsidR="000D6249">
            <w:fldChar w:fldCharType="separate"/>
          </w:r>
          <w:r w:rsidR="000D6249">
            <w:rPr>
              <w:noProof/>
            </w:rPr>
            <w:t>61</w:t>
          </w:r>
          <w:r w:rsidR="000D6249">
            <w:rPr>
              <w:noProof/>
            </w:rPr>
            <w:fldChar w:fldCharType="end"/>
          </w:r>
        </w:p>
      </w:tc>
    </w:tr>
  </w:tbl>
  <w:p w14:paraId="24A33276" w14:textId="77777777" w:rsidR="007669A1" w:rsidRDefault="007669A1"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669A1" w:rsidRPr="00487162" w14:paraId="24A33280" w14:textId="77777777" w:rsidTr="00E45619">
      <w:trPr>
        <w:trHeight w:val="269"/>
      </w:trPr>
      <w:tc>
        <w:tcPr>
          <w:tcW w:w="4519" w:type="dxa"/>
          <w:tcBorders>
            <w:top w:val="single" w:sz="4" w:space="0" w:color="auto"/>
          </w:tcBorders>
          <w:tcMar>
            <w:top w:w="142" w:type="dxa"/>
            <w:bottom w:w="0" w:type="dxa"/>
          </w:tcMar>
        </w:tcPr>
        <w:p w14:paraId="24A3327D" w14:textId="77777777" w:rsidR="007669A1" w:rsidRPr="00487162" w:rsidRDefault="007669A1" w:rsidP="00FE1DEE">
          <w:pPr>
            <w:pStyle w:val="Footer"/>
          </w:pPr>
          <w:r w:rsidRPr="00487162">
            <w:t>Document title, Part #, Section # - Section title</w:t>
          </w:r>
        </w:p>
        <w:p w14:paraId="24A3327E" w14:textId="77777777" w:rsidR="007669A1" w:rsidRPr="00487162" w:rsidRDefault="007669A1" w:rsidP="00FE1DEE">
          <w:pPr>
            <w:pStyle w:val="Footer"/>
          </w:pPr>
          <w:r w:rsidRPr="00487162">
            <w:t>V1.0 October 2010</w:t>
          </w:r>
        </w:p>
      </w:tc>
      <w:tc>
        <w:tcPr>
          <w:tcW w:w="4342" w:type="dxa"/>
          <w:tcBorders>
            <w:top w:val="single" w:sz="4" w:space="0" w:color="auto"/>
          </w:tcBorders>
          <w:tcMar>
            <w:top w:w="142" w:type="dxa"/>
            <w:bottom w:w="0" w:type="dxa"/>
          </w:tcMar>
        </w:tcPr>
        <w:p w14:paraId="24A3327F" w14:textId="397A64D2" w:rsidR="007669A1" w:rsidRPr="00487162" w:rsidRDefault="007669A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0D6249">
            <w:fldChar w:fldCharType="begin"/>
          </w:r>
          <w:r w:rsidR="000D6249">
            <w:instrText xml:space="preserve"> NUMPAGES  </w:instrText>
          </w:r>
          <w:r w:rsidR="000D6249">
            <w:fldChar w:fldCharType="separate"/>
          </w:r>
          <w:r>
            <w:rPr>
              <w:noProof/>
            </w:rPr>
            <w:t>1</w:t>
          </w:r>
          <w:r w:rsidR="000D6249">
            <w:rPr>
              <w:noProof/>
            </w:rPr>
            <w:fldChar w:fldCharType="end"/>
          </w:r>
        </w:p>
      </w:tc>
    </w:tr>
  </w:tbl>
  <w:p w14:paraId="24A33281" w14:textId="77777777" w:rsidR="007669A1" w:rsidRDefault="007669A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33284" w14:textId="77777777" w:rsidR="007669A1" w:rsidRDefault="007669A1"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669A1" w14:paraId="24A33292" w14:textId="77777777" w:rsidTr="0010601F">
      <w:trPr>
        <w:trHeight w:val="108"/>
      </w:trPr>
      <w:tc>
        <w:tcPr>
          <w:tcW w:w="8875" w:type="dxa"/>
          <w:gridSpan w:val="2"/>
          <w:tcBorders>
            <w:bottom w:val="single" w:sz="4" w:space="0" w:color="auto"/>
          </w:tcBorders>
          <w:tcMar>
            <w:right w:w="284" w:type="dxa"/>
          </w:tcMar>
        </w:tcPr>
        <w:p w14:paraId="24A33287" w14:textId="77777777" w:rsidR="007669A1" w:rsidRDefault="007669A1" w:rsidP="006E08B3">
          <w:pPr>
            <w:pStyle w:val="Heading3"/>
          </w:pPr>
          <w:r>
            <w:t>Copyright</w:t>
          </w:r>
        </w:p>
        <w:p w14:paraId="24A33288" w14:textId="77777777" w:rsidR="007669A1" w:rsidRDefault="007669A1" w:rsidP="006E08B3">
          <w:r>
            <w:rPr>
              <w:rFonts w:cs="Arial"/>
            </w:rPr>
            <w:t>©</w:t>
          </w:r>
          <w:r>
            <w:t xml:space="preserve"> Commonwealth of Australia [add year]</w:t>
          </w:r>
        </w:p>
        <w:p w14:paraId="24A33289" w14:textId="77777777" w:rsidR="007669A1" w:rsidRDefault="007669A1" w:rsidP="006E08B3"/>
        <w:p w14:paraId="24A3328A" w14:textId="77777777" w:rsidR="007669A1" w:rsidRDefault="007669A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24A3328B" w14:textId="77777777" w:rsidR="007669A1" w:rsidRDefault="007669A1" w:rsidP="006E08B3"/>
        <w:p w14:paraId="24A3328C" w14:textId="77777777" w:rsidR="007669A1" w:rsidRDefault="007669A1" w:rsidP="006E08B3">
          <w:pPr>
            <w:pStyle w:val="Heading3"/>
          </w:pPr>
          <w:r>
            <w:t>Confidentiality</w:t>
          </w:r>
        </w:p>
        <w:p w14:paraId="24A3328D" w14:textId="77777777" w:rsidR="007669A1" w:rsidRDefault="007669A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4A3328E" w14:textId="77777777" w:rsidR="007669A1" w:rsidRDefault="007669A1" w:rsidP="006E08B3"/>
        <w:p w14:paraId="24A3328F" w14:textId="77777777" w:rsidR="007669A1" w:rsidRDefault="007669A1" w:rsidP="006E08B3">
          <w:r>
            <w:t>For submission made by individuals, all personal details, other than your name, will be removed from your submission before it is published on the TGA’s Internet site.</w:t>
          </w:r>
        </w:p>
        <w:p w14:paraId="24A33290" w14:textId="77777777" w:rsidR="007669A1" w:rsidRDefault="007669A1" w:rsidP="006E08B3"/>
        <w:p w14:paraId="24A33291" w14:textId="77777777" w:rsidR="007669A1" w:rsidRDefault="007669A1" w:rsidP="006E08B3">
          <w:r>
            <w:t>In addition, a list of parties making submissions will be published. If you do not wish to be identified with your submission you must specifically request this in the space provided ib the submission coversheet.</w:t>
          </w:r>
        </w:p>
      </w:tc>
    </w:tr>
    <w:tr w:rsidR="007669A1" w14:paraId="24A33296" w14:textId="77777777" w:rsidTr="0010601F">
      <w:trPr>
        <w:trHeight w:val="417"/>
      </w:trPr>
      <w:tc>
        <w:tcPr>
          <w:tcW w:w="4519" w:type="dxa"/>
          <w:tcBorders>
            <w:top w:val="single" w:sz="4" w:space="0" w:color="auto"/>
          </w:tcBorders>
          <w:tcMar>
            <w:top w:w="142" w:type="dxa"/>
            <w:bottom w:w="0" w:type="dxa"/>
          </w:tcMar>
        </w:tcPr>
        <w:p w14:paraId="24A33293" w14:textId="77777777" w:rsidR="007669A1" w:rsidRDefault="007669A1" w:rsidP="006E08B3">
          <w:r>
            <w:t>Document title, Part #, Section # - Section title</w:t>
          </w:r>
        </w:p>
        <w:p w14:paraId="24A33294" w14:textId="77777777" w:rsidR="007669A1" w:rsidRDefault="007669A1" w:rsidP="006E08B3">
          <w:r>
            <w:t>V1.0 October 2010</w:t>
          </w:r>
        </w:p>
      </w:tc>
      <w:tc>
        <w:tcPr>
          <w:tcW w:w="4356" w:type="dxa"/>
          <w:tcBorders>
            <w:top w:val="single" w:sz="4" w:space="0" w:color="auto"/>
          </w:tcBorders>
          <w:tcMar>
            <w:top w:w="142" w:type="dxa"/>
            <w:bottom w:w="0" w:type="dxa"/>
          </w:tcMar>
        </w:tcPr>
        <w:p w14:paraId="24A33295" w14:textId="47139195" w:rsidR="007669A1" w:rsidRDefault="007669A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0D6249">
            <w:fldChar w:fldCharType="begin"/>
          </w:r>
          <w:r w:rsidR="000D6249">
            <w:instrText xml:space="preserve"> NUMPAGES  \* Arabic </w:instrText>
          </w:r>
          <w:r w:rsidR="000D6249">
            <w:fldChar w:fldCharType="separate"/>
          </w:r>
          <w:r>
            <w:rPr>
              <w:noProof/>
            </w:rPr>
            <w:t>1</w:t>
          </w:r>
          <w:r w:rsidR="000D6249">
            <w:rPr>
              <w:noProof/>
            </w:rPr>
            <w:fldChar w:fldCharType="end"/>
          </w:r>
          <w:r>
            <w:t xml:space="preserve">  </w:t>
          </w:r>
        </w:p>
      </w:tc>
    </w:tr>
  </w:tbl>
  <w:p w14:paraId="24A33297" w14:textId="77777777" w:rsidR="007669A1" w:rsidRDefault="007669A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A3326E" w14:textId="77777777" w:rsidR="007669A1" w:rsidRDefault="007669A1" w:rsidP="00C40A36">
      <w:pPr>
        <w:spacing w:after="0"/>
      </w:pPr>
      <w:r>
        <w:separator/>
      </w:r>
    </w:p>
  </w:footnote>
  <w:footnote w:type="continuationSeparator" w:id="0">
    <w:p w14:paraId="24A3326F" w14:textId="77777777" w:rsidR="007669A1" w:rsidRDefault="007669A1" w:rsidP="00C40A36">
      <w:pPr>
        <w:spacing w:after="0"/>
      </w:pPr>
      <w:r>
        <w:continuationSeparator/>
      </w:r>
    </w:p>
  </w:footnote>
  <w:footnote w:id="1">
    <w:p w14:paraId="24A3329B" w14:textId="77777777" w:rsidR="007669A1" w:rsidRPr="004A56A6" w:rsidRDefault="007669A1" w:rsidP="002A3494">
      <w:pPr>
        <w:pStyle w:val="FootnoteText"/>
      </w:pPr>
      <w:r>
        <w:rPr>
          <w:rStyle w:val="FootnoteReference"/>
        </w:rPr>
        <w:footnoteRef/>
      </w:r>
      <w:r>
        <w:t xml:space="preserve"> </w:t>
      </w:r>
      <w:r w:rsidRPr="002A3494">
        <w:t>2</w:t>
      </w:r>
      <w:r w:rsidRPr="004A56A6">
        <w:t>.5 Clinical Overview page 1</w:t>
      </w:r>
    </w:p>
  </w:footnote>
  <w:footnote w:id="2">
    <w:p w14:paraId="24A3329C" w14:textId="77777777" w:rsidR="007669A1" w:rsidRPr="00AD5113" w:rsidRDefault="007669A1" w:rsidP="002368EF">
      <w:pPr>
        <w:pStyle w:val="FootnoteText"/>
      </w:pPr>
      <w:r w:rsidRPr="00AD5113">
        <w:rPr>
          <w:rStyle w:val="FootnoteReference"/>
        </w:rPr>
        <w:footnoteRef/>
      </w:r>
      <w:r>
        <w:t xml:space="preserve"> Of these 31-98-208 and CN38-022 were</w:t>
      </w:r>
      <w:r w:rsidRPr="00AD5113">
        <w:t xml:space="preserve"> incomplete </w:t>
      </w:r>
      <w:r>
        <w:t>in that submission.</w:t>
      </w:r>
    </w:p>
  </w:footnote>
  <w:footnote w:id="3">
    <w:p w14:paraId="24A3329D" w14:textId="77777777" w:rsidR="007669A1" w:rsidRDefault="007669A1" w:rsidP="002368EF">
      <w:pPr>
        <w:pStyle w:val="FootnoteText"/>
      </w:pPr>
      <w:r>
        <w:rPr>
          <w:rStyle w:val="FootnoteReference"/>
        </w:rPr>
        <w:footnoteRef/>
      </w:r>
      <w:r>
        <w:t xml:space="preserve"> A protocol synopsis only was submitted with no results.</w:t>
      </w:r>
    </w:p>
  </w:footnote>
  <w:footnote w:id="4">
    <w:p w14:paraId="24A3329E" w14:textId="77777777" w:rsidR="007669A1" w:rsidRDefault="007669A1" w:rsidP="002368EF">
      <w:pPr>
        <w:pStyle w:val="FootnoteText"/>
      </w:pPr>
      <w:r>
        <w:rPr>
          <w:rStyle w:val="FootnoteReference"/>
        </w:rPr>
        <w:footnoteRef/>
      </w:r>
      <w:r>
        <w:t xml:space="preserve"> </w:t>
      </w:r>
      <w:r w:rsidRPr="003F1669">
        <w:t xml:space="preserve">This study treatment comprised </w:t>
      </w:r>
      <w:proofErr w:type="spellStart"/>
      <w:r w:rsidRPr="003F1669">
        <w:t>aripiprazole</w:t>
      </w:r>
      <w:proofErr w:type="spellEnd"/>
      <w:r w:rsidRPr="003F1669">
        <w:t xml:space="preserve"> tablets (10 to 3</w:t>
      </w:r>
      <w:r>
        <w:t>0 mg</w:t>
      </w:r>
      <w:r w:rsidRPr="003F1669">
        <w:t>/day), for 14days and to patients with a diagnosis of Bipolar I Disorder, who were c</w:t>
      </w:r>
      <w:r>
        <w:t xml:space="preserve">linically stable on </w:t>
      </w:r>
      <w:proofErr w:type="spellStart"/>
      <w:r>
        <w:t>lamotrigine</w:t>
      </w:r>
      <w:proofErr w:type="spellEnd"/>
      <w:r>
        <w:t>, that is,</w:t>
      </w:r>
      <w:r w:rsidRPr="003F1669">
        <w:t xml:space="preserve"> </w:t>
      </w:r>
      <w:r w:rsidRPr="00FE5B88">
        <w:rPr>
          <w:b/>
        </w:rPr>
        <w:t>not relevant</w:t>
      </w:r>
      <w:r w:rsidRPr="003F1669">
        <w:t xml:space="preserve"> to this submission to register a different formulation with a different Indication.</w:t>
      </w:r>
    </w:p>
  </w:footnote>
  <w:footnote w:id="5">
    <w:p w14:paraId="24A3329F" w14:textId="77777777" w:rsidR="007669A1" w:rsidRDefault="007669A1" w:rsidP="002368EF">
      <w:pPr>
        <w:pStyle w:val="FootnoteText"/>
      </w:pPr>
      <w:r>
        <w:rPr>
          <w:rStyle w:val="FootnoteReference"/>
        </w:rPr>
        <w:footnoteRef/>
      </w:r>
      <w:r>
        <w:t xml:space="preserve"> </w:t>
      </w:r>
      <w:r w:rsidRPr="003F1669">
        <w:t xml:space="preserve">This study treatment comprised </w:t>
      </w:r>
      <w:proofErr w:type="spellStart"/>
      <w:r w:rsidRPr="003F1669">
        <w:t>Aripiprazole</w:t>
      </w:r>
      <w:proofErr w:type="spellEnd"/>
      <w:r w:rsidRPr="003F1669">
        <w:t>, 2</w:t>
      </w:r>
      <w:r>
        <w:t>mg</w:t>
      </w:r>
      <w:r w:rsidRPr="003F1669">
        <w:t xml:space="preserve"> and 5</w:t>
      </w:r>
      <w:r>
        <w:t>mg</w:t>
      </w:r>
      <w:r w:rsidRPr="003F1669">
        <w:t xml:space="preserve"> tablets, flexibly dosed (2</w:t>
      </w:r>
      <w:r>
        <w:t>mg</w:t>
      </w:r>
      <w:r w:rsidRPr="003F1669">
        <w:t>, 5</w:t>
      </w:r>
      <w:r>
        <w:t>mg</w:t>
      </w:r>
      <w:r w:rsidRPr="003F1669">
        <w:t>, 1</w:t>
      </w:r>
      <w:r>
        <w:t>0 mg</w:t>
      </w:r>
      <w:r w:rsidRPr="003F1669">
        <w:t>, 15</w:t>
      </w:r>
      <w:r>
        <w:t>mg</w:t>
      </w:r>
      <w:r w:rsidRPr="003F1669">
        <w:t>, and 2</w:t>
      </w:r>
      <w:r>
        <w:t>0 mg</w:t>
      </w:r>
      <w:r w:rsidRPr="003F1669">
        <w:t xml:space="preserve"> once daily) for 6 weeks and to patients with a diagnosis of major depressive disorder</w:t>
      </w:r>
      <w:r>
        <w:t>, that is,</w:t>
      </w:r>
      <w:r w:rsidRPr="003F1669">
        <w:t xml:space="preserve"> </w:t>
      </w:r>
      <w:r w:rsidRPr="00FE5B88">
        <w:rPr>
          <w:b/>
        </w:rPr>
        <w:t>not</w:t>
      </w:r>
      <w:r w:rsidRPr="003F1669">
        <w:t xml:space="preserve"> </w:t>
      </w:r>
      <w:r w:rsidRPr="00FE5B88">
        <w:rPr>
          <w:b/>
        </w:rPr>
        <w:t>relevant</w:t>
      </w:r>
      <w:r w:rsidRPr="003F1669">
        <w:t xml:space="preserve"> to this submission to register a different formulation with a different Indication.</w:t>
      </w:r>
    </w:p>
  </w:footnote>
  <w:footnote w:id="6">
    <w:p w14:paraId="24A332A0" w14:textId="77777777" w:rsidR="007669A1" w:rsidRDefault="007669A1" w:rsidP="002368EF">
      <w:pPr>
        <w:pStyle w:val="FootnoteText"/>
      </w:pPr>
      <w:r>
        <w:rPr>
          <w:rStyle w:val="FootnoteReference"/>
        </w:rPr>
        <w:footnoteRef/>
      </w:r>
      <w:r>
        <w:t xml:space="preserve"> This study had its primary endpoint ( and hence primary objective and non – inferiority margin) </w:t>
      </w:r>
      <w:r w:rsidRPr="00FE5B88">
        <w:rPr>
          <w:b/>
        </w:rPr>
        <w:t>amended almost 3 years into the trial</w:t>
      </w:r>
      <w:r>
        <w:t>.</w:t>
      </w:r>
    </w:p>
  </w:footnote>
  <w:footnote w:id="7">
    <w:p w14:paraId="24A332A1" w14:textId="77777777" w:rsidR="007669A1" w:rsidRDefault="007669A1" w:rsidP="002368EF">
      <w:pPr>
        <w:pStyle w:val="FootnoteText"/>
      </w:pPr>
      <w:r>
        <w:rPr>
          <w:rStyle w:val="FootnoteReference"/>
        </w:rPr>
        <w:footnoteRef/>
      </w:r>
      <w:r>
        <w:t xml:space="preserve"> These studies looked at various aspects of efficacy but were not completed so were submitted for safety data only.</w:t>
      </w:r>
    </w:p>
  </w:footnote>
  <w:footnote w:id="8">
    <w:p w14:paraId="24A332A2" w14:textId="77777777" w:rsidR="007669A1" w:rsidRDefault="007669A1" w:rsidP="002368EF">
      <w:pPr>
        <w:pStyle w:val="FootnoteText"/>
      </w:pPr>
      <w:r>
        <w:rPr>
          <w:rStyle w:val="FootnoteReference"/>
        </w:rPr>
        <w:footnoteRef/>
      </w:r>
      <w:r>
        <w:t xml:space="preserve"> </w:t>
      </w:r>
      <w:r w:rsidRPr="00A9563E">
        <w:t>2.5 Clinical Overview</w:t>
      </w:r>
      <w:r>
        <w:t xml:space="preserve"> page 7</w:t>
      </w:r>
    </w:p>
  </w:footnote>
  <w:footnote w:id="9">
    <w:p w14:paraId="24A332A3" w14:textId="77777777" w:rsidR="007669A1" w:rsidRDefault="007669A1" w:rsidP="002B55D9">
      <w:pPr>
        <w:pStyle w:val="FootnoteText"/>
      </w:pPr>
      <w:r>
        <w:rPr>
          <w:rStyle w:val="FootnoteReference"/>
        </w:rPr>
        <w:footnoteRef/>
      </w:r>
      <w:r>
        <w:t xml:space="preserve"> Data from Trial CN138016 were not used in the analysis, as this trial did not have an IM Depot treatment arm and the oral treatment arm used a low 5mg dose.</w:t>
      </w:r>
    </w:p>
  </w:footnote>
  <w:footnote w:id="10">
    <w:p w14:paraId="24A332A4" w14:textId="77777777" w:rsidR="007669A1" w:rsidRDefault="007669A1" w:rsidP="002B55D9">
      <w:pPr>
        <w:pStyle w:val="FootnoteText"/>
      </w:pPr>
      <w:r>
        <w:rPr>
          <w:rStyle w:val="FootnoteReference"/>
        </w:rPr>
        <w:footnoteRef/>
      </w:r>
      <w:r>
        <w:t xml:space="preserve"> 1,255 </w:t>
      </w:r>
      <w:proofErr w:type="spellStart"/>
      <w:r>
        <w:t>aripiprazole</w:t>
      </w:r>
      <w:proofErr w:type="spellEnd"/>
      <w:r>
        <w:t xml:space="preserve"> concentration records from 372 subjects enrolled in the 50 mg or 400 mg IM depot</w:t>
      </w:r>
    </w:p>
  </w:footnote>
  <w:footnote w:id="11">
    <w:p w14:paraId="24A332A5" w14:textId="77777777" w:rsidR="007669A1" w:rsidRDefault="007669A1" w:rsidP="002B55D9">
      <w:pPr>
        <w:pStyle w:val="FootnoteText"/>
      </w:pPr>
      <w:r>
        <w:rPr>
          <w:rStyle w:val="FootnoteReference"/>
        </w:rPr>
        <w:footnoteRef/>
      </w:r>
      <w:r>
        <w:t xml:space="preserve"> 896 </w:t>
      </w:r>
      <w:proofErr w:type="spellStart"/>
      <w:r>
        <w:t>aripiprazole</w:t>
      </w:r>
      <w:proofErr w:type="spellEnd"/>
      <w:r>
        <w:t xml:space="preserve"> concentration records from 251 subjects enrolled in the 400 mg IM Depot treatment arm for the double-blind period</w:t>
      </w:r>
    </w:p>
  </w:footnote>
  <w:footnote w:id="12">
    <w:p w14:paraId="24A332A6" w14:textId="77777777" w:rsidR="007669A1" w:rsidRDefault="007669A1" w:rsidP="003B022B">
      <w:pPr>
        <w:pStyle w:val="FootnoteText"/>
      </w:pPr>
      <w:r>
        <w:rPr>
          <w:rStyle w:val="FootnoteReference"/>
        </w:rPr>
        <w:footnoteRef/>
      </w:r>
      <w:r>
        <w:t xml:space="preserve"> </w:t>
      </w:r>
      <w:r w:rsidRPr="000A1782">
        <w:t xml:space="preserve">2.7.4 </w:t>
      </w:r>
      <w:r w:rsidRPr="003B022B">
        <w:t>Summary</w:t>
      </w:r>
      <w:r w:rsidRPr="000A1782">
        <w:t xml:space="preserve"> of Clinical Safety</w:t>
      </w:r>
      <w:r>
        <w:t xml:space="preserve"> page 8</w:t>
      </w:r>
    </w:p>
  </w:footnote>
  <w:footnote w:id="13">
    <w:p w14:paraId="24A332A7" w14:textId="77777777" w:rsidR="007669A1" w:rsidRDefault="007669A1" w:rsidP="002B55D9">
      <w:pPr>
        <w:pStyle w:val="FootnoteText"/>
      </w:pPr>
      <w:r>
        <w:rPr>
          <w:rStyle w:val="FootnoteReference"/>
        </w:rPr>
        <w:footnoteRef/>
      </w:r>
      <w:r>
        <w:t xml:space="preserve"> </w:t>
      </w:r>
      <w:r w:rsidRPr="00AA2E31">
        <w:t>2.7.2 Summary of Clinical Pharmacology Studies</w:t>
      </w:r>
      <w:r>
        <w:t xml:space="preserve"> page 56</w:t>
      </w:r>
    </w:p>
  </w:footnote>
  <w:footnote w:id="14">
    <w:p w14:paraId="24A332A8" w14:textId="77777777" w:rsidR="007669A1" w:rsidRDefault="007669A1" w:rsidP="002B55D9">
      <w:pPr>
        <w:pStyle w:val="FootnoteText"/>
      </w:pPr>
      <w:r>
        <w:rPr>
          <w:rStyle w:val="FootnoteReference"/>
        </w:rPr>
        <w:footnoteRef/>
      </w:r>
      <w:r>
        <w:t xml:space="preserve"> There were 2 new oral Interaction studies in this submission but they were related to Indications other than that applied for in this submission and were thus not evaluated.</w:t>
      </w:r>
    </w:p>
  </w:footnote>
  <w:footnote w:id="15">
    <w:p w14:paraId="24A332A9" w14:textId="77777777" w:rsidR="007669A1" w:rsidRPr="005140A3" w:rsidRDefault="007669A1" w:rsidP="00B77AFB">
      <w:pPr>
        <w:pStyle w:val="FootnoteText"/>
        <w:rPr>
          <w:szCs w:val="18"/>
        </w:rPr>
      </w:pPr>
      <w:r w:rsidRPr="0052799D">
        <w:rPr>
          <w:rStyle w:val="FootnoteReference"/>
        </w:rPr>
        <w:footnoteRef/>
      </w:r>
      <w:r w:rsidRPr="0052799D">
        <w:t xml:space="preserve"> </w:t>
      </w:r>
      <w:r w:rsidRPr="005140A3">
        <w:rPr>
          <w:szCs w:val="18"/>
        </w:rPr>
        <w:t>defined as &gt; 3 consecutive days without medication</w:t>
      </w:r>
    </w:p>
  </w:footnote>
  <w:footnote w:id="16">
    <w:p w14:paraId="24A332AA" w14:textId="77777777" w:rsidR="007669A1" w:rsidRPr="005140A3" w:rsidRDefault="007669A1" w:rsidP="00B77AFB">
      <w:pPr>
        <w:pStyle w:val="FootnoteText"/>
        <w:rPr>
          <w:szCs w:val="18"/>
        </w:rPr>
      </w:pPr>
      <w:r w:rsidRPr="005140A3">
        <w:rPr>
          <w:rStyle w:val="FootnoteReference"/>
          <w:szCs w:val="18"/>
        </w:rPr>
        <w:footnoteRef/>
      </w:r>
      <w:r w:rsidRPr="005140A3">
        <w:rPr>
          <w:szCs w:val="18"/>
        </w:rPr>
        <w:t xml:space="preserve"> Only after one cycle plus 14 days had elapsed from the date of the last IM depot injection or 60 days since the last injection of an investigational IM depot formulation.</w:t>
      </w:r>
    </w:p>
  </w:footnote>
  <w:footnote w:id="17">
    <w:p w14:paraId="24A332B4" w14:textId="24079214" w:rsidR="007669A1" w:rsidRPr="005140A3" w:rsidRDefault="007669A1" w:rsidP="005140A3">
      <w:pPr>
        <w:pStyle w:val="FootnoteText"/>
        <w:rPr>
          <w:szCs w:val="18"/>
        </w:rPr>
      </w:pPr>
      <w:r w:rsidRPr="0052799D">
        <w:rPr>
          <w:rStyle w:val="FootnoteReference"/>
        </w:rPr>
        <w:footnoteRef/>
      </w:r>
      <w:r w:rsidRPr="0052799D">
        <w:t xml:space="preserve"> </w:t>
      </w:r>
      <w:r w:rsidRPr="005140A3">
        <w:rPr>
          <w:szCs w:val="18"/>
        </w:rPr>
        <w:t>defined as fulfilment of ALL of the following criteria for 8 consecutive weeks, with the possibility of one excursion from stability criteria during the 8-week period, as long as the excursion did not occur on the final visit of the Oral Stabilization Phase: 1) Outpatient status AND 2)PANSS Total Score  80 AND 3) Lack of specific psychotic symptoms on the PANSS as measured by a score of ≤ 4 on each of the following items (possible scores of 1 to 7 for each item): conceptual disorganization, suspiciousness, hallucinatory behaviour, unusual thought content, AND 4) CGI-S ≤ 4 (moderately ill) AND 5) CGI-SS ≤ 2 (mildly suicidal) on Part 1 and ≤ 5 (minimally worsened) on Part 2</w:t>
      </w:r>
    </w:p>
  </w:footnote>
  <w:footnote w:id="18">
    <w:p w14:paraId="24A332B5" w14:textId="364B4345" w:rsidR="007669A1" w:rsidRPr="005140A3" w:rsidRDefault="007669A1" w:rsidP="005140A3">
      <w:pPr>
        <w:pStyle w:val="FootnoteText"/>
        <w:rPr>
          <w:szCs w:val="18"/>
        </w:rPr>
      </w:pPr>
      <w:r w:rsidRPr="005140A3">
        <w:rPr>
          <w:rStyle w:val="FootnoteReference"/>
          <w:szCs w:val="18"/>
        </w:rPr>
        <w:footnoteRef/>
      </w:r>
      <w:r w:rsidR="005140A3" w:rsidRPr="005140A3">
        <w:rPr>
          <w:szCs w:val="18"/>
        </w:rPr>
        <w:t xml:space="preserve"> </w:t>
      </w:r>
      <w:r w:rsidRPr="005140A3">
        <w:rPr>
          <w:szCs w:val="18"/>
        </w:rPr>
        <w:t xml:space="preserve">a matching placebo was not available (the placebo used was clear, not milky white like IM </w:t>
      </w:r>
      <w:proofErr w:type="spellStart"/>
      <w:r w:rsidRPr="005140A3">
        <w:rPr>
          <w:szCs w:val="18"/>
        </w:rPr>
        <w:t>aripiprazole</w:t>
      </w:r>
      <w:proofErr w:type="spellEnd"/>
      <w:r w:rsidRPr="005140A3">
        <w:rPr>
          <w:szCs w:val="18"/>
        </w:rPr>
        <w:t xml:space="preserve"> depot)</w:t>
      </w:r>
    </w:p>
  </w:footnote>
  <w:footnote w:id="19">
    <w:p w14:paraId="24A332B6" w14:textId="77777777" w:rsidR="007669A1" w:rsidRPr="00BF2105" w:rsidRDefault="007669A1" w:rsidP="00B77AFB">
      <w:pPr>
        <w:pStyle w:val="FootnoteText"/>
      </w:pPr>
      <w:r>
        <w:rPr>
          <w:rStyle w:val="FootnoteReference"/>
        </w:rPr>
        <w:footnoteRef/>
      </w:r>
      <w:r>
        <w:t xml:space="preserve"> </w:t>
      </w:r>
      <w:r w:rsidRPr="00BF2105">
        <w:t>defined as meeting any or all of the following 4 criteria:</w:t>
      </w:r>
    </w:p>
    <w:p w14:paraId="24A332B8" w14:textId="5733BD50" w:rsidR="007669A1" w:rsidRPr="00BF2105" w:rsidRDefault="007669A1" w:rsidP="002B55D9">
      <w:pPr>
        <w:pStyle w:val="FootnoteText"/>
      </w:pPr>
      <w:r w:rsidRPr="00BF2105">
        <w:t>Clinical Global Impression of Improvement (CGI-I) of ≥ 5 (minimally worse)</w:t>
      </w:r>
      <w:r>
        <w:t xml:space="preserve"> </w:t>
      </w:r>
      <w:r w:rsidRPr="00BF2105">
        <w:t>AND</w:t>
      </w:r>
    </w:p>
    <w:p w14:paraId="24A332B9" w14:textId="77777777" w:rsidR="007669A1" w:rsidRPr="00BF2105" w:rsidRDefault="007669A1" w:rsidP="00B77AFB">
      <w:pPr>
        <w:pStyle w:val="FootnoteText"/>
      </w:pPr>
      <w:r w:rsidRPr="00BF2105">
        <w:t xml:space="preserve">an increase on any of the following individual Positive and Negative Syndrome Scale (PANSS) items (conceptual disorganization, hallucinatory </w:t>
      </w:r>
      <w:proofErr w:type="spellStart"/>
      <w:r w:rsidRPr="00BF2105">
        <w:t>behavior</w:t>
      </w:r>
      <w:proofErr w:type="spellEnd"/>
      <w:r w:rsidRPr="00BF2105">
        <w:t>, suspiciousness, unusual thought content) to a score &gt; 4 with an absolute increase of ≥ 2 on that specific item since randomization OR</w:t>
      </w:r>
    </w:p>
    <w:p w14:paraId="76F28A8A" w14:textId="5E1040B8" w:rsidR="007669A1" w:rsidRDefault="007669A1" w:rsidP="00B77AFB">
      <w:pPr>
        <w:pStyle w:val="FootnoteText"/>
      </w:pPr>
      <w:r w:rsidRPr="00BF2105">
        <w:t xml:space="preserve">an increase on any of the following individual PANSS items (conceptual disorganization, hallucinatory </w:t>
      </w:r>
      <w:proofErr w:type="spellStart"/>
      <w:r w:rsidRPr="00BF2105">
        <w:t>behavior</w:t>
      </w:r>
      <w:proofErr w:type="spellEnd"/>
      <w:r w:rsidRPr="00BF2105">
        <w:t xml:space="preserve">, suspiciousness, unusual thought content) to a score &gt; 4 and an absolute increase of ≥ 4 on the combined 4 PANSS items (conceptual disorganization, hallucinatory </w:t>
      </w:r>
      <w:proofErr w:type="spellStart"/>
      <w:r w:rsidRPr="00BF2105">
        <w:t>behavior</w:t>
      </w:r>
      <w:proofErr w:type="spellEnd"/>
      <w:r w:rsidRPr="00BF2105">
        <w:t>, suspiciousness, unusual thought content) since randomization OR</w:t>
      </w:r>
      <w:r>
        <w:t xml:space="preserve"> </w:t>
      </w:r>
      <w:r w:rsidRPr="00BF2105">
        <w:t>Hospitalization due to worsening of psychotic symptoms (including partial hospitalization programs), but excluding hospitalization for psychosocial reasons</w:t>
      </w:r>
      <w:r>
        <w:t xml:space="preserve"> </w:t>
      </w:r>
      <w:r w:rsidRPr="00BF2105">
        <w:t>OR</w:t>
      </w:r>
    </w:p>
    <w:p w14:paraId="308FAFE8" w14:textId="50851E93" w:rsidR="007669A1" w:rsidRDefault="007669A1" w:rsidP="00B77AFB">
      <w:pPr>
        <w:pStyle w:val="FootnoteText"/>
      </w:pPr>
      <w:r w:rsidRPr="00BF2105">
        <w:t>Clinical Global Impression of Severity of Suicide (CGI-SS) of 4 (severely suicidal) or 5 (attempted suicide) on Part 1 and/or 6 (much worse) or 7 (very much worse) on Part 2 OR</w:t>
      </w:r>
    </w:p>
    <w:p w14:paraId="24A332C0" w14:textId="135C21B0" w:rsidR="007669A1" w:rsidRPr="00BF2105" w:rsidRDefault="007669A1" w:rsidP="00B77AFB">
      <w:pPr>
        <w:pStyle w:val="FootnoteText"/>
      </w:pPr>
      <w:r w:rsidRPr="00BF2105">
        <w:t>Violent behaviour resulting in clinically relevant self-injury, injury to another person, or property damage</w:t>
      </w:r>
    </w:p>
  </w:footnote>
  <w:footnote w:id="20">
    <w:p w14:paraId="24A332C1" w14:textId="77777777" w:rsidR="007669A1" w:rsidRDefault="007669A1" w:rsidP="00B77AFB">
      <w:pPr>
        <w:pStyle w:val="FootnoteText"/>
      </w:pPr>
      <w:r>
        <w:rPr>
          <w:rStyle w:val="FootnoteReference"/>
        </w:rPr>
        <w:footnoteRef/>
      </w:r>
      <w:r>
        <w:t xml:space="preserve"> </w:t>
      </w:r>
      <w:r w:rsidRPr="005D4A3A">
        <w:t>compared in the Double-</w:t>
      </w:r>
      <w:proofErr w:type="spellStart"/>
      <w:r w:rsidRPr="005D4A3A">
        <w:t>blind,Placebo</w:t>
      </w:r>
      <w:proofErr w:type="spellEnd"/>
      <w:r w:rsidRPr="005D4A3A">
        <w:t xml:space="preserve">-controlled Phase between the </w:t>
      </w:r>
      <w:proofErr w:type="spellStart"/>
      <w:r w:rsidRPr="005D4A3A">
        <w:t>aripiprazole</w:t>
      </w:r>
      <w:proofErr w:type="spellEnd"/>
      <w:r w:rsidRPr="005D4A3A">
        <w:t xml:space="preserve"> IM depot treatment </w:t>
      </w:r>
      <w:r w:rsidRPr="00B77AFB">
        <w:t>group</w:t>
      </w:r>
      <w:r w:rsidRPr="005D4A3A">
        <w:t xml:space="preserve"> and the</w:t>
      </w:r>
      <w:r>
        <w:t xml:space="preserve"> </w:t>
      </w:r>
      <w:r w:rsidRPr="005D4A3A">
        <w:t>placebo group</w:t>
      </w:r>
    </w:p>
  </w:footnote>
  <w:footnote w:id="21">
    <w:p w14:paraId="24A332C2" w14:textId="2D84431C" w:rsidR="007669A1" w:rsidRDefault="007669A1" w:rsidP="002B55D9">
      <w:pPr>
        <w:pStyle w:val="FootnoteText"/>
      </w:pPr>
      <w:r>
        <w:rPr>
          <w:rStyle w:val="FootnoteReference"/>
        </w:rPr>
        <w:footnoteRef/>
      </w:r>
      <w:r>
        <w:t xml:space="preserve"> </w:t>
      </w:r>
      <w:r w:rsidRPr="00694DCF">
        <w:t xml:space="preserve">The protocol was amended mid study (see </w:t>
      </w:r>
      <w:r>
        <w:t>19.5</w:t>
      </w:r>
      <w:r w:rsidRPr="00694DCF">
        <w:t>) in relation to the secondary endpoints an hierarchical system of analysis was removed (this would have meant ceasing the analysis after Proportion of responders and Proportion of subjects achieving remission). P</w:t>
      </w:r>
      <w:r>
        <w:t>SP(</w:t>
      </w:r>
      <w:r w:rsidRPr="004D0CFF">
        <w:t>Personal and Social Performance Scale</w:t>
      </w:r>
      <w:r>
        <w:t>)</w:t>
      </w:r>
      <w:r w:rsidRPr="00694DCF">
        <w:t xml:space="preserve"> was remove</w:t>
      </w:r>
      <w:r>
        <w:t>d from the secondary endpoints.</w:t>
      </w:r>
    </w:p>
  </w:footnote>
  <w:footnote w:id="22">
    <w:p w14:paraId="24A332C3" w14:textId="77777777" w:rsidR="007669A1" w:rsidRDefault="007669A1" w:rsidP="002B55D9">
      <w:pPr>
        <w:pStyle w:val="FootnoteText"/>
      </w:pPr>
      <w:r>
        <w:rPr>
          <w:rStyle w:val="FootnoteReference"/>
        </w:rPr>
        <w:footnoteRef/>
      </w:r>
      <w:r>
        <w:t xml:space="preserve"> defined as a score of ≤ 3 on each of the following specific PANSS items, maintained for a period of 6 months: delusions (P1), unusual thought content (G9), hallucinatory </w:t>
      </w:r>
      <w:proofErr w:type="spellStart"/>
      <w:r>
        <w:t>behavior</w:t>
      </w:r>
      <w:proofErr w:type="spellEnd"/>
      <w:r>
        <w:t xml:space="preserve"> (P3), conceptual disorganization (P2), mannerisms/posturing (G5), blunted affect (N1), social withdrawal (N4), lack of spontaneity (N6)</w:t>
      </w:r>
    </w:p>
  </w:footnote>
  <w:footnote w:id="23">
    <w:p w14:paraId="24A332C4" w14:textId="77777777" w:rsidR="007669A1" w:rsidRDefault="007669A1" w:rsidP="002B55D9">
      <w:pPr>
        <w:pStyle w:val="FootnoteText"/>
      </w:pPr>
      <w:r>
        <w:rPr>
          <w:rStyle w:val="FootnoteReference"/>
        </w:rPr>
        <w:footnoteRef/>
      </w:r>
      <w:r>
        <w:t xml:space="preserve"> considering that, the exacerbation criteria in this trial were somewhat stricter than the relapse criteria in the previous trial</w:t>
      </w:r>
    </w:p>
  </w:footnote>
  <w:footnote w:id="24">
    <w:p w14:paraId="24A332C5" w14:textId="77777777" w:rsidR="007669A1" w:rsidRDefault="007669A1" w:rsidP="002B55D9">
      <w:pPr>
        <w:pStyle w:val="FootnoteText"/>
      </w:pPr>
      <w:r>
        <w:rPr>
          <w:rStyle w:val="FootnoteReference"/>
        </w:rPr>
        <w:footnoteRef/>
      </w:r>
      <w:r>
        <w:t xml:space="preserve"> </w:t>
      </w:r>
      <w:r w:rsidRPr="00546AEE">
        <w:t>at th</w:t>
      </w:r>
      <w:r>
        <w:t xml:space="preserve">e endpoint of the Double-blind, </w:t>
      </w:r>
      <w:r w:rsidRPr="00546AEE">
        <w:t>Placebo-controlled Phase</w:t>
      </w:r>
    </w:p>
  </w:footnote>
  <w:footnote w:id="25">
    <w:p w14:paraId="24A332C6" w14:textId="42FECF6E" w:rsidR="007669A1" w:rsidRDefault="007669A1" w:rsidP="002B55D9">
      <w:pPr>
        <w:pStyle w:val="FootnoteText"/>
      </w:pPr>
      <w:r>
        <w:rPr>
          <w:rStyle w:val="FootnoteReference"/>
        </w:rPr>
        <w:footnoteRef/>
      </w:r>
      <w:r>
        <w:t xml:space="preserve"> </w:t>
      </w:r>
      <w:r w:rsidRPr="00694DCF">
        <w:t>The protocol was amended mid study in relation to the secondary endpoints an hierarchical system of analysis was removed (this would have meant ceasing the analysis after Proportion of responders and Proportion of subjects achieving remission). PNS was remove</w:t>
      </w:r>
      <w:r w:rsidR="007A5206">
        <w:t>d from the secondary endpoints.</w:t>
      </w:r>
    </w:p>
  </w:footnote>
  <w:footnote w:id="26">
    <w:p w14:paraId="24A332C7" w14:textId="77777777" w:rsidR="007669A1" w:rsidRPr="00142469" w:rsidRDefault="007669A1" w:rsidP="0044465B">
      <w:pPr>
        <w:pStyle w:val="FootnoteText"/>
      </w:pPr>
      <w:r w:rsidRPr="00142469">
        <w:rPr>
          <w:rStyle w:val="FootnoteReference"/>
        </w:rPr>
        <w:footnoteRef/>
      </w:r>
      <w:r w:rsidRPr="00142469">
        <w:t xml:space="preserve"> defined as &gt; 3 consecutive days without medication</w:t>
      </w:r>
    </w:p>
  </w:footnote>
  <w:footnote w:id="27">
    <w:p w14:paraId="24A332C8" w14:textId="77777777" w:rsidR="007669A1" w:rsidRPr="00142469" w:rsidRDefault="007669A1" w:rsidP="0044465B">
      <w:pPr>
        <w:pStyle w:val="FootnoteText"/>
      </w:pPr>
      <w:r w:rsidRPr="00142469">
        <w:rPr>
          <w:rStyle w:val="FootnoteReference"/>
        </w:rPr>
        <w:footnoteRef/>
      </w:r>
      <w:r w:rsidRPr="00142469">
        <w:t xml:space="preserve"> Only after one cycle plus 14 days had elapsed from the date of the last IM depot injection or 60 days since the last injection of an investigational IM depot formulation.</w:t>
      </w:r>
    </w:p>
  </w:footnote>
  <w:footnote w:id="28">
    <w:p w14:paraId="24A332D2" w14:textId="0C7245EB" w:rsidR="007669A1" w:rsidRPr="00142469" w:rsidRDefault="007669A1" w:rsidP="0044465B">
      <w:pPr>
        <w:pStyle w:val="FootnoteText"/>
      </w:pPr>
      <w:r w:rsidRPr="00142469">
        <w:rPr>
          <w:rStyle w:val="FootnoteReference"/>
        </w:rPr>
        <w:footnoteRef/>
      </w:r>
      <w:r w:rsidRPr="00142469">
        <w:t xml:space="preserve"> defined as fulfilment of ALL of the following criteria for 8 consecutive weeks, with the possibility of one excursion from stability criteria during the 8-week period, as long as the excursion did not occur on the final visit of the Oral Stabilization Phase:</w:t>
      </w:r>
      <w:r>
        <w:t xml:space="preserve"> </w:t>
      </w:r>
      <w:r w:rsidRPr="00142469">
        <w:t>1) Outpatient status AND</w:t>
      </w:r>
      <w:r>
        <w:t xml:space="preserve"> </w:t>
      </w:r>
      <w:r w:rsidRPr="00142469">
        <w:t>2)PANSS Total Score 80 AND</w:t>
      </w:r>
      <w:r>
        <w:t xml:space="preserve"> </w:t>
      </w:r>
      <w:r w:rsidRPr="00142469">
        <w:t>3) Lack of specific psychotic symptoms on the PANSS as measured by a score of ≤ 4 on each of the following items (possible scores of 1 to 7 for each item):conceptual disorganization</w:t>
      </w:r>
      <w:r>
        <w:t xml:space="preserve">, </w:t>
      </w:r>
      <w:r w:rsidRPr="00142469">
        <w:t>suspiciousness</w:t>
      </w:r>
      <w:r>
        <w:t xml:space="preserve">, </w:t>
      </w:r>
      <w:r w:rsidRPr="00142469">
        <w:t>hallucinatory behaviour</w:t>
      </w:r>
      <w:r>
        <w:t xml:space="preserve"> </w:t>
      </w:r>
      <w:r w:rsidRPr="00142469">
        <w:t>unusual thought content, AND</w:t>
      </w:r>
      <w:r>
        <w:t xml:space="preserve"> </w:t>
      </w:r>
      <w:r w:rsidRPr="00142469">
        <w:t>4) CGI-S ≤ 4 (moderately ill) AND</w:t>
      </w:r>
      <w:r>
        <w:t xml:space="preserve"> </w:t>
      </w:r>
      <w:r w:rsidRPr="00142469">
        <w:t>5) CGI-SS ≤ 2 (mildly suicidal) on Part 1 and ≤ 5 (minimally worsened) on Part 2</w:t>
      </w:r>
    </w:p>
  </w:footnote>
  <w:footnote w:id="29">
    <w:p w14:paraId="24A332D3" w14:textId="77777777" w:rsidR="007669A1" w:rsidRDefault="007669A1" w:rsidP="0044465B">
      <w:pPr>
        <w:pStyle w:val="FootnoteText"/>
      </w:pPr>
      <w:r>
        <w:rPr>
          <w:rStyle w:val="FootnoteReference"/>
        </w:rPr>
        <w:footnoteRef/>
      </w:r>
      <w:r>
        <w:t xml:space="preserve"> </w:t>
      </w:r>
      <w:r w:rsidRPr="004C3C32">
        <w:t>inclu</w:t>
      </w:r>
      <w:r>
        <w:t xml:space="preserve">ded as a low-dose </w:t>
      </w:r>
      <w:proofErr w:type="spellStart"/>
      <w:r>
        <w:t>aripiprazole</w:t>
      </w:r>
      <w:proofErr w:type="spellEnd"/>
      <w:r>
        <w:t xml:space="preserve"> </w:t>
      </w:r>
      <w:r w:rsidRPr="004C3C32">
        <w:t>group to test assay sensitivity</w:t>
      </w:r>
    </w:p>
  </w:footnote>
  <w:footnote w:id="30">
    <w:p w14:paraId="24A332D4" w14:textId="77777777" w:rsidR="007669A1" w:rsidRPr="00A93B78" w:rsidRDefault="007669A1" w:rsidP="00161C79">
      <w:pPr>
        <w:pStyle w:val="FootnoteText"/>
      </w:pPr>
      <w:r>
        <w:rPr>
          <w:rStyle w:val="FootnoteReference"/>
        </w:rPr>
        <w:footnoteRef/>
      </w:r>
      <w:r>
        <w:t xml:space="preserve"> </w:t>
      </w:r>
      <w:r w:rsidRPr="00A93B78">
        <w:t>defined as meeting any or all of the following 4 criteria:</w:t>
      </w:r>
    </w:p>
    <w:p w14:paraId="24A332D5" w14:textId="77777777" w:rsidR="007669A1" w:rsidRPr="00A93B78" w:rsidRDefault="007669A1" w:rsidP="00161C79">
      <w:pPr>
        <w:pStyle w:val="FootnoteText"/>
      </w:pPr>
      <w:r w:rsidRPr="00A93B78">
        <w:t>1) Clinical Global Impression of Improvement (CGI-I) of ≥ 5 (minimally worse)</w:t>
      </w:r>
    </w:p>
    <w:p w14:paraId="24A332D6" w14:textId="77777777" w:rsidR="007669A1" w:rsidRPr="00A93B78" w:rsidRDefault="007669A1" w:rsidP="00161C79">
      <w:pPr>
        <w:pStyle w:val="FootnoteText"/>
      </w:pPr>
      <w:r w:rsidRPr="00161C79">
        <w:t>AND</w:t>
      </w:r>
    </w:p>
    <w:p w14:paraId="24A332D7" w14:textId="3AF1A265" w:rsidR="007669A1" w:rsidRPr="00142469" w:rsidRDefault="007669A1" w:rsidP="00161C79">
      <w:pPr>
        <w:pStyle w:val="FootnoteText"/>
      </w:pPr>
      <w:r w:rsidRPr="00142469">
        <w:t>an increase on any of the following individual PANSS items (conceptual disorganization, hallucinatory behaviour, suspiciousness, unusual thought content) to a score &gt; 4 with an absolute increase of ≥ 2 on that sp</w:t>
      </w:r>
      <w:r w:rsidR="000B39DE">
        <w:t>ecific item since randomization</w:t>
      </w:r>
      <w:r w:rsidRPr="00142469">
        <w:br/>
        <w:t>OR</w:t>
      </w:r>
    </w:p>
    <w:p w14:paraId="24A332D8" w14:textId="77777777" w:rsidR="007669A1" w:rsidRPr="00142469" w:rsidRDefault="007669A1" w:rsidP="00161C79">
      <w:pPr>
        <w:pStyle w:val="FootnoteText"/>
      </w:pPr>
      <w:r w:rsidRPr="00142469">
        <w:t>an increase on any of the following individual PANSS items (conceptual disorganization, hallucinatory behaviour, suspiciousness, unusual thought content) to a score &gt; 4 and an absolute increase of ≥ 4 on the combined 4 PANSS items (conceptual disorganization, hallucinatory behaviour, suspiciousness, unusual thought content) since randomization.</w:t>
      </w:r>
    </w:p>
    <w:p w14:paraId="24A332D9" w14:textId="77777777" w:rsidR="007669A1" w:rsidRPr="00A93B78" w:rsidRDefault="007669A1" w:rsidP="00161C79">
      <w:pPr>
        <w:pStyle w:val="FootnoteText"/>
      </w:pPr>
      <w:r w:rsidRPr="00A93B78">
        <w:t>OR</w:t>
      </w:r>
    </w:p>
    <w:p w14:paraId="24A332DA" w14:textId="77777777" w:rsidR="007669A1" w:rsidRPr="00A93B78" w:rsidRDefault="007669A1" w:rsidP="00161C79">
      <w:pPr>
        <w:pStyle w:val="FootnoteText"/>
      </w:pPr>
      <w:r w:rsidRPr="00A93B78">
        <w:t>2) Hospitalization due to worsening of psychotic symptoms (including partial hospitalization programs), but excluding hospitalization for psychosocial reasons</w:t>
      </w:r>
    </w:p>
    <w:p w14:paraId="24A332DB" w14:textId="77777777" w:rsidR="007669A1" w:rsidRPr="00A93B78" w:rsidRDefault="007669A1" w:rsidP="00161C79">
      <w:pPr>
        <w:pStyle w:val="FootnoteText"/>
      </w:pPr>
      <w:r w:rsidRPr="00A93B78">
        <w:t>OR</w:t>
      </w:r>
    </w:p>
    <w:p w14:paraId="24A332DC" w14:textId="68B6E482" w:rsidR="007669A1" w:rsidRPr="00A93B78" w:rsidRDefault="007669A1" w:rsidP="00161C79">
      <w:pPr>
        <w:pStyle w:val="FootnoteText"/>
      </w:pPr>
      <w:r w:rsidRPr="00A93B78">
        <w:t>3) Clinical Global Impression of Severity of Suicide (CGI-SS) of 4 (severely suicidal) or 5 (attempted suicide) on Part 1 and/or 6 (much worse) o</w:t>
      </w:r>
      <w:r w:rsidR="000B39DE">
        <w:t>r 7 (very much worse) on Part 2</w:t>
      </w:r>
    </w:p>
    <w:p w14:paraId="24A332DD" w14:textId="77777777" w:rsidR="007669A1" w:rsidRPr="00A93B78" w:rsidRDefault="007669A1" w:rsidP="00161C79">
      <w:pPr>
        <w:pStyle w:val="FootnoteText"/>
      </w:pPr>
      <w:r w:rsidRPr="00A93B78">
        <w:t>OR</w:t>
      </w:r>
    </w:p>
    <w:p w14:paraId="24A332DE" w14:textId="77777777" w:rsidR="007669A1" w:rsidRDefault="007669A1" w:rsidP="00161C79">
      <w:pPr>
        <w:pStyle w:val="FootnoteText"/>
      </w:pPr>
      <w:r w:rsidRPr="00A93B78">
        <w:t>4) Violent behaviour resulting in clinically relevant</w:t>
      </w:r>
      <w:r>
        <w:t xml:space="preserve"> self-injury, injury to another person, or property damage.</w:t>
      </w:r>
    </w:p>
  </w:footnote>
  <w:footnote w:id="31">
    <w:p w14:paraId="24A332DF" w14:textId="77777777" w:rsidR="007669A1" w:rsidRDefault="007669A1" w:rsidP="00161C79">
      <w:pPr>
        <w:pStyle w:val="FootnoteText"/>
      </w:pPr>
      <w:r>
        <w:rPr>
          <w:rStyle w:val="FootnoteReference"/>
        </w:rPr>
        <w:footnoteRef/>
      </w:r>
      <w:r>
        <w:t xml:space="preserve"> </w:t>
      </w:r>
      <w:r w:rsidRPr="00A93B78">
        <w:t>defined as meeting impending relapse criteria;</w:t>
      </w:r>
    </w:p>
  </w:footnote>
  <w:footnote w:id="32">
    <w:p w14:paraId="24A332E0" w14:textId="77777777" w:rsidR="007669A1" w:rsidRDefault="007669A1" w:rsidP="00161C79">
      <w:pPr>
        <w:pStyle w:val="FootnoteText"/>
      </w:pPr>
      <w:r>
        <w:rPr>
          <w:rStyle w:val="FootnoteReference"/>
        </w:rPr>
        <w:footnoteRef/>
      </w:r>
      <w:r>
        <w:t xml:space="preserve"> defined as meeting stability criteria</w:t>
      </w:r>
    </w:p>
  </w:footnote>
  <w:footnote w:id="33">
    <w:p w14:paraId="24A332E1" w14:textId="77777777" w:rsidR="007669A1" w:rsidRDefault="007669A1" w:rsidP="00161C79">
      <w:pPr>
        <w:pStyle w:val="FootnoteText"/>
      </w:pPr>
      <w:r>
        <w:rPr>
          <w:rStyle w:val="FootnoteReference"/>
        </w:rPr>
        <w:footnoteRef/>
      </w:r>
      <w:r>
        <w:t xml:space="preserve"> </w:t>
      </w:r>
      <w:r w:rsidRPr="00A93B78">
        <w:t xml:space="preserve">defined as a score of </w:t>
      </w:r>
      <w:r>
        <w:t>≤</w:t>
      </w:r>
      <w:r w:rsidRPr="00A93B78">
        <w:t xml:space="preserve"> 3 on each of the following specific PANSS items, maintained for a period of</w:t>
      </w:r>
      <w:r>
        <w:t xml:space="preserve"> </w:t>
      </w:r>
      <w:r w:rsidRPr="00A93B78">
        <w:t>6 months: delusions (P1), unusual thought content (G9), hallucinatory behaviour (P3),</w:t>
      </w:r>
      <w:r>
        <w:t xml:space="preserve"> </w:t>
      </w:r>
      <w:r w:rsidRPr="00A93B78">
        <w:t>conceptual disorganization (P2), mannerisms/posturing (G5), blunted affect (N1),</w:t>
      </w:r>
      <w:r>
        <w:t xml:space="preserve"> </w:t>
      </w:r>
      <w:r w:rsidRPr="00A93B78">
        <w:t>social withdrawal (N4), and lack of spontaneity (N6)</w:t>
      </w:r>
      <w:r>
        <w:t xml:space="preserve"> </w:t>
      </w:r>
    </w:p>
  </w:footnote>
  <w:footnote w:id="34">
    <w:p w14:paraId="24A332E2" w14:textId="77777777" w:rsidR="007669A1" w:rsidRDefault="007669A1" w:rsidP="00B82B11">
      <w:pPr>
        <w:pStyle w:val="FootnoteText"/>
      </w:pPr>
      <w:r>
        <w:rPr>
          <w:rStyle w:val="FootnoteReference"/>
        </w:rPr>
        <w:footnoteRef/>
      </w:r>
      <w:r>
        <w:t xml:space="preserve"> </w:t>
      </w:r>
      <w:r w:rsidRPr="00B265E8">
        <w:t>Using a 95% (two-</w:t>
      </w:r>
      <w:r w:rsidRPr="00B82B11">
        <w:t>sided</w:t>
      </w:r>
      <w:r w:rsidRPr="00B265E8">
        <w:t xml:space="preserve">) </w:t>
      </w:r>
      <w:r>
        <w:t>CI</w:t>
      </w:r>
      <w:r w:rsidRPr="00B265E8">
        <w:t xml:space="preserve"> for the </w:t>
      </w:r>
      <w:r>
        <w:t>HR (</w:t>
      </w:r>
      <w:proofErr w:type="spellStart"/>
      <w:r>
        <w:t>aripiprazole</w:t>
      </w:r>
      <w:proofErr w:type="spellEnd"/>
      <w:r>
        <w:t xml:space="preserve"> IM depot 400</w:t>
      </w:r>
      <w:r w:rsidRPr="00B265E8">
        <w:t xml:space="preserve"> or 30</w:t>
      </w:r>
      <w:r>
        <w:t>0 mg</w:t>
      </w:r>
      <w:r w:rsidRPr="00B265E8">
        <w:t xml:space="preserve"> vs. oral </w:t>
      </w:r>
      <w:proofErr w:type="spellStart"/>
      <w:r w:rsidRPr="00B265E8">
        <w:t>aripiprazole</w:t>
      </w:r>
      <w:proofErr w:type="spellEnd"/>
      <w:r w:rsidRPr="00B265E8">
        <w:t>)</w:t>
      </w:r>
    </w:p>
  </w:footnote>
  <w:footnote w:id="35">
    <w:p w14:paraId="24A332E3" w14:textId="77777777" w:rsidR="007669A1" w:rsidRDefault="007669A1" w:rsidP="002B55D9">
      <w:pPr>
        <w:pStyle w:val="FootnoteText"/>
      </w:pPr>
      <w:r>
        <w:rPr>
          <w:rStyle w:val="FootnoteReference"/>
        </w:rPr>
        <w:footnoteRef/>
      </w:r>
      <w:r>
        <w:t xml:space="preserve"> Subjects who received any investigational agent in a clinical trial within 30 days prior to screening or who were randomized into a clinical trial with </w:t>
      </w:r>
      <w:proofErr w:type="spellStart"/>
      <w:r>
        <w:t>aripiprazole</w:t>
      </w:r>
      <w:proofErr w:type="spellEnd"/>
      <w:r>
        <w:t xml:space="preserve"> IM depot at any time. NOTE: Subjects who discontinued at any phase of the trial (Conversion Phase to the Double-blind, Active-controlled Phase) were not eligible and could not be rescreened to enter the trial.</w:t>
      </w:r>
    </w:p>
  </w:footnote>
  <w:footnote w:id="36">
    <w:p w14:paraId="24A332E4" w14:textId="77777777" w:rsidR="007669A1" w:rsidRPr="005B3049" w:rsidRDefault="007669A1" w:rsidP="002B55D9">
      <w:pPr>
        <w:pStyle w:val="FootnoteText"/>
      </w:pPr>
      <w:r w:rsidRPr="005B3049">
        <w:rPr>
          <w:rStyle w:val="FootnoteReference"/>
        </w:rPr>
        <w:footnoteRef/>
      </w:r>
      <w:r w:rsidRPr="005B3049">
        <w:t xml:space="preserve"> </w:t>
      </w:r>
      <w:r w:rsidRPr="005B3049">
        <w:rPr>
          <w:bCs/>
        </w:rPr>
        <w:t>Abbreviated Clinical Study Report 31-08-248 page 56</w:t>
      </w:r>
    </w:p>
  </w:footnote>
  <w:footnote w:id="37">
    <w:p w14:paraId="24A332E5" w14:textId="77777777" w:rsidR="007669A1" w:rsidRDefault="007669A1" w:rsidP="002B55D9">
      <w:pPr>
        <w:pStyle w:val="FootnoteText"/>
      </w:pPr>
      <w:r>
        <w:rPr>
          <w:rStyle w:val="FootnoteReference"/>
        </w:rPr>
        <w:footnoteRef/>
      </w:r>
      <w:r>
        <w:t xml:space="preserve"> </w:t>
      </w:r>
      <w:r w:rsidRPr="005B3049">
        <w:t>Abbreviated Clinical Study Report 31-11-283</w:t>
      </w:r>
      <w:r>
        <w:t xml:space="preserve"> page 56</w:t>
      </w:r>
    </w:p>
  </w:footnote>
  <w:footnote w:id="38">
    <w:p w14:paraId="24A332E6" w14:textId="77777777" w:rsidR="007669A1" w:rsidRDefault="007669A1" w:rsidP="002B55D9">
      <w:pPr>
        <w:pStyle w:val="FootnoteText"/>
      </w:pPr>
      <w:r>
        <w:rPr>
          <w:rStyle w:val="FootnoteReference"/>
        </w:rPr>
        <w:footnoteRef/>
      </w:r>
      <w:r>
        <w:t xml:space="preserve"> </w:t>
      </w:r>
      <w:r w:rsidRPr="00FE6AF3">
        <w:t>Abbreviated Clinical Study Report 31-10-270</w:t>
      </w:r>
      <w:r>
        <w:t xml:space="preserve"> page 22</w:t>
      </w:r>
    </w:p>
  </w:footnote>
  <w:footnote w:id="39">
    <w:p w14:paraId="24A332E7" w14:textId="77777777" w:rsidR="007669A1" w:rsidRDefault="007669A1" w:rsidP="002B55D9">
      <w:pPr>
        <w:pStyle w:val="FootnoteText"/>
      </w:pPr>
      <w:r>
        <w:rPr>
          <w:rStyle w:val="FootnoteReference"/>
        </w:rPr>
        <w:footnoteRef/>
      </w:r>
      <w:r>
        <w:t xml:space="preserve"> Deaths are those recoded on Depot IM </w:t>
      </w:r>
      <w:proofErr w:type="spellStart"/>
      <w:r>
        <w:t>aripiprazole</w:t>
      </w:r>
      <w:proofErr w:type="spellEnd"/>
    </w:p>
  </w:footnote>
  <w:footnote w:id="40">
    <w:p w14:paraId="24A332E8" w14:textId="77777777" w:rsidR="007669A1" w:rsidRDefault="007669A1" w:rsidP="002B55D9">
      <w:pPr>
        <w:pStyle w:val="FootnoteText"/>
      </w:pPr>
      <w:r>
        <w:rPr>
          <w:rStyle w:val="FootnoteReference"/>
        </w:rPr>
        <w:footnoteRef/>
      </w:r>
      <w:r>
        <w:t xml:space="preserve"> Subjects </w:t>
      </w:r>
      <w:r w:rsidRPr="006C6D41">
        <w:t xml:space="preserve">randomized to placebo and to oral </w:t>
      </w:r>
      <w:proofErr w:type="spellStart"/>
      <w:r w:rsidRPr="006C6D41">
        <w:t>aripiprazole</w:t>
      </w:r>
      <w:proofErr w:type="spellEnd"/>
      <w:r w:rsidRPr="006C6D41">
        <w:t xml:space="preserve"> received a placebo IM depot injection</w:t>
      </w:r>
    </w:p>
  </w:footnote>
  <w:footnote w:id="41">
    <w:p w14:paraId="24A332E9" w14:textId="77777777" w:rsidR="007669A1" w:rsidRDefault="007669A1" w:rsidP="002B55D9">
      <w:pPr>
        <w:pStyle w:val="FootnoteText"/>
      </w:pPr>
      <w:r>
        <w:rPr>
          <w:rStyle w:val="FootnoteReference"/>
        </w:rPr>
        <w:footnoteRef/>
      </w:r>
      <w:r>
        <w:t xml:space="preserve"> Within 30 minutes before and 1 hour (± 15 minutes) after each IM depot injection and at</w:t>
      </w:r>
    </w:p>
    <w:p w14:paraId="24A332EA" w14:textId="77777777" w:rsidR="007669A1" w:rsidRDefault="007669A1" w:rsidP="002B55D9">
      <w:pPr>
        <w:pStyle w:val="FootnoteText"/>
      </w:pPr>
      <w:r>
        <w:t>each trial visit</w:t>
      </w:r>
    </w:p>
  </w:footnote>
  <w:footnote w:id="42">
    <w:p w14:paraId="24A332EB" w14:textId="77777777" w:rsidR="007669A1" w:rsidRDefault="007669A1" w:rsidP="002B55D9">
      <w:pPr>
        <w:pStyle w:val="FootnoteText"/>
      </w:pPr>
      <w:r>
        <w:rPr>
          <w:rStyle w:val="FootnoteReference"/>
        </w:rPr>
        <w:footnoteRef/>
      </w:r>
      <w:r>
        <w:t xml:space="preserve"> Subjects assigned to treatment with IM depot received oral matching placebo tablets, and those assigned to oral </w:t>
      </w:r>
      <w:proofErr w:type="spellStart"/>
      <w:r>
        <w:t>aripiprazole</w:t>
      </w:r>
      <w:proofErr w:type="spellEnd"/>
      <w:r>
        <w:t xml:space="preserve"> tablets received IM depot matching placebo (either high-dose IM depot placebo or low-dose IM depot placebo).</w:t>
      </w:r>
    </w:p>
  </w:footnote>
  <w:footnote w:id="43">
    <w:p w14:paraId="24A332EC" w14:textId="77777777" w:rsidR="007669A1" w:rsidRDefault="007669A1" w:rsidP="002B55D9">
      <w:pPr>
        <w:pStyle w:val="FootnoteText"/>
      </w:pPr>
      <w:r>
        <w:rPr>
          <w:rStyle w:val="FootnoteReference"/>
        </w:rPr>
        <w:footnoteRef/>
      </w:r>
      <w:r>
        <w:t xml:space="preserve"> For the age subgroup analysis, 45 years was used as a cut-off point as very few subjects enrolled in any </w:t>
      </w:r>
      <w:proofErr w:type="spellStart"/>
      <w:r>
        <w:t>aripiprazole</w:t>
      </w:r>
      <w:proofErr w:type="spellEnd"/>
      <w:r>
        <w:t xml:space="preserve"> IM depot trial were ≥ 60 years of age.</w:t>
      </w:r>
      <w:r w:rsidRPr="00442474">
        <w:t xml:space="preserve"> 2.7.4 Summary of Clinical Safety</w:t>
      </w:r>
      <w:r>
        <w:t xml:space="preserve"> p33</w:t>
      </w:r>
    </w:p>
  </w:footnote>
  <w:footnote w:id="44">
    <w:p w14:paraId="24A332ED" w14:textId="77777777" w:rsidR="007669A1" w:rsidRDefault="007669A1" w:rsidP="002B55D9">
      <w:pPr>
        <w:pStyle w:val="FootnoteText"/>
      </w:pPr>
      <w:r>
        <w:rPr>
          <w:rStyle w:val="FootnoteReference"/>
        </w:rPr>
        <w:footnoteRef/>
      </w:r>
      <w:r>
        <w:t xml:space="preserve"> Prior to this phase these subjects had received </w:t>
      </w:r>
      <w:proofErr w:type="spellStart"/>
      <w:r>
        <w:t>aripiprazole</w:t>
      </w:r>
      <w:proofErr w:type="spellEnd"/>
      <w:r>
        <w:t xml:space="preserve"> </w:t>
      </w:r>
    </w:p>
  </w:footnote>
  <w:footnote w:id="45">
    <w:p w14:paraId="24A332EE" w14:textId="77777777" w:rsidR="007669A1" w:rsidRDefault="007669A1" w:rsidP="002B55D9">
      <w:pPr>
        <w:pStyle w:val="FootnoteText"/>
      </w:pPr>
      <w:r>
        <w:rPr>
          <w:rStyle w:val="FootnoteReference"/>
        </w:rPr>
        <w:footnoteRef/>
      </w:r>
      <w:r>
        <w:t xml:space="preserve"> </w:t>
      </w:r>
      <w:r w:rsidRPr="000B79C8">
        <w:t>2.7.4 Summary of Clinical Safety</w:t>
      </w:r>
      <w:r>
        <w:t xml:space="preserve"> page 141, 142</w:t>
      </w:r>
    </w:p>
  </w:footnote>
  <w:footnote w:id="46">
    <w:p w14:paraId="24A332EF" w14:textId="77777777" w:rsidR="007669A1" w:rsidRDefault="007669A1" w:rsidP="002B55D9">
      <w:pPr>
        <w:pStyle w:val="FootnoteText"/>
      </w:pPr>
      <w:r>
        <w:rPr>
          <w:rStyle w:val="FootnoteReference"/>
        </w:rPr>
        <w:footnoteRef/>
      </w:r>
      <w:r>
        <w:t xml:space="preserve"> </w:t>
      </w:r>
      <w:r w:rsidRPr="000B79C8">
        <w:t>2.7.4 Summary of Clinical Safety</w:t>
      </w:r>
      <w:r>
        <w:t xml:space="preserve"> page 143</w:t>
      </w:r>
    </w:p>
  </w:footnote>
  <w:footnote w:id="47">
    <w:p w14:paraId="24A332F0" w14:textId="77777777" w:rsidR="007669A1" w:rsidRDefault="007669A1" w:rsidP="002B55D9">
      <w:pPr>
        <w:pStyle w:val="FootnoteText"/>
      </w:pPr>
      <w:r>
        <w:rPr>
          <w:rStyle w:val="FootnoteReference"/>
        </w:rPr>
        <w:footnoteRef/>
      </w:r>
      <w:r>
        <w:t xml:space="preserve"> Dose dumping was considered under PKs</w:t>
      </w:r>
    </w:p>
  </w:footnote>
  <w:footnote w:id="48">
    <w:p w14:paraId="24A332F1" w14:textId="77777777" w:rsidR="007669A1" w:rsidRDefault="007669A1" w:rsidP="002B55D9">
      <w:pPr>
        <w:spacing w:after="60"/>
      </w:pPr>
      <w:r w:rsidRPr="00AC4A4E">
        <w:rPr>
          <w:rStyle w:val="FootnoteReference"/>
          <w:sz w:val="20"/>
          <w:szCs w:val="20"/>
        </w:rPr>
        <w:footnoteRef/>
      </w:r>
      <w:r w:rsidRPr="00AC4A4E">
        <w:rPr>
          <w:sz w:val="20"/>
          <w:szCs w:val="20"/>
        </w:rPr>
        <w:t xml:space="preserve"> It</w:t>
      </w:r>
      <w:r>
        <w:t xml:space="preserve"> </w:t>
      </w:r>
      <w:r w:rsidRPr="00AC4A4E">
        <w:rPr>
          <w:sz w:val="20"/>
          <w:szCs w:val="20"/>
        </w:rPr>
        <w:t>would be very rare to start a patient on a depot preparation, as e.g. dose titration is not possible, an acute effect may be needed or undesirable effects may occur, in which case the preparation cannot be withdrawn CPMP/EWP/49/01 Appendix to the Note for Guidance on the Clinical Investigation of Medicinal Products in the Treatment of Schizophrenia - Methodology of Clinical Trials Concerning the</w:t>
      </w:r>
      <w:r>
        <w:rPr>
          <w:sz w:val="20"/>
          <w:szCs w:val="20"/>
        </w:rPr>
        <w:t xml:space="preserve"> </w:t>
      </w:r>
      <w:r w:rsidRPr="00AC4A4E">
        <w:rPr>
          <w:sz w:val="20"/>
          <w:szCs w:val="20"/>
        </w:rPr>
        <w:t>Development of Depot Preparations of Approved Medicinal Products in Schizophrenia</w:t>
      </w:r>
      <w:r w:rsidRPr="00001AC0">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33272" w14:textId="77777777" w:rsidR="007669A1" w:rsidRDefault="007669A1"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33277" w14:textId="77777777" w:rsidR="007669A1" w:rsidRDefault="007669A1">
    <w:pPr>
      <w:rPr>
        <w:noProof/>
        <w:lang w:eastAsia="en-AU"/>
      </w:rPr>
    </w:pPr>
    <w:r w:rsidRPr="002D545C">
      <w:rPr>
        <w:noProof/>
        <w:lang w:eastAsia="en-AU"/>
      </w:rPr>
      <w:drawing>
        <wp:anchor distT="0" distB="0" distL="114300" distR="114300" simplePos="0" relativeHeight="251659264" behindDoc="1" locked="0" layoutInCell="1" allowOverlap="1" wp14:anchorId="24A33298" wp14:editId="24A33299">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24A33278" w14:textId="11CF9C67" w:rsidR="007669A1" w:rsidRDefault="007669A1" w:rsidP="00593AD1">
    <w:pPr>
      <w:pStyle w:val="HeaderNoLine"/>
    </w:pPr>
    <w:r>
      <w:rPr>
        <w:noProof/>
        <w:lang w:eastAsia="en-AU"/>
      </w:rPr>
      <w:drawing>
        <wp:inline distT="0" distB="0" distL="0" distR="0" wp14:anchorId="24A3329A" wp14:editId="6D5C87B8">
          <wp:extent cx="5398770" cy="7640955"/>
          <wp:effectExtent l="0" t="0" r="0" b="0"/>
          <wp:docPr id="6"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8770" cy="764095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3327A" w14:textId="77777777" w:rsidR="007669A1" w:rsidRDefault="007669A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3327B" w14:textId="77777777" w:rsidR="007669A1" w:rsidRDefault="007669A1">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3327C" w14:textId="77777777" w:rsidR="007669A1" w:rsidRDefault="007669A1">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33282" w14:textId="77777777" w:rsidR="007669A1" w:rsidRDefault="007669A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33283" w14:textId="77777777" w:rsidR="007669A1" w:rsidRDefault="007669A1"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33285" w14:textId="77777777" w:rsidR="007669A1" w:rsidRDefault="007669A1" w:rsidP="006E08B3">
    <w:r>
      <w:t>Therapeutic Goods Administration</w:t>
    </w:r>
  </w:p>
  <w:p w14:paraId="24A33286" w14:textId="77777777" w:rsidR="007669A1" w:rsidRDefault="007669A1"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1945BDC"/>
    <w:lvl w:ilvl="0">
      <w:start w:val="1"/>
      <w:numFmt w:val="decimal"/>
      <w:lvlText w:val="%1."/>
      <w:lvlJc w:val="left"/>
      <w:pPr>
        <w:tabs>
          <w:tab w:val="num" w:pos="1492"/>
        </w:tabs>
        <w:ind w:left="1492" w:hanging="360"/>
      </w:pPr>
    </w:lvl>
  </w:abstractNum>
  <w:abstractNum w:abstractNumId="1">
    <w:nsid w:val="FFFFFF7D"/>
    <w:multiLevelType w:val="singleLevel"/>
    <w:tmpl w:val="73863F96"/>
    <w:lvl w:ilvl="0">
      <w:start w:val="1"/>
      <w:numFmt w:val="decimal"/>
      <w:lvlText w:val="%1."/>
      <w:lvlJc w:val="left"/>
      <w:pPr>
        <w:tabs>
          <w:tab w:val="num" w:pos="1209"/>
        </w:tabs>
        <w:ind w:left="1209" w:hanging="360"/>
      </w:pPr>
    </w:lvl>
  </w:abstractNum>
  <w:abstractNum w:abstractNumId="2">
    <w:nsid w:val="FFFFFF7E"/>
    <w:multiLevelType w:val="singleLevel"/>
    <w:tmpl w:val="460ED4F0"/>
    <w:lvl w:ilvl="0">
      <w:start w:val="1"/>
      <w:numFmt w:val="decimal"/>
      <w:lvlText w:val="%1."/>
      <w:lvlJc w:val="left"/>
      <w:pPr>
        <w:tabs>
          <w:tab w:val="num" w:pos="926"/>
        </w:tabs>
        <w:ind w:left="926" w:hanging="360"/>
      </w:pPr>
    </w:lvl>
  </w:abstractNum>
  <w:abstractNum w:abstractNumId="3">
    <w:nsid w:val="FFFFFF7F"/>
    <w:multiLevelType w:val="singleLevel"/>
    <w:tmpl w:val="E320D8BC"/>
    <w:lvl w:ilvl="0">
      <w:start w:val="1"/>
      <w:numFmt w:val="decimal"/>
      <w:lvlText w:val="%1."/>
      <w:lvlJc w:val="left"/>
      <w:pPr>
        <w:tabs>
          <w:tab w:val="num" w:pos="643"/>
        </w:tabs>
        <w:ind w:left="643" w:hanging="360"/>
      </w:pPr>
    </w:lvl>
  </w:abstractNum>
  <w:abstractNum w:abstractNumId="4">
    <w:nsid w:val="FFFFFF80"/>
    <w:multiLevelType w:val="singleLevel"/>
    <w:tmpl w:val="032AADC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45087DC"/>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0D1AED44"/>
    <w:lvl w:ilvl="0">
      <w:start w:val="1"/>
      <w:numFmt w:val="decimal"/>
      <w:lvlText w:val="%1."/>
      <w:lvlJc w:val="left"/>
      <w:pPr>
        <w:tabs>
          <w:tab w:val="num" w:pos="360"/>
        </w:tabs>
        <w:ind w:left="360" w:hanging="360"/>
      </w:pPr>
    </w:lvl>
  </w:abstractNum>
  <w:abstractNum w:abstractNumId="7">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8">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2FEE749B"/>
    <w:multiLevelType w:val="hybridMultilevel"/>
    <w:tmpl w:val="7876E622"/>
    <w:lvl w:ilvl="0" w:tplc="F17CAEAC">
      <w:start w:val="1"/>
      <w:numFmt w:val="bullet"/>
      <w:lvlText w:val=""/>
      <w:lvlJc w:val="left"/>
      <w:pPr>
        <w:ind w:left="720" w:hanging="360"/>
      </w:pPr>
      <w:rPr>
        <w:rFonts w:ascii="Symbol" w:hAnsi="Symbol" w:hint="default"/>
      </w:rPr>
    </w:lvl>
    <w:lvl w:ilvl="1" w:tplc="99F8263E" w:tentative="1">
      <w:start w:val="1"/>
      <w:numFmt w:val="bullet"/>
      <w:lvlText w:val="o"/>
      <w:lvlJc w:val="left"/>
      <w:pPr>
        <w:ind w:left="1440" w:hanging="360"/>
      </w:pPr>
      <w:rPr>
        <w:rFonts w:ascii="Courier New" w:hAnsi="Courier New" w:cs="Courier New" w:hint="default"/>
      </w:rPr>
    </w:lvl>
    <w:lvl w:ilvl="2" w:tplc="81865188" w:tentative="1">
      <w:start w:val="1"/>
      <w:numFmt w:val="bullet"/>
      <w:lvlText w:val=""/>
      <w:lvlJc w:val="left"/>
      <w:pPr>
        <w:ind w:left="2160" w:hanging="360"/>
      </w:pPr>
      <w:rPr>
        <w:rFonts w:ascii="Wingdings" w:hAnsi="Wingdings" w:hint="default"/>
      </w:rPr>
    </w:lvl>
    <w:lvl w:ilvl="3" w:tplc="42F662EC" w:tentative="1">
      <w:start w:val="1"/>
      <w:numFmt w:val="bullet"/>
      <w:lvlText w:val=""/>
      <w:lvlJc w:val="left"/>
      <w:pPr>
        <w:ind w:left="2880" w:hanging="360"/>
      </w:pPr>
      <w:rPr>
        <w:rFonts w:ascii="Symbol" w:hAnsi="Symbol" w:hint="default"/>
      </w:rPr>
    </w:lvl>
    <w:lvl w:ilvl="4" w:tplc="6DD0299A" w:tentative="1">
      <w:start w:val="1"/>
      <w:numFmt w:val="bullet"/>
      <w:lvlText w:val="o"/>
      <w:lvlJc w:val="left"/>
      <w:pPr>
        <w:ind w:left="3600" w:hanging="360"/>
      </w:pPr>
      <w:rPr>
        <w:rFonts w:ascii="Courier New" w:hAnsi="Courier New" w:cs="Courier New" w:hint="default"/>
      </w:rPr>
    </w:lvl>
    <w:lvl w:ilvl="5" w:tplc="72A6EEA8" w:tentative="1">
      <w:start w:val="1"/>
      <w:numFmt w:val="bullet"/>
      <w:lvlText w:val=""/>
      <w:lvlJc w:val="left"/>
      <w:pPr>
        <w:ind w:left="4320" w:hanging="360"/>
      </w:pPr>
      <w:rPr>
        <w:rFonts w:ascii="Wingdings" w:hAnsi="Wingdings" w:hint="default"/>
      </w:rPr>
    </w:lvl>
    <w:lvl w:ilvl="6" w:tplc="4054533C" w:tentative="1">
      <w:start w:val="1"/>
      <w:numFmt w:val="bullet"/>
      <w:lvlText w:val=""/>
      <w:lvlJc w:val="left"/>
      <w:pPr>
        <w:ind w:left="5040" w:hanging="360"/>
      </w:pPr>
      <w:rPr>
        <w:rFonts w:ascii="Symbol" w:hAnsi="Symbol" w:hint="default"/>
      </w:rPr>
    </w:lvl>
    <w:lvl w:ilvl="7" w:tplc="75EEC026" w:tentative="1">
      <w:start w:val="1"/>
      <w:numFmt w:val="bullet"/>
      <w:lvlText w:val="o"/>
      <w:lvlJc w:val="left"/>
      <w:pPr>
        <w:ind w:left="5760" w:hanging="360"/>
      </w:pPr>
      <w:rPr>
        <w:rFonts w:ascii="Courier New" w:hAnsi="Courier New" w:cs="Courier New" w:hint="default"/>
      </w:rPr>
    </w:lvl>
    <w:lvl w:ilvl="8" w:tplc="27BCA92A" w:tentative="1">
      <w:start w:val="1"/>
      <w:numFmt w:val="bullet"/>
      <w:lvlText w:val=""/>
      <w:lvlJc w:val="left"/>
      <w:pPr>
        <w:ind w:left="6480" w:hanging="360"/>
      </w:pPr>
      <w:rPr>
        <w:rFonts w:ascii="Wingdings" w:hAnsi="Wingdings" w:hint="default"/>
      </w:rPr>
    </w:lvl>
  </w:abstractNum>
  <w:abstractNum w:abstractNumId="11">
    <w:nsid w:val="3AC02909"/>
    <w:multiLevelType w:val="hybridMultilevel"/>
    <w:tmpl w:val="70EEF766"/>
    <w:lvl w:ilvl="0" w:tplc="0C090001">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numFmt w:val="bullet"/>
      <w:lvlText w:val=""/>
      <w:lvlJc w:val="left"/>
      <w:pPr>
        <w:ind w:left="2444" w:hanging="360"/>
      </w:pPr>
      <w:rPr>
        <w:rFonts w:ascii="Symbol" w:eastAsia="Times New Roman" w:hAnsi="Symbol" w:cs="Times New Roman"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57076D7D"/>
    <w:multiLevelType w:val="multilevel"/>
    <w:tmpl w:val="86EA579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3">
    <w:nsid w:val="5E9A7F7D"/>
    <w:multiLevelType w:val="hybridMultilevel"/>
    <w:tmpl w:val="57304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63F595D"/>
    <w:multiLevelType w:val="hybridMultilevel"/>
    <w:tmpl w:val="86B69502"/>
    <w:lvl w:ilvl="0" w:tplc="0C090001">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5">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6">
    <w:nsid w:val="6D214E8B"/>
    <w:multiLevelType w:val="hybridMultilevel"/>
    <w:tmpl w:val="4426C4F8"/>
    <w:lvl w:ilvl="0" w:tplc="0C090001">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8"/>
  </w:num>
  <w:num w:numId="3">
    <w:abstractNumId w:val="9"/>
  </w:num>
  <w:num w:numId="4">
    <w:abstractNumId w:val="8"/>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5"/>
  </w:num>
  <w:num w:numId="6">
    <w:abstractNumId w:val="11"/>
  </w:num>
  <w:num w:numId="7">
    <w:abstractNumId w:val="16"/>
  </w:num>
  <w:num w:numId="8">
    <w:abstractNumId w:val="7"/>
  </w:num>
  <w:num w:numId="9">
    <w:abstractNumId w:val="14"/>
  </w:num>
  <w:num w:numId="10">
    <w:abstractNumId w:val="1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3"/>
  </w:num>
  <w:num w:numId="14">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5">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5"/>
  </w:num>
  <w:num w:numId="18">
    <w:abstractNumId w:val="4"/>
  </w:num>
  <w:num w:numId="19">
    <w:abstractNumId w:val="6"/>
  </w:num>
  <w:num w:numId="20">
    <w:abstractNumId w:val="3"/>
  </w:num>
  <w:num w:numId="21">
    <w:abstractNumId w:val="2"/>
  </w:num>
  <w:num w:numId="22">
    <w:abstractNumId w:val="1"/>
  </w:num>
  <w:num w:numId="23">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displayBackgroundShape/>
  <w:hideSpellingErrors/>
  <w:hideGrammaticalErrors/>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5D9"/>
    <w:rsid w:val="00002031"/>
    <w:rsid w:val="00004734"/>
    <w:rsid w:val="00006B22"/>
    <w:rsid w:val="0001276A"/>
    <w:rsid w:val="000246AE"/>
    <w:rsid w:val="00025C67"/>
    <w:rsid w:val="00040ACB"/>
    <w:rsid w:val="0005559E"/>
    <w:rsid w:val="00077775"/>
    <w:rsid w:val="00090471"/>
    <w:rsid w:val="000A0DDB"/>
    <w:rsid w:val="000A3AED"/>
    <w:rsid w:val="000A63AF"/>
    <w:rsid w:val="000B29D9"/>
    <w:rsid w:val="000B3532"/>
    <w:rsid w:val="000B39DE"/>
    <w:rsid w:val="000B3A75"/>
    <w:rsid w:val="000B7FB0"/>
    <w:rsid w:val="000C690F"/>
    <w:rsid w:val="000D1295"/>
    <w:rsid w:val="000D391B"/>
    <w:rsid w:val="000D3D6D"/>
    <w:rsid w:val="000D4FC7"/>
    <w:rsid w:val="000D6249"/>
    <w:rsid w:val="000F02F9"/>
    <w:rsid w:val="000F4869"/>
    <w:rsid w:val="000F5B42"/>
    <w:rsid w:val="000F6E6F"/>
    <w:rsid w:val="00104613"/>
    <w:rsid w:val="0010601F"/>
    <w:rsid w:val="0010788A"/>
    <w:rsid w:val="00107A31"/>
    <w:rsid w:val="00110EA5"/>
    <w:rsid w:val="00112F56"/>
    <w:rsid w:val="00125318"/>
    <w:rsid w:val="001305A2"/>
    <w:rsid w:val="00133238"/>
    <w:rsid w:val="00140872"/>
    <w:rsid w:val="0014197B"/>
    <w:rsid w:val="00142469"/>
    <w:rsid w:val="001447CD"/>
    <w:rsid w:val="001516B1"/>
    <w:rsid w:val="00154EBB"/>
    <w:rsid w:val="00156316"/>
    <w:rsid w:val="00161C79"/>
    <w:rsid w:val="00165389"/>
    <w:rsid w:val="0017078F"/>
    <w:rsid w:val="0017693F"/>
    <w:rsid w:val="0018110E"/>
    <w:rsid w:val="00181684"/>
    <w:rsid w:val="00182AE0"/>
    <w:rsid w:val="001843C6"/>
    <w:rsid w:val="001850E0"/>
    <w:rsid w:val="001926EB"/>
    <w:rsid w:val="001A2158"/>
    <w:rsid w:val="001A525F"/>
    <w:rsid w:val="001A64AC"/>
    <w:rsid w:val="001B09F9"/>
    <w:rsid w:val="001B5D98"/>
    <w:rsid w:val="001B6448"/>
    <w:rsid w:val="001D2766"/>
    <w:rsid w:val="001E07CF"/>
    <w:rsid w:val="001E46AE"/>
    <w:rsid w:val="001E59F1"/>
    <w:rsid w:val="001F40D1"/>
    <w:rsid w:val="001F49EB"/>
    <w:rsid w:val="001F6CBA"/>
    <w:rsid w:val="00201D4E"/>
    <w:rsid w:val="002076C9"/>
    <w:rsid w:val="00220B8A"/>
    <w:rsid w:val="002257F3"/>
    <w:rsid w:val="00233456"/>
    <w:rsid w:val="002339A5"/>
    <w:rsid w:val="002368EF"/>
    <w:rsid w:val="002576ED"/>
    <w:rsid w:val="00257848"/>
    <w:rsid w:val="002600F6"/>
    <w:rsid w:val="002666AC"/>
    <w:rsid w:val="0027084A"/>
    <w:rsid w:val="00286434"/>
    <w:rsid w:val="00286C59"/>
    <w:rsid w:val="002875F5"/>
    <w:rsid w:val="00292113"/>
    <w:rsid w:val="002942D1"/>
    <w:rsid w:val="0029501A"/>
    <w:rsid w:val="002A3494"/>
    <w:rsid w:val="002A6522"/>
    <w:rsid w:val="002A7624"/>
    <w:rsid w:val="002B076C"/>
    <w:rsid w:val="002B1638"/>
    <w:rsid w:val="002B3B9A"/>
    <w:rsid w:val="002B55D9"/>
    <w:rsid w:val="002C1F46"/>
    <w:rsid w:val="002C5925"/>
    <w:rsid w:val="002C63ED"/>
    <w:rsid w:val="002D545C"/>
    <w:rsid w:val="002D6161"/>
    <w:rsid w:val="002E4C9A"/>
    <w:rsid w:val="002F11F8"/>
    <w:rsid w:val="002F3F56"/>
    <w:rsid w:val="002F44B5"/>
    <w:rsid w:val="002F5E24"/>
    <w:rsid w:val="00311AC0"/>
    <w:rsid w:val="0032583B"/>
    <w:rsid w:val="00327883"/>
    <w:rsid w:val="00335504"/>
    <w:rsid w:val="003521E8"/>
    <w:rsid w:val="003728F3"/>
    <w:rsid w:val="0037496E"/>
    <w:rsid w:val="0037623D"/>
    <w:rsid w:val="00383AAD"/>
    <w:rsid w:val="00386150"/>
    <w:rsid w:val="003874CE"/>
    <w:rsid w:val="00390900"/>
    <w:rsid w:val="0039447B"/>
    <w:rsid w:val="00396C92"/>
    <w:rsid w:val="003A7F6C"/>
    <w:rsid w:val="003B022B"/>
    <w:rsid w:val="003B1113"/>
    <w:rsid w:val="003B4D60"/>
    <w:rsid w:val="003B634F"/>
    <w:rsid w:val="003B76EB"/>
    <w:rsid w:val="003B7E39"/>
    <w:rsid w:val="003C04E7"/>
    <w:rsid w:val="003C58DC"/>
    <w:rsid w:val="003D0A3B"/>
    <w:rsid w:val="003D1E62"/>
    <w:rsid w:val="003D7F36"/>
    <w:rsid w:val="003E2486"/>
    <w:rsid w:val="003E3208"/>
    <w:rsid w:val="003F0B04"/>
    <w:rsid w:val="0040134E"/>
    <w:rsid w:val="00415D59"/>
    <w:rsid w:val="0043797D"/>
    <w:rsid w:val="00440A2D"/>
    <w:rsid w:val="0044465B"/>
    <w:rsid w:val="00444743"/>
    <w:rsid w:val="0045290B"/>
    <w:rsid w:val="004564A7"/>
    <w:rsid w:val="004617BF"/>
    <w:rsid w:val="00463658"/>
    <w:rsid w:val="004722CC"/>
    <w:rsid w:val="00483DCE"/>
    <w:rsid w:val="00485910"/>
    <w:rsid w:val="004936E4"/>
    <w:rsid w:val="00494E60"/>
    <w:rsid w:val="00497487"/>
    <w:rsid w:val="004A56A6"/>
    <w:rsid w:val="004A7E13"/>
    <w:rsid w:val="004B7B76"/>
    <w:rsid w:val="004C2DCA"/>
    <w:rsid w:val="004C5C99"/>
    <w:rsid w:val="004C6EEC"/>
    <w:rsid w:val="004F058E"/>
    <w:rsid w:val="004F0F38"/>
    <w:rsid w:val="004F4AF5"/>
    <w:rsid w:val="00501921"/>
    <w:rsid w:val="005140A3"/>
    <w:rsid w:val="005171C4"/>
    <w:rsid w:val="0052799D"/>
    <w:rsid w:val="00530354"/>
    <w:rsid w:val="00531E47"/>
    <w:rsid w:val="0053374E"/>
    <w:rsid w:val="00536141"/>
    <w:rsid w:val="0053625B"/>
    <w:rsid w:val="005403B3"/>
    <w:rsid w:val="005434C6"/>
    <w:rsid w:val="00543B39"/>
    <w:rsid w:val="00550096"/>
    <w:rsid w:val="00553109"/>
    <w:rsid w:val="00557FF9"/>
    <w:rsid w:val="00576378"/>
    <w:rsid w:val="00577945"/>
    <w:rsid w:val="00577E38"/>
    <w:rsid w:val="00585322"/>
    <w:rsid w:val="005857C6"/>
    <w:rsid w:val="00586F98"/>
    <w:rsid w:val="00590B42"/>
    <w:rsid w:val="00592F6E"/>
    <w:rsid w:val="00593AD1"/>
    <w:rsid w:val="005941ED"/>
    <w:rsid w:val="00596894"/>
    <w:rsid w:val="005A68B6"/>
    <w:rsid w:val="005C5570"/>
    <w:rsid w:val="005C79A4"/>
    <w:rsid w:val="005D5442"/>
    <w:rsid w:val="00602850"/>
    <w:rsid w:val="00603F32"/>
    <w:rsid w:val="00604E10"/>
    <w:rsid w:val="00605387"/>
    <w:rsid w:val="00613D1C"/>
    <w:rsid w:val="00620406"/>
    <w:rsid w:val="00623E38"/>
    <w:rsid w:val="00632398"/>
    <w:rsid w:val="00640FC3"/>
    <w:rsid w:val="00642020"/>
    <w:rsid w:val="00646206"/>
    <w:rsid w:val="006513F8"/>
    <w:rsid w:val="0065337B"/>
    <w:rsid w:val="0065419D"/>
    <w:rsid w:val="006604D8"/>
    <w:rsid w:val="00664A5B"/>
    <w:rsid w:val="00672430"/>
    <w:rsid w:val="00674464"/>
    <w:rsid w:val="006763D2"/>
    <w:rsid w:val="00680C08"/>
    <w:rsid w:val="006931B1"/>
    <w:rsid w:val="006A15C0"/>
    <w:rsid w:val="006C130C"/>
    <w:rsid w:val="006C3E2A"/>
    <w:rsid w:val="006C642F"/>
    <w:rsid w:val="006D03E5"/>
    <w:rsid w:val="006D5D3E"/>
    <w:rsid w:val="006D6E57"/>
    <w:rsid w:val="006E08B3"/>
    <w:rsid w:val="006F17AC"/>
    <w:rsid w:val="006F1D37"/>
    <w:rsid w:val="006F2796"/>
    <w:rsid w:val="006F572E"/>
    <w:rsid w:val="00701C16"/>
    <w:rsid w:val="00702F20"/>
    <w:rsid w:val="007046D6"/>
    <w:rsid w:val="00705DB0"/>
    <w:rsid w:val="00722B57"/>
    <w:rsid w:val="0074253D"/>
    <w:rsid w:val="0074429B"/>
    <w:rsid w:val="007513B4"/>
    <w:rsid w:val="0076034B"/>
    <w:rsid w:val="007615BC"/>
    <w:rsid w:val="00762F05"/>
    <w:rsid w:val="007652FF"/>
    <w:rsid w:val="0076644B"/>
    <w:rsid w:val="007669A1"/>
    <w:rsid w:val="00770EF1"/>
    <w:rsid w:val="00773EF7"/>
    <w:rsid w:val="00774E1D"/>
    <w:rsid w:val="0077675A"/>
    <w:rsid w:val="00780355"/>
    <w:rsid w:val="00785721"/>
    <w:rsid w:val="00793A59"/>
    <w:rsid w:val="007A1BC6"/>
    <w:rsid w:val="007A5206"/>
    <w:rsid w:val="007A717B"/>
    <w:rsid w:val="007B6E9F"/>
    <w:rsid w:val="007C1216"/>
    <w:rsid w:val="007C1AF7"/>
    <w:rsid w:val="007E6E27"/>
    <w:rsid w:val="00805D27"/>
    <w:rsid w:val="00821776"/>
    <w:rsid w:val="008321F5"/>
    <w:rsid w:val="00832369"/>
    <w:rsid w:val="00833F48"/>
    <w:rsid w:val="00834660"/>
    <w:rsid w:val="00836BC2"/>
    <w:rsid w:val="008414A0"/>
    <w:rsid w:val="00852AF5"/>
    <w:rsid w:val="0085641B"/>
    <w:rsid w:val="00857136"/>
    <w:rsid w:val="008602A9"/>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1747"/>
    <w:rsid w:val="008D770F"/>
    <w:rsid w:val="008E7846"/>
    <w:rsid w:val="008F1CCC"/>
    <w:rsid w:val="008F2967"/>
    <w:rsid w:val="008F6943"/>
    <w:rsid w:val="00902A21"/>
    <w:rsid w:val="00920330"/>
    <w:rsid w:val="009219D7"/>
    <w:rsid w:val="00922D53"/>
    <w:rsid w:val="00923B70"/>
    <w:rsid w:val="00924482"/>
    <w:rsid w:val="00927815"/>
    <w:rsid w:val="00930237"/>
    <w:rsid w:val="00946EA5"/>
    <w:rsid w:val="0095160F"/>
    <w:rsid w:val="00963C08"/>
    <w:rsid w:val="00972645"/>
    <w:rsid w:val="00981D66"/>
    <w:rsid w:val="0098585A"/>
    <w:rsid w:val="0098669D"/>
    <w:rsid w:val="009972C9"/>
    <w:rsid w:val="009A4CED"/>
    <w:rsid w:val="009A52F0"/>
    <w:rsid w:val="009A690D"/>
    <w:rsid w:val="009B1D12"/>
    <w:rsid w:val="009B416B"/>
    <w:rsid w:val="009B6571"/>
    <w:rsid w:val="009C4BD5"/>
    <w:rsid w:val="009D7B77"/>
    <w:rsid w:val="009E0BB0"/>
    <w:rsid w:val="009E22F0"/>
    <w:rsid w:val="009E3AB6"/>
    <w:rsid w:val="009E3FBB"/>
    <w:rsid w:val="009E7E96"/>
    <w:rsid w:val="00A0647D"/>
    <w:rsid w:val="00A102E4"/>
    <w:rsid w:val="00A10874"/>
    <w:rsid w:val="00A12C42"/>
    <w:rsid w:val="00A14DF7"/>
    <w:rsid w:val="00A235D9"/>
    <w:rsid w:val="00A246D7"/>
    <w:rsid w:val="00A27F5F"/>
    <w:rsid w:val="00A3246D"/>
    <w:rsid w:val="00A344B7"/>
    <w:rsid w:val="00A36FA7"/>
    <w:rsid w:val="00A475B7"/>
    <w:rsid w:val="00A47AF7"/>
    <w:rsid w:val="00A47C3E"/>
    <w:rsid w:val="00A47E6A"/>
    <w:rsid w:val="00A50226"/>
    <w:rsid w:val="00A60BAD"/>
    <w:rsid w:val="00A677F6"/>
    <w:rsid w:val="00A964D1"/>
    <w:rsid w:val="00AA0E1A"/>
    <w:rsid w:val="00AA0ED0"/>
    <w:rsid w:val="00AA3499"/>
    <w:rsid w:val="00AC2B40"/>
    <w:rsid w:val="00AC2BB2"/>
    <w:rsid w:val="00AC2C3C"/>
    <w:rsid w:val="00AC512D"/>
    <w:rsid w:val="00AE01C2"/>
    <w:rsid w:val="00AE65EB"/>
    <w:rsid w:val="00AE67A7"/>
    <w:rsid w:val="00AF1D94"/>
    <w:rsid w:val="00AF60C5"/>
    <w:rsid w:val="00B009C6"/>
    <w:rsid w:val="00B01548"/>
    <w:rsid w:val="00B02208"/>
    <w:rsid w:val="00B1425E"/>
    <w:rsid w:val="00B17C14"/>
    <w:rsid w:val="00B21D29"/>
    <w:rsid w:val="00B226A1"/>
    <w:rsid w:val="00B25034"/>
    <w:rsid w:val="00B31423"/>
    <w:rsid w:val="00B33588"/>
    <w:rsid w:val="00B33863"/>
    <w:rsid w:val="00B3567E"/>
    <w:rsid w:val="00B37D17"/>
    <w:rsid w:val="00B4175E"/>
    <w:rsid w:val="00B452CE"/>
    <w:rsid w:val="00B54C25"/>
    <w:rsid w:val="00B76B91"/>
    <w:rsid w:val="00B77AFB"/>
    <w:rsid w:val="00B77EB1"/>
    <w:rsid w:val="00B811C6"/>
    <w:rsid w:val="00B82B11"/>
    <w:rsid w:val="00B843F2"/>
    <w:rsid w:val="00B85A87"/>
    <w:rsid w:val="00B876E6"/>
    <w:rsid w:val="00B92631"/>
    <w:rsid w:val="00B92E08"/>
    <w:rsid w:val="00B96EBE"/>
    <w:rsid w:val="00BC06F8"/>
    <w:rsid w:val="00BC622A"/>
    <w:rsid w:val="00BC64E5"/>
    <w:rsid w:val="00BD45E3"/>
    <w:rsid w:val="00BE0A78"/>
    <w:rsid w:val="00BE6252"/>
    <w:rsid w:val="00BE79F0"/>
    <w:rsid w:val="00BF046D"/>
    <w:rsid w:val="00BF1190"/>
    <w:rsid w:val="00BF2105"/>
    <w:rsid w:val="00BF5D04"/>
    <w:rsid w:val="00C038F9"/>
    <w:rsid w:val="00C05067"/>
    <w:rsid w:val="00C1164D"/>
    <w:rsid w:val="00C16861"/>
    <w:rsid w:val="00C22678"/>
    <w:rsid w:val="00C404A6"/>
    <w:rsid w:val="00C40A36"/>
    <w:rsid w:val="00C44419"/>
    <w:rsid w:val="00C45E7B"/>
    <w:rsid w:val="00C471B1"/>
    <w:rsid w:val="00C476F4"/>
    <w:rsid w:val="00C618F7"/>
    <w:rsid w:val="00C6316B"/>
    <w:rsid w:val="00C634A9"/>
    <w:rsid w:val="00C64586"/>
    <w:rsid w:val="00C70D53"/>
    <w:rsid w:val="00C73D0B"/>
    <w:rsid w:val="00C772FF"/>
    <w:rsid w:val="00C801AF"/>
    <w:rsid w:val="00C80256"/>
    <w:rsid w:val="00C811C0"/>
    <w:rsid w:val="00CB6BC0"/>
    <w:rsid w:val="00CB7162"/>
    <w:rsid w:val="00CC1B7C"/>
    <w:rsid w:val="00CC727F"/>
    <w:rsid w:val="00CD0914"/>
    <w:rsid w:val="00CD5927"/>
    <w:rsid w:val="00CD7D4B"/>
    <w:rsid w:val="00CF15C3"/>
    <w:rsid w:val="00CF2B6F"/>
    <w:rsid w:val="00CF58B6"/>
    <w:rsid w:val="00D017ED"/>
    <w:rsid w:val="00D0315B"/>
    <w:rsid w:val="00D040D3"/>
    <w:rsid w:val="00D04C65"/>
    <w:rsid w:val="00D224FE"/>
    <w:rsid w:val="00D43EBA"/>
    <w:rsid w:val="00D53A31"/>
    <w:rsid w:val="00D6493E"/>
    <w:rsid w:val="00D7301E"/>
    <w:rsid w:val="00D83AE1"/>
    <w:rsid w:val="00D855D4"/>
    <w:rsid w:val="00D93466"/>
    <w:rsid w:val="00DA1124"/>
    <w:rsid w:val="00DA320C"/>
    <w:rsid w:val="00DB75B7"/>
    <w:rsid w:val="00DC6E02"/>
    <w:rsid w:val="00DE02AE"/>
    <w:rsid w:val="00DF00D0"/>
    <w:rsid w:val="00DF1D7F"/>
    <w:rsid w:val="00DF4BE4"/>
    <w:rsid w:val="00E02FB4"/>
    <w:rsid w:val="00E07F15"/>
    <w:rsid w:val="00E15746"/>
    <w:rsid w:val="00E20571"/>
    <w:rsid w:val="00E235F7"/>
    <w:rsid w:val="00E23659"/>
    <w:rsid w:val="00E239D4"/>
    <w:rsid w:val="00E26130"/>
    <w:rsid w:val="00E26EE9"/>
    <w:rsid w:val="00E2741C"/>
    <w:rsid w:val="00E40B22"/>
    <w:rsid w:val="00E45619"/>
    <w:rsid w:val="00E4588F"/>
    <w:rsid w:val="00E46DA3"/>
    <w:rsid w:val="00E51BB1"/>
    <w:rsid w:val="00E624A5"/>
    <w:rsid w:val="00E7344E"/>
    <w:rsid w:val="00E936E3"/>
    <w:rsid w:val="00EA0E85"/>
    <w:rsid w:val="00EB0798"/>
    <w:rsid w:val="00EB40AD"/>
    <w:rsid w:val="00EB586E"/>
    <w:rsid w:val="00EB5FC8"/>
    <w:rsid w:val="00EC2B15"/>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07F8"/>
    <w:rsid w:val="00F640B6"/>
    <w:rsid w:val="00F6645E"/>
    <w:rsid w:val="00F70ACF"/>
    <w:rsid w:val="00F80E40"/>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24A32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4A56A6"/>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2B55D9"/>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2B55D9"/>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39447B"/>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4A56A6"/>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Abbreviations">
    <w:name w:val="Abbreviations"/>
    <w:basedOn w:val="Normal"/>
    <w:rsid w:val="002B55D9"/>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FootnoteText">
    <w:name w:val="footnote text"/>
    <w:basedOn w:val="Normal"/>
    <w:link w:val="FootnoteTextChar"/>
    <w:semiHidden/>
    <w:rsid w:val="005140A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18"/>
      <w:szCs w:val="20"/>
      <w:lang w:eastAsia="en-AU"/>
    </w:rPr>
  </w:style>
  <w:style w:type="character" w:customStyle="1" w:styleId="FootnoteTextChar">
    <w:name w:val="Footnote Text Char"/>
    <w:basedOn w:val="DefaultParagraphFont"/>
    <w:link w:val="FootnoteText"/>
    <w:semiHidden/>
    <w:rsid w:val="005140A3"/>
    <w:rPr>
      <w:rFonts w:ascii="Cambria" w:eastAsia="Times New Roman" w:hAnsi="Cambria" w:cs="Times New Roman"/>
      <w:kern w:val="16"/>
      <w:sz w:val="18"/>
      <w:szCs w:val="20"/>
      <w:lang w:eastAsia="en-AU"/>
    </w:rPr>
  </w:style>
  <w:style w:type="character" w:styleId="FootnoteReference">
    <w:name w:val="footnote reference"/>
    <w:semiHidden/>
    <w:rsid w:val="002B55D9"/>
    <w:rPr>
      <w:vertAlign w:val="superscript"/>
    </w:rPr>
  </w:style>
  <w:style w:type="paragraph" w:customStyle="1" w:styleId="Bullet1">
    <w:name w:val="Bullet 1"/>
    <w:basedOn w:val="Normal"/>
    <w:rsid w:val="002B55D9"/>
    <w:pPr>
      <w:spacing w:after="0" w:line="240" w:lineRule="auto"/>
    </w:pPr>
    <w:rPr>
      <w:rFonts w:eastAsia="Times New Roman"/>
      <w:kern w:val="24"/>
      <w:szCs w:val="24"/>
      <w:lang w:eastAsia="en-AU"/>
    </w:rPr>
  </w:style>
  <w:style w:type="paragraph" w:customStyle="1" w:styleId="Bullet2">
    <w:name w:val="Bullet 2"/>
    <w:basedOn w:val="Bullet1"/>
    <w:rsid w:val="002B55D9"/>
    <w:pPr>
      <w:numPr>
        <w:numId w:val="6"/>
      </w:numPr>
    </w:pPr>
  </w:style>
  <w:style w:type="paragraph" w:styleId="ListParagraph">
    <w:name w:val="List Paragraph"/>
    <w:basedOn w:val="Normal"/>
    <w:uiPriority w:val="34"/>
    <w:qFormat/>
    <w:rsid w:val="002B55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styleId="PageNumber">
    <w:name w:val="page number"/>
    <w:rsid w:val="002B55D9"/>
    <w:rPr>
      <w:sz w:val="20"/>
    </w:rPr>
  </w:style>
  <w:style w:type="character" w:customStyle="1" w:styleId="Heading8Char">
    <w:name w:val="Heading 8 Char"/>
    <w:basedOn w:val="DefaultParagraphFont"/>
    <w:link w:val="Heading8"/>
    <w:rsid w:val="002B55D9"/>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2B55D9"/>
    <w:rPr>
      <w:rFonts w:ascii="Arial" w:eastAsia="Times New Roman" w:hAnsi="Arial" w:cs="Arial"/>
      <w:kern w:val="16"/>
      <w:u w:val="single"/>
      <w:lang w:eastAsia="en-AU"/>
    </w:rPr>
  </w:style>
  <w:style w:type="paragraph" w:customStyle="1" w:styleId="Heading0inTOC">
    <w:name w:val="Heading 0 (in TOC)"/>
    <w:basedOn w:val="Heading1"/>
    <w:next w:val="Normal"/>
    <w:rsid w:val="002B55D9"/>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2B55D9"/>
    <w:pPr>
      <w:numPr>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2B55D9"/>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2B55D9"/>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2B55D9"/>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2B55D9"/>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2B55D9"/>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2B55D9"/>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2B55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2B55D9"/>
    <w:rPr>
      <w:rFonts w:ascii="Cambria" w:eastAsia="Times New Roman" w:hAnsi="Cambria" w:cs="Times New Roman"/>
      <w:kern w:val="16"/>
      <w:sz w:val="20"/>
      <w:szCs w:val="20"/>
      <w:lang w:eastAsia="en-AU"/>
    </w:rPr>
  </w:style>
  <w:style w:type="character" w:styleId="EndnoteReference">
    <w:name w:val="endnote reference"/>
    <w:semiHidden/>
    <w:rsid w:val="002B55D9"/>
    <w:rPr>
      <w:dstrike w:val="0"/>
      <w:vertAlign w:val="baseline"/>
    </w:rPr>
  </w:style>
  <w:style w:type="paragraph" w:styleId="TableofFigures">
    <w:name w:val="table of figures"/>
    <w:basedOn w:val="Normal"/>
    <w:next w:val="Normal"/>
    <w:uiPriority w:val="99"/>
    <w:rsid w:val="002B55D9"/>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2B55D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2B55D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2B55D9"/>
    <w:pPr>
      <w:numPr>
        <w:numId w:val="8"/>
      </w:numPr>
      <w:tabs>
        <w:tab w:val="clear" w:pos="1134"/>
      </w:tabs>
      <w:spacing w:before="120"/>
      <w:ind w:left="1418" w:hanging="284"/>
    </w:pPr>
  </w:style>
  <w:style w:type="paragraph" w:customStyle="1" w:styleId="Instructions1">
    <w:name w:val="Instructions 1"/>
    <w:basedOn w:val="Normal"/>
    <w:qFormat/>
    <w:rsid w:val="002B55D9"/>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2B55D9"/>
    <w:pPr>
      <w:numPr>
        <w:numId w:val="9"/>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2B55D9"/>
    <w:rPr>
      <w:sz w:val="16"/>
      <w:szCs w:val="16"/>
    </w:rPr>
  </w:style>
  <w:style w:type="paragraph" w:styleId="CommentText">
    <w:name w:val="annotation text"/>
    <w:basedOn w:val="Normal"/>
    <w:link w:val="CommentTextChar"/>
    <w:rsid w:val="002B55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CommentTextChar">
    <w:name w:val="Comment Text Char"/>
    <w:basedOn w:val="DefaultParagraphFont"/>
    <w:link w:val="CommentText"/>
    <w:rsid w:val="002B55D9"/>
    <w:rPr>
      <w:rFonts w:ascii="Times New Roman" w:eastAsia="Times New Roman" w:hAnsi="Times New Roman" w:cs="Times New Roman"/>
      <w:kern w:val="16"/>
      <w:sz w:val="20"/>
      <w:szCs w:val="20"/>
      <w:lang w:eastAsia="en-AU"/>
    </w:rPr>
  </w:style>
  <w:style w:type="paragraph" w:styleId="CommentSubject">
    <w:name w:val="annotation subject"/>
    <w:basedOn w:val="CommentText"/>
    <w:next w:val="CommentText"/>
    <w:link w:val="CommentSubjectChar"/>
    <w:rsid w:val="002B55D9"/>
    <w:rPr>
      <w:b/>
      <w:bCs/>
    </w:rPr>
  </w:style>
  <w:style w:type="character" w:customStyle="1" w:styleId="CommentSubjectChar">
    <w:name w:val="Comment Subject Char"/>
    <w:basedOn w:val="CommentTextChar"/>
    <w:link w:val="CommentSubject"/>
    <w:rsid w:val="002B55D9"/>
    <w:rPr>
      <w:rFonts w:ascii="Times New Roman" w:eastAsia="Times New Roman" w:hAnsi="Times New Roman" w:cs="Times New Roman"/>
      <w:b/>
      <w:bCs/>
      <w:kern w:val="16"/>
      <w:sz w:val="20"/>
      <w:szCs w:val="20"/>
      <w:lang w:eastAsia="en-AU"/>
    </w:rPr>
  </w:style>
  <w:style w:type="paragraph" w:customStyle="1" w:styleId="Contentslist1">
    <w:name w:val="Contents list 1"/>
    <w:basedOn w:val="Normal"/>
    <w:qFormat/>
    <w:rsid w:val="002B55D9"/>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2B55D9"/>
    <w:pPr>
      <w:spacing w:before="0" w:after="0"/>
    </w:pPr>
    <w:rPr>
      <w:b w:val="0"/>
    </w:rPr>
  </w:style>
  <w:style w:type="paragraph" w:styleId="DocumentMap">
    <w:name w:val="Document Map"/>
    <w:basedOn w:val="Normal"/>
    <w:link w:val="DocumentMapChar"/>
    <w:rsid w:val="002B55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ahoma" w:eastAsia="Times New Roman" w:hAnsi="Tahoma" w:cs="Tahoma"/>
      <w:kern w:val="16"/>
      <w:sz w:val="16"/>
      <w:szCs w:val="16"/>
      <w:lang w:eastAsia="en-AU"/>
    </w:rPr>
  </w:style>
  <w:style w:type="character" w:customStyle="1" w:styleId="DocumentMapChar">
    <w:name w:val="Document Map Char"/>
    <w:basedOn w:val="DefaultParagraphFont"/>
    <w:link w:val="DocumentMap"/>
    <w:rsid w:val="002B55D9"/>
    <w:rPr>
      <w:rFonts w:ascii="Tahoma" w:eastAsia="Times New Roman" w:hAnsi="Tahoma" w:cs="Tahoma"/>
      <w:kern w:val="16"/>
      <w:sz w:val="16"/>
      <w:szCs w:val="16"/>
      <w:lang w:eastAsia="en-AU"/>
    </w:rPr>
  </w:style>
  <w:style w:type="table" w:styleId="LightList-Accent3">
    <w:name w:val="Light List Accent 3"/>
    <w:basedOn w:val="TableNormal"/>
    <w:uiPriority w:val="61"/>
    <w:rsid w:val="00142469"/>
    <w:pPr>
      <w:spacing w:after="0" w:line="240" w:lineRule="auto"/>
    </w:pPr>
    <w:tblPr>
      <w:tblStyleRowBandSize w:val="1"/>
      <w:tblStyleColBandSize w:val="1"/>
      <w:tblInd w:w="0" w:type="dxa"/>
      <w:tblBorders>
        <w:top w:val="single" w:sz="8" w:space="0" w:color="006DA7" w:themeColor="accent3"/>
        <w:left w:val="single" w:sz="8" w:space="0" w:color="006DA7" w:themeColor="accent3"/>
        <w:bottom w:val="single" w:sz="8" w:space="0" w:color="006DA7" w:themeColor="accent3"/>
        <w:right w:val="single" w:sz="8" w:space="0" w:color="006DA7"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6DA7" w:themeFill="accent3"/>
      </w:tcPr>
    </w:tblStylePr>
    <w:tblStylePr w:type="lastRow">
      <w:pPr>
        <w:spacing w:before="0" w:after="0" w:line="240" w:lineRule="auto"/>
      </w:pPr>
      <w:rPr>
        <w:b/>
        <w:bCs/>
      </w:rPr>
      <w:tblPr/>
      <w:tcPr>
        <w:tcBorders>
          <w:top w:val="double" w:sz="6" w:space="0" w:color="006DA7" w:themeColor="accent3"/>
          <w:left w:val="single" w:sz="8" w:space="0" w:color="006DA7" w:themeColor="accent3"/>
          <w:bottom w:val="single" w:sz="8" w:space="0" w:color="006DA7" w:themeColor="accent3"/>
          <w:right w:val="single" w:sz="8" w:space="0" w:color="006DA7" w:themeColor="accent3"/>
        </w:tcBorders>
      </w:tcPr>
    </w:tblStylePr>
    <w:tblStylePr w:type="firstCol">
      <w:rPr>
        <w:b/>
        <w:bCs/>
      </w:rPr>
    </w:tblStylePr>
    <w:tblStylePr w:type="lastCol">
      <w:rPr>
        <w:b/>
        <w:bCs/>
      </w:rPr>
    </w:tblStylePr>
    <w:tblStylePr w:type="band1Vert">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tblStylePr w:type="band1Horz">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style>
  <w:style w:type="paragraph" w:styleId="Revision">
    <w:name w:val="Revision"/>
    <w:hidden/>
    <w:uiPriority w:val="99"/>
    <w:semiHidden/>
    <w:rsid w:val="009E22F0"/>
    <w:pPr>
      <w:spacing w:after="0" w:line="240" w:lineRule="auto"/>
    </w:pPr>
    <w:rPr>
      <w:rFonts w:ascii="Cambria" w:eastAsia="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4A56A6"/>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2B55D9"/>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2B55D9"/>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39447B"/>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4A56A6"/>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Abbreviations">
    <w:name w:val="Abbreviations"/>
    <w:basedOn w:val="Normal"/>
    <w:rsid w:val="002B55D9"/>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FootnoteText">
    <w:name w:val="footnote text"/>
    <w:basedOn w:val="Normal"/>
    <w:link w:val="FootnoteTextChar"/>
    <w:semiHidden/>
    <w:rsid w:val="005140A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18"/>
      <w:szCs w:val="20"/>
      <w:lang w:eastAsia="en-AU"/>
    </w:rPr>
  </w:style>
  <w:style w:type="character" w:customStyle="1" w:styleId="FootnoteTextChar">
    <w:name w:val="Footnote Text Char"/>
    <w:basedOn w:val="DefaultParagraphFont"/>
    <w:link w:val="FootnoteText"/>
    <w:semiHidden/>
    <w:rsid w:val="005140A3"/>
    <w:rPr>
      <w:rFonts w:ascii="Cambria" w:eastAsia="Times New Roman" w:hAnsi="Cambria" w:cs="Times New Roman"/>
      <w:kern w:val="16"/>
      <w:sz w:val="18"/>
      <w:szCs w:val="20"/>
      <w:lang w:eastAsia="en-AU"/>
    </w:rPr>
  </w:style>
  <w:style w:type="character" w:styleId="FootnoteReference">
    <w:name w:val="footnote reference"/>
    <w:semiHidden/>
    <w:rsid w:val="002B55D9"/>
    <w:rPr>
      <w:vertAlign w:val="superscript"/>
    </w:rPr>
  </w:style>
  <w:style w:type="paragraph" w:customStyle="1" w:styleId="Bullet1">
    <w:name w:val="Bullet 1"/>
    <w:basedOn w:val="Normal"/>
    <w:rsid w:val="002B55D9"/>
    <w:pPr>
      <w:spacing w:after="0" w:line="240" w:lineRule="auto"/>
    </w:pPr>
    <w:rPr>
      <w:rFonts w:eastAsia="Times New Roman"/>
      <w:kern w:val="24"/>
      <w:szCs w:val="24"/>
      <w:lang w:eastAsia="en-AU"/>
    </w:rPr>
  </w:style>
  <w:style w:type="paragraph" w:customStyle="1" w:styleId="Bullet2">
    <w:name w:val="Bullet 2"/>
    <w:basedOn w:val="Bullet1"/>
    <w:rsid w:val="002B55D9"/>
    <w:pPr>
      <w:numPr>
        <w:numId w:val="6"/>
      </w:numPr>
    </w:pPr>
  </w:style>
  <w:style w:type="paragraph" w:styleId="ListParagraph">
    <w:name w:val="List Paragraph"/>
    <w:basedOn w:val="Normal"/>
    <w:uiPriority w:val="34"/>
    <w:qFormat/>
    <w:rsid w:val="002B55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styleId="PageNumber">
    <w:name w:val="page number"/>
    <w:rsid w:val="002B55D9"/>
    <w:rPr>
      <w:sz w:val="20"/>
    </w:rPr>
  </w:style>
  <w:style w:type="character" w:customStyle="1" w:styleId="Heading8Char">
    <w:name w:val="Heading 8 Char"/>
    <w:basedOn w:val="DefaultParagraphFont"/>
    <w:link w:val="Heading8"/>
    <w:rsid w:val="002B55D9"/>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2B55D9"/>
    <w:rPr>
      <w:rFonts w:ascii="Arial" w:eastAsia="Times New Roman" w:hAnsi="Arial" w:cs="Arial"/>
      <w:kern w:val="16"/>
      <w:u w:val="single"/>
      <w:lang w:eastAsia="en-AU"/>
    </w:rPr>
  </w:style>
  <w:style w:type="paragraph" w:customStyle="1" w:styleId="Heading0inTOC">
    <w:name w:val="Heading 0 (in TOC)"/>
    <w:basedOn w:val="Heading1"/>
    <w:next w:val="Normal"/>
    <w:rsid w:val="002B55D9"/>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2B55D9"/>
    <w:pPr>
      <w:numPr>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2B55D9"/>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2B55D9"/>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2B55D9"/>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2B55D9"/>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2B55D9"/>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2B55D9"/>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2B55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2B55D9"/>
    <w:rPr>
      <w:rFonts w:ascii="Cambria" w:eastAsia="Times New Roman" w:hAnsi="Cambria" w:cs="Times New Roman"/>
      <w:kern w:val="16"/>
      <w:sz w:val="20"/>
      <w:szCs w:val="20"/>
      <w:lang w:eastAsia="en-AU"/>
    </w:rPr>
  </w:style>
  <w:style w:type="character" w:styleId="EndnoteReference">
    <w:name w:val="endnote reference"/>
    <w:semiHidden/>
    <w:rsid w:val="002B55D9"/>
    <w:rPr>
      <w:dstrike w:val="0"/>
      <w:vertAlign w:val="baseline"/>
    </w:rPr>
  </w:style>
  <w:style w:type="paragraph" w:styleId="TableofFigures">
    <w:name w:val="table of figures"/>
    <w:basedOn w:val="Normal"/>
    <w:next w:val="Normal"/>
    <w:uiPriority w:val="99"/>
    <w:rsid w:val="002B55D9"/>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2B55D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2B55D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2B55D9"/>
    <w:pPr>
      <w:numPr>
        <w:numId w:val="8"/>
      </w:numPr>
      <w:tabs>
        <w:tab w:val="clear" w:pos="1134"/>
      </w:tabs>
      <w:spacing w:before="120"/>
      <w:ind w:left="1418" w:hanging="284"/>
    </w:pPr>
  </w:style>
  <w:style w:type="paragraph" w:customStyle="1" w:styleId="Instructions1">
    <w:name w:val="Instructions 1"/>
    <w:basedOn w:val="Normal"/>
    <w:qFormat/>
    <w:rsid w:val="002B55D9"/>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2B55D9"/>
    <w:pPr>
      <w:numPr>
        <w:numId w:val="9"/>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2B55D9"/>
    <w:rPr>
      <w:sz w:val="16"/>
      <w:szCs w:val="16"/>
    </w:rPr>
  </w:style>
  <w:style w:type="paragraph" w:styleId="CommentText">
    <w:name w:val="annotation text"/>
    <w:basedOn w:val="Normal"/>
    <w:link w:val="CommentTextChar"/>
    <w:rsid w:val="002B55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CommentTextChar">
    <w:name w:val="Comment Text Char"/>
    <w:basedOn w:val="DefaultParagraphFont"/>
    <w:link w:val="CommentText"/>
    <w:rsid w:val="002B55D9"/>
    <w:rPr>
      <w:rFonts w:ascii="Times New Roman" w:eastAsia="Times New Roman" w:hAnsi="Times New Roman" w:cs="Times New Roman"/>
      <w:kern w:val="16"/>
      <w:sz w:val="20"/>
      <w:szCs w:val="20"/>
      <w:lang w:eastAsia="en-AU"/>
    </w:rPr>
  </w:style>
  <w:style w:type="paragraph" w:styleId="CommentSubject">
    <w:name w:val="annotation subject"/>
    <w:basedOn w:val="CommentText"/>
    <w:next w:val="CommentText"/>
    <w:link w:val="CommentSubjectChar"/>
    <w:rsid w:val="002B55D9"/>
    <w:rPr>
      <w:b/>
      <w:bCs/>
    </w:rPr>
  </w:style>
  <w:style w:type="character" w:customStyle="1" w:styleId="CommentSubjectChar">
    <w:name w:val="Comment Subject Char"/>
    <w:basedOn w:val="CommentTextChar"/>
    <w:link w:val="CommentSubject"/>
    <w:rsid w:val="002B55D9"/>
    <w:rPr>
      <w:rFonts w:ascii="Times New Roman" w:eastAsia="Times New Roman" w:hAnsi="Times New Roman" w:cs="Times New Roman"/>
      <w:b/>
      <w:bCs/>
      <w:kern w:val="16"/>
      <w:sz w:val="20"/>
      <w:szCs w:val="20"/>
      <w:lang w:eastAsia="en-AU"/>
    </w:rPr>
  </w:style>
  <w:style w:type="paragraph" w:customStyle="1" w:styleId="Contentslist1">
    <w:name w:val="Contents list 1"/>
    <w:basedOn w:val="Normal"/>
    <w:qFormat/>
    <w:rsid w:val="002B55D9"/>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2B55D9"/>
    <w:pPr>
      <w:spacing w:before="0" w:after="0"/>
    </w:pPr>
    <w:rPr>
      <w:b w:val="0"/>
    </w:rPr>
  </w:style>
  <w:style w:type="paragraph" w:styleId="DocumentMap">
    <w:name w:val="Document Map"/>
    <w:basedOn w:val="Normal"/>
    <w:link w:val="DocumentMapChar"/>
    <w:rsid w:val="002B55D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ahoma" w:eastAsia="Times New Roman" w:hAnsi="Tahoma" w:cs="Tahoma"/>
      <w:kern w:val="16"/>
      <w:sz w:val="16"/>
      <w:szCs w:val="16"/>
      <w:lang w:eastAsia="en-AU"/>
    </w:rPr>
  </w:style>
  <w:style w:type="character" w:customStyle="1" w:styleId="DocumentMapChar">
    <w:name w:val="Document Map Char"/>
    <w:basedOn w:val="DefaultParagraphFont"/>
    <w:link w:val="DocumentMap"/>
    <w:rsid w:val="002B55D9"/>
    <w:rPr>
      <w:rFonts w:ascii="Tahoma" w:eastAsia="Times New Roman" w:hAnsi="Tahoma" w:cs="Tahoma"/>
      <w:kern w:val="16"/>
      <w:sz w:val="16"/>
      <w:szCs w:val="16"/>
      <w:lang w:eastAsia="en-AU"/>
    </w:rPr>
  </w:style>
  <w:style w:type="table" w:styleId="LightList-Accent3">
    <w:name w:val="Light List Accent 3"/>
    <w:basedOn w:val="TableNormal"/>
    <w:uiPriority w:val="61"/>
    <w:rsid w:val="00142469"/>
    <w:pPr>
      <w:spacing w:after="0" w:line="240" w:lineRule="auto"/>
    </w:pPr>
    <w:tblPr>
      <w:tblStyleRowBandSize w:val="1"/>
      <w:tblStyleColBandSize w:val="1"/>
      <w:tblInd w:w="0" w:type="dxa"/>
      <w:tblBorders>
        <w:top w:val="single" w:sz="8" w:space="0" w:color="006DA7" w:themeColor="accent3"/>
        <w:left w:val="single" w:sz="8" w:space="0" w:color="006DA7" w:themeColor="accent3"/>
        <w:bottom w:val="single" w:sz="8" w:space="0" w:color="006DA7" w:themeColor="accent3"/>
        <w:right w:val="single" w:sz="8" w:space="0" w:color="006DA7"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6DA7" w:themeFill="accent3"/>
      </w:tcPr>
    </w:tblStylePr>
    <w:tblStylePr w:type="lastRow">
      <w:pPr>
        <w:spacing w:before="0" w:after="0" w:line="240" w:lineRule="auto"/>
      </w:pPr>
      <w:rPr>
        <w:b/>
        <w:bCs/>
      </w:rPr>
      <w:tblPr/>
      <w:tcPr>
        <w:tcBorders>
          <w:top w:val="double" w:sz="6" w:space="0" w:color="006DA7" w:themeColor="accent3"/>
          <w:left w:val="single" w:sz="8" w:space="0" w:color="006DA7" w:themeColor="accent3"/>
          <w:bottom w:val="single" w:sz="8" w:space="0" w:color="006DA7" w:themeColor="accent3"/>
          <w:right w:val="single" w:sz="8" w:space="0" w:color="006DA7" w:themeColor="accent3"/>
        </w:tcBorders>
      </w:tcPr>
    </w:tblStylePr>
    <w:tblStylePr w:type="firstCol">
      <w:rPr>
        <w:b/>
        <w:bCs/>
      </w:rPr>
    </w:tblStylePr>
    <w:tblStylePr w:type="lastCol">
      <w:rPr>
        <w:b/>
        <w:bCs/>
      </w:rPr>
    </w:tblStylePr>
    <w:tblStylePr w:type="band1Vert">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tblStylePr w:type="band1Horz">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style>
  <w:style w:type="paragraph" w:styleId="Revision">
    <w:name w:val="Revision"/>
    <w:hidden/>
    <w:uiPriority w:val="99"/>
    <w:semiHidden/>
    <w:rsid w:val="009E22F0"/>
    <w:pPr>
      <w:spacing w:after="0" w:line="240" w:lineRule="auto"/>
    </w:pPr>
    <w:rPr>
      <w:rFonts w:ascii="Cambria" w:eastAsia="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212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tga.gov.au/product-information-pi"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eader" Target="header3.xml"/><Relationship Id="rId63" Type="http://schemas.openxmlformats.org/officeDocument/2006/relationships/footer" Target="footer3.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footer" Target="footer2.xm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header" Target="header5.xml"/><Relationship Id="rId61"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www.tga.gov.au" TargetMode="External"/><Relationship Id="rId6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tga.copyright@tga.gov.a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emf"/><Relationship Id="rId56" Type="http://schemas.openxmlformats.org/officeDocument/2006/relationships/header" Target="header4.xml"/><Relationship Id="rId64" Type="http://schemas.openxmlformats.org/officeDocument/2006/relationships/header" Target="header8.xml"/><Relationship Id="rId8" Type="http://schemas.openxmlformats.org/officeDocument/2006/relationships/settings" Target="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hyperlink" Target="http://www.tga.gov.au" TargetMode="External"/><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mailto:info@tga.gov.au" TargetMode="External"/><Relationship Id="rId6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eader" Target="header7.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4896\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828F67AE53AB44976B3F59E43690ED" ma:contentTypeVersion="0" ma:contentTypeDescription="Create a new document." ma:contentTypeScope="" ma:versionID="16cfa989f058a6b28b1fe64c91421d9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25771-302D-4DF3-B958-43198BC9D2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FFB918E-EC03-4AF9-B5CD-7880723B0108}">
  <ds:schemaRefs>
    <ds:schemaRef ds:uri="http://purl.org/dc/elements/1.1/"/>
    <ds:schemaRef ds:uri="http://purl.org/dc/dcmitype/"/>
    <ds:schemaRef ds:uri="http://purl.org/dc/terms/"/>
    <ds:schemaRef ds:uri="http://schemas.microsoft.com/office/infopath/2007/PartnerControls"/>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7B393BE1-CC07-44A4-98DD-89F6A9E975A8}">
  <ds:schemaRefs>
    <ds:schemaRef ds:uri="http://schemas.microsoft.com/sharepoint/v3/contenttype/forms"/>
  </ds:schemaRefs>
</ds:datastoreItem>
</file>

<file path=customXml/itemProps4.xml><?xml version="1.0" encoding="utf-8"?>
<ds:datastoreItem xmlns:ds="http://schemas.openxmlformats.org/officeDocument/2006/customXml" ds:itemID="{790E2DFB-5CF6-47DF-8E67-3E2C62A49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555</TotalTime>
  <Pages>61</Pages>
  <Words>18410</Words>
  <Characters>104385</Characters>
  <Application>Microsoft Office Word</Application>
  <DocSecurity>0</DocSecurity>
  <Lines>1933</Lines>
  <Paragraphs>1023</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Aripiprazole Monohydrate</vt:lpstr>
    </vt:vector>
  </TitlesOfParts>
  <Company>Department of Health Therapeutic Goods Administration</Company>
  <LinksUpToDate>false</LinksUpToDate>
  <CharactersWithSpaces>121772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Aripiprazole Monohydrate</dc:title>
  <dc:subject>prescription medicine regulation</dc:subject>
  <dc:creator>Therapeutic Goods Administration</dc:creator>
  <cp:keywords>clinical, evaluation, report, medicine, assessment, regulation, australia, aripiprazole, monohydrate, abilify, maintena, lundbeck</cp:keywords>
  <cp:lastModifiedBy>Sheppard, Fran</cp:lastModifiedBy>
  <cp:revision>15</cp:revision>
  <cp:lastPrinted>2014-11-02T23:36:00Z</cp:lastPrinted>
  <dcterms:created xsi:type="dcterms:W3CDTF">2015-01-05T01:46:00Z</dcterms:created>
  <dcterms:modified xsi:type="dcterms:W3CDTF">2015-01-13T05:41:00Z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0x01010059828F67AE53AB44976B3F59E43690ED</vt:lpwstr>
  </property>
</Properties>
</file>