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FEF" w:rsidRPr="003F29C0" w:rsidRDefault="0055186A" w:rsidP="0055186A">
      <w:pPr>
        <w:tabs>
          <w:tab w:val="left" w:pos="-1440"/>
          <w:tab w:val="left" w:pos="-720"/>
        </w:tabs>
        <w:jc w:val="center"/>
        <w:rPr>
          <w:b/>
          <w:lang w:val="en-AU"/>
        </w:rPr>
      </w:pPr>
      <w:permStart w:id="1334410800" w:edGrp="everyone"/>
      <w:permEnd w:id="1334410800"/>
      <w:r w:rsidRPr="003F29C0">
        <w:rPr>
          <w:b/>
          <w:lang w:val="en-AU"/>
        </w:rPr>
        <w:t>Product Information</w:t>
      </w:r>
    </w:p>
    <w:p w:rsidR="00E65E56" w:rsidRPr="003F29C0" w:rsidRDefault="00E65E56" w:rsidP="0055186A">
      <w:pPr>
        <w:tabs>
          <w:tab w:val="left" w:pos="-1440"/>
          <w:tab w:val="left" w:pos="-720"/>
        </w:tabs>
        <w:jc w:val="center"/>
        <w:rPr>
          <w:b/>
          <w:lang w:val="en-AU"/>
        </w:rPr>
      </w:pPr>
    </w:p>
    <w:p w:rsidR="00E65E56" w:rsidRPr="003F29C0" w:rsidRDefault="00E65E56" w:rsidP="0055186A">
      <w:pPr>
        <w:tabs>
          <w:tab w:val="left" w:pos="-1440"/>
          <w:tab w:val="left" w:pos="-720"/>
        </w:tabs>
        <w:jc w:val="center"/>
        <w:rPr>
          <w:b/>
          <w:lang w:val="en-AU"/>
        </w:rPr>
      </w:pPr>
      <w:r w:rsidRPr="003F29C0">
        <w:rPr>
          <w:b/>
          <w:szCs w:val="22"/>
          <w:lang w:val="en-AU"/>
        </w:rPr>
        <w:t>O</w:t>
      </w:r>
      <w:r w:rsidR="00C2585E" w:rsidRPr="003F29C0">
        <w:rPr>
          <w:b/>
          <w:szCs w:val="22"/>
          <w:lang w:val="en-AU"/>
        </w:rPr>
        <w:t>TEZLA</w:t>
      </w:r>
      <w:r w:rsidRPr="003F29C0">
        <w:rPr>
          <w:b/>
          <w:vertAlign w:val="superscript"/>
          <w:lang w:val="en-AU"/>
        </w:rPr>
        <w:t>®</w:t>
      </w:r>
      <w:r w:rsidRPr="003F29C0">
        <w:rPr>
          <w:b/>
          <w:lang w:val="en-AU"/>
        </w:rPr>
        <w:t xml:space="preserve"> </w:t>
      </w:r>
      <w:r w:rsidRPr="00FD6CFE">
        <w:rPr>
          <w:b/>
          <w:lang w:val="en-AU"/>
        </w:rPr>
        <w:t>(apremilast</w:t>
      </w:r>
      <w:r w:rsidR="005149D1">
        <w:rPr>
          <w:b/>
          <w:lang w:val="en-AU"/>
        </w:rPr>
        <w:t>)</w:t>
      </w:r>
      <w:r w:rsidRPr="003F29C0">
        <w:rPr>
          <w:b/>
          <w:lang w:val="en-AU"/>
        </w:rPr>
        <w:t xml:space="preserve"> tablets</w:t>
      </w:r>
    </w:p>
    <w:p w:rsidR="00E65E56" w:rsidRPr="003F29C0" w:rsidRDefault="00E65E56" w:rsidP="0055186A">
      <w:pPr>
        <w:tabs>
          <w:tab w:val="left" w:pos="-1440"/>
          <w:tab w:val="left" w:pos="-720"/>
        </w:tabs>
        <w:jc w:val="center"/>
        <w:rPr>
          <w:b/>
          <w:lang w:val="en-AU"/>
        </w:rPr>
      </w:pPr>
    </w:p>
    <w:p w:rsidR="00EC36C1" w:rsidRDefault="00DD67D7" w:rsidP="007D6A4A">
      <w:pPr>
        <w:pStyle w:val="ListParagraph"/>
        <w:keepNext/>
        <w:numPr>
          <w:ilvl w:val="0"/>
          <w:numId w:val="2"/>
        </w:numPr>
        <w:tabs>
          <w:tab w:val="left" w:pos="-1440"/>
          <w:tab w:val="left" w:pos="709"/>
        </w:tabs>
        <w:ind w:left="709" w:hanging="709"/>
        <w:rPr>
          <w:sz w:val="28"/>
          <w:szCs w:val="28"/>
          <w:lang w:val="en-AU"/>
        </w:rPr>
      </w:pPr>
      <w:r w:rsidRPr="003F29C0">
        <w:rPr>
          <w:b/>
          <w:sz w:val="28"/>
          <w:szCs w:val="28"/>
          <w:lang w:val="en-AU"/>
        </w:rPr>
        <w:t xml:space="preserve">Name of the </w:t>
      </w:r>
      <w:r w:rsidR="00215DC0" w:rsidRPr="003F29C0">
        <w:rPr>
          <w:b/>
          <w:sz w:val="28"/>
          <w:szCs w:val="28"/>
          <w:lang w:val="en-AU"/>
        </w:rPr>
        <w:t>m</w:t>
      </w:r>
      <w:r w:rsidRPr="003F29C0">
        <w:rPr>
          <w:b/>
          <w:sz w:val="28"/>
          <w:szCs w:val="28"/>
          <w:lang w:val="en-AU"/>
        </w:rPr>
        <w:t>edicine</w:t>
      </w:r>
    </w:p>
    <w:p w:rsidR="00F94C11" w:rsidRPr="003F29C0" w:rsidRDefault="009C5AED" w:rsidP="007F0C77">
      <w:pPr>
        <w:spacing w:before="120"/>
        <w:rPr>
          <w:sz w:val="22"/>
          <w:szCs w:val="22"/>
          <w:lang w:val="en-AU"/>
        </w:rPr>
      </w:pPr>
      <w:r w:rsidRPr="003F29C0">
        <w:rPr>
          <w:sz w:val="22"/>
          <w:szCs w:val="22"/>
          <w:lang w:val="en-AU"/>
        </w:rPr>
        <w:t>Australian approved name:</w:t>
      </w:r>
      <w:r w:rsidRPr="003F29C0">
        <w:rPr>
          <w:sz w:val="22"/>
          <w:szCs w:val="22"/>
          <w:lang w:val="en-AU"/>
        </w:rPr>
        <w:tab/>
      </w:r>
      <w:r w:rsidRPr="003F29C0">
        <w:rPr>
          <w:sz w:val="22"/>
          <w:szCs w:val="22"/>
          <w:lang w:val="en-AU"/>
        </w:rPr>
        <w:tab/>
      </w:r>
      <w:r w:rsidR="00E65E56" w:rsidRPr="003F29C0">
        <w:rPr>
          <w:sz w:val="22"/>
          <w:szCs w:val="22"/>
          <w:lang w:val="en-AU"/>
        </w:rPr>
        <w:t>apremilast</w:t>
      </w:r>
    </w:p>
    <w:p w:rsidR="001B4CDA" w:rsidRPr="003F29C0" w:rsidRDefault="001B4CDA" w:rsidP="00F94C11">
      <w:pPr>
        <w:rPr>
          <w:sz w:val="22"/>
          <w:szCs w:val="22"/>
          <w:lang w:val="en-AU"/>
        </w:rPr>
      </w:pPr>
      <w:r w:rsidRPr="003F29C0">
        <w:rPr>
          <w:sz w:val="22"/>
          <w:szCs w:val="22"/>
          <w:lang w:val="en-AU"/>
        </w:rPr>
        <w:t>Molecular formula:</w:t>
      </w:r>
      <w:r w:rsidRPr="003F29C0">
        <w:rPr>
          <w:sz w:val="22"/>
          <w:szCs w:val="22"/>
          <w:lang w:val="en-AU"/>
        </w:rPr>
        <w:tab/>
      </w:r>
      <w:r w:rsidRPr="003F29C0">
        <w:rPr>
          <w:sz w:val="22"/>
          <w:szCs w:val="22"/>
          <w:lang w:val="en-AU"/>
        </w:rPr>
        <w:tab/>
      </w:r>
      <w:r w:rsidRPr="003F29C0">
        <w:rPr>
          <w:sz w:val="22"/>
          <w:szCs w:val="22"/>
          <w:lang w:val="en-AU"/>
        </w:rPr>
        <w:tab/>
      </w:r>
      <w:r w:rsidR="008F149E" w:rsidRPr="003F29C0">
        <w:rPr>
          <w:sz w:val="22"/>
          <w:szCs w:val="22"/>
          <w:lang w:val="en-AU" w:eastAsia="zh-CN"/>
        </w:rPr>
        <w:t>C</w:t>
      </w:r>
      <w:r w:rsidR="008F149E" w:rsidRPr="003F29C0">
        <w:rPr>
          <w:sz w:val="22"/>
          <w:szCs w:val="22"/>
          <w:vertAlign w:val="subscript"/>
          <w:lang w:val="en-AU" w:eastAsia="zh-CN"/>
        </w:rPr>
        <w:t>22</w:t>
      </w:r>
      <w:r w:rsidR="008F149E" w:rsidRPr="003F29C0">
        <w:rPr>
          <w:sz w:val="22"/>
          <w:szCs w:val="22"/>
          <w:lang w:val="en-AU" w:eastAsia="zh-CN"/>
        </w:rPr>
        <w:t>H</w:t>
      </w:r>
      <w:r w:rsidR="008F149E" w:rsidRPr="003F29C0">
        <w:rPr>
          <w:sz w:val="22"/>
          <w:szCs w:val="22"/>
          <w:vertAlign w:val="subscript"/>
          <w:lang w:val="en-AU" w:eastAsia="zh-CN"/>
        </w:rPr>
        <w:t>24</w:t>
      </w:r>
      <w:r w:rsidR="008F149E" w:rsidRPr="003F29C0">
        <w:rPr>
          <w:sz w:val="22"/>
          <w:szCs w:val="22"/>
          <w:lang w:val="en-AU" w:eastAsia="zh-CN"/>
        </w:rPr>
        <w:t>N</w:t>
      </w:r>
      <w:r w:rsidR="008F149E" w:rsidRPr="003F29C0">
        <w:rPr>
          <w:sz w:val="22"/>
          <w:szCs w:val="22"/>
          <w:vertAlign w:val="subscript"/>
          <w:lang w:val="en-AU" w:eastAsia="zh-CN"/>
        </w:rPr>
        <w:t>2</w:t>
      </w:r>
      <w:r w:rsidR="008F149E" w:rsidRPr="003F29C0">
        <w:rPr>
          <w:sz w:val="22"/>
          <w:szCs w:val="22"/>
          <w:lang w:val="en-AU" w:eastAsia="zh-CN"/>
        </w:rPr>
        <w:t>O</w:t>
      </w:r>
      <w:r w:rsidR="008F149E" w:rsidRPr="003F29C0">
        <w:rPr>
          <w:sz w:val="22"/>
          <w:szCs w:val="22"/>
          <w:vertAlign w:val="subscript"/>
          <w:lang w:val="en-AU" w:eastAsia="zh-CN"/>
        </w:rPr>
        <w:t>7</w:t>
      </w:r>
      <w:r w:rsidR="008F149E" w:rsidRPr="003F29C0">
        <w:rPr>
          <w:sz w:val="22"/>
          <w:szCs w:val="22"/>
          <w:lang w:val="en-AU" w:eastAsia="zh-CN"/>
        </w:rPr>
        <w:t>S</w:t>
      </w:r>
    </w:p>
    <w:p w:rsidR="001B4CDA" w:rsidRPr="003F29C0" w:rsidRDefault="00153E5D" w:rsidP="00F94C11">
      <w:pPr>
        <w:rPr>
          <w:sz w:val="22"/>
          <w:szCs w:val="22"/>
          <w:lang w:val="en-AU"/>
        </w:rPr>
      </w:pPr>
      <w:r w:rsidRPr="003F29C0">
        <w:rPr>
          <w:sz w:val="22"/>
          <w:szCs w:val="22"/>
          <w:lang w:val="en-AU"/>
        </w:rPr>
        <w:t>Molecular weight:</w:t>
      </w:r>
      <w:r w:rsidRPr="003F29C0">
        <w:rPr>
          <w:sz w:val="22"/>
          <w:szCs w:val="22"/>
          <w:lang w:val="en-AU"/>
        </w:rPr>
        <w:tab/>
      </w:r>
      <w:r w:rsidRPr="003F29C0">
        <w:rPr>
          <w:sz w:val="22"/>
          <w:szCs w:val="22"/>
          <w:lang w:val="en-AU"/>
        </w:rPr>
        <w:tab/>
      </w:r>
      <w:r w:rsidRPr="003F29C0">
        <w:rPr>
          <w:sz w:val="22"/>
          <w:szCs w:val="22"/>
          <w:lang w:val="en-AU"/>
        </w:rPr>
        <w:tab/>
      </w:r>
      <w:r w:rsidR="008F149E" w:rsidRPr="003F29C0">
        <w:rPr>
          <w:sz w:val="22"/>
          <w:szCs w:val="22"/>
          <w:lang w:val="en-AU" w:eastAsia="zh-CN"/>
        </w:rPr>
        <w:t>460.5</w:t>
      </w:r>
    </w:p>
    <w:p w:rsidR="001B4CDA" w:rsidRPr="003F29C0" w:rsidRDefault="00153E5D" w:rsidP="00F94C11">
      <w:pPr>
        <w:rPr>
          <w:sz w:val="22"/>
          <w:szCs w:val="22"/>
          <w:lang w:val="en-AU"/>
        </w:rPr>
      </w:pPr>
      <w:r w:rsidRPr="003F29C0">
        <w:rPr>
          <w:sz w:val="22"/>
          <w:szCs w:val="22"/>
          <w:lang w:val="en-AU"/>
        </w:rPr>
        <w:t>CAS number:</w:t>
      </w:r>
      <w:r w:rsidRPr="003F29C0">
        <w:rPr>
          <w:sz w:val="22"/>
          <w:szCs w:val="22"/>
          <w:lang w:val="en-AU"/>
        </w:rPr>
        <w:tab/>
      </w:r>
      <w:r w:rsidRPr="003F29C0">
        <w:rPr>
          <w:sz w:val="22"/>
          <w:szCs w:val="22"/>
          <w:lang w:val="en-AU"/>
        </w:rPr>
        <w:tab/>
      </w:r>
      <w:r w:rsidRPr="003F29C0">
        <w:rPr>
          <w:sz w:val="22"/>
          <w:szCs w:val="22"/>
          <w:lang w:val="en-AU"/>
        </w:rPr>
        <w:tab/>
      </w:r>
      <w:r w:rsidRPr="003F29C0">
        <w:rPr>
          <w:sz w:val="22"/>
          <w:szCs w:val="22"/>
          <w:lang w:val="en-AU"/>
        </w:rPr>
        <w:tab/>
      </w:r>
      <w:r w:rsidR="004C7DAB" w:rsidRPr="003F29C0">
        <w:rPr>
          <w:sz w:val="22"/>
          <w:lang w:val="en-AU"/>
        </w:rPr>
        <w:t>608141-41-9</w:t>
      </w:r>
    </w:p>
    <w:p w:rsidR="003174D1" w:rsidRPr="003F29C0" w:rsidRDefault="00FE2F98" w:rsidP="00F94C11">
      <w:pPr>
        <w:rPr>
          <w:sz w:val="22"/>
          <w:szCs w:val="22"/>
          <w:lang w:val="en-AU"/>
        </w:rPr>
      </w:pPr>
      <w:r w:rsidRPr="003F29C0">
        <w:rPr>
          <w:sz w:val="22"/>
          <w:szCs w:val="22"/>
          <w:lang w:val="en-AU"/>
        </w:rPr>
        <w:t>ATC</w:t>
      </w:r>
      <w:r w:rsidR="003174D1" w:rsidRPr="003F29C0">
        <w:rPr>
          <w:sz w:val="22"/>
          <w:szCs w:val="22"/>
          <w:lang w:val="en-AU"/>
        </w:rPr>
        <w:t xml:space="preserve"> code:</w:t>
      </w:r>
      <w:r w:rsidR="003174D1" w:rsidRPr="003F29C0">
        <w:rPr>
          <w:sz w:val="22"/>
          <w:szCs w:val="22"/>
          <w:lang w:val="en-AU"/>
        </w:rPr>
        <w:tab/>
      </w:r>
      <w:r w:rsidR="003174D1" w:rsidRPr="003F29C0">
        <w:rPr>
          <w:sz w:val="22"/>
          <w:szCs w:val="22"/>
          <w:lang w:val="en-AU"/>
        </w:rPr>
        <w:tab/>
      </w:r>
      <w:r w:rsidR="003174D1" w:rsidRPr="003F29C0">
        <w:rPr>
          <w:sz w:val="22"/>
          <w:szCs w:val="22"/>
          <w:lang w:val="en-AU"/>
        </w:rPr>
        <w:tab/>
      </w:r>
      <w:r w:rsidR="003174D1" w:rsidRPr="003F29C0">
        <w:rPr>
          <w:sz w:val="22"/>
          <w:szCs w:val="22"/>
          <w:lang w:val="en-AU"/>
        </w:rPr>
        <w:tab/>
      </w:r>
      <w:r w:rsidR="00357432" w:rsidRPr="003F29C0">
        <w:rPr>
          <w:sz w:val="22"/>
          <w:szCs w:val="22"/>
          <w:lang w:val="en-AU"/>
        </w:rPr>
        <w:t>L04AA32</w:t>
      </w:r>
    </w:p>
    <w:p w:rsidR="008F149E" w:rsidRPr="003F29C0" w:rsidRDefault="00153E5D" w:rsidP="008F149E">
      <w:pPr>
        <w:autoSpaceDE w:val="0"/>
        <w:autoSpaceDN w:val="0"/>
        <w:adjustRightInd w:val="0"/>
        <w:rPr>
          <w:sz w:val="22"/>
          <w:szCs w:val="22"/>
          <w:lang w:val="en-AU" w:eastAsia="zh-CN"/>
        </w:rPr>
      </w:pPr>
      <w:r w:rsidRPr="003F29C0">
        <w:rPr>
          <w:sz w:val="22"/>
          <w:szCs w:val="22"/>
          <w:lang w:val="en-AU"/>
        </w:rPr>
        <w:t>Chemical name:</w:t>
      </w:r>
      <w:r w:rsidRPr="003F29C0">
        <w:rPr>
          <w:sz w:val="22"/>
          <w:szCs w:val="22"/>
          <w:lang w:val="en-AU"/>
        </w:rPr>
        <w:tab/>
      </w:r>
      <w:r w:rsidR="008F149E" w:rsidRPr="003F29C0">
        <w:rPr>
          <w:sz w:val="22"/>
          <w:szCs w:val="22"/>
          <w:lang w:val="en-AU"/>
        </w:rPr>
        <w:tab/>
      </w:r>
      <w:r w:rsidR="008F149E" w:rsidRPr="003F29C0">
        <w:rPr>
          <w:sz w:val="22"/>
          <w:szCs w:val="22"/>
          <w:lang w:val="en-AU"/>
        </w:rPr>
        <w:tab/>
      </w:r>
      <w:r w:rsidR="008F149E" w:rsidRPr="003F29C0">
        <w:rPr>
          <w:sz w:val="22"/>
          <w:szCs w:val="22"/>
          <w:lang w:val="en-AU"/>
        </w:rPr>
        <w:tab/>
      </w:r>
      <w:r w:rsidR="008F149E" w:rsidRPr="003F29C0">
        <w:rPr>
          <w:sz w:val="22"/>
          <w:szCs w:val="22"/>
          <w:lang w:val="en-AU" w:eastAsia="zh-CN"/>
        </w:rPr>
        <w:t>N-[2-[(1S)-1-(3-ethoxy-4-methoxyphenyl)-2-</w:t>
      </w:r>
    </w:p>
    <w:p w:rsidR="001B4CDA" w:rsidRPr="003F29C0" w:rsidRDefault="008F149E" w:rsidP="008F149E">
      <w:pPr>
        <w:ind w:left="3600"/>
        <w:rPr>
          <w:sz w:val="22"/>
          <w:szCs w:val="22"/>
          <w:lang w:val="en-AU"/>
        </w:rPr>
      </w:pPr>
      <w:r w:rsidRPr="003F29C0">
        <w:rPr>
          <w:sz w:val="22"/>
          <w:szCs w:val="22"/>
          <w:lang w:val="en-AU" w:eastAsia="zh-CN"/>
        </w:rPr>
        <w:t>(methylsulfonyl</w:t>
      </w:r>
      <w:proofErr w:type="gramStart"/>
      <w:r w:rsidRPr="003F29C0">
        <w:rPr>
          <w:sz w:val="22"/>
          <w:szCs w:val="22"/>
          <w:lang w:val="en-AU" w:eastAsia="zh-CN"/>
        </w:rPr>
        <w:t>)ethyl</w:t>
      </w:r>
      <w:proofErr w:type="gramEnd"/>
      <w:r w:rsidRPr="003F29C0">
        <w:rPr>
          <w:sz w:val="22"/>
          <w:szCs w:val="22"/>
          <w:lang w:val="en-AU" w:eastAsia="zh-CN"/>
        </w:rPr>
        <w:t>]-2,3-dihydro-1,3-dioxo-1H-isoindol-4-yl]acetamide</w:t>
      </w:r>
    </w:p>
    <w:p w:rsidR="001B4CDA" w:rsidRPr="003F29C0" w:rsidRDefault="00153E5D" w:rsidP="001B4CDA">
      <w:pPr>
        <w:ind w:left="3600" w:hanging="3600"/>
        <w:rPr>
          <w:sz w:val="22"/>
          <w:szCs w:val="22"/>
          <w:lang w:val="en-AU"/>
        </w:rPr>
      </w:pPr>
      <w:r w:rsidRPr="003F29C0">
        <w:rPr>
          <w:sz w:val="22"/>
          <w:szCs w:val="22"/>
          <w:lang w:val="en-AU"/>
        </w:rPr>
        <w:t>Chemical structure:</w:t>
      </w:r>
    </w:p>
    <w:p w:rsidR="00F94C11" w:rsidRPr="003F29C0" w:rsidRDefault="00132087" w:rsidP="00F94C11">
      <w:pPr>
        <w:jc w:val="center"/>
        <w:rPr>
          <w:sz w:val="22"/>
          <w:szCs w:val="22"/>
          <w:lang w:val="en-AU"/>
        </w:rPr>
      </w:pPr>
      <w:r>
        <w:rPr>
          <w:noProof/>
          <w:sz w:val="22"/>
          <w:szCs w:val="22"/>
          <w:lang w:val="en-AU" w:eastAsia="en-AU"/>
        </w:rPr>
        <w:drawing>
          <wp:inline distT="0" distB="0" distL="0" distR="0">
            <wp:extent cx="1794510" cy="1294130"/>
            <wp:effectExtent l="0" t="0" r="0" b="0"/>
            <wp:docPr id="3" name="Picture 1" descr="Chemical structure of Otez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794510" cy="1294130"/>
                    </a:xfrm>
                    <a:prstGeom prst="rect">
                      <a:avLst/>
                    </a:prstGeom>
                    <a:noFill/>
                    <a:ln w="9525">
                      <a:noFill/>
                      <a:miter lim="800000"/>
                      <a:headEnd/>
                      <a:tailEnd/>
                    </a:ln>
                  </pic:spPr>
                </pic:pic>
              </a:graphicData>
            </a:graphic>
          </wp:inline>
        </w:drawing>
      </w:r>
    </w:p>
    <w:p w:rsidR="008F149E" w:rsidRPr="003F29C0" w:rsidRDefault="008F149E" w:rsidP="00F94C11">
      <w:pPr>
        <w:jc w:val="center"/>
        <w:rPr>
          <w:sz w:val="22"/>
          <w:szCs w:val="22"/>
          <w:lang w:val="en-AU"/>
        </w:rPr>
      </w:pPr>
    </w:p>
    <w:p w:rsidR="00EC36C1" w:rsidRDefault="00DD67D7" w:rsidP="007D6A4A">
      <w:pPr>
        <w:pStyle w:val="ListParagraph"/>
        <w:keepNext/>
        <w:numPr>
          <w:ilvl w:val="0"/>
          <w:numId w:val="2"/>
        </w:numPr>
        <w:tabs>
          <w:tab w:val="left" w:pos="720"/>
        </w:tabs>
        <w:ind w:left="709" w:hanging="709"/>
        <w:rPr>
          <w:caps/>
          <w:sz w:val="28"/>
          <w:szCs w:val="28"/>
          <w:lang w:val="en-AU"/>
        </w:rPr>
      </w:pPr>
      <w:r w:rsidRPr="003F29C0">
        <w:rPr>
          <w:b/>
          <w:sz w:val="28"/>
          <w:szCs w:val="28"/>
          <w:lang w:val="en-AU"/>
        </w:rPr>
        <w:t>Description</w:t>
      </w:r>
    </w:p>
    <w:p w:rsidR="00821181" w:rsidRPr="00D54B1E" w:rsidRDefault="00821181" w:rsidP="00D54B1E">
      <w:pPr>
        <w:pStyle w:val="C-TableText"/>
        <w:spacing w:before="120" w:after="0"/>
      </w:pPr>
      <w:r w:rsidRPr="004B3E27">
        <w:t>Apremilast is a white to pale yellow non-hygroscopic powder with a melting point of approximately 156.1°C.  It is practically insoluble in water, slightly soluble in ethanol, and soluble in acetone.</w:t>
      </w:r>
      <w:r w:rsidR="00D54B1E">
        <w:t xml:space="preserve">  </w:t>
      </w:r>
      <w:r w:rsidRPr="00821181">
        <w:rPr>
          <w:rFonts w:eastAsia="TimesNewRoman"/>
          <w:szCs w:val="22"/>
          <w:lang w:val="en-AU" w:eastAsia="en-AU"/>
        </w:rPr>
        <w:t xml:space="preserve">Apremilast is the S-enantiomer </w:t>
      </w:r>
      <w:r w:rsidR="00D54B1E">
        <w:rPr>
          <w:rFonts w:eastAsia="TimesNewRoman"/>
          <w:szCs w:val="22"/>
          <w:lang w:val="en-AU" w:eastAsia="en-AU"/>
        </w:rPr>
        <w:t>with a</w:t>
      </w:r>
      <w:r>
        <w:rPr>
          <w:rFonts w:eastAsia="TimesNewRoman"/>
          <w:szCs w:val="22"/>
          <w:lang w:val="en-AU" w:eastAsia="en-AU"/>
        </w:rPr>
        <w:t xml:space="preserve"> </w:t>
      </w:r>
      <w:r w:rsidRPr="00821181">
        <w:rPr>
          <w:rFonts w:eastAsia="TimesNewRoman"/>
          <w:szCs w:val="22"/>
          <w:lang w:val="en-AU" w:eastAsia="en-AU"/>
        </w:rPr>
        <w:t>specific rotation</w:t>
      </w:r>
      <w:r>
        <w:rPr>
          <w:rFonts w:eastAsia="TimesNewRoman"/>
          <w:szCs w:val="22"/>
          <w:lang w:val="en-AU" w:eastAsia="en-AU"/>
        </w:rPr>
        <w:t xml:space="preserve"> </w:t>
      </w:r>
      <w:r w:rsidRPr="00821181">
        <w:rPr>
          <w:rFonts w:eastAsia="TimesNewRoman"/>
          <w:szCs w:val="22"/>
          <w:lang w:val="en-AU" w:eastAsia="en-AU"/>
        </w:rPr>
        <w:t xml:space="preserve">of </w:t>
      </w:r>
      <w:r w:rsidR="00D54B1E" w:rsidRPr="00821181">
        <w:rPr>
          <w:rFonts w:eastAsia="TimesNewRoman"/>
          <w:szCs w:val="22"/>
          <w:lang w:val="en-AU" w:eastAsia="en-AU"/>
        </w:rPr>
        <w:t>+28.1°</w:t>
      </w:r>
      <w:r w:rsidR="00374D93">
        <w:rPr>
          <w:rFonts w:eastAsia="TimesNewRoman"/>
          <w:szCs w:val="22"/>
          <w:lang w:val="en-AU" w:eastAsia="en-AU"/>
        </w:rPr>
        <w:t xml:space="preserve"> </w:t>
      </w:r>
      <w:r w:rsidRPr="00821181">
        <w:rPr>
          <w:rFonts w:eastAsia="TimesNewRoman"/>
          <w:szCs w:val="22"/>
          <w:lang w:val="en-AU" w:eastAsia="en-AU"/>
        </w:rPr>
        <w:t>in acetonitrile</w:t>
      </w:r>
      <w:r w:rsidR="00D54B1E">
        <w:rPr>
          <w:rFonts w:eastAsia="TimesNewRoman"/>
          <w:szCs w:val="22"/>
          <w:lang w:val="en-AU" w:eastAsia="en-AU"/>
        </w:rPr>
        <w:t xml:space="preserve"> at a concentration of 20 </w:t>
      </w:r>
      <w:r>
        <w:rPr>
          <w:rFonts w:eastAsia="TimesNewRoman"/>
          <w:szCs w:val="22"/>
          <w:lang w:val="en-AU" w:eastAsia="en-AU"/>
        </w:rPr>
        <w:t>mg/mL</w:t>
      </w:r>
      <w:r w:rsidR="00D54B1E">
        <w:rPr>
          <w:rFonts w:eastAsia="TimesNewRoman"/>
          <w:szCs w:val="22"/>
          <w:lang w:val="en-AU" w:eastAsia="en-AU"/>
        </w:rPr>
        <w:t>.</w:t>
      </w:r>
    </w:p>
    <w:p w:rsidR="00821181" w:rsidRPr="003F29C0" w:rsidRDefault="00821181" w:rsidP="00821181">
      <w:pPr>
        <w:pStyle w:val="C-TableText"/>
        <w:spacing w:before="120" w:after="0"/>
        <w:rPr>
          <w:lang w:val="en-AU"/>
        </w:rPr>
      </w:pPr>
    </w:p>
    <w:p w:rsidR="00B0538E" w:rsidRPr="006E2E50" w:rsidRDefault="00B0538E" w:rsidP="006E2E50">
      <w:pPr>
        <w:rPr>
          <w:b/>
          <w:lang w:val="en-AU"/>
        </w:rPr>
      </w:pPr>
      <w:r w:rsidRPr="006E2E50">
        <w:rPr>
          <w:b/>
          <w:lang w:val="en-AU"/>
        </w:rPr>
        <w:t>L</w:t>
      </w:r>
      <w:r w:rsidR="00963047" w:rsidRPr="006E2E50">
        <w:rPr>
          <w:b/>
          <w:lang w:val="en-AU"/>
        </w:rPr>
        <w:t>ist of E</w:t>
      </w:r>
      <w:r w:rsidRPr="006E2E50">
        <w:rPr>
          <w:b/>
          <w:lang w:val="en-AU"/>
        </w:rPr>
        <w:t>xcipients</w:t>
      </w:r>
    </w:p>
    <w:p w:rsidR="00B0538E" w:rsidRPr="003F29C0" w:rsidRDefault="00357432" w:rsidP="00E46E06">
      <w:pPr>
        <w:spacing w:before="120"/>
        <w:rPr>
          <w:sz w:val="22"/>
          <w:szCs w:val="22"/>
          <w:lang w:val="en-AU"/>
        </w:rPr>
      </w:pPr>
      <w:r w:rsidRPr="003F29C0">
        <w:rPr>
          <w:rFonts w:eastAsia="SimSun"/>
          <w:bCs/>
          <w:sz w:val="22"/>
          <w:szCs w:val="22"/>
          <w:lang w:val="en-AU" w:eastAsia="zh-CN"/>
        </w:rPr>
        <w:t>Otezla tablets</w:t>
      </w:r>
      <w:r w:rsidR="00895ACB" w:rsidRPr="003F29C0">
        <w:rPr>
          <w:sz w:val="22"/>
          <w:szCs w:val="22"/>
          <w:lang w:val="en-AU"/>
        </w:rPr>
        <w:t xml:space="preserve"> contain </w:t>
      </w:r>
      <w:r w:rsidRPr="003F29C0">
        <w:rPr>
          <w:rFonts w:eastAsia="TimesNewRoman"/>
          <w:sz w:val="22"/>
          <w:szCs w:val="22"/>
          <w:lang w:val="en-AU" w:eastAsia="zh-CN"/>
        </w:rPr>
        <w:t>micr</w:t>
      </w:r>
      <w:r w:rsidR="00374D93">
        <w:rPr>
          <w:rFonts w:eastAsia="TimesNewRoman"/>
          <w:sz w:val="22"/>
          <w:szCs w:val="22"/>
          <w:lang w:val="en-AU" w:eastAsia="zh-CN"/>
        </w:rPr>
        <w:t>ocrystalline cellulose, lactose</w:t>
      </w:r>
      <w:r w:rsidRPr="003F29C0">
        <w:rPr>
          <w:rFonts w:eastAsia="TimesNewRoman"/>
          <w:sz w:val="22"/>
          <w:szCs w:val="22"/>
          <w:lang w:val="en-AU" w:eastAsia="zh-CN"/>
        </w:rPr>
        <w:t>, croscarmellose sodium, magnesium stearate</w:t>
      </w:r>
      <w:r w:rsidR="004C7DAB" w:rsidRPr="003F29C0">
        <w:rPr>
          <w:rFonts w:eastAsia="TimesNewRoman"/>
          <w:sz w:val="22"/>
          <w:szCs w:val="22"/>
          <w:lang w:val="en-AU" w:eastAsia="zh-CN"/>
        </w:rPr>
        <w:t>,</w:t>
      </w:r>
      <w:r w:rsidR="004C7DAB" w:rsidRPr="003F29C0">
        <w:rPr>
          <w:sz w:val="22"/>
          <w:szCs w:val="22"/>
          <w:lang w:val="en-AU"/>
        </w:rPr>
        <w:t xml:space="preserve"> polyvinyl </w:t>
      </w:r>
      <w:r w:rsidR="007B69FD">
        <w:rPr>
          <w:sz w:val="22"/>
          <w:szCs w:val="22"/>
          <w:lang w:val="en-AU"/>
        </w:rPr>
        <w:t>alcohol, titanium dioxide</w:t>
      </w:r>
      <w:r w:rsidR="004C7DAB" w:rsidRPr="003F29C0">
        <w:rPr>
          <w:sz w:val="22"/>
          <w:szCs w:val="22"/>
          <w:lang w:val="en-AU"/>
        </w:rPr>
        <w:t xml:space="preserve">, </w:t>
      </w:r>
      <w:r w:rsidR="00821181">
        <w:rPr>
          <w:sz w:val="22"/>
          <w:szCs w:val="22"/>
          <w:lang w:val="en-AU"/>
        </w:rPr>
        <w:t>macrogol</w:t>
      </w:r>
      <w:r w:rsidR="007B69FD">
        <w:rPr>
          <w:sz w:val="22"/>
          <w:szCs w:val="22"/>
          <w:lang w:val="en-AU"/>
        </w:rPr>
        <w:t>, talc, iron oxide red, iron oxide yellow (</w:t>
      </w:r>
      <w:r w:rsidR="004C7DAB" w:rsidRPr="003F29C0">
        <w:rPr>
          <w:sz w:val="22"/>
          <w:szCs w:val="22"/>
          <w:lang w:val="en-AU"/>
        </w:rPr>
        <w:t>20 and 30 mg on</w:t>
      </w:r>
      <w:r w:rsidR="007B69FD">
        <w:rPr>
          <w:sz w:val="22"/>
          <w:szCs w:val="22"/>
          <w:lang w:val="en-AU"/>
        </w:rPr>
        <w:t>ly) and iron oxide black (</w:t>
      </w:r>
      <w:r w:rsidR="004C7DAB" w:rsidRPr="003F29C0">
        <w:rPr>
          <w:sz w:val="22"/>
          <w:szCs w:val="22"/>
          <w:lang w:val="en-AU"/>
        </w:rPr>
        <w:t>30 mg only).</w:t>
      </w:r>
    </w:p>
    <w:p w:rsidR="00A1723F" w:rsidRPr="003F29C0" w:rsidRDefault="00A1723F" w:rsidP="00AA2AD6">
      <w:pPr>
        <w:rPr>
          <w:rFonts w:eastAsia="TimesNewRoman"/>
          <w:sz w:val="22"/>
          <w:szCs w:val="22"/>
          <w:lang w:val="en-AU" w:eastAsia="zh-CN"/>
        </w:rPr>
      </w:pPr>
    </w:p>
    <w:p w:rsidR="004A129A" w:rsidRPr="003F29C0" w:rsidRDefault="004A129A" w:rsidP="00895ACB">
      <w:pPr>
        <w:pStyle w:val="C-TableText"/>
        <w:spacing w:before="0" w:after="0"/>
        <w:rPr>
          <w:lang w:val="en-AU"/>
        </w:rPr>
      </w:pPr>
    </w:p>
    <w:p w:rsidR="00EC36C1" w:rsidRDefault="00DD67D7" w:rsidP="007D6A4A">
      <w:pPr>
        <w:pStyle w:val="C-TableHeader"/>
        <w:numPr>
          <w:ilvl w:val="0"/>
          <w:numId w:val="2"/>
        </w:numPr>
        <w:spacing w:before="0" w:after="0"/>
        <w:ind w:left="709" w:hanging="709"/>
        <w:rPr>
          <w:bCs/>
          <w:sz w:val="28"/>
          <w:szCs w:val="28"/>
          <w:lang w:val="en-AU"/>
        </w:rPr>
      </w:pPr>
      <w:r w:rsidRPr="003F29C0">
        <w:rPr>
          <w:bCs/>
          <w:sz w:val="28"/>
          <w:szCs w:val="28"/>
          <w:lang w:val="en-AU"/>
        </w:rPr>
        <w:t>Pharmacology</w:t>
      </w:r>
    </w:p>
    <w:p w:rsidR="00DD67D7" w:rsidRPr="003F29C0" w:rsidRDefault="00DD67D7" w:rsidP="009B1FEF">
      <w:pPr>
        <w:spacing w:before="120"/>
        <w:rPr>
          <w:sz w:val="22"/>
          <w:szCs w:val="22"/>
          <w:lang w:val="en-AU"/>
        </w:rPr>
      </w:pPr>
      <w:r w:rsidRPr="003F29C0">
        <w:rPr>
          <w:sz w:val="22"/>
          <w:szCs w:val="22"/>
          <w:lang w:val="en-AU"/>
        </w:rPr>
        <w:t xml:space="preserve">Pharmacotherapeutic group: </w:t>
      </w:r>
      <w:r w:rsidR="00D54B1E" w:rsidRPr="003F29C0">
        <w:rPr>
          <w:sz w:val="22"/>
          <w:lang w:val="en-AU"/>
        </w:rPr>
        <w:t>Selective immunosuppressants</w:t>
      </w:r>
      <w:r w:rsidRPr="003F29C0">
        <w:rPr>
          <w:sz w:val="22"/>
          <w:szCs w:val="22"/>
          <w:lang w:val="en-AU"/>
        </w:rPr>
        <w:t>.</w:t>
      </w:r>
    </w:p>
    <w:p w:rsidR="00EB51FF" w:rsidRDefault="00EB51FF" w:rsidP="004475F5">
      <w:pPr>
        <w:rPr>
          <w:sz w:val="22"/>
          <w:szCs w:val="22"/>
          <w:lang w:val="en-AU"/>
        </w:rPr>
      </w:pPr>
    </w:p>
    <w:p w:rsidR="00157DA0" w:rsidRDefault="00157DA0" w:rsidP="004475F5">
      <w:pPr>
        <w:rPr>
          <w:b/>
          <w:sz w:val="22"/>
          <w:szCs w:val="22"/>
          <w:lang w:val="en-AU"/>
        </w:rPr>
      </w:pPr>
      <w:r w:rsidRPr="00157DA0">
        <w:rPr>
          <w:b/>
          <w:sz w:val="22"/>
          <w:szCs w:val="22"/>
          <w:lang w:val="en-AU"/>
        </w:rPr>
        <w:t>Pharmacodynamic properties</w:t>
      </w:r>
    </w:p>
    <w:p w:rsidR="00157DA0" w:rsidRPr="00157DA0" w:rsidRDefault="00157DA0" w:rsidP="004475F5">
      <w:pPr>
        <w:rPr>
          <w:b/>
          <w:sz w:val="22"/>
          <w:szCs w:val="22"/>
          <w:lang w:val="en-AU"/>
        </w:rPr>
      </w:pPr>
    </w:p>
    <w:p w:rsidR="00307630" w:rsidRPr="003F29C0" w:rsidRDefault="00307630" w:rsidP="00307630">
      <w:pPr>
        <w:keepNext/>
        <w:rPr>
          <w:sz w:val="22"/>
          <w:szCs w:val="22"/>
          <w:u w:val="single"/>
          <w:lang w:val="en-AU"/>
        </w:rPr>
      </w:pPr>
      <w:r w:rsidRPr="003F29C0">
        <w:rPr>
          <w:sz w:val="22"/>
          <w:szCs w:val="22"/>
          <w:u w:val="single"/>
          <w:lang w:val="en-AU"/>
        </w:rPr>
        <w:t>Mechanism of action</w:t>
      </w:r>
    </w:p>
    <w:p w:rsidR="008A759D" w:rsidRPr="003F29C0" w:rsidRDefault="00357432">
      <w:pPr>
        <w:spacing w:before="120"/>
        <w:rPr>
          <w:sz w:val="22"/>
          <w:szCs w:val="22"/>
          <w:lang w:val="en-AU"/>
        </w:rPr>
      </w:pPr>
      <w:r w:rsidRPr="003F29C0">
        <w:rPr>
          <w:bCs/>
          <w:sz w:val="22"/>
          <w:szCs w:val="22"/>
          <w:lang w:val="en-AU"/>
        </w:rPr>
        <w:t>Apremilast, an oral small-molecule inhibitor of phosphodiesterase 4 (PDE4), works intracellularly to modulate a network of pro-inflammatory and anti-inflammatory mediators.  PDE4 is a cyclic adenosine monophosphate (cAMP)-specific PDE and the dominant PDE in inflammatory cells.  PDE4 inhibition elevates intracellular cAMP levels, which in turn down-regulates the inflammatory response by modulating the expression of TNF-α, IL-23, IL-17</w:t>
      </w:r>
      <w:r w:rsidR="00200F89">
        <w:rPr>
          <w:bCs/>
          <w:sz w:val="22"/>
          <w:szCs w:val="22"/>
          <w:lang w:val="en-AU"/>
        </w:rPr>
        <w:t xml:space="preserve"> </w:t>
      </w:r>
      <w:r w:rsidRPr="003F29C0">
        <w:rPr>
          <w:bCs/>
          <w:sz w:val="22"/>
          <w:szCs w:val="22"/>
          <w:lang w:val="en-AU"/>
        </w:rPr>
        <w:t xml:space="preserve">and other inflammatory cytokines.  </w:t>
      </w:r>
      <w:r w:rsidRPr="003F29C0">
        <w:rPr>
          <w:sz w:val="22"/>
          <w:szCs w:val="22"/>
          <w:lang w:val="en-AU"/>
        </w:rPr>
        <w:t>Cyclic AMP also modulates levels of anti-inflammatory cytokines such as IL-10.</w:t>
      </w:r>
      <w:r w:rsidRPr="003F29C0">
        <w:rPr>
          <w:bCs/>
          <w:sz w:val="22"/>
          <w:szCs w:val="22"/>
          <w:lang w:val="en-AU"/>
        </w:rPr>
        <w:t xml:space="preserve">  These pro- and anti-inflammatory mediators have been implicated in psoriatic arthritis </w:t>
      </w:r>
      <w:r w:rsidR="00095343">
        <w:rPr>
          <w:bCs/>
          <w:sz w:val="22"/>
          <w:szCs w:val="22"/>
          <w:lang w:val="en-AU"/>
        </w:rPr>
        <w:t xml:space="preserve">(PsA) </w:t>
      </w:r>
      <w:r w:rsidRPr="003F29C0">
        <w:rPr>
          <w:bCs/>
          <w:sz w:val="22"/>
          <w:szCs w:val="22"/>
          <w:lang w:val="en-AU"/>
        </w:rPr>
        <w:t>and psoriasis</w:t>
      </w:r>
      <w:r w:rsidR="003F4F87">
        <w:rPr>
          <w:bCs/>
          <w:sz w:val="22"/>
          <w:szCs w:val="22"/>
          <w:lang w:val="en-AU"/>
        </w:rPr>
        <w:t xml:space="preserve"> (PSOR)</w:t>
      </w:r>
      <w:r w:rsidRPr="003F29C0">
        <w:rPr>
          <w:bCs/>
          <w:sz w:val="22"/>
          <w:szCs w:val="22"/>
          <w:lang w:val="en-AU"/>
        </w:rPr>
        <w:t>.</w:t>
      </w:r>
    </w:p>
    <w:p w:rsidR="00E572F9" w:rsidRDefault="00E572F9" w:rsidP="00E572F9">
      <w:pPr>
        <w:rPr>
          <w:sz w:val="22"/>
          <w:szCs w:val="22"/>
          <w:lang w:val="en-AU"/>
        </w:rPr>
      </w:pPr>
    </w:p>
    <w:p w:rsidR="00157DA0" w:rsidRPr="003F29C0" w:rsidRDefault="00157DA0" w:rsidP="00157DA0">
      <w:pPr>
        <w:keepNext/>
        <w:rPr>
          <w:sz w:val="22"/>
          <w:szCs w:val="22"/>
          <w:u w:val="single"/>
          <w:lang w:val="en-AU"/>
        </w:rPr>
      </w:pPr>
      <w:r>
        <w:rPr>
          <w:sz w:val="22"/>
          <w:szCs w:val="22"/>
          <w:u w:val="single"/>
          <w:lang w:val="en-AU"/>
        </w:rPr>
        <w:lastRenderedPageBreak/>
        <w:t>Clinical Pharmacodynamic</w:t>
      </w:r>
      <w:r w:rsidR="00095343">
        <w:rPr>
          <w:sz w:val="22"/>
          <w:szCs w:val="22"/>
          <w:u w:val="single"/>
          <w:lang w:val="en-AU"/>
        </w:rPr>
        <w:t>s</w:t>
      </w:r>
    </w:p>
    <w:p w:rsidR="00F84564" w:rsidRDefault="00157DA0">
      <w:pPr>
        <w:spacing w:before="120"/>
        <w:rPr>
          <w:bCs/>
          <w:sz w:val="22"/>
          <w:szCs w:val="22"/>
        </w:rPr>
      </w:pPr>
      <w:r w:rsidRPr="00157DA0">
        <w:rPr>
          <w:bCs/>
          <w:sz w:val="22"/>
          <w:szCs w:val="22"/>
        </w:rPr>
        <w:t>In clinical studies in patients with psoriatic arthritis, apremilast significantly modulated, but did not fully inhibit, plasma protein levels of IL-1α, IL-6, IL-8, MCP-1, MIP-1β, MMP-3, and TNF-α.  After 40 weeks of treatment with apremilast, there was a decrease in plasma protein levels of IL-17 and IL-23, and an increase in IL-10.  In clinical trials in patients with psoriasis, apremilast decreased lesional skin epidermal thickness, inflammatory cell infiltration, and expression of pro-inflammatory genes, including inducible nitric oxide synthase (iNOS), IL-12/IL-23p40, IL-17A, IL-22 and IL-8.</w:t>
      </w:r>
    </w:p>
    <w:p w:rsidR="00EB7668" w:rsidRDefault="00EB7668" w:rsidP="00EB7668">
      <w:pPr>
        <w:rPr>
          <w:bCs/>
          <w:sz w:val="22"/>
          <w:szCs w:val="22"/>
        </w:rPr>
      </w:pPr>
    </w:p>
    <w:p w:rsidR="00157DA0" w:rsidRDefault="00157DA0" w:rsidP="00157DA0">
      <w:pPr>
        <w:keepNext/>
        <w:rPr>
          <w:sz w:val="22"/>
          <w:szCs w:val="22"/>
          <w:u w:val="single"/>
        </w:rPr>
      </w:pPr>
      <w:r w:rsidRPr="00157DA0">
        <w:rPr>
          <w:sz w:val="22"/>
          <w:szCs w:val="22"/>
          <w:u w:val="single"/>
        </w:rPr>
        <w:t>Cardiac Electrophysiology</w:t>
      </w:r>
    </w:p>
    <w:p w:rsidR="00157DA0" w:rsidRPr="00157DA0" w:rsidRDefault="00157DA0" w:rsidP="00157DA0">
      <w:pPr>
        <w:spacing w:before="120"/>
        <w:rPr>
          <w:sz w:val="22"/>
          <w:szCs w:val="22"/>
          <w:u w:val="single"/>
        </w:rPr>
      </w:pPr>
      <w:r w:rsidRPr="00157DA0">
        <w:rPr>
          <w:sz w:val="22"/>
          <w:szCs w:val="22"/>
        </w:rPr>
        <w:t>Apremilast administered at doses of up to 50 mg twice daily did not prolong the QT interval in healthy subjects.</w:t>
      </w:r>
    </w:p>
    <w:p w:rsidR="00157DA0" w:rsidRPr="003F29C0" w:rsidRDefault="00157DA0" w:rsidP="00E572F9">
      <w:pPr>
        <w:rPr>
          <w:sz w:val="22"/>
          <w:szCs w:val="22"/>
          <w:lang w:val="en-AU"/>
        </w:rPr>
      </w:pPr>
    </w:p>
    <w:p w:rsidR="00DD67D7" w:rsidRPr="006E2E50" w:rsidRDefault="00DD67D7" w:rsidP="006E2E50">
      <w:pPr>
        <w:rPr>
          <w:b/>
          <w:lang w:val="en-AU"/>
        </w:rPr>
      </w:pPr>
      <w:r w:rsidRPr="006E2E50">
        <w:rPr>
          <w:b/>
          <w:lang w:val="en-AU"/>
        </w:rPr>
        <w:t>Pharmacokinetic properties</w:t>
      </w:r>
    </w:p>
    <w:p w:rsidR="00307630" w:rsidRPr="003F29C0" w:rsidRDefault="00307630" w:rsidP="00110D66">
      <w:pPr>
        <w:keepNext/>
        <w:spacing w:before="120"/>
        <w:rPr>
          <w:sz w:val="22"/>
          <w:szCs w:val="22"/>
          <w:u w:val="single"/>
          <w:lang w:val="en-AU"/>
        </w:rPr>
      </w:pPr>
      <w:r w:rsidRPr="003F29C0">
        <w:rPr>
          <w:sz w:val="22"/>
          <w:szCs w:val="22"/>
          <w:u w:val="single"/>
          <w:lang w:val="en-AU"/>
        </w:rPr>
        <w:t>Absorption</w:t>
      </w:r>
    </w:p>
    <w:p w:rsidR="0036735B" w:rsidRPr="003F29C0" w:rsidRDefault="0068475C" w:rsidP="0068475C">
      <w:pPr>
        <w:autoSpaceDE w:val="0"/>
        <w:autoSpaceDN w:val="0"/>
        <w:adjustRightInd w:val="0"/>
        <w:spacing w:before="120"/>
        <w:rPr>
          <w:sz w:val="22"/>
          <w:szCs w:val="22"/>
          <w:lang w:val="en-AU"/>
        </w:rPr>
      </w:pPr>
      <w:r w:rsidRPr="003F29C0">
        <w:rPr>
          <w:sz w:val="22"/>
          <w:szCs w:val="22"/>
          <w:lang w:val="en-AU"/>
        </w:rPr>
        <w:t>Apremilast is well absorbed with an absolute oral bioavailability of approximately 73%, with peak plasma concentrations (C</w:t>
      </w:r>
      <w:r w:rsidRPr="003F29C0">
        <w:rPr>
          <w:sz w:val="22"/>
          <w:szCs w:val="22"/>
          <w:vertAlign w:val="subscript"/>
          <w:lang w:val="en-AU"/>
        </w:rPr>
        <w:t>max</w:t>
      </w:r>
      <w:r w:rsidRPr="003F29C0">
        <w:rPr>
          <w:sz w:val="22"/>
          <w:szCs w:val="22"/>
          <w:lang w:val="en-AU"/>
        </w:rPr>
        <w:t>) occurring at a median time (t</w:t>
      </w:r>
      <w:r w:rsidRPr="003F29C0">
        <w:rPr>
          <w:sz w:val="22"/>
          <w:szCs w:val="22"/>
          <w:vertAlign w:val="subscript"/>
          <w:lang w:val="en-AU"/>
        </w:rPr>
        <w:t>max</w:t>
      </w:r>
      <w:r w:rsidRPr="003F29C0">
        <w:rPr>
          <w:sz w:val="22"/>
          <w:szCs w:val="22"/>
          <w:lang w:val="en-AU"/>
        </w:rPr>
        <w:t xml:space="preserve">) of approximately 2.5 hours.  Apremilast pharmacokinetics </w:t>
      </w:r>
      <w:r w:rsidR="00FD6CFE" w:rsidRPr="003F29C0">
        <w:rPr>
          <w:sz w:val="22"/>
          <w:szCs w:val="22"/>
          <w:lang w:val="en-AU"/>
        </w:rPr>
        <w:t>is</w:t>
      </w:r>
      <w:r w:rsidRPr="003F29C0">
        <w:rPr>
          <w:sz w:val="22"/>
          <w:szCs w:val="22"/>
          <w:lang w:val="en-AU"/>
        </w:rPr>
        <w:t xml:space="preserve"> linear, with a dose-proportional increase in systemic exposure in the dose range of 10 to 100 mg daily.  Accumulation is minimal when apremilast is administered once daily and approximately 53% in healthy subjects and 68% in patients with psoriasis when administered twice daily.  Co-administration with food does not alter the bioavailability; therefore, apremilast can be administered with or without food.</w:t>
      </w:r>
      <w:r w:rsidR="00307630" w:rsidRPr="003F29C0">
        <w:rPr>
          <w:sz w:val="22"/>
          <w:szCs w:val="22"/>
          <w:lang w:val="en-AU"/>
        </w:rPr>
        <w:t xml:space="preserve"> </w:t>
      </w:r>
      <w:r w:rsidR="001B37B7" w:rsidRPr="003F29C0">
        <w:rPr>
          <w:sz w:val="22"/>
          <w:szCs w:val="22"/>
          <w:lang w:val="en-AU"/>
        </w:rPr>
        <w:t xml:space="preserve"> </w:t>
      </w:r>
    </w:p>
    <w:p w:rsidR="0036735B" w:rsidRPr="003F29C0" w:rsidRDefault="0036735B" w:rsidP="00307630">
      <w:pPr>
        <w:rPr>
          <w:sz w:val="22"/>
          <w:szCs w:val="22"/>
          <w:lang w:val="en-AU"/>
        </w:rPr>
      </w:pPr>
    </w:p>
    <w:p w:rsidR="00307630" w:rsidRPr="003F29C0" w:rsidRDefault="00307630" w:rsidP="00C22942">
      <w:pPr>
        <w:keepNext/>
        <w:rPr>
          <w:sz w:val="22"/>
          <w:szCs w:val="22"/>
          <w:u w:val="single"/>
          <w:lang w:val="en-AU"/>
        </w:rPr>
      </w:pPr>
      <w:r w:rsidRPr="003F29C0">
        <w:rPr>
          <w:sz w:val="22"/>
          <w:szCs w:val="22"/>
          <w:u w:val="single"/>
          <w:lang w:val="en-AU"/>
        </w:rPr>
        <w:t>Distribution</w:t>
      </w:r>
    </w:p>
    <w:p w:rsidR="00307630" w:rsidRPr="003F29C0" w:rsidRDefault="0068475C" w:rsidP="0068475C">
      <w:pPr>
        <w:spacing w:before="120"/>
        <w:rPr>
          <w:sz w:val="22"/>
          <w:szCs w:val="22"/>
          <w:lang w:val="en-AU"/>
        </w:rPr>
      </w:pPr>
      <w:r w:rsidRPr="003F29C0">
        <w:rPr>
          <w:sz w:val="22"/>
          <w:szCs w:val="22"/>
          <w:lang w:val="en-AU"/>
        </w:rPr>
        <w:t>Human plasma protein binding of apremilast is approximately 68%.  Mean apparent volume of distribution (</w:t>
      </w:r>
      <w:proofErr w:type="gramStart"/>
      <w:r w:rsidRPr="003F29C0">
        <w:rPr>
          <w:sz w:val="22"/>
          <w:szCs w:val="22"/>
          <w:lang w:val="en-AU"/>
        </w:rPr>
        <w:t>Vd</w:t>
      </w:r>
      <w:proofErr w:type="gramEnd"/>
      <w:r w:rsidRPr="003F29C0">
        <w:rPr>
          <w:sz w:val="22"/>
          <w:szCs w:val="22"/>
          <w:lang w:val="en-AU"/>
        </w:rPr>
        <w:t xml:space="preserve">) is 87 L indicative of </w:t>
      </w:r>
      <w:r w:rsidR="00FD6CFE" w:rsidRPr="003F29C0">
        <w:rPr>
          <w:sz w:val="22"/>
          <w:szCs w:val="22"/>
          <w:lang w:val="en-AU"/>
        </w:rPr>
        <w:t>extra vascular</w:t>
      </w:r>
      <w:r w:rsidRPr="003F29C0">
        <w:rPr>
          <w:sz w:val="22"/>
          <w:szCs w:val="22"/>
          <w:lang w:val="en-AU"/>
        </w:rPr>
        <w:t xml:space="preserve"> distribution.</w:t>
      </w:r>
    </w:p>
    <w:p w:rsidR="0068475C" w:rsidRPr="003F29C0" w:rsidRDefault="0068475C" w:rsidP="00307630">
      <w:pPr>
        <w:rPr>
          <w:sz w:val="22"/>
          <w:szCs w:val="22"/>
          <w:lang w:val="en-AU"/>
        </w:rPr>
      </w:pPr>
    </w:p>
    <w:p w:rsidR="00307630" w:rsidRPr="003F29C0" w:rsidRDefault="00974F35" w:rsidP="00C22942">
      <w:pPr>
        <w:keepNext/>
        <w:rPr>
          <w:sz w:val="22"/>
          <w:szCs w:val="22"/>
          <w:u w:val="single"/>
          <w:lang w:val="en-AU"/>
        </w:rPr>
      </w:pPr>
      <w:r w:rsidRPr="003F29C0">
        <w:rPr>
          <w:sz w:val="22"/>
          <w:szCs w:val="22"/>
          <w:u w:val="single"/>
          <w:lang w:val="en-AU"/>
        </w:rPr>
        <w:t>Metabolism</w:t>
      </w:r>
    </w:p>
    <w:p w:rsidR="007E6749" w:rsidRPr="003F29C0" w:rsidRDefault="0068475C" w:rsidP="0068475C">
      <w:pPr>
        <w:spacing w:before="120"/>
        <w:rPr>
          <w:sz w:val="22"/>
          <w:szCs w:val="22"/>
          <w:lang w:val="en-AU"/>
        </w:rPr>
      </w:pPr>
      <w:r w:rsidRPr="003F29C0">
        <w:rPr>
          <w:sz w:val="22"/>
          <w:szCs w:val="22"/>
          <w:lang w:val="en-AU"/>
        </w:rPr>
        <w:t>Apremilast is extensively metaboli</w:t>
      </w:r>
      <w:r w:rsidR="00095343">
        <w:rPr>
          <w:sz w:val="22"/>
          <w:szCs w:val="22"/>
          <w:lang w:val="en-AU"/>
        </w:rPr>
        <w:t>s</w:t>
      </w:r>
      <w:r w:rsidRPr="003F29C0">
        <w:rPr>
          <w:sz w:val="22"/>
          <w:szCs w:val="22"/>
          <w:lang w:val="en-AU"/>
        </w:rPr>
        <w:t xml:space="preserve">ed by both CYP and non-CYP mediated pathways including oxidation, hydrolysis, and conjugation, suggesting inhibition of a single clearance pathway is not likely to cause a marked drug-drug interaction.  Oxidative metabolism of apremilast is primarily mediated by CYP3A4, with minor contributions from CYP1A2 and CYP2A6.  Apremilast is the major circulating component following oral administration.  Apremilast undergoes extensive metabolism with only 3% and 7% of the administered drug recovered in urine and </w:t>
      </w:r>
      <w:r w:rsidR="00FD6CFE" w:rsidRPr="003F29C0">
        <w:rPr>
          <w:sz w:val="22"/>
          <w:szCs w:val="22"/>
          <w:lang w:val="en-AU"/>
        </w:rPr>
        <w:t>faeces</w:t>
      </w:r>
      <w:r w:rsidRPr="003F29C0">
        <w:rPr>
          <w:sz w:val="22"/>
          <w:szCs w:val="22"/>
          <w:lang w:val="en-AU"/>
        </w:rPr>
        <w:t>, respectively.  The major circulating metabolite</w:t>
      </w:r>
      <w:r w:rsidR="00EB7668">
        <w:rPr>
          <w:sz w:val="22"/>
          <w:szCs w:val="22"/>
          <w:lang w:val="en-AU"/>
        </w:rPr>
        <w:t>, M12,</w:t>
      </w:r>
      <w:r w:rsidRPr="003F29C0">
        <w:rPr>
          <w:sz w:val="22"/>
          <w:szCs w:val="22"/>
          <w:lang w:val="en-AU"/>
        </w:rPr>
        <w:t xml:space="preserve"> is the glucuronide conjugate of </w:t>
      </w:r>
      <w:r w:rsidRPr="003F29C0">
        <w:rPr>
          <w:i/>
          <w:sz w:val="22"/>
          <w:szCs w:val="22"/>
          <w:lang w:val="en-AU"/>
        </w:rPr>
        <w:t>O</w:t>
      </w:r>
      <w:r w:rsidRPr="003F29C0">
        <w:rPr>
          <w:sz w:val="22"/>
          <w:szCs w:val="22"/>
          <w:lang w:val="en-AU"/>
        </w:rPr>
        <w:t xml:space="preserve">-demethylated apremilast </w:t>
      </w:r>
      <w:r w:rsidR="00EB7668">
        <w:rPr>
          <w:sz w:val="22"/>
          <w:szCs w:val="22"/>
          <w:lang w:val="en-AU"/>
        </w:rPr>
        <w:t xml:space="preserve">which is </w:t>
      </w:r>
      <w:r w:rsidRPr="003F29C0">
        <w:rPr>
          <w:sz w:val="22"/>
          <w:szCs w:val="22"/>
          <w:lang w:val="en-AU"/>
        </w:rPr>
        <w:t>inactive.</w:t>
      </w:r>
      <w:r w:rsidR="00307630" w:rsidRPr="003F29C0">
        <w:rPr>
          <w:sz w:val="22"/>
          <w:szCs w:val="22"/>
          <w:lang w:val="en-AU"/>
        </w:rPr>
        <w:t xml:space="preserve"> </w:t>
      </w:r>
    </w:p>
    <w:p w:rsidR="00307630" w:rsidRPr="003F29C0" w:rsidRDefault="00307630" w:rsidP="00307630">
      <w:pPr>
        <w:rPr>
          <w:sz w:val="22"/>
          <w:szCs w:val="22"/>
          <w:lang w:val="en-AU"/>
        </w:rPr>
      </w:pPr>
    </w:p>
    <w:p w:rsidR="00307630" w:rsidRPr="003F29C0" w:rsidRDefault="00307630" w:rsidP="00C22942">
      <w:pPr>
        <w:keepNext/>
        <w:rPr>
          <w:sz w:val="22"/>
          <w:szCs w:val="22"/>
          <w:u w:val="single"/>
          <w:lang w:val="en-AU"/>
        </w:rPr>
      </w:pPr>
      <w:r w:rsidRPr="003F29C0">
        <w:rPr>
          <w:sz w:val="22"/>
          <w:szCs w:val="22"/>
          <w:u w:val="single"/>
          <w:lang w:val="en-AU"/>
        </w:rPr>
        <w:t>Elimination</w:t>
      </w:r>
    </w:p>
    <w:p w:rsidR="00C22942" w:rsidRPr="003F29C0" w:rsidRDefault="00517BA6" w:rsidP="00517BA6">
      <w:pPr>
        <w:spacing w:before="120"/>
        <w:rPr>
          <w:sz w:val="22"/>
          <w:szCs w:val="22"/>
          <w:lang w:val="en-AU"/>
        </w:rPr>
      </w:pPr>
      <w:r w:rsidRPr="003F29C0">
        <w:rPr>
          <w:sz w:val="22"/>
          <w:szCs w:val="22"/>
          <w:lang w:val="en-AU"/>
        </w:rPr>
        <w:t xml:space="preserve">The plasma clearance of apremilast is on average about 10 L/hr in healthy subjects, with a terminal elimination half-life of approximately 9 hours.  </w:t>
      </w:r>
      <w:r w:rsidR="003F1AED" w:rsidRPr="003F1AED">
        <w:rPr>
          <w:sz w:val="22"/>
          <w:szCs w:val="22"/>
        </w:rPr>
        <w:t>There is approximately 30% reduction in apremilast clearance observed in female subjects compared to male subjects.  No dose adjustment is necessary for female patients.</w:t>
      </w:r>
      <w:r w:rsidR="003F1AED">
        <w:rPr>
          <w:sz w:val="22"/>
          <w:szCs w:val="22"/>
          <w:lang w:val="en-AU"/>
        </w:rPr>
        <w:t xml:space="preserve">  </w:t>
      </w:r>
      <w:r w:rsidRPr="003F29C0">
        <w:rPr>
          <w:sz w:val="22"/>
          <w:szCs w:val="22"/>
          <w:lang w:val="en-AU"/>
        </w:rPr>
        <w:t>Following oral administration of radiolabeled apremilast, about 58% and 39% of the radioactivity is recovered in urine and f</w:t>
      </w:r>
      <w:r w:rsidR="004C7DAB" w:rsidRPr="003F29C0">
        <w:rPr>
          <w:sz w:val="22"/>
          <w:szCs w:val="22"/>
          <w:lang w:val="en-AU"/>
        </w:rPr>
        <w:t>a</w:t>
      </w:r>
      <w:r w:rsidRPr="003F29C0">
        <w:rPr>
          <w:sz w:val="22"/>
          <w:szCs w:val="22"/>
          <w:lang w:val="en-AU"/>
        </w:rPr>
        <w:t>eces, respectively, with about 3% and 7% of the radioactive dose recovered as apremilast in urine and f</w:t>
      </w:r>
      <w:r w:rsidR="004C7DAB" w:rsidRPr="003F29C0">
        <w:rPr>
          <w:sz w:val="22"/>
          <w:szCs w:val="22"/>
          <w:lang w:val="en-AU"/>
        </w:rPr>
        <w:t>a</w:t>
      </w:r>
      <w:r w:rsidRPr="003F29C0">
        <w:rPr>
          <w:sz w:val="22"/>
          <w:szCs w:val="22"/>
          <w:lang w:val="en-AU"/>
        </w:rPr>
        <w:t>eces, respectively.</w:t>
      </w:r>
    </w:p>
    <w:p w:rsidR="00517BA6" w:rsidRPr="003F29C0" w:rsidRDefault="00517BA6" w:rsidP="00307630">
      <w:pPr>
        <w:rPr>
          <w:sz w:val="22"/>
          <w:szCs w:val="22"/>
          <w:lang w:val="en-AU"/>
        </w:rPr>
      </w:pPr>
    </w:p>
    <w:p w:rsidR="00307630" w:rsidRPr="003F29C0" w:rsidRDefault="00307630" w:rsidP="00C22942">
      <w:pPr>
        <w:keepNext/>
        <w:rPr>
          <w:sz w:val="22"/>
          <w:szCs w:val="22"/>
          <w:u w:val="single"/>
          <w:lang w:val="en-AU"/>
        </w:rPr>
      </w:pPr>
      <w:r w:rsidRPr="003F29C0">
        <w:rPr>
          <w:sz w:val="22"/>
          <w:szCs w:val="22"/>
          <w:u w:val="single"/>
          <w:lang w:val="en-AU"/>
        </w:rPr>
        <w:t>Renal impairment</w:t>
      </w:r>
    </w:p>
    <w:p w:rsidR="00517BA6" w:rsidRPr="003F29C0" w:rsidRDefault="00517BA6" w:rsidP="00517BA6">
      <w:pPr>
        <w:spacing w:before="120"/>
        <w:rPr>
          <w:sz w:val="22"/>
          <w:szCs w:val="22"/>
          <w:lang w:val="en-AU"/>
        </w:rPr>
      </w:pPr>
      <w:r w:rsidRPr="003F29C0">
        <w:rPr>
          <w:sz w:val="22"/>
          <w:szCs w:val="22"/>
          <w:lang w:val="en-AU"/>
        </w:rPr>
        <w:t>No formal studies have been conducted in subjects with mild to moderately impaired renal function.  In 8 subjects with severe renal impairment administered a single dose of 30 mg apremilast, the AUC and C</w:t>
      </w:r>
      <w:r w:rsidRPr="003F29C0">
        <w:rPr>
          <w:sz w:val="22"/>
          <w:szCs w:val="22"/>
          <w:vertAlign w:val="subscript"/>
          <w:lang w:val="en-AU"/>
        </w:rPr>
        <w:t>max</w:t>
      </w:r>
      <w:r w:rsidRPr="003F29C0">
        <w:rPr>
          <w:sz w:val="22"/>
          <w:szCs w:val="22"/>
          <w:lang w:val="en-AU"/>
        </w:rPr>
        <w:t xml:space="preserve"> of apremilast increased by approximately 89% and 42%, respectively.  See Dosage and Administration section for dose adjustments for patients with severe renal impairment</w:t>
      </w:r>
      <w:r w:rsidR="00DA298E">
        <w:rPr>
          <w:sz w:val="22"/>
          <w:szCs w:val="22"/>
          <w:lang w:val="en-AU"/>
        </w:rPr>
        <w:t>.</w:t>
      </w:r>
    </w:p>
    <w:p w:rsidR="00517BA6" w:rsidRPr="003F29C0" w:rsidRDefault="00517BA6" w:rsidP="001C1BF8">
      <w:pPr>
        <w:rPr>
          <w:sz w:val="22"/>
          <w:szCs w:val="22"/>
          <w:lang w:val="en-AU"/>
        </w:rPr>
      </w:pPr>
    </w:p>
    <w:p w:rsidR="00307630" w:rsidRPr="003F29C0" w:rsidRDefault="00307630" w:rsidP="00C22942">
      <w:pPr>
        <w:keepNext/>
        <w:rPr>
          <w:sz w:val="22"/>
          <w:szCs w:val="22"/>
          <w:u w:val="single"/>
          <w:lang w:val="en-AU"/>
        </w:rPr>
      </w:pPr>
      <w:r w:rsidRPr="003F29C0">
        <w:rPr>
          <w:sz w:val="22"/>
          <w:szCs w:val="22"/>
          <w:u w:val="single"/>
          <w:lang w:val="en-AU"/>
        </w:rPr>
        <w:lastRenderedPageBreak/>
        <w:t>Hepatic impairment</w:t>
      </w:r>
    </w:p>
    <w:p w:rsidR="004F5370" w:rsidRDefault="00517BA6" w:rsidP="00F44F74">
      <w:pPr>
        <w:spacing w:before="120"/>
        <w:rPr>
          <w:sz w:val="22"/>
          <w:szCs w:val="22"/>
          <w:lang w:val="en-AU"/>
        </w:rPr>
      </w:pPr>
      <w:r w:rsidRPr="003F29C0">
        <w:rPr>
          <w:sz w:val="22"/>
          <w:szCs w:val="22"/>
          <w:lang w:val="en-AU"/>
        </w:rPr>
        <w:t>The pharmacokinetics of apremilast and its major metabolite M12 is not affected by moderate or severe hepatic impairment.  No dosage adjustment is necessary for patients with hepatic impairment</w:t>
      </w:r>
      <w:r w:rsidR="002C0078" w:rsidRPr="003F29C0">
        <w:rPr>
          <w:sz w:val="22"/>
          <w:szCs w:val="22"/>
          <w:lang w:val="en-AU"/>
        </w:rPr>
        <w:t>.</w:t>
      </w:r>
    </w:p>
    <w:p w:rsidR="009D146D" w:rsidRPr="003F29C0" w:rsidRDefault="009D146D">
      <w:pPr>
        <w:rPr>
          <w:sz w:val="22"/>
          <w:szCs w:val="22"/>
          <w:lang w:val="en-AU"/>
        </w:rPr>
      </w:pPr>
    </w:p>
    <w:p w:rsidR="004F5370" w:rsidRPr="003F29C0" w:rsidRDefault="004F5370">
      <w:pPr>
        <w:rPr>
          <w:sz w:val="22"/>
          <w:szCs w:val="22"/>
          <w:lang w:val="en-AU"/>
        </w:rPr>
      </w:pPr>
    </w:p>
    <w:p w:rsidR="00EC36C1" w:rsidRDefault="00DD67D7">
      <w:pPr>
        <w:pStyle w:val="C-TableHeader"/>
        <w:numPr>
          <w:ilvl w:val="0"/>
          <w:numId w:val="2"/>
        </w:numPr>
        <w:tabs>
          <w:tab w:val="left" w:pos="709"/>
        </w:tabs>
        <w:spacing w:before="0" w:after="0"/>
        <w:ind w:left="720" w:hanging="720"/>
        <w:jc w:val="both"/>
        <w:rPr>
          <w:bCs/>
          <w:sz w:val="28"/>
          <w:szCs w:val="28"/>
          <w:lang w:val="en-AU"/>
        </w:rPr>
      </w:pPr>
      <w:r w:rsidRPr="003F29C0">
        <w:rPr>
          <w:bCs/>
          <w:sz w:val="28"/>
          <w:szCs w:val="28"/>
          <w:lang w:val="en-AU"/>
        </w:rPr>
        <w:t xml:space="preserve">Clinical </w:t>
      </w:r>
      <w:r w:rsidR="002528F3" w:rsidRPr="003F29C0">
        <w:rPr>
          <w:bCs/>
          <w:sz w:val="28"/>
          <w:szCs w:val="28"/>
          <w:lang w:val="en-AU"/>
        </w:rPr>
        <w:t>t</w:t>
      </w:r>
      <w:r w:rsidRPr="003F29C0">
        <w:rPr>
          <w:bCs/>
          <w:sz w:val="28"/>
          <w:szCs w:val="28"/>
          <w:lang w:val="en-AU"/>
        </w:rPr>
        <w:t>rials</w:t>
      </w:r>
    </w:p>
    <w:p w:rsidR="00B9321F" w:rsidRPr="003F29C0" w:rsidRDefault="00B9321F" w:rsidP="00AA2AD6">
      <w:pPr>
        <w:spacing w:before="120"/>
        <w:rPr>
          <w:sz w:val="22"/>
          <w:szCs w:val="22"/>
          <w:lang w:val="en-AU"/>
        </w:rPr>
      </w:pPr>
      <w:r w:rsidRPr="003F29C0">
        <w:rPr>
          <w:sz w:val="22"/>
          <w:szCs w:val="22"/>
          <w:lang w:val="en-AU"/>
        </w:rPr>
        <w:t xml:space="preserve">This section presents data from three (3) multi-centre, randomised, double-blind, placebo-controlled studies </w:t>
      </w:r>
      <w:r w:rsidR="00095343">
        <w:rPr>
          <w:sz w:val="22"/>
          <w:szCs w:val="22"/>
          <w:lang w:val="en-AU"/>
        </w:rPr>
        <w:t>in</w:t>
      </w:r>
      <w:r w:rsidR="00095343" w:rsidRPr="003F29C0">
        <w:rPr>
          <w:sz w:val="22"/>
          <w:szCs w:val="22"/>
          <w:lang w:val="en-AU"/>
        </w:rPr>
        <w:t xml:space="preserve"> </w:t>
      </w:r>
      <w:r w:rsidR="00900635">
        <w:rPr>
          <w:sz w:val="22"/>
          <w:szCs w:val="22"/>
          <w:lang w:val="en-AU"/>
        </w:rPr>
        <w:t>patients</w:t>
      </w:r>
      <w:r w:rsidR="00900635" w:rsidRPr="003F29C0">
        <w:rPr>
          <w:sz w:val="22"/>
          <w:szCs w:val="22"/>
          <w:lang w:val="en-AU"/>
        </w:rPr>
        <w:t xml:space="preserve"> </w:t>
      </w:r>
      <w:r w:rsidRPr="003F29C0">
        <w:rPr>
          <w:sz w:val="22"/>
          <w:szCs w:val="22"/>
          <w:lang w:val="en-AU"/>
        </w:rPr>
        <w:t>with</w:t>
      </w:r>
      <w:r w:rsidR="00095343">
        <w:rPr>
          <w:sz w:val="22"/>
          <w:szCs w:val="22"/>
          <w:lang w:val="en-AU"/>
        </w:rPr>
        <w:t xml:space="preserve"> active</w:t>
      </w:r>
      <w:r w:rsidRPr="003F29C0">
        <w:rPr>
          <w:sz w:val="22"/>
          <w:szCs w:val="22"/>
          <w:lang w:val="en-AU"/>
        </w:rPr>
        <w:t xml:space="preserve"> PsA </w:t>
      </w:r>
      <w:r w:rsidR="00095343">
        <w:rPr>
          <w:sz w:val="22"/>
          <w:szCs w:val="22"/>
          <w:lang w:val="en-AU"/>
        </w:rPr>
        <w:t>despite</w:t>
      </w:r>
      <w:r w:rsidRPr="003F29C0">
        <w:rPr>
          <w:sz w:val="22"/>
          <w:szCs w:val="22"/>
          <w:lang w:val="en-AU"/>
        </w:rPr>
        <w:t xml:space="preserve"> previous treat</w:t>
      </w:r>
      <w:r w:rsidR="00095343">
        <w:rPr>
          <w:sz w:val="22"/>
          <w:szCs w:val="22"/>
          <w:lang w:val="en-AU"/>
        </w:rPr>
        <w:t>ment</w:t>
      </w:r>
      <w:r w:rsidRPr="003F29C0">
        <w:rPr>
          <w:sz w:val="22"/>
          <w:szCs w:val="22"/>
          <w:lang w:val="en-AU"/>
        </w:rPr>
        <w:t xml:space="preserve"> with disease modifying antirhe</w:t>
      </w:r>
      <w:r w:rsidR="00B21517">
        <w:rPr>
          <w:sz w:val="22"/>
          <w:szCs w:val="22"/>
          <w:lang w:val="en-AU"/>
        </w:rPr>
        <w:t>u</w:t>
      </w:r>
      <w:r w:rsidRPr="003F29C0">
        <w:rPr>
          <w:sz w:val="22"/>
          <w:szCs w:val="22"/>
          <w:lang w:val="en-AU"/>
        </w:rPr>
        <w:t>matic drugs (DMARDS)</w:t>
      </w:r>
      <w:r w:rsidR="00095343">
        <w:rPr>
          <w:sz w:val="22"/>
          <w:szCs w:val="22"/>
          <w:lang w:val="en-AU"/>
        </w:rPr>
        <w:t xml:space="preserve"> </w:t>
      </w:r>
      <w:r w:rsidR="00D45007">
        <w:rPr>
          <w:sz w:val="22"/>
          <w:szCs w:val="22"/>
          <w:lang w:val="en-AU"/>
        </w:rPr>
        <w:t>including</w:t>
      </w:r>
      <w:r w:rsidR="00FB185C" w:rsidRPr="00D45007">
        <w:rPr>
          <w:sz w:val="22"/>
          <w:szCs w:val="22"/>
          <w:lang w:val="en-AU"/>
        </w:rPr>
        <w:t xml:space="preserve"> biologics</w:t>
      </w:r>
      <w:r w:rsidR="00937771">
        <w:rPr>
          <w:sz w:val="22"/>
          <w:szCs w:val="22"/>
          <w:lang w:val="en-AU"/>
        </w:rPr>
        <w:t>,</w:t>
      </w:r>
      <w:r w:rsidRPr="003F29C0">
        <w:rPr>
          <w:sz w:val="22"/>
          <w:szCs w:val="22"/>
          <w:lang w:val="en-AU"/>
        </w:rPr>
        <w:t xml:space="preserve"> one (1) multi-centre, randomised, double-blind, placebo-controlled study in </w:t>
      </w:r>
      <w:r w:rsidR="00095343">
        <w:rPr>
          <w:sz w:val="22"/>
          <w:szCs w:val="22"/>
          <w:lang w:val="en-AU"/>
        </w:rPr>
        <w:t xml:space="preserve">patients with active PsA who were </w:t>
      </w:r>
      <w:r w:rsidRPr="003F29C0">
        <w:rPr>
          <w:sz w:val="22"/>
          <w:szCs w:val="22"/>
          <w:lang w:val="en-AU"/>
        </w:rPr>
        <w:t>DMARD</w:t>
      </w:r>
      <w:r w:rsidR="00DA298E">
        <w:rPr>
          <w:sz w:val="22"/>
          <w:szCs w:val="22"/>
          <w:lang w:val="en-AU"/>
        </w:rPr>
        <w:t>-</w:t>
      </w:r>
      <w:r w:rsidRPr="003F29C0">
        <w:rPr>
          <w:sz w:val="22"/>
          <w:szCs w:val="22"/>
          <w:lang w:val="en-AU"/>
        </w:rPr>
        <w:t xml:space="preserve">naive and two (2) multi-centre, randomised, double-blind, placebo-controlled studies </w:t>
      </w:r>
      <w:r w:rsidR="00095343">
        <w:rPr>
          <w:sz w:val="22"/>
          <w:szCs w:val="22"/>
          <w:lang w:val="en-AU"/>
        </w:rPr>
        <w:t>in</w:t>
      </w:r>
      <w:r w:rsidR="00095343" w:rsidRPr="003F29C0">
        <w:rPr>
          <w:sz w:val="22"/>
          <w:szCs w:val="22"/>
          <w:lang w:val="en-AU"/>
        </w:rPr>
        <w:t xml:space="preserve"> </w:t>
      </w:r>
      <w:r w:rsidRPr="003F29C0">
        <w:rPr>
          <w:sz w:val="22"/>
          <w:szCs w:val="22"/>
          <w:lang w:val="en-AU"/>
        </w:rPr>
        <w:t>patients with moderate to severe plaque psoriasis.</w:t>
      </w:r>
      <w:r w:rsidR="0082249B">
        <w:rPr>
          <w:sz w:val="22"/>
          <w:szCs w:val="22"/>
          <w:lang w:val="en-AU"/>
        </w:rPr>
        <w:t xml:space="preserve">  More details on the individual studies are provided in the sections below.</w:t>
      </w:r>
    </w:p>
    <w:p w:rsidR="00B9321F" w:rsidRDefault="00B9321F" w:rsidP="00B9321F">
      <w:pPr>
        <w:rPr>
          <w:lang w:val="en-AU"/>
        </w:rPr>
      </w:pPr>
    </w:p>
    <w:p w:rsidR="00AA2AD6" w:rsidRPr="003F29C0" w:rsidRDefault="00AA2AD6" w:rsidP="00B9321F">
      <w:pPr>
        <w:rPr>
          <w:lang w:val="en-AU"/>
        </w:rPr>
      </w:pPr>
    </w:p>
    <w:p w:rsidR="00EC36C1" w:rsidRDefault="00EF3C08" w:rsidP="00C6422F">
      <w:pPr>
        <w:pStyle w:val="ListParagraph"/>
        <w:numPr>
          <w:ilvl w:val="0"/>
          <w:numId w:val="8"/>
        </w:numPr>
        <w:tabs>
          <w:tab w:val="num" w:pos="360"/>
        </w:tabs>
        <w:rPr>
          <w:b/>
          <w:sz w:val="22"/>
          <w:szCs w:val="22"/>
          <w:lang w:val="en-AU"/>
        </w:rPr>
      </w:pPr>
      <w:r w:rsidRPr="003F0D9B">
        <w:rPr>
          <w:b/>
          <w:sz w:val="22"/>
          <w:szCs w:val="22"/>
          <w:lang w:val="en-AU"/>
        </w:rPr>
        <w:t>Clinical Trial</w:t>
      </w:r>
      <w:r w:rsidR="00974136" w:rsidRPr="003F0D9B">
        <w:rPr>
          <w:b/>
          <w:sz w:val="22"/>
          <w:szCs w:val="22"/>
          <w:lang w:val="en-AU"/>
        </w:rPr>
        <w:t xml:space="preserve"> experience</w:t>
      </w:r>
      <w:r w:rsidRPr="003F0D9B">
        <w:rPr>
          <w:b/>
          <w:sz w:val="22"/>
          <w:szCs w:val="22"/>
          <w:lang w:val="en-AU"/>
        </w:rPr>
        <w:t xml:space="preserve"> </w:t>
      </w:r>
      <w:r w:rsidR="00974136" w:rsidRPr="003F0D9B">
        <w:rPr>
          <w:b/>
          <w:sz w:val="22"/>
          <w:szCs w:val="22"/>
          <w:lang w:val="en-AU"/>
        </w:rPr>
        <w:t>i</w:t>
      </w:r>
      <w:r w:rsidRPr="003F0D9B">
        <w:rPr>
          <w:b/>
          <w:sz w:val="22"/>
          <w:szCs w:val="22"/>
          <w:lang w:val="en-AU"/>
        </w:rPr>
        <w:t xml:space="preserve">n </w:t>
      </w:r>
      <w:r w:rsidR="00B9321F" w:rsidRPr="003F0D9B">
        <w:rPr>
          <w:b/>
          <w:sz w:val="22"/>
          <w:szCs w:val="22"/>
          <w:lang w:val="en-AU"/>
        </w:rPr>
        <w:t xml:space="preserve">Psoriatic Arthritis </w:t>
      </w:r>
      <w:r w:rsidR="00420F9B" w:rsidRPr="003F0D9B">
        <w:rPr>
          <w:b/>
          <w:sz w:val="22"/>
          <w:szCs w:val="22"/>
          <w:lang w:val="en-AU"/>
        </w:rPr>
        <w:t xml:space="preserve">patients </w:t>
      </w:r>
      <w:r w:rsidR="00B9321F" w:rsidRPr="003F0D9B">
        <w:rPr>
          <w:b/>
          <w:sz w:val="22"/>
          <w:szCs w:val="22"/>
          <w:lang w:val="en-AU"/>
        </w:rPr>
        <w:t>previously treated with DMARDS.</w:t>
      </w:r>
    </w:p>
    <w:p w:rsidR="001E2D1E" w:rsidRDefault="00FA026C">
      <w:pPr>
        <w:pStyle w:val="Pa8"/>
        <w:spacing w:before="120" w:line="240" w:lineRule="auto"/>
        <w:rPr>
          <w:rFonts w:ascii="Times New Roman" w:hAnsi="Times New Roman"/>
          <w:sz w:val="22"/>
          <w:szCs w:val="22"/>
        </w:rPr>
      </w:pPr>
      <w:r w:rsidRPr="00BD78E3">
        <w:rPr>
          <w:rFonts w:ascii="Times New Roman" w:hAnsi="Times New Roman"/>
          <w:sz w:val="22"/>
          <w:szCs w:val="22"/>
        </w:rPr>
        <w:t>The safety</w:t>
      </w:r>
      <w:r w:rsidRPr="007D0AC0">
        <w:rPr>
          <w:rFonts w:ascii="Times New Roman" w:hAnsi="Times New Roman"/>
          <w:sz w:val="22"/>
          <w:szCs w:val="22"/>
        </w:rPr>
        <w:t xml:space="preserve"> and efficacy of</w:t>
      </w:r>
      <w:r w:rsidRPr="00730F2F">
        <w:rPr>
          <w:rFonts w:ascii="Times New Roman" w:hAnsi="Times New Roman"/>
          <w:sz w:val="22"/>
          <w:szCs w:val="22"/>
          <w:lang w:val="en-GB"/>
        </w:rPr>
        <w:t xml:space="preserve"> Otezla</w:t>
      </w:r>
      <w:r w:rsidRPr="007D0AC0">
        <w:rPr>
          <w:rFonts w:ascii="Times New Roman" w:hAnsi="Times New Roman"/>
          <w:sz w:val="22"/>
          <w:szCs w:val="22"/>
        </w:rPr>
        <w:t xml:space="preserve"> were evalu</w:t>
      </w:r>
      <w:r w:rsidR="00D663FB" w:rsidRPr="007D0AC0">
        <w:rPr>
          <w:rFonts w:ascii="Times New Roman" w:hAnsi="Times New Roman"/>
          <w:sz w:val="22"/>
          <w:szCs w:val="22"/>
        </w:rPr>
        <w:t xml:space="preserve">ated </w:t>
      </w:r>
      <w:r w:rsidR="00D663FB" w:rsidRPr="004605C0">
        <w:rPr>
          <w:rFonts w:ascii="Times New Roman" w:hAnsi="Times New Roman"/>
          <w:sz w:val="22"/>
          <w:szCs w:val="22"/>
        </w:rPr>
        <w:t>in 3 multi-</w:t>
      </w:r>
      <w:r w:rsidR="001D5B04" w:rsidRPr="004605C0">
        <w:rPr>
          <w:rFonts w:ascii="Times New Roman" w:hAnsi="Times New Roman"/>
          <w:sz w:val="22"/>
          <w:szCs w:val="22"/>
        </w:rPr>
        <w:t>centre</w:t>
      </w:r>
      <w:r w:rsidR="00D663FB" w:rsidRPr="004605C0">
        <w:rPr>
          <w:rFonts w:ascii="Times New Roman" w:hAnsi="Times New Roman"/>
          <w:sz w:val="22"/>
          <w:szCs w:val="22"/>
        </w:rPr>
        <w:t>,</w:t>
      </w:r>
      <w:r w:rsidR="00D663FB" w:rsidRPr="004605C0">
        <w:rPr>
          <w:rFonts w:ascii="Times New Roman" w:hAnsi="Times New Roman"/>
          <w:sz w:val="22"/>
          <w:szCs w:val="22"/>
          <w:lang w:val="en-GB"/>
        </w:rPr>
        <w:t xml:space="preserve"> randomis</w:t>
      </w:r>
      <w:r w:rsidRPr="004605C0">
        <w:rPr>
          <w:rFonts w:ascii="Times New Roman" w:hAnsi="Times New Roman"/>
          <w:sz w:val="22"/>
          <w:szCs w:val="22"/>
          <w:lang w:val="en-GB"/>
        </w:rPr>
        <w:t>ed</w:t>
      </w:r>
      <w:r w:rsidRPr="007D0AC0">
        <w:rPr>
          <w:rFonts w:ascii="Times New Roman" w:hAnsi="Times New Roman"/>
          <w:sz w:val="22"/>
          <w:szCs w:val="22"/>
        </w:rPr>
        <w:t xml:space="preserve">, double-blind, placebo-controlled studies (Studies PALACE 1, PALACE 2, and PALACE 3) of similar design in </w:t>
      </w:r>
      <w:r w:rsidR="00E540AF" w:rsidRPr="007D0AC0">
        <w:rPr>
          <w:rFonts w:ascii="Times New Roman" w:hAnsi="Times New Roman"/>
          <w:sz w:val="22"/>
          <w:szCs w:val="22"/>
        </w:rPr>
        <w:t xml:space="preserve">1493 </w:t>
      </w:r>
      <w:r w:rsidRPr="007D0AC0">
        <w:rPr>
          <w:rFonts w:ascii="Times New Roman" w:hAnsi="Times New Roman"/>
          <w:sz w:val="22"/>
          <w:szCs w:val="22"/>
        </w:rPr>
        <w:t>adult patients with active</w:t>
      </w:r>
      <w:r w:rsidRPr="00730F2F">
        <w:rPr>
          <w:rFonts w:ascii="Times New Roman" w:hAnsi="Times New Roman"/>
          <w:sz w:val="22"/>
          <w:szCs w:val="22"/>
          <w:lang w:val="en-GB"/>
        </w:rPr>
        <w:t xml:space="preserve"> PsA</w:t>
      </w:r>
      <w:r w:rsidRPr="007D0AC0">
        <w:rPr>
          <w:rFonts w:ascii="Times New Roman" w:hAnsi="Times New Roman"/>
          <w:sz w:val="22"/>
          <w:szCs w:val="22"/>
        </w:rPr>
        <w:t xml:space="preserve"> (≥ 3 swollen joints and ≥ 3 tender joints) despite prior </w:t>
      </w:r>
      <w:r w:rsidR="009957DC" w:rsidRPr="007D0AC0">
        <w:rPr>
          <w:rStyle w:val="A0"/>
          <w:rFonts w:ascii="Times New Roman" w:hAnsi="Times New Roman"/>
          <w:b w:val="0"/>
          <w:bCs w:val="0"/>
          <w:i w:val="0"/>
          <w:iCs w:val="0"/>
          <w:sz w:val="22"/>
          <w:szCs w:val="22"/>
        </w:rPr>
        <w:t>DMARD treatment, including</w:t>
      </w:r>
      <w:r w:rsidR="006E2E50">
        <w:rPr>
          <w:rStyle w:val="A0"/>
          <w:rFonts w:ascii="Times New Roman" w:hAnsi="Times New Roman"/>
          <w:b w:val="0"/>
          <w:bCs w:val="0"/>
          <w:i w:val="0"/>
          <w:iCs w:val="0"/>
          <w:sz w:val="22"/>
          <w:szCs w:val="22"/>
        </w:rPr>
        <w:t xml:space="preserve"> biologic DMARD treatment (e.g.</w:t>
      </w:r>
      <w:r w:rsidR="009957DC" w:rsidRPr="007D0AC0">
        <w:rPr>
          <w:rStyle w:val="A0"/>
          <w:rFonts w:ascii="Times New Roman" w:hAnsi="Times New Roman"/>
          <w:b w:val="0"/>
          <w:bCs w:val="0"/>
          <w:i w:val="0"/>
          <w:iCs w:val="0"/>
          <w:sz w:val="22"/>
          <w:szCs w:val="22"/>
        </w:rPr>
        <w:t xml:space="preserve"> TNF-blockers), or current treatment with oral DMARD therapy</w:t>
      </w:r>
      <w:r w:rsidRPr="007D0AC0">
        <w:rPr>
          <w:rFonts w:ascii="Times New Roman" w:hAnsi="Times New Roman"/>
          <w:sz w:val="22"/>
          <w:szCs w:val="22"/>
        </w:rPr>
        <w:t>.</w:t>
      </w:r>
      <w:r w:rsidR="00153CB6" w:rsidRPr="00153CB6">
        <w:rPr>
          <w:rFonts w:ascii="Times New Roman" w:hAnsi="Times New Roman"/>
          <w:sz w:val="22"/>
          <w:szCs w:val="22"/>
        </w:rPr>
        <w:t xml:space="preserve"> </w:t>
      </w:r>
    </w:p>
    <w:p w:rsidR="00153CB6" w:rsidRPr="00153CB6" w:rsidRDefault="00153CB6" w:rsidP="00153CB6">
      <w:pPr>
        <w:pStyle w:val="Pa8"/>
        <w:spacing w:line="240" w:lineRule="auto"/>
        <w:rPr>
          <w:rStyle w:val="A0"/>
          <w:rFonts w:ascii="Times New Roman" w:hAnsi="Times New Roman"/>
          <w:b w:val="0"/>
          <w:bCs w:val="0"/>
          <w:i w:val="0"/>
          <w:iCs w:val="0"/>
          <w:color w:val="auto"/>
          <w:sz w:val="22"/>
          <w:szCs w:val="22"/>
        </w:rPr>
      </w:pPr>
      <w:r w:rsidRPr="00153CB6">
        <w:rPr>
          <w:rFonts w:ascii="Times New Roman" w:hAnsi="Times New Roman"/>
          <w:sz w:val="22"/>
          <w:szCs w:val="22"/>
        </w:rPr>
        <w:t xml:space="preserve"> </w:t>
      </w:r>
    </w:p>
    <w:p w:rsidR="002344D9" w:rsidRPr="001E2D1E" w:rsidRDefault="00FA026C" w:rsidP="00A1723F">
      <w:pPr>
        <w:pStyle w:val="Pa8"/>
        <w:spacing w:line="240" w:lineRule="auto"/>
        <w:rPr>
          <w:rStyle w:val="A0"/>
          <w:rFonts w:ascii="Times New Roman" w:hAnsi="Times New Roman"/>
          <w:b w:val="0"/>
          <w:bCs w:val="0"/>
          <w:i w:val="0"/>
          <w:iCs w:val="0"/>
          <w:sz w:val="22"/>
          <w:szCs w:val="22"/>
        </w:rPr>
      </w:pPr>
      <w:r w:rsidRPr="007D0AC0">
        <w:rPr>
          <w:rFonts w:ascii="Times New Roman" w:hAnsi="Times New Roman"/>
          <w:sz w:val="22"/>
          <w:szCs w:val="22"/>
        </w:rPr>
        <w:t>Patients in these studies had a diagnosis of</w:t>
      </w:r>
      <w:r w:rsidRPr="00405DCB">
        <w:rPr>
          <w:rFonts w:ascii="Times New Roman" w:hAnsi="Times New Roman"/>
          <w:sz w:val="22"/>
          <w:szCs w:val="22"/>
          <w:lang w:val="en-GB"/>
        </w:rPr>
        <w:t xml:space="preserve"> PsA</w:t>
      </w:r>
      <w:r w:rsidRPr="007D0AC0">
        <w:rPr>
          <w:rFonts w:ascii="Times New Roman" w:hAnsi="Times New Roman"/>
          <w:sz w:val="22"/>
          <w:szCs w:val="22"/>
        </w:rPr>
        <w:t xml:space="preserve"> for at least 6 months. </w:t>
      </w:r>
      <w:r w:rsidR="00D809F9" w:rsidRPr="007D0AC0">
        <w:rPr>
          <w:rFonts w:ascii="Times New Roman" w:hAnsi="Times New Roman"/>
          <w:sz w:val="22"/>
          <w:szCs w:val="22"/>
        </w:rPr>
        <w:t xml:space="preserve"> </w:t>
      </w:r>
      <w:r w:rsidRPr="007D0AC0">
        <w:rPr>
          <w:rFonts w:ascii="Times New Roman" w:hAnsi="Times New Roman"/>
          <w:sz w:val="22"/>
          <w:szCs w:val="22"/>
        </w:rPr>
        <w:t xml:space="preserve">One qualifying psoriatic skin lesion (at least 2 cm in </w:t>
      </w:r>
      <w:r w:rsidR="00730F2F" w:rsidRPr="007D0AC0">
        <w:rPr>
          <w:rFonts w:ascii="Times New Roman" w:hAnsi="Times New Roman"/>
          <w:sz w:val="22"/>
          <w:szCs w:val="22"/>
        </w:rPr>
        <w:t>diameter)</w:t>
      </w:r>
      <w:r w:rsidRPr="007D0AC0">
        <w:rPr>
          <w:rFonts w:ascii="Times New Roman" w:hAnsi="Times New Roman"/>
          <w:sz w:val="22"/>
          <w:szCs w:val="22"/>
        </w:rPr>
        <w:t xml:space="preserve"> was also required in PALACE 3</w:t>
      </w:r>
      <w:r w:rsidR="005D3813" w:rsidRPr="007D0AC0">
        <w:rPr>
          <w:rFonts w:ascii="Times New Roman" w:hAnsi="Times New Roman"/>
          <w:sz w:val="22"/>
          <w:szCs w:val="22"/>
        </w:rPr>
        <w:t xml:space="preserve">.  </w:t>
      </w:r>
      <w:r w:rsidR="00101AD6" w:rsidRPr="007D0AC0">
        <w:rPr>
          <w:rStyle w:val="A0"/>
          <w:rFonts w:ascii="Times New Roman" w:hAnsi="Times New Roman"/>
          <w:b w:val="0"/>
          <w:bCs w:val="0"/>
          <w:i w:val="0"/>
          <w:iCs w:val="0"/>
          <w:sz w:val="22"/>
          <w:szCs w:val="22"/>
        </w:rPr>
        <w:t>The patients who were therapeutic failures of &gt; 3 agents for</w:t>
      </w:r>
      <w:r w:rsidR="00101AD6" w:rsidRPr="00405DCB">
        <w:rPr>
          <w:rStyle w:val="A0"/>
          <w:rFonts w:ascii="Times New Roman" w:hAnsi="Times New Roman"/>
          <w:b w:val="0"/>
          <w:bCs w:val="0"/>
          <w:i w:val="0"/>
          <w:iCs w:val="0"/>
          <w:sz w:val="22"/>
          <w:szCs w:val="22"/>
          <w:lang w:val="en-GB"/>
        </w:rPr>
        <w:t xml:space="preserve"> PsA</w:t>
      </w:r>
      <w:r w:rsidR="00101AD6" w:rsidRPr="007D0AC0">
        <w:rPr>
          <w:rStyle w:val="A0"/>
          <w:rFonts w:ascii="Times New Roman" w:hAnsi="Times New Roman"/>
          <w:b w:val="0"/>
          <w:bCs w:val="0"/>
          <w:i w:val="0"/>
          <w:iCs w:val="0"/>
          <w:sz w:val="22"/>
          <w:szCs w:val="22"/>
        </w:rPr>
        <w:t xml:space="preserve"> (small molecules or biologics), or &gt; 1 biologic TNF blocker, were excluded.</w:t>
      </w:r>
      <w:r w:rsidR="00B90BD2" w:rsidRPr="007D0AC0">
        <w:rPr>
          <w:rStyle w:val="A0"/>
          <w:rFonts w:ascii="Times New Roman" w:hAnsi="Times New Roman"/>
          <w:b w:val="0"/>
          <w:bCs w:val="0"/>
          <w:i w:val="0"/>
          <w:iCs w:val="0"/>
          <w:sz w:val="22"/>
          <w:szCs w:val="22"/>
        </w:rPr>
        <w:t xml:space="preserve">  </w:t>
      </w:r>
      <w:r w:rsidR="00B90BD2" w:rsidRPr="00405DCB">
        <w:rPr>
          <w:rStyle w:val="A0"/>
          <w:rFonts w:ascii="Times New Roman" w:hAnsi="Times New Roman"/>
          <w:b w:val="0"/>
          <w:bCs w:val="0"/>
          <w:i w:val="0"/>
          <w:iCs w:val="0"/>
          <w:sz w:val="22"/>
          <w:szCs w:val="22"/>
          <w:lang w:val="en-GB"/>
        </w:rPr>
        <w:t>Patients with each subtype of PsA were enrolled across the 3 studies, including symmetric</w:t>
      </w:r>
      <w:r w:rsidR="00B90BD2" w:rsidRPr="00730F2F">
        <w:rPr>
          <w:rStyle w:val="A0"/>
          <w:rFonts w:ascii="Times New Roman" w:hAnsi="Times New Roman"/>
          <w:b w:val="0"/>
          <w:bCs w:val="0"/>
          <w:i w:val="0"/>
          <w:iCs w:val="0"/>
          <w:sz w:val="22"/>
          <w:szCs w:val="22"/>
          <w:lang w:val="en-GB"/>
        </w:rPr>
        <w:t xml:space="preserve"> polyarthritis</w:t>
      </w:r>
      <w:r w:rsidR="00B90BD2" w:rsidRPr="00405DCB">
        <w:rPr>
          <w:rStyle w:val="A0"/>
          <w:rFonts w:ascii="Times New Roman" w:hAnsi="Times New Roman"/>
          <w:b w:val="0"/>
          <w:bCs w:val="0"/>
          <w:i w:val="0"/>
          <w:iCs w:val="0"/>
          <w:sz w:val="22"/>
          <w:szCs w:val="22"/>
          <w:lang w:val="en-GB"/>
        </w:rPr>
        <w:t xml:space="preserve"> (62.0%)</w:t>
      </w:r>
      <w:proofErr w:type="gramStart"/>
      <w:r w:rsidR="00B90BD2" w:rsidRPr="00405DCB">
        <w:rPr>
          <w:rStyle w:val="A0"/>
          <w:rFonts w:ascii="Times New Roman" w:hAnsi="Times New Roman"/>
          <w:b w:val="0"/>
          <w:bCs w:val="0"/>
          <w:i w:val="0"/>
          <w:iCs w:val="0"/>
          <w:sz w:val="22"/>
          <w:szCs w:val="22"/>
          <w:lang w:val="en-GB"/>
        </w:rPr>
        <w:t>,</w:t>
      </w:r>
      <w:proofErr w:type="gramEnd"/>
      <w:r w:rsidR="00B90BD2" w:rsidRPr="00405DCB">
        <w:rPr>
          <w:rStyle w:val="A0"/>
          <w:rFonts w:ascii="Times New Roman" w:hAnsi="Times New Roman"/>
          <w:b w:val="0"/>
          <w:bCs w:val="0"/>
          <w:i w:val="0"/>
          <w:iCs w:val="0"/>
          <w:sz w:val="22"/>
          <w:szCs w:val="22"/>
          <w:lang w:val="en-GB"/>
        </w:rPr>
        <w:t xml:space="preserve"> asymmetric oligoarthritis (26.9%), distal interphalangeal (DIP) joint arthritis (6.2%), arthritis</w:t>
      </w:r>
      <w:r w:rsidR="00B90BD2" w:rsidRPr="00730F2F">
        <w:rPr>
          <w:rStyle w:val="A0"/>
          <w:rFonts w:ascii="Times New Roman" w:hAnsi="Times New Roman"/>
          <w:b w:val="0"/>
          <w:bCs w:val="0"/>
          <w:i w:val="0"/>
          <w:iCs w:val="0"/>
          <w:sz w:val="22"/>
          <w:szCs w:val="22"/>
          <w:lang w:val="en-GB"/>
        </w:rPr>
        <w:t xml:space="preserve"> mutilans</w:t>
      </w:r>
      <w:r w:rsidR="00B90BD2" w:rsidRPr="00405DCB">
        <w:rPr>
          <w:rStyle w:val="A0"/>
          <w:rFonts w:ascii="Times New Roman" w:hAnsi="Times New Roman"/>
          <w:b w:val="0"/>
          <w:bCs w:val="0"/>
          <w:i w:val="0"/>
          <w:iCs w:val="0"/>
          <w:sz w:val="22"/>
          <w:szCs w:val="22"/>
          <w:lang w:val="en-GB"/>
        </w:rPr>
        <w:t xml:space="preserve"> (2.7%), and predominant</w:t>
      </w:r>
      <w:r w:rsidR="00B90BD2" w:rsidRPr="00225A10">
        <w:rPr>
          <w:rStyle w:val="A0"/>
          <w:rFonts w:ascii="Times New Roman" w:hAnsi="Times New Roman"/>
          <w:b w:val="0"/>
          <w:bCs w:val="0"/>
          <w:i w:val="0"/>
          <w:iCs w:val="0"/>
          <w:sz w:val="22"/>
          <w:szCs w:val="22"/>
          <w:lang w:val="en-GB"/>
        </w:rPr>
        <w:t xml:space="preserve"> spondylitis</w:t>
      </w:r>
      <w:r w:rsidR="00B90BD2" w:rsidRPr="00405DCB">
        <w:rPr>
          <w:rStyle w:val="A0"/>
          <w:rFonts w:ascii="Times New Roman" w:hAnsi="Times New Roman"/>
          <w:b w:val="0"/>
          <w:bCs w:val="0"/>
          <w:i w:val="0"/>
          <w:iCs w:val="0"/>
          <w:sz w:val="22"/>
          <w:szCs w:val="22"/>
          <w:lang w:val="en-GB"/>
        </w:rPr>
        <w:t xml:space="preserve"> (2.1%).  </w:t>
      </w:r>
      <w:r w:rsidR="00B90BD2" w:rsidRPr="007D0AC0">
        <w:rPr>
          <w:rStyle w:val="A0"/>
          <w:rFonts w:ascii="Times New Roman" w:hAnsi="Times New Roman"/>
          <w:b w:val="0"/>
          <w:bCs w:val="0"/>
          <w:i w:val="0"/>
          <w:iCs w:val="0"/>
          <w:sz w:val="22"/>
          <w:szCs w:val="22"/>
        </w:rPr>
        <w:t>Patients with pre-existing</w:t>
      </w:r>
      <w:r w:rsidR="00B90BD2" w:rsidRPr="00405DCB">
        <w:rPr>
          <w:rStyle w:val="A0"/>
          <w:rFonts w:ascii="Times New Roman" w:hAnsi="Times New Roman"/>
          <w:b w:val="0"/>
          <w:bCs w:val="0"/>
          <w:i w:val="0"/>
          <w:iCs w:val="0"/>
          <w:sz w:val="22"/>
          <w:szCs w:val="22"/>
          <w:lang w:val="en-GB"/>
        </w:rPr>
        <w:t xml:space="preserve"> enthesitis</w:t>
      </w:r>
      <w:r w:rsidR="00B90BD2" w:rsidRPr="007D0AC0">
        <w:rPr>
          <w:rStyle w:val="A0"/>
          <w:rFonts w:ascii="Times New Roman" w:hAnsi="Times New Roman"/>
          <w:b w:val="0"/>
          <w:bCs w:val="0"/>
          <w:i w:val="0"/>
          <w:iCs w:val="0"/>
          <w:sz w:val="22"/>
          <w:szCs w:val="22"/>
        </w:rPr>
        <w:t xml:space="preserve"> (63%) and pre-existing</w:t>
      </w:r>
      <w:r w:rsidR="00B90BD2" w:rsidRPr="00405DCB">
        <w:rPr>
          <w:rStyle w:val="A0"/>
          <w:rFonts w:ascii="Times New Roman" w:hAnsi="Times New Roman"/>
          <w:b w:val="0"/>
          <w:bCs w:val="0"/>
          <w:i w:val="0"/>
          <w:iCs w:val="0"/>
          <w:sz w:val="22"/>
          <w:szCs w:val="22"/>
          <w:lang w:val="en-GB"/>
        </w:rPr>
        <w:t xml:space="preserve"> dactylitis</w:t>
      </w:r>
      <w:r w:rsidR="00B90BD2" w:rsidRPr="007D0AC0">
        <w:rPr>
          <w:rStyle w:val="A0"/>
          <w:rFonts w:ascii="Times New Roman" w:hAnsi="Times New Roman"/>
          <w:b w:val="0"/>
          <w:bCs w:val="0"/>
          <w:i w:val="0"/>
          <w:iCs w:val="0"/>
          <w:sz w:val="22"/>
          <w:szCs w:val="22"/>
        </w:rPr>
        <w:t xml:space="preserve"> (42%) were enrolled.  </w:t>
      </w:r>
      <w:r w:rsidR="00755CA4" w:rsidRPr="007D0AC0">
        <w:rPr>
          <w:rStyle w:val="A0"/>
          <w:rFonts w:ascii="Times New Roman" w:hAnsi="Times New Roman"/>
          <w:b w:val="0"/>
          <w:bCs w:val="0"/>
          <w:i w:val="0"/>
          <w:iCs w:val="0"/>
          <w:sz w:val="22"/>
          <w:szCs w:val="22"/>
        </w:rPr>
        <w:t>Patients were allowed to receive stable doses of concomitant</w:t>
      </w:r>
      <w:r w:rsidR="00755CA4" w:rsidRPr="00405DCB">
        <w:rPr>
          <w:rStyle w:val="A0"/>
          <w:rFonts w:ascii="Times New Roman" w:hAnsi="Times New Roman"/>
          <w:b w:val="0"/>
          <w:bCs w:val="0"/>
          <w:i w:val="0"/>
          <w:iCs w:val="0"/>
          <w:sz w:val="22"/>
          <w:szCs w:val="22"/>
          <w:lang w:val="en-GB"/>
        </w:rPr>
        <w:t xml:space="preserve"> methotrexate</w:t>
      </w:r>
      <w:r w:rsidR="00755CA4" w:rsidRPr="007D0AC0">
        <w:rPr>
          <w:rStyle w:val="A0"/>
          <w:rFonts w:ascii="Times New Roman" w:hAnsi="Times New Roman"/>
          <w:b w:val="0"/>
          <w:bCs w:val="0"/>
          <w:i w:val="0"/>
          <w:iCs w:val="0"/>
          <w:sz w:val="22"/>
          <w:szCs w:val="22"/>
        </w:rPr>
        <w:t xml:space="preserve"> (MTX) (≤ 25 mg/week),</w:t>
      </w:r>
      <w:r w:rsidR="00755CA4" w:rsidRPr="00405DCB">
        <w:rPr>
          <w:rStyle w:val="A0"/>
          <w:rFonts w:ascii="Times New Roman" w:hAnsi="Times New Roman"/>
          <w:b w:val="0"/>
          <w:bCs w:val="0"/>
          <w:i w:val="0"/>
          <w:iCs w:val="0"/>
          <w:sz w:val="22"/>
          <w:szCs w:val="22"/>
          <w:lang w:val="en-GB"/>
        </w:rPr>
        <w:t xml:space="preserve"> sulfasalazine</w:t>
      </w:r>
      <w:r w:rsidR="00755CA4" w:rsidRPr="007D0AC0">
        <w:rPr>
          <w:rStyle w:val="A0"/>
          <w:rFonts w:ascii="Times New Roman" w:hAnsi="Times New Roman"/>
          <w:b w:val="0"/>
          <w:bCs w:val="0"/>
          <w:i w:val="0"/>
          <w:iCs w:val="0"/>
          <w:sz w:val="22"/>
          <w:szCs w:val="22"/>
        </w:rPr>
        <w:t xml:space="preserve"> (SSZ) (≤ 2 g/day),</w:t>
      </w:r>
      <w:r w:rsidR="00755CA4" w:rsidRPr="00405DCB">
        <w:rPr>
          <w:rStyle w:val="A0"/>
          <w:rFonts w:ascii="Times New Roman" w:hAnsi="Times New Roman"/>
          <w:b w:val="0"/>
          <w:bCs w:val="0"/>
          <w:i w:val="0"/>
          <w:iCs w:val="0"/>
          <w:sz w:val="22"/>
          <w:szCs w:val="22"/>
          <w:lang w:val="en-GB"/>
        </w:rPr>
        <w:t xml:space="preserve"> leflunomide</w:t>
      </w:r>
      <w:r w:rsidR="00755CA4" w:rsidRPr="007D0AC0">
        <w:rPr>
          <w:rStyle w:val="A0"/>
          <w:rFonts w:ascii="Times New Roman" w:hAnsi="Times New Roman"/>
          <w:b w:val="0"/>
          <w:bCs w:val="0"/>
          <w:i w:val="0"/>
          <w:iCs w:val="0"/>
          <w:sz w:val="22"/>
          <w:szCs w:val="22"/>
        </w:rPr>
        <w:t xml:space="preserve"> (LEF) (≤ 20 mg/day), low dose oral corticosteroids (equivalent to ≤ 10 mg of prednisone a day), and/or</w:t>
      </w:r>
      <w:r w:rsidR="00755CA4" w:rsidRPr="00405DCB">
        <w:rPr>
          <w:rStyle w:val="A0"/>
          <w:rFonts w:ascii="Times New Roman" w:hAnsi="Times New Roman"/>
          <w:b w:val="0"/>
          <w:bCs w:val="0"/>
          <w:i w:val="0"/>
          <w:iCs w:val="0"/>
          <w:sz w:val="22"/>
          <w:szCs w:val="22"/>
          <w:lang w:val="en-GB"/>
        </w:rPr>
        <w:t xml:space="preserve"> nonsteroidal</w:t>
      </w:r>
      <w:r w:rsidR="00755CA4" w:rsidRPr="007D0AC0">
        <w:rPr>
          <w:rStyle w:val="A0"/>
          <w:rFonts w:ascii="Times New Roman" w:hAnsi="Times New Roman"/>
          <w:b w:val="0"/>
          <w:bCs w:val="0"/>
          <w:i w:val="0"/>
          <w:iCs w:val="0"/>
          <w:sz w:val="22"/>
          <w:szCs w:val="22"/>
        </w:rPr>
        <w:t xml:space="preserve"> anti-inflammatory drugs (NSAIDs) during the trial</w:t>
      </w:r>
      <w:r w:rsidR="008D2FE2" w:rsidRPr="00D05D7D">
        <w:rPr>
          <w:rStyle w:val="A0"/>
          <w:rFonts w:ascii="Times New Roman" w:hAnsi="Times New Roman"/>
          <w:b w:val="0"/>
          <w:bCs w:val="0"/>
          <w:i w:val="0"/>
          <w:iCs w:val="0"/>
          <w:sz w:val="22"/>
          <w:szCs w:val="22"/>
        </w:rPr>
        <w:t>;</w:t>
      </w:r>
      <w:r w:rsidR="008D2FE2" w:rsidRPr="00D05D7D">
        <w:rPr>
          <w:rFonts w:ascii="Times New Roman" w:hAnsi="Times New Roman"/>
          <w:sz w:val="20"/>
          <w:szCs w:val="20"/>
        </w:rPr>
        <w:t xml:space="preserve"> </w:t>
      </w:r>
      <w:r w:rsidR="008D2FE2" w:rsidRPr="001E2D1E">
        <w:rPr>
          <w:rFonts w:ascii="Times New Roman" w:hAnsi="Times New Roman"/>
          <w:sz w:val="22"/>
          <w:szCs w:val="22"/>
        </w:rPr>
        <w:t>the combination of apremilast with biologic DMARDs was not studied</w:t>
      </w:r>
      <w:r w:rsidR="00755CA4" w:rsidRPr="001E2D1E">
        <w:rPr>
          <w:rStyle w:val="A0"/>
          <w:rFonts w:ascii="Times New Roman" w:hAnsi="Times New Roman"/>
          <w:b w:val="0"/>
          <w:bCs w:val="0"/>
          <w:i w:val="0"/>
          <w:iCs w:val="0"/>
          <w:sz w:val="22"/>
          <w:szCs w:val="22"/>
        </w:rPr>
        <w:t>.</w:t>
      </w:r>
    </w:p>
    <w:p w:rsidR="002344D9" w:rsidRDefault="002344D9" w:rsidP="00A1723F">
      <w:pPr>
        <w:pStyle w:val="Pa8"/>
        <w:spacing w:line="240" w:lineRule="auto"/>
        <w:rPr>
          <w:rStyle w:val="A0"/>
          <w:rFonts w:ascii="Times New Roman" w:hAnsi="Times New Roman"/>
          <w:b w:val="0"/>
          <w:bCs w:val="0"/>
          <w:i w:val="0"/>
          <w:iCs w:val="0"/>
          <w:sz w:val="22"/>
          <w:szCs w:val="22"/>
        </w:rPr>
      </w:pPr>
    </w:p>
    <w:p w:rsidR="00153CB6" w:rsidRDefault="002344D9" w:rsidP="00A1723F">
      <w:pPr>
        <w:pStyle w:val="Pa8"/>
        <w:spacing w:line="240" w:lineRule="auto"/>
        <w:rPr>
          <w:rStyle w:val="A0"/>
          <w:rFonts w:ascii="Times New Roman" w:hAnsi="Times New Roman"/>
          <w:b w:val="0"/>
          <w:bCs w:val="0"/>
          <w:i w:val="0"/>
          <w:iCs w:val="0"/>
          <w:sz w:val="22"/>
          <w:szCs w:val="22"/>
        </w:rPr>
      </w:pPr>
      <w:r w:rsidRPr="007D0AC0">
        <w:rPr>
          <w:rStyle w:val="A0"/>
          <w:rFonts w:ascii="Times New Roman" w:hAnsi="Times New Roman"/>
          <w:b w:val="0"/>
          <w:bCs w:val="0"/>
          <w:i w:val="0"/>
          <w:iCs w:val="0"/>
          <w:sz w:val="22"/>
          <w:szCs w:val="22"/>
        </w:rPr>
        <w:t>Across the 3 studies, patients were randomly assigned to placebo (n = 496),</w:t>
      </w:r>
      <w:r w:rsidRPr="00405DCB">
        <w:rPr>
          <w:rStyle w:val="A0"/>
          <w:rFonts w:ascii="Times New Roman" w:hAnsi="Times New Roman"/>
          <w:b w:val="0"/>
          <w:bCs w:val="0"/>
          <w:i w:val="0"/>
          <w:iCs w:val="0"/>
          <w:sz w:val="22"/>
          <w:szCs w:val="22"/>
          <w:lang w:val="en-GB"/>
        </w:rPr>
        <w:t xml:space="preserve"> </w:t>
      </w:r>
      <w:r w:rsidR="001D5B04" w:rsidRPr="004605C0">
        <w:rPr>
          <w:rStyle w:val="A0"/>
          <w:rFonts w:ascii="Times New Roman" w:hAnsi="Times New Roman"/>
          <w:b w:val="0"/>
          <w:bCs w:val="0"/>
          <w:i w:val="0"/>
          <w:iCs w:val="0"/>
          <w:sz w:val="22"/>
          <w:szCs w:val="22"/>
          <w:lang w:val="en-GB"/>
        </w:rPr>
        <w:t>Otezla</w:t>
      </w:r>
      <w:r w:rsidR="001D5B04" w:rsidRPr="007D0AC0">
        <w:rPr>
          <w:rStyle w:val="A0"/>
          <w:rFonts w:ascii="Times New Roman" w:hAnsi="Times New Roman"/>
          <w:b w:val="0"/>
          <w:bCs w:val="0"/>
          <w:i w:val="0"/>
          <w:iCs w:val="0"/>
          <w:sz w:val="22"/>
          <w:szCs w:val="22"/>
        </w:rPr>
        <w:t xml:space="preserve"> </w:t>
      </w:r>
      <w:r w:rsidRPr="007D0AC0">
        <w:rPr>
          <w:rStyle w:val="A0"/>
          <w:rFonts w:ascii="Times New Roman" w:hAnsi="Times New Roman"/>
          <w:b w:val="0"/>
          <w:bCs w:val="0"/>
          <w:i w:val="0"/>
          <w:iCs w:val="0"/>
          <w:sz w:val="22"/>
          <w:szCs w:val="22"/>
        </w:rPr>
        <w:t>20 mg (n = 500), or</w:t>
      </w:r>
      <w:r w:rsidRPr="00405DCB">
        <w:rPr>
          <w:rStyle w:val="A0"/>
          <w:rFonts w:ascii="Times New Roman" w:hAnsi="Times New Roman"/>
          <w:b w:val="0"/>
          <w:bCs w:val="0"/>
          <w:i w:val="0"/>
          <w:iCs w:val="0"/>
          <w:sz w:val="22"/>
          <w:szCs w:val="22"/>
          <w:lang w:val="en-GB"/>
        </w:rPr>
        <w:t xml:space="preserve"> </w:t>
      </w:r>
      <w:r w:rsidR="001D5B04" w:rsidRPr="004605C0">
        <w:rPr>
          <w:rStyle w:val="A0"/>
          <w:rFonts w:ascii="Times New Roman" w:hAnsi="Times New Roman"/>
          <w:b w:val="0"/>
          <w:bCs w:val="0"/>
          <w:i w:val="0"/>
          <w:iCs w:val="0"/>
          <w:sz w:val="22"/>
          <w:szCs w:val="22"/>
          <w:lang w:val="en-GB"/>
        </w:rPr>
        <w:t>Otezla</w:t>
      </w:r>
      <w:r w:rsidR="001D5B04" w:rsidRPr="004605C0">
        <w:rPr>
          <w:rStyle w:val="A0"/>
          <w:rFonts w:ascii="Times New Roman" w:hAnsi="Times New Roman"/>
          <w:b w:val="0"/>
          <w:bCs w:val="0"/>
          <w:i w:val="0"/>
          <w:iCs w:val="0"/>
          <w:sz w:val="22"/>
          <w:szCs w:val="22"/>
        </w:rPr>
        <w:t xml:space="preserve"> </w:t>
      </w:r>
      <w:r w:rsidRPr="004605C0">
        <w:rPr>
          <w:rStyle w:val="A0"/>
          <w:rFonts w:ascii="Times New Roman" w:hAnsi="Times New Roman"/>
          <w:b w:val="0"/>
          <w:bCs w:val="0"/>
          <w:i w:val="0"/>
          <w:iCs w:val="0"/>
          <w:sz w:val="22"/>
          <w:szCs w:val="22"/>
        </w:rPr>
        <w:t>30</w:t>
      </w:r>
      <w:r w:rsidRPr="007D0AC0">
        <w:rPr>
          <w:rStyle w:val="A0"/>
          <w:rFonts w:ascii="Times New Roman" w:hAnsi="Times New Roman"/>
          <w:b w:val="0"/>
          <w:bCs w:val="0"/>
          <w:i w:val="0"/>
          <w:iCs w:val="0"/>
          <w:sz w:val="22"/>
          <w:szCs w:val="22"/>
        </w:rPr>
        <w:t xml:space="preserve"> mg (n = 497) given orally twice daily.  </w:t>
      </w:r>
      <w:r w:rsidR="00B90BD2" w:rsidRPr="007D0AC0">
        <w:rPr>
          <w:rStyle w:val="A0"/>
          <w:rFonts w:ascii="Times New Roman" w:hAnsi="Times New Roman"/>
          <w:b w:val="0"/>
          <w:bCs w:val="0"/>
          <w:i w:val="0"/>
          <w:iCs w:val="0"/>
          <w:sz w:val="22"/>
          <w:szCs w:val="22"/>
        </w:rPr>
        <w:t xml:space="preserve">Treatment assignments were stratified based on small-molecule DMARD use at baseline in Studies PALACE 1, </w:t>
      </w:r>
      <w:r w:rsidR="007432E9">
        <w:rPr>
          <w:rStyle w:val="A0"/>
          <w:rFonts w:ascii="Times New Roman" w:hAnsi="Times New Roman"/>
          <w:b w:val="0"/>
          <w:bCs w:val="0"/>
          <w:i w:val="0"/>
          <w:iCs w:val="0"/>
          <w:sz w:val="22"/>
          <w:szCs w:val="22"/>
        </w:rPr>
        <w:t xml:space="preserve">PALACE </w:t>
      </w:r>
      <w:r w:rsidR="00B90BD2" w:rsidRPr="007D0AC0">
        <w:rPr>
          <w:rStyle w:val="A0"/>
          <w:rFonts w:ascii="Times New Roman" w:hAnsi="Times New Roman"/>
          <w:b w:val="0"/>
          <w:bCs w:val="0"/>
          <w:i w:val="0"/>
          <w:iCs w:val="0"/>
          <w:sz w:val="22"/>
          <w:szCs w:val="22"/>
        </w:rPr>
        <w:t xml:space="preserve">2 and </w:t>
      </w:r>
      <w:r w:rsidR="007432E9">
        <w:rPr>
          <w:rStyle w:val="A0"/>
          <w:rFonts w:ascii="Times New Roman" w:hAnsi="Times New Roman"/>
          <w:b w:val="0"/>
          <w:bCs w:val="0"/>
          <w:i w:val="0"/>
          <w:iCs w:val="0"/>
          <w:sz w:val="22"/>
          <w:szCs w:val="22"/>
        </w:rPr>
        <w:t xml:space="preserve">PALACE </w:t>
      </w:r>
      <w:r w:rsidR="00B90BD2" w:rsidRPr="007D0AC0">
        <w:rPr>
          <w:rStyle w:val="A0"/>
          <w:rFonts w:ascii="Times New Roman" w:hAnsi="Times New Roman"/>
          <w:b w:val="0"/>
          <w:bCs w:val="0"/>
          <w:i w:val="0"/>
          <w:iCs w:val="0"/>
          <w:sz w:val="22"/>
          <w:szCs w:val="22"/>
        </w:rPr>
        <w:t>3.  There was an additional stratification of body surface area (BSA ≥ 3% with psoriasis in PALACE 3</w:t>
      </w:r>
      <w:r w:rsidR="00095343">
        <w:rPr>
          <w:rStyle w:val="A0"/>
          <w:rFonts w:ascii="Times New Roman" w:hAnsi="Times New Roman"/>
          <w:b w:val="0"/>
          <w:bCs w:val="0"/>
          <w:i w:val="0"/>
          <w:iCs w:val="0"/>
          <w:sz w:val="22"/>
          <w:szCs w:val="22"/>
        </w:rPr>
        <w:t>)</w:t>
      </w:r>
      <w:r w:rsidR="00B90BD2" w:rsidRPr="007D0AC0">
        <w:rPr>
          <w:rStyle w:val="A0"/>
          <w:rFonts w:ascii="Times New Roman" w:hAnsi="Times New Roman"/>
          <w:b w:val="0"/>
          <w:bCs w:val="0"/>
          <w:i w:val="0"/>
          <w:iCs w:val="0"/>
          <w:sz w:val="22"/>
          <w:szCs w:val="22"/>
        </w:rPr>
        <w:t>.</w:t>
      </w:r>
      <w:r w:rsidRPr="007D0AC0">
        <w:rPr>
          <w:rStyle w:val="A0"/>
          <w:rFonts w:ascii="Times New Roman" w:hAnsi="Times New Roman"/>
          <w:b w:val="0"/>
          <w:bCs w:val="0"/>
          <w:i w:val="0"/>
          <w:iCs w:val="0"/>
          <w:sz w:val="22"/>
          <w:szCs w:val="22"/>
        </w:rPr>
        <w:t xml:space="preserve">  </w:t>
      </w:r>
    </w:p>
    <w:p w:rsidR="00095343" w:rsidRPr="007D0AC0" w:rsidRDefault="00095343" w:rsidP="00A1723F">
      <w:pPr>
        <w:pStyle w:val="Pa8"/>
        <w:spacing w:line="240" w:lineRule="auto"/>
        <w:rPr>
          <w:rFonts w:ascii="Times New Roman" w:hAnsi="Times New Roman"/>
          <w:sz w:val="22"/>
          <w:szCs w:val="22"/>
        </w:rPr>
      </w:pPr>
    </w:p>
    <w:p w:rsidR="002D5199" w:rsidRPr="007D0AC0" w:rsidRDefault="002D0BA8" w:rsidP="00A1723F">
      <w:pPr>
        <w:pStyle w:val="Pa8"/>
        <w:spacing w:line="240" w:lineRule="auto"/>
        <w:rPr>
          <w:rFonts w:ascii="Times New Roman" w:hAnsi="Times New Roman"/>
          <w:color w:val="221E1F"/>
          <w:sz w:val="22"/>
          <w:szCs w:val="22"/>
        </w:rPr>
      </w:pPr>
      <w:r w:rsidRPr="007D0AC0">
        <w:rPr>
          <w:rStyle w:val="A0"/>
          <w:rFonts w:ascii="Times New Roman" w:hAnsi="Times New Roman"/>
          <w:b w:val="0"/>
          <w:bCs w:val="0"/>
          <w:i w:val="0"/>
          <w:iCs w:val="0"/>
          <w:sz w:val="22"/>
          <w:szCs w:val="22"/>
        </w:rPr>
        <w:t>Patients received concomitant therapy with at least one DMARD (total 65.2%), MTX (54.5%), SSZ (9.0%), LEF (7.4%), low dose oral corticosteroids (13.9%), and NSAIDs (70.7%).  Prior treatment with only small-molecule DMARDs was reported in 76.4% of patients and prior treatment with biologic DMARDs was reported in 22.4% of patients, which includes 7.8% who had a therapeutic failure with a prior biologic DMARD.</w:t>
      </w:r>
      <w:r w:rsidR="00034E8D" w:rsidRPr="007D0AC0">
        <w:rPr>
          <w:rStyle w:val="A0"/>
          <w:rFonts w:ascii="Times New Roman" w:hAnsi="Times New Roman"/>
          <w:b w:val="0"/>
          <w:bCs w:val="0"/>
          <w:i w:val="0"/>
          <w:iCs w:val="0"/>
          <w:sz w:val="22"/>
          <w:szCs w:val="22"/>
        </w:rPr>
        <w:t xml:space="preserve">  </w:t>
      </w:r>
      <w:r w:rsidR="00034E8D" w:rsidRPr="007D0AC0">
        <w:rPr>
          <w:rFonts w:ascii="Times New Roman" w:hAnsi="Times New Roman"/>
          <w:sz w:val="22"/>
          <w:szCs w:val="22"/>
        </w:rPr>
        <w:t>The median duration of PsA disease was 5 years.</w:t>
      </w:r>
    </w:p>
    <w:p w:rsidR="00FA026C" w:rsidRPr="007D0AC0" w:rsidRDefault="00FA026C" w:rsidP="00A1723F">
      <w:pPr>
        <w:pStyle w:val="Pa8"/>
        <w:spacing w:line="240" w:lineRule="auto"/>
        <w:rPr>
          <w:rFonts w:ascii="Times New Roman" w:hAnsi="Times New Roman"/>
          <w:sz w:val="22"/>
          <w:szCs w:val="22"/>
        </w:rPr>
      </w:pPr>
    </w:p>
    <w:p w:rsidR="00FA026C" w:rsidRPr="001A572A" w:rsidRDefault="00FA026C" w:rsidP="005B186C">
      <w:pPr>
        <w:outlineLvl w:val="0"/>
        <w:rPr>
          <w:sz w:val="22"/>
          <w:szCs w:val="22"/>
        </w:rPr>
      </w:pPr>
      <w:r w:rsidRPr="00060744">
        <w:rPr>
          <w:sz w:val="22"/>
          <w:szCs w:val="22"/>
        </w:rPr>
        <w:t>The primary endpoint was the percentage of patients achieving American College of Rheumatology (ACR) 20 response at Week 16.</w:t>
      </w:r>
      <w:r w:rsidR="00916003" w:rsidRPr="00060744">
        <w:rPr>
          <w:sz w:val="22"/>
          <w:szCs w:val="22"/>
        </w:rPr>
        <w:t xml:space="preserve">  </w:t>
      </w:r>
      <w:r w:rsidR="0014196F" w:rsidRPr="00060744">
        <w:rPr>
          <w:bCs/>
          <w:sz w:val="22"/>
          <w:szCs w:val="22"/>
        </w:rPr>
        <w:t>Patients whose tender and swollen joint counts had not improved by at least 20% were considered non-responders at Week 16.  Placebo non-responders were re-randomi</w:t>
      </w:r>
      <w:r w:rsidR="000A72AF">
        <w:rPr>
          <w:bCs/>
          <w:sz w:val="22"/>
          <w:szCs w:val="22"/>
        </w:rPr>
        <w:t>s</w:t>
      </w:r>
      <w:r w:rsidR="0014196F" w:rsidRPr="00060744">
        <w:rPr>
          <w:bCs/>
          <w:sz w:val="22"/>
          <w:szCs w:val="22"/>
        </w:rPr>
        <w:t xml:space="preserve">ed 1:1 in a </w:t>
      </w:r>
      <w:r w:rsidR="00503870" w:rsidRPr="00060744">
        <w:rPr>
          <w:bCs/>
          <w:sz w:val="22"/>
          <w:szCs w:val="22"/>
        </w:rPr>
        <w:t>blinded fashion to either Otezla</w:t>
      </w:r>
      <w:r w:rsidR="0014196F" w:rsidRPr="00060744">
        <w:rPr>
          <w:bCs/>
          <w:sz w:val="22"/>
          <w:szCs w:val="22"/>
        </w:rPr>
        <w:t xml:space="preserve"> 20 mg twice daily or 30 mg twice daily</w:t>
      </w:r>
      <w:r w:rsidR="00503870" w:rsidRPr="00060744">
        <w:rPr>
          <w:bCs/>
          <w:sz w:val="22"/>
          <w:szCs w:val="22"/>
        </w:rPr>
        <w:t>.  Otezla</w:t>
      </w:r>
      <w:r w:rsidR="0014196F" w:rsidRPr="00060744">
        <w:rPr>
          <w:bCs/>
          <w:sz w:val="22"/>
          <w:szCs w:val="22"/>
        </w:rPr>
        <w:t xml:space="preserve"> patients remained on their initial treatment.  At Week 24, all remaining placebo patients were re-randomi</w:t>
      </w:r>
      <w:r w:rsidR="000A72AF">
        <w:rPr>
          <w:bCs/>
          <w:sz w:val="22"/>
          <w:szCs w:val="22"/>
        </w:rPr>
        <w:t>s</w:t>
      </w:r>
      <w:r w:rsidR="0014196F" w:rsidRPr="00060744">
        <w:rPr>
          <w:bCs/>
          <w:sz w:val="22"/>
          <w:szCs w:val="22"/>
        </w:rPr>
        <w:t xml:space="preserve">ed to either </w:t>
      </w:r>
      <w:r w:rsidR="001D5B04" w:rsidRPr="00060744">
        <w:rPr>
          <w:bCs/>
          <w:sz w:val="22"/>
          <w:szCs w:val="22"/>
        </w:rPr>
        <w:t xml:space="preserve">Otezla </w:t>
      </w:r>
      <w:r w:rsidR="0014196F" w:rsidRPr="00060744">
        <w:rPr>
          <w:bCs/>
          <w:sz w:val="22"/>
          <w:szCs w:val="22"/>
        </w:rPr>
        <w:t xml:space="preserve">20 mg twice daily or </w:t>
      </w:r>
      <w:r w:rsidR="001D5B04" w:rsidRPr="00060744">
        <w:rPr>
          <w:bCs/>
          <w:sz w:val="22"/>
          <w:szCs w:val="22"/>
        </w:rPr>
        <w:t xml:space="preserve">Otezla </w:t>
      </w:r>
      <w:r w:rsidR="0014196F" w:rsidRPr="00060744">
        <w:rPr>
          <w:bCs/>
          <w:sz w:val="22"/>
          <w:szCs w:val="22"/>
        </w:rPr>
        <w:t>30 mg twice daily.</w:t>
      </w:r>
      <w:r w:rsidR="00503870" w:rsidRPr="00060744">
        <w:rPr>
          <w:bCs/>
          <w:sz w:val="22"/>
          <w:szCs w:val="22"/>
        </w:rPr>
        <w:t xml:space="preserve">  </w:t>
      </w:r>
      <w:r w:rsidR="002F0A65" w:rsidRPr="00060744">
        <w:rPr>
          <w:rStyle w:val="A0"/>
          <w:rFonts w:ascii="Times New Roman" w:hAnsi="Times New Roman"/>
          <w:b w:val="0"/>
          <w:bCs w:val="0"/>
          <w:i w:val="0"/>
          <w:iCs w:val="0"/>
          <w:color w:val="auto"/>
          <w:sz w:val="22"/>
          <w:szCs w:val="22"/>
        </w:rPr>
        <w:t>At the end of 52 weeks, patients could enter a long-term open-label extension study for a total duration of up to 5 years.</w:t>
      </w:r>
      <w:r w:rsidR="00E93A87">
        <w:rPr>
          <w:rStyle w:val="A0"/>
          <w:rFonts w:ascii="Times New Roman" w:hAnsi="Times New Roman"/>
          <w:b w:val="0"/>
          <w:bCs w:val="0"/>
          <w:i w:val="0"/>
          <w:iCs w:val="0"/>
          <w:color w:val="auto"/>
          <w:sz w:val="22"/>
          <w:szCs w:val="22"/>
        </w:rPr>
        <w:t xml:space="preserve"> </w:t>
      </w:r>
      <w:r w:rsidR="001A572A">
        <w:rPr>
          <w:rStyle w:val="A0"/>
          <w:rFonts w:ascii="Times New Roman" w:hAnsi="Times New Roman"/>
          <w:b w:val="0"/>
          <w:bCs w:val="0"/>
          <w:i w:val="0"/>
          <w:iCs w:val="0"/>
          <w:color w:val="auto"/>
          <w:sz w:val="22"/>
          <w:szCs w:val="22"/>
        </w:rPr>
        <w:t xml:space="preserve"> </w:t>
      </w:r>
      <w:r w:rsidR="001A572A" w:rsidRPr="001A572A">
        <w:rPr>
          <w:sz w:val="22"/>
          <w:szCs w:val="22"/>
        </w:rPr>
        <w:t>These studies did not investigate the effects of Otezla on structural progression.</w:t>
      </w:r>
    </w:p>
    <w:p w:rsidR="005B7788" w:rsidRDefault="005B7788" w:rsidP="00E93A87">
      <w:pPr>
        <w:outlineLvl w:val="0"/>
        <w:rPr>
          <w:rStyle w:val="A0"/>
          <w:rFonts w:ascii="Times New Roman" w:hAnsi="Times New Roman"/>
          <w:bCs w:val="0"/>
          <w:i w:val="0"/>
          <w:iCs w:val="0"/>
          <w:sz w:val="22"/>
          <w:szCs w:val="22"/>
        </w:rPr>
      </w:pPr>
    </w:p>
    <w:p w:rsidR="00D05484" w:rsidRPr="003F0D9B" w:rsidRDefault="0018521D" w:rsidP="002A6C0B">
      <w:pPr>
        <w:pStyle w:val="Pa8"/>
        <w:jc w:val="both"/>
        <w:rPr>
          <w:rStyle w:val="A0"/>
          <w:rFonts w:ascii="Times New Roman" w:hAnsi="Times New Roman"/>
          <w:bCs w:val="0"/>
          <w:i w:val="0"/>
          <w:iCs w:val="0"/>
          <w:sz w:val="22"/>
          <w:szCs w:val="22"/>
        </w:rPr>
      </w:pPr>
      <w:r w:rsidRPr="003F0D9B">
        <w:rPr>
          <w:rStyle w:val="A0"/>
          <w:rFonts w:ascii="Times New Roman" w:hAnsi="Times New Roman"/>
          <w:bCs w:val="0"/>
          <w:i w:val="0"/>
          <w:iCs w:val="0"/>
          <w:sz w:val="22"/>
          <w:szCs w:val="22"/>
        </w:rPr>
        <w:lastRenderedPageBreak/>
        <w:t>Clinical Response</w:t>
      </w:r>
      <w:r w:rsidR="00DE76A4" w:rsidRPr="003F0D9B">
        <w:rPr>
          <w:rStyle w:val="A0"/>
          <w:rFonts w:ascii="Times New Roman" w:hAnsi="Times New Roman"/>
          <w:bCs w:val="0"/>
          <w:i w:val="0"/>
          <w:iCs w:val="0"/>
          <w:sz w:val="22"/>
          <w:szCs w:val="22"/>
        </w:rPr>
        <w:t>s</w:t>
      </w:r>
    </w:p>
    <w:p w:rsidR="00C502BB" w:rsidRPr="00256055" w:rsidRDefault="00C502BB" w:rsidP="00AC5A19">
      <w:pPr>
        <w:spacing w:before="120"/>
        <w:outlineLvl w:val="0"/>
        <w:rPr>
          <w:b/>
          <w:bCs/>
          <w:color w:val="211D1E"/>
          <w:sz w:val="22"/>
          <w:szCs w:val="22"/>
          <w:lang w:eastAsia="ja-JP"/>
        </w:rPr>
      </w:pPr>
      <w:r w:rsidRPr="00256055">
        <w:rPr>
          <w:sz w:val="22"/>
          <w:szCs w:val="22"/>
        </w:rPr>
        <w:t xml:space="preserve">Treatment with apremilast resulted in significant improvements in the signs and symptoms of PsA, as </w:t>
      </w:r>
      <w:proofErr w:type="gramStart"/>
      <w:r w:rsidRPr="00256055">
        <w:rPr>
          <w:sz w:val="22"/>
          <w:szCs w:val="22"/>
        </w:rPr>
        <w:t>assessed  by</w:t>
      </w:r>
      <w:proofErr w:type="gramEnd"/>
      <w:r w:rsidRPr="00256055">
        <w:rPr>
          <w:sz w:val="22"/>
          <w:szCs w:val="22"/>
        </w:rPr>
        <w:t xml:space="preserve"> the ACR 20 response criteria</w:t>
      </w:r>
      <w:r w:rsidR="008D2FE2" w:rsidRPr="00256055">
        <w:rPr>
          <w:sz w:val="22"/>
          <w:szCs w:val="22"/>
        </w:rPr>
        <w:t>,</w:t>
      </w:r>
      <w:r w:rsidRPr="00256055">
        <w:rPr>
          <w:sz w:val="22"/>
          <w:szCs w:val="22"/>
        </w:rPr>
        <w:t xml:space="preserve"> compared to placebo at Week 16. </w:t>
      </w:r>
      <w:r w:rsidR="00AC5A19">
        <w:rPr>
          <w:sz w:val="22"/>
          <w:szCs w:val="22"/>
        </w:rPr>
        <w:t xml:space="preserve"> </w:t>
      </w:r>
      <w:r w:rsidRPr="00256055">
        <w:rPr>
          <w:sz w:val="22"/>
          <w:szCs w:val="22"/>
        </w:rPr>
        <w:t xml:space="preserve">The </w:t>
      </w:r>
      <w:proofErr w:type="gramStart"/>
      <w:r w:rsidRPr="00256055">
        <w:rPr>
          <w:sz w:val="22"/>
          <w:szCs w:val="22"/>
        </w:rPr>
        <w:t>proportion of patients with ACR 20/50/70 responses in Studies PALACE 1, PALACE 2 and PALACE 3, for apremilast 30 mg twice daily at Week 16, are</w:t>
      </w:r>
      <w:proofErr w:type="gramEnd"/>
      <w:r w:rsidRPr="00256055">
        <w:rPr>
          <w:sz w:val="22"/>
          <w:szCs w:val="22"/>
        </w:rPr>
        <w:t xml:space="preserve"> </w:t>
      </w:r>
      <w:r w:rsidR="00AC5A19">
        <w:rPr>
          <w:sz w:val="22"/>
          <w:szCs w:val="22"/>
        </w:rPr>
        <w:t xml:space="preserve">shown in Table 3. </w:t>
      </w:r>
      <w:r w:rsidR="001E2D1E">
        <w:rPr>
          <w:sz w:val="22"/>
          <w:szCs w:val="22"/>
        </w:rPr>
        <w:t xml:space="preserve"> </w:t>
      </w:r>
      <w:r w:rsidR="00AC5A19">
        <w:rPr>
          <w:sz w:val="22"/>
          <w:szCs w:val="22"/>
        </w:rPr>
        <w:t xml:space="preserve">ACR 20/50/70 </w:t>
      </w:r>
      <w:r w:rsidRPr="00256055">
        <w:rPr>
          <w:sz w:val="22"/>
          <w:szCs w:val="22"/>
        </w:rPr>
        <w:t>responses were maintained at Week 24.</w:t>
      </w:r>
      <w:r w:rsidRPr="00256055">
        <w:rPr>
          <w:b/>
          <w:bCs/>
          <w:color w:val="211D1E"/>
          <w:sz w:val="22"/>
          <w:szCs w:val="22"/>
          <w:lang w:eastAsia="ja-JP"/>
        </w:rPr>
        <w:t> </w:t>
      </w:r>
    </w:p>
    <w:p w:rsidR="006717B8" w:rsidRPr="0018521D" w:rsidRDefault="006717B8" w:rsidP="00C502BB">
      <w:pPr>
        <w:outlineLvl w:val="0"/>
        <w:rPr>
          <w:rStyle w:val="A0"/>
          <w:rFonts w:ascii="Times New Roman" w:hAnsi="Times New Roman"/>
          <w:b w:val="0"/>
          <w:bCs w:val="0"/>
          <w:i w:val="0"/>
          <w:iCs w:val="0"/>
          <w:sz w:val="22"/>
          <w:szCs w:val="22"/>
        </w:rPr>
      </w:pPr>
    </w:p>
    <w:p w:rsidR="00C502BB" w:rsidRPr="006717B8" w:rsidRDefault="00607AAC" w:rsidP="006717B8">
      <w:pPr>
        <w:spacing w:after="120"/>
        <w:ind w:left="1440" w:hanging="1440"/>
        <w:outlineLvl w:val="0"/>
        <w:rPr>
          <w:b/>
          <w:bCs/>
          <w:color w:val="211D1E"/>
          <w:sz w:val="22"/>
          <w:szCs w:val="22"/>
          <w:lang w:eastAsia="ja-JP"/>
        </w:rPr>
      </w:pPr>
      <w:r w:rsidRPr="006717B8">
        <w:rPr>
          <w:b/>
          <w:bCs/>
          <w:color w:val="211D1E"/>
          <w:sz w:val="22"/>
          <w:szCs w:val="22"/>
          <w:lang w:val="en-AU" w:eastAsia="ja-JP"/>
        </w:rPr>
        <w:t xml:space="preserve">Table </w:t>
      </w:r>
      <w:r w:rsidR="00D11573" w:rsidRPr="006717B8">
        <w:rPr>
          <w:b/>
          <w:bCs/>
          <w:color w:val="211D1E"/>
          <w:sz w:val="22"/>
          <w:szCs w:val="22"/>
          <w:lang w:val="en-AU" w:eastAsia="ja-JP"/>
        </w:rPr>
        <w:t>1</w:t>
      </w:r>
      <w:r w:rsidRPr="006717B8">
        <w:rPr>
          <w:b/>
          <w:bCs/>
          <w:color w:val="211D1E"/>
          <w:sz w:val="22"/>
          <w:szCs w:val="22"/>
          <w:lang w:val="en-AU" w:eastAsia="ja-JP"/>
        </w:rPr>
        <w:tab/>
      </w:r>
      <w:r w:rsidR="005C503A" w:rsidRPr="006717B8">
        <w:rPr>
          <w:b/>
          <w:bCs/>
          <w:color w:val="211D1E"/>
          <w:sz w:val="22"/>
          <w:szCs w:val="22"/>
          <w:lang w:eastAsia="ja-JP"/>
        </w:rPr>
        <w:t xml:space="preserve">Proportion of Patients with ACR Responses in </w:t>
      </w:r>
      <w:r w:rsidR="00C502BB" w:rsidRPr="006717B8">
        <w:rPr>
          <w:b/>
          <w:bCs/>
          <w:color w:val="211D1E"/>
          <w:sz w:val="22"/>
          <w:szCs w:val="22"/>
          <w:lang w:eastAsia="ja-JP"/>
        </w:rPr>
        <w:t xml:space="preserve">Studies PALACE 1, PALACE 2 and PALACE 3 at Week 16 </w:t>
      </w:r>
    </w:p>
    <w:tbl>
      <w:tblPr>
        <w:tblpPr w:leftFromText="181" w:rightFromText="181" w:vertAnchor="text" w:horzAnchor="margin" w:tblpX="16" w:tblpY="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2"/>
        <w:gridCol w:w="1290"/>
        <w:gridCol w:w="1290"/>
        <w:gridCol w:w="1290"/>
        <w:gridCol w:w="1290"/>
        <w:gridCol w:w="1290"/>
        <w:gridCol w:w="1290"/>
      </w:tblGrid>
      <w:tr w:rsidR="00C502BB" w:rsidRPr="00FA450A" w:rsidTr="00965232">
        <w:trPr>
          <w:trHeight w:val="241"/>
        </w:trPr>
        <w:tc>
          <w:tcPr>
            <w:tcW w:w="1582" w:type="dxa"/>
          </w:tcPr>
          <w:p w:rsidR="00C502BB" w:rsidRPr="002226AC" w:rsidRDefault="00C502BB" w:rsidP="006139D7">
            <w:pPr>
              <w:autoSpaceDE w:val="0"/>
              <w:autoSpaceDN w:val="0"/>
              <w:adjustRightInd w:val="0"/>
              <w:spacing w:before="60" w:after="60"/>
              <w:jc w:val="center"/>
              <w:rPr>
                <w:lang w:eastAsia="ja-JP"/>
              </w:rPr>
            </w:pPr>
          </w:p>
        </w:tc>
        <w:tc>
          <w:tcPr>
            <w:tcW w:w="2580" w:type="dxa"/>
            <w:gridSpan w:val="2"/>
          </w:tcPr>
          <w:p w:rsidR="00C502BB" w:rsidRPr="006139D7" w:rsidRDefault="00C502BB" w:rsidP="006139D7">
            <w:pPr>
              <w:autoSpaceDE w:val="0"/>
              <w:autoSpaceDN w:val="0"/>
              <w:adjustRightInd w:val="0"/>
              <w:spacing w:before="60" w:after="60"/>
              <w:ind w:left="-87" w:right="-111"/>
              <w:jc w:val="center"/>
              <w:rPr>
                <w:b/>
                <w:color w:val="211D1E"/>
                <w:lang w:eastAsia="ja-JP"/>
              </w:rPr>
            </w:pPr>
            <w:r w:rsidRPr="006139D7">
              <w:rPr>
                <w:b/>
                <w:color w:val="211D1E"/>
                <w:lang w:eastAsia="ja-JP"/>
              </w:rPr>
              <w:t>PALACE 1</w:t>
            </w:r>
          </w:p>
        </w:tc>
        <w:tc>
          <w:tcPr>
            <w:tcW w:w="2580" w:type="dxa"/>
            <w:gridSpan w:val="2"/>
          </w:tcPr>
          <w:p w:rsidR="00C502BB" w:rsidRPr="006139D7" w:rsidRDefault="00C502BB" w:rsidP="006139D7">
            <w:pPr>
              <w:autoSpaceDE w:val="0"/>
              <w:autoSpaceDN w:val="0"/>
              <w:adjustRightInd w:val="0"/>
              <w:spacing w:before="60" w:after="60"/>
              <w:ind w:left="-87" w:right="-111"/>
              <w:jc w:val="center"/>
              <w:rPr>
                <w:b/>
                <w:color w:val="211D1E"/>
                <w:lang w:eastAsia="ja-JP"/>
              </w:rPr>
            </w:pPr>
            <w:r w:rsidRPr="006139D7">
              <w:rPr>
                <w:b/>
                <w:color w:val="211D1E"/>
                <w:lang w:eastAsia="ja-JP"/>
              </w:rPr>
              <w:t>PALACE 2</w:t>
            </w:r>
          </w:p>
        </w:tc>
        <w:tc>
          <w:tcPr>
            <w:tcW w:w="2580" w:type="dxa"/>
            <w:gridSpan w:val="2"/>
          </w:tcPr>
          <w:p w:rsidR="00C502BB" w:rsidRPr="006139D7" w:rsidRDefault="00C502BB" w:rsidP="006139D7">
            <w:pPr>
              <w:autoSpaceDE w:val="0"/>
              <w:autoSpaceDN w:val="0"/>
              <w:adjustRightInd w:val="0"/>
              <w:spacing w:before="60" w:after="60"/>
              <w:ind w:left="-87" w:right="-111"/>
              <w:jc w:val="center"/>
              <w:rPr>
                <w:b/>
                <w:color w:val="211D1E"/>
                <w:lang w:eastAsia="ja-JP"/>
              </w:rPr>
            </w:pPr>
            <w:r w:rsidRPr="006139D7">
              <w:rPr>
                <w:b/>
                <w:color w:val="211D1E"/>
                <w:lang w:eastAsia="ja-JP"/>
              </w:rPr>
              <w:t>PALACE 3</w:t>
            </w:r>
          </w:p>
        </w:tc>
      </w:tr>
      <w:tr w:rsidR="00C502BB" w:rsidRPr="00FA450A" w:rsidTr="00965232">
        <w:trPr>
          <w:trHeight w:val="1213"/>
        </w:trPr>
        <w:tc>
          <w:tcPr>
            <w:tcW w:w="1582" w:type="dxa"/>
          </w:tcPr>
          <w:p w:rsidR="00C502BB" w:rsidRPr="00C16E57" w:rsidRDefault="00C502BB" w:rsidP="00965232">
            <w:pPr>
              <w:autoSpaceDE w:val="0"/>
              <w:autoSpaceDN w:val="0"/>
              <w:adjustRightInd w:val="0"/>
              <w:spacing w:after="120"/>
              <w:rPr>
                <w:sz w:val="20"/>
                <w:lang w:eastAsia="ja-JP"/>
              </w:rPr>
            </w:pPr>
          </w:p>
          <w:p w:rsidR="00C502BB" w:rsidRPr="00C16E57" w:rsidRDefault="00C502BB" w:rsidP="00965232">
            <w:pPr>
              <w:autoSpaceDE w:val="0"/>
              <w:autoSpaceDN w:val="0"/>
              <w:adjustRightInd w:val="0"/>
              <w:spacing w:after="120"/>
              <w:rPr>
                <w:sz w:val="20"/>
                <w:lang w:eastAsia="ja-JP"/>
              </w:rPr>
            </w:pPr>
          </w:p>
          <w:p w:rsidR="00C502BB" w:rsidRPr="00C16E57" w:rsidRDefault="00C502BB" w:rsidP="00965232">
            <w:pPr>
              <w:autoSpaceDE w:val="0"/>
              <w:autoSpaceDN w:val="0"/>
              <w:adjustRightInd w:val="0"/>
              <w:spacing w:after="120"/>
              <w:rPr>
                <w:sz w:val="20"/>
                <w:lang w:eastAsia="ja-JP"/>
              </w:rPr>
            </w:pPr>
          </w:p>
          <w:p w:rsidR="00C502BB" w:rsidRPr="00C16E57" w:rsidRDefault="00C502BB" w:rsidP="00965232">
            <w:pPr>
              <w:autoSpaceDE w:val="0"/>
              <w:autoSpaceDN w:val="0"/>
              <w:adjustRightInd w:val="0"/>
              <w:spacing w:after="120"/>
              <w:rPr>
                <w:b/>
                <w:sz w:val="20"/>
                <w:lang w:eastAsia="ja-JP"/>
              </w:rPr>
            </w:pPr>
            <w:r w:rsidRPr="00C16E57">
              <w:rPr>
                <w:b/>
                <w:sz w:val="20"/>
                <w:lang w:eastAsia="ja-JP"/>
              </w:rPr>
              <w:t>N</w:t>
            </w:r>
            <w:r w:rsidRPr="00C16E57">
              <w:rPr>
                <w:b/>
                <w:sz w:val="20"/>
                <w:vertAlign w:val="superscript"/>
                <w:lang w:eastAsia="ja-JP"/>
              </w:rPr>
              <w:t>a</w:t>
            </w:r>
          </w:p>
        </w:tc>
        <w:tc>
          <w:tcPr>
            <w:tcW w:w="1290" w:type="dxa"/>
          </w:tcPr>
          <w:p w:rsidR="00C502BB" w:rsidRPr="00C16E57" w:rsidRDefault="00C502BB" w:rsidP="00965232">
            <w:pPr>
              <w:autoSpaceDE w:val="0"/>
              <w:autoSpaceDN w:val="0"/>
              <w:adjustRightInd w:val="0"/>
              <w:jc w:val="center"/>
              <w:rPr>
                <w:b/>
                <w:color w:val="211D1E"/>
                <w:sz w:val="20"/>
                <w:u w:val="single"/>
                <w:lang w:eastAsia="ja-JP"/>
              </w:rPr>
            </w:pPr>
            <w:r w:rsidRPr="00C16E57">
              <w:rPr>
                <w:b/>
                <w:color w:val="211D1E"/>
                <w:sz w:val="20"/>
                <w:u w:val="single"/>
                <w:lang w:eastAsia="ja-JP"/>
              </w:rPr>
              <w:t>Placebo +/- DMARDs</w:t>
            </w:r>
          </w:p>
          <w:p w:rsidR="00C502BB" w:rsidRPr="00C16E57" w:rsidRDefault="00C502BB" w:rsidP="00965232">
            <w:pPr>
              <w:autoSpaceDE w:val="0"/>
              <w:autoSpaceDN w:val="0"/>
              <w:adjustRightInd w:val="0"/>
              <w:jc w:val="center"/>
              <w:rPr>
                <w:b/>
                <w:color w:val="211D1E"/>
                <w:sz w:val="20"/>
                <w:u w:val="single"/>
                <w:lang w:eastAsia="ja-JP"/>
              </w:rPr>
            </w:pPr>
          </w:p>
          <w:p w:rsidR="00C502BB" w:rsidRDefault="00C502BB" w:rsidP="00965232">
            <w:pPr>
              <w:autoSpaceDE w:val="0"/>
              <w:autoSpaceDN w:val="0"/>
              <w:adjustRightInd w:val="0"/>
              <w:jc w:val="center"/>
              <w:rPr>
                <w:b/>
                <w:color w:val="211D1E"/>
                <w:sz w:val="20"/>
                <w:u w:val="single"/>
                <w:lang w:eastAsia="ja-JP"/>
              </w:rPr>
            </w:pPr>
          </w:p>
          <w:p w:rsidR="00C502BB" w:rsidRPr="00C16E57" w:rsidRDefault="00C502BB" w:rsidP="00965232">
            <w:pPr>
              <w:autoSpaceDE w:val="0"/>
              <w:autoSpaceDN w:val="0"/>
              <w:adjustRightInd w:val="0"/>
              <w:jc w:val="center"/>
              <w:rPr>
                <w:b/>
                <w:color w:val="211D1E"/>
                <w:sz w:val="20"/>
                <w:lang w:eastAsia="ja-JP"/>
              </w:rPr>
            </w:pPr>
            <w:r w:rsidRPr="00C16E57">
              <w:rPr>
                <w:b/>
                <w:color w:val="211D1E"/>
                <w:sz w:val="20"/>
                <w:u w:val="single"/>
                <w:lang w:eastAsia="ja-JP"/>
              </w:rPr>
              <w:t>N=168</w:t>
            </w:r>
          </w:p>
        </w:tc>
        <w:tc>
          <w:tcPr>
            <w:tcW w:w="1290" w:type="dxa"/>
          </w:tcPr>
          <w:p w:rsidR="00C502BB" w:rsidRDefault="00C502BB" w:rsidP="00965232">
            <w:pPr>
              <w:autoSpaceDE w:val="0"/>
              <w:autoSpaceDN w:val="0"/>
              <w:adjustRightInd w:val="0"/>
              <w:ind w:left="-87" w:right="-111"/>
              <w:jc w:val="center"/>
              <w:rPr>
                <w:b/>
                <w:color w:val="211D1E"/>
                <w:sz w:val="20"/>
                <w:u w:val="single"/>
                <w:lang w:eastAsia="ja-JP"/>
              </w:rPr>
            </w:pPr>
            <w:r w:rsidRPr="00C16E57">
              <w:rPr>
                <w:b/>
                <w:color w:val="211D1E"/>
                <w:sz w:val="20"/>
                <w:u w:val="single"/>
                <w:lang w:eastAsia="ja-JP"/>
              </w:rPr>
              <w:t xml:space="preserve">Apremilast </w:t>
            </w:r>
          </w:p>
          <w:p w:rsidR="00C502BB" w:rsidRPr="00C16E57" w:rsidRDefault="00C502BB" w:rsidP="00965232">
            <w:pPr>
              <w:autoSpaceDE w:val="0"/>
              <w:autoSpaceDN w:val="0"/>
              <w:adjustRightInd w:val="0"/>
              <w:ind w:left="-87" w:right="-111"/>
              <w:jc w:val="center"/>
              <w:rPr>
                <w:b/>
                <w:color w:val="211D1E"/>
                <w:sz w:val="20"/>
                <w:u w:val="single"/>
                <w:lang w:eastAsia="ja-JP"/>
              </w:rPr>
            </w:pPr>
            <w:r w:rsidRPr="00C16E57">
              <w:rPr>
                <w:b/>
                <w:color w:val="211D1E"/>
                <w:sz w:val="20"/>
                <w:u w:val="single"/>
                <w:lang w:eastAsia="ja-JP"/>
              </w:rPr>
              <w:t>30 mg BID</w:t>
            </w:r>
            <w:r>
              <w:rPr>
                <w:b/>
                <w:color w:val="211D1E"/>
                <w:sz w:val="20"/>
                <w:u w:val="single"/>
                <w:lang w:eastAsia="ja-JP"/>
              </w:rPr>
              <w:t xml:space="preserve"> </w:t>
            </w:r>
            <w:r w:rsidRPr="00C16E57">
              <w:rPr>
                <w:b/>
                <w:color w:val="211D1E"/>
                <w:sz w:val="20"/>
                <w:u w:val="single"/>
                <w:lang w:eastAsia="ja-JP"/>
              </w:rPr>
              <w:t>+/-</w:t>
            </w:r>
          </w:p>
          <w:p w:rsidR="00C502BB" w:rsidRDefault="00C502BB" w:rsidP="00965232">
            <w:pPr>
              <w:autoSpaceDE w:val="0"/>
              <w:autoSpaceDN w:val="0"/>
              <w:adjustRightInd w:val="0"/>
              <w:ind w:left="-87" w:right="-111"/>
              <w:jc w:val="center"/>
              <w:rPr>
                <w:b/>
                <w:color w:val="211D1E"/>
                <w:sz w:val="20"/>
                <w:u w:val="single"/>
                <w:lang w:eastAsia="ja-JP"/>
              </w:rPr>
            </w:pPr>
            <w:r w:rsidRPr="00C16E57">
              <w:rPr>
                <w:b/>
                <w:color w:val="211D1E"/>
                <w:sz w:val="20"/>
                <w:u w:val="single"/>
                <w:lang w:eastAsia="ja-JP"/>
              </w:rPr>
              <w:t>DMARDs</w:t>
            </w:r>
          </w:p>
          <w:p w:rsidR="00C502BB" w:rsidRDefault="00C502BB" w:rsidP="00965232">
            <w:pPr>
              <w:autoSpaceDE w:val="0"/>
              <w:autoSpaceDN w:val="0"/>
              <w:adjustRightInd w:val="0"/>
              <w:ind w:left="-87" w:right="-111"/>
              <w:jc w:val="center"/>
              <w:rPr>
                <w:b/>
                <w:color w:val="211D1E"/>
                <w:sz w:val="20"/>
                <w:u w:val="single"/>
                <w:lang w:eastAsia="ja-JP"/>
              </w:rPr>
            </w:pPr>
          </w:p>
          <w:p w:rsidR="00C502BB" w:rsidRPr="00C16E57" w:rsidRDefault="00C502BB" w:rsidP="00965232">
            <w:pPr>
              <w:autoSpaceDE w:val="0"/>
              <w:autoSpaceDN w:val="0"/>
              <w:adjustRightInd w:val="0"/>
              <w:ind w:left="-87" w:right="-111"/>
              <w:jc w:val="center"/>
              <w:rPr>
                <w:b/>
                <w:color w:val="211D1E"/>
                <w:sz w:val="20"/>
                <w:lang w:eastAsia="ja-JP"/>
              </w:rPr>
            </w:pPr>
            <w:r w:rsidRPr="00C16E57">
              <w:rPr>
                <w:b/>
                <w:color w:val="211D1E"/>
                <w:sz w:val="20"/>
                <w:u w:val="single"/>
                <w:lang w:eastAsia="ja-JP"/>
              </w:rPr>
              <w:t>N=168</w:t>
            </w:r>
          </w:p>
        </w:tc>
        <w:tc>
          <w:tcPr>
            <w:tcW w:w="1290" w:type="dxa"/>
          </w:tcPr>
          <w:p w:rsidR="00C502BB" w:rsidRPr="00C16E57" w:rsidRDefault="00C502BB" w:rsidP="00965232">
            <w:pPr>
              <w:autoSpaceDE w:val="0"/>
              <w:autoSpaceDN w:val="0"/>
              <w:adjustRightInd w:val="0"/>
              <w:jc w:val="center"/>
              <w:rPr>
                <w:b/>
                <w:color w:val="211D1E"/>
                <w:sz w:val="20"/>
                <w:u w:val="single"/>
                <w:lang w:eastAsia="ja-JP"/>
              </w:rPr>
            </w:pPr>
            <w:r w:rsidRPr="00C16E57">
              <w:rPr>
                <w:b/>
                <w:color w:val="211D1E"/>
                <w:sz w:val="20"/>
                <w:u w:val="single"/>
                <w:lang w:eastAsia="ja-JP"/>
              </w:rPr>
              <w:t>Placebo +/- DMARDs</w:t>
            </w:r>
          </w:p>
          <w:p w:rsidR="00C502BB" w:rsidRPr="00C16E57" w:rsidRDefault="00C502BB" w:rsidP="00965232">
            <w:pPr>
              <w:autoSpaceDE w:val="0"/>
              <w:autoSpaceDN w:val="0"/>
              <w:adjustRightInd w:val="0"/>
              <w:jc w:val="center"/>
              <w:rPr>
                <w:b/>
                <w:color w:val="211D1E"/>
                <w:sz w:val="20"/>
                <w:u w:val="single"/>
                <w:lang w:eastAsia="ja-JP"/>
              </w:rPr>
            </w:pPr>
          </w:p>
          <w:p w:rsidR="00C502BB" w:rsidRDefault="00C502BB" w:rsidP="00965232">
            <w:pPr>
              <w:autoSpaceDE w:val="0"/>
              <w:autoSpaceDN w:val="0"/>
              <w:adjustRightInd w:val="0"/>
              <w:jc w:val="center"/>
              <w:rPr>
                <w:b/>
                <w:color w:val="211D1E"/>
                <w:sz w:val="20"/>
                <w:u w:val="single"/>
                <w:lang w:eastAsia="ja-JP"/>
              </w:rPr>
            </w:pPr>
          </w:p>
          <w:p w:rsidR="00C502BB" w:rsidRPr="00C16E57" w:rsidRDefault="00C502BB" w:rsidP="00965232">
            <w:pPr>
              <w:autoSpaceDE w:val="0"/>
              <w:autoSpaceDN w:val="0"/>
              <w:adjustRightInd w:val="0"/>
              <w:jc w:val="center"/>
              <w:rPr>
                <w:b/>
                <w:color w:val="211D1E"/>
                <w:sz w:val="20"/>
                <w:lang w:eastAsia="ja-JP"/>
              </w:rPr>
            </w:pPr>
            <w:r w:rsidRPr="00C16E57">
              <w:rPr>
                <w:b/>
                <w:color w:val="211D1E"/>
                <w:sz w:val="20"/>
                <w:u w:val="single"/>
                <w:lang w:eastAsia="ja-JP"/>
              </w:rPr>
              <w:t>N=159</w:t>
            </w:r>
          </w:p>
        </w:tc>
        <w:tc>
          <w:tcPr>
            <w:tcW w:w="1290" w:type="dxa"/>
          </w:tcPr>
          <w:p w:rsidR="00C502BB" w:rsidRPr="00C16E57" w:rsidRDefault="00C502BB" w:rsidP="00965232">
            <w:pPr>
              <w:autoSpaceDE w:val="0"/>
              <w:autoSpaceDN w:val="0"/>
              <w:adjustRightInd w:val="0"/>
              <w:ind w:left="-87" w:right="-111"/>
              <w:jc w:val="center"/>
              <w:rPr>
                <w:b/>
                <w:color w:val="211D1E"/>
                <w:sz w:val="20"/>
                <w:u w:val="single"/>
                <w:lang w:eastAsia="ja-JP"/>
              </w:rPr>
            </w:pPr>
            <w:r w:rsidRPr="00C16E57">
              <w:rPr>
                <w:b/>
                <w:color w:val="211D1E"/>
                <w:sz w:val="20"/>
                <w:u w:val="single"/>
                <w:lang w:eastAsia="ja-JP"/>
              </w:rPr>
              <w:t>Apremilast 30 mg BID +/- DMARDs</w:t>
            </w:r>
          </w:p>
          <w:p w:rsidR="00C502BB" w:rsidRDefault="00C502BB" w:rsidP="00965232">
            <w:pPr>
              <w:autoSpaceDE w:val="0"/>
              <w:autoSpaceDN w:val="0"/>
              <w:adjustRightInd w:val="0"/>
              <w:ind w:left="-87" w:right="-111"/>
              <w:jc w:val="center"/>
              <w:rPr>
                <w:b/>
                <w:color w:val="211D1E"/>
                <w:sz w:val="20"/>
                <w:u w:val="single"/>
                <w:lang w:eastAsia="ja-JP"/>
              </w:rPr>
            </w:pPr>
          </w:p>
          <w:p w:rsidR="00C502BB" w:rsidRPr="00C16E57" w:rsidRDefault="00C502BB" w:rsidP="00965232">
            <w:pPr>
              <w:autoSpaceDE w:val="0"/>
              <w:autoSpaceDN w:val="0"/>
              <w:adjustRightInd w:val="0"/>
              <w:ind w:left="-87" w:right="-111"/>
              <w:jc w:val="center"/>
              <w:rPr>
                <w:b/>
                <w:color w:val="211D1E"/>
                <w:sz w:val="20"/>
                <w:lang w:eastAsia="ja-JP"/>
              </w:rPr>
            </w:pPr>
            <w:r w:rsidRPr="00C16E57">
              <w:rPr>
                <w:b/>
                <w:color w:val="211D1E"/>
                <w:sz w:val="20"/>
                <w:u w:val="single"/>
                <w:lang w:eastAsia="ja-JP"/>
              </w:rPr>
              <w:t>N=162</w:t>
            </w:r>
          </w:p>
        </w:tc>
        <w:tc>
          <w:tcPr>
            <w:tcW w:w="1290" w:type="dxa"/>
          </w:tcPr>
          <w:p w:rsidR="00C502BB" w:rsidRPr="00C16E57" w:rsidRDefault="00C502BB" w:rsidP="00965232">
            <w:pPr>
              <w:autoSpaceDE w:val="0"/>
              <w:autoSpaceDN w:val="0"/>
              <w:adjustRightInd w:val="0"/>
              <w:jc w:val="center"/>
              <w:rPr>
                <w:b/>
                <w:color w:val="211D1E"/>
                <w:sz w:val="20"/>
                <w:u w:val="single"/>
                <w:lang w:eastAsia="ja-JP"/>
              </w:rPr>
            </w:pPr>
            <w:r w:rsidRPr="00C16E57">
              <w:rPr>
                <w:b/>
                <w:color w:val="211D1E"/>
                <w:sz w:val="20"/>
                <w:u w:val="single"/>
                <w:lang w:eastAsia="ja-JP"/>
              </w:rPr>
              <w:t>Placebo +/- DMARDs</w:t>
            </w:r>
          </w:p>
          <w:p w:rsidR="00C502BB" w:rsidRPr="00C16E57" w:rsidRDefault="00C502BB" w:rsidP="00965232">
            <w:pPr>
              <w:autoSpaceDE w:val="0"/>
              <w:autoSpaceDN w:val="0"/>
              <w:adjustRightInd w:val="0"/>
              <w:ind w:left="-87" w:right="-111"/>
              <w:jc w:val="center"/>
              <w:rPr>
                <w:b/>
                <w:color w:val="211D1E"/>
                <w:sz w:val="20"/>
                <w:u w:val="single"/>
                <w:lang w:eastAsia="ja-JP"/>
              </w:rPr>
            </w:pPr>
          </w:p>
          <w:p w:rsidR="00C502BB" w:rsidRDefault="00C502BB" w:rsidP="00965232">
            <w:pPr>
              <w:autoSpaceDE w:val="0"/>
              <w:autoSpaceDN w:val="0"/>
              <w:adjustRightInd w:val="0"/>
              <w:ind w:left="-87" w:right="-111"/>
              <w:jc w:val="center"/>
              <w:rPr>
                <w:b/>
                <w:color w:val="211D1E"/>
                <w:sz w:val="20"/>
                <w:u w:val="single"/>
                <w:lang w:eastAsia="ja-JP"/>
              </w:rPr>
            </w:pPr>
          </w:p>
          <w:p w:rsidR="00C502BB" w:rsidRPr="00C16E57" w:rsidRDefault="00C502BB" w:rsidP="00965232">
            <w:pPr>
              <w:autoSpaceDE w:val="0"/>
              <w:autoSpaceDN w:val="0"/>
              <w:adjustRightInd w:val="0"/>
              <w:ind w:left="-87" w:right="-111"/>
              <w:jc w:val="center"/>
              <w:rPr>
                <w:b/>
                <w:color w:val="211D1E"/>
                <w:sz w:val="20"/>
                <w:u w:val="single"/>
                <w:lang w:eastAsia="ja-JP"/>
              </w:rPr>
            </w:pPr>
            <w:r w:rsidRPr="00C16E57">
              <w:rPr>
                <w:b/>
                <w:color w:val="211D1E"/>
                <w:sz w:val="20"/>
                <w:u w:val="single"/>
                <w:lang w:eastAsia="ja-JP"/>
              </w:rPr>
              <w:t>N=169</w:t>
            </w:r>
          </w:p>
        </w:tc>
        <w:tc>
          <w:tcPr>
            <w:tcW w:w="1290" w:type="dxa"/>
          </w:tcPr>
          <w:p w:rsidR="00C502BB" w:rsidRPr="00C16E57" w:rsidRDefault="00C502BB" w:rsidP="00965232">
            <w:pPr>
              <w:autoSpaceDE w:val="0"/>
              <w:autoSpaceDN w:val="0"/>
              <w:adjustRightInd w:val="0"/>
              <w:ind w:left="-87" w:right="-111"/>
              <w:jc w:val="center"/>
              <w:rPr>
                <w:b/>
                <w:color w:val="211D1E"/>
                <w:sz w:val="20"/>
                <w:u w:val="single"/>
                <w:lang w:eastAsia="ja-JP"/>
              </w:rPr>
            </w:pPr>
            <w:r w:rsidRPr="00C16E57">
              <w:rPr>
                <w:b/>
                <w:color w:val="211D1E"/>
                <w:sz w:val="20"/>
                <w:u w:val="single"/>
                <w:lang w:eastAsia="ja-JP"/>
              </w:rPr>
              <w:t>Apremilast 30 mg BID +/- DMARDs</w:t>
            </w:r>
          </w:p>
          <w:p w:rsidR="00C502BB" w:rsidRDefault="00C502BB" w:rsidP="00965232">
            <w:pPr>
              <w:autoSpaceDE w:val="0"/>
              <w:autoSpaceDN w:val="0"/>
              <w:adjustRightInd w:val="0"/>
              <w:ind w:left="-87" w:right="-111"/>
              <w:jc w:val="center"/>
              <w:rPr>
                <w:b/>
                <w:color w:val="211D1E"/>
                <w:sz w:val="20"/>
                <w:u w:val="single"/>
                <w:lang w:eastAsia="ja-JP"/>
              </w:rPr>
            </w:pPr>
          </w:p>
          <w:p w:rsidR="00C502BB" w:rsidRPr="00C16E57" w:rsidRDefault="00C502BB" w:rsidP="00965232">
            <w:pPr>
              <w:autoSpaceDE w:val="0"/>
              <w:autoSpaceDN w:val="0"/>
              <w:adjustRightInd w:val="0"/>
              <w:ind w:left="-87" w:right="-111"/>
              <w:jc w:val="center"/>
              <w:rPr>
                <w:b/>
                <w:color w:val="211D1E"/>
                <w:sz w:val="20"/>
                <w:u w:val="single"/>
                <w:lang w:eastAsia="ja-JP"/>
              </w:rPr>
            </w:pPr>
            <w:r w:rsidRPr="00C16E57">
              <w:rPr>
                <w:b/>
                <w:color w:val="211D1E"/>
                <w:sz w:val="20"/>
                <w:u w:val="single"/>
                <w:lang w:eastAsia="ja-JP"/>
              </w:rPr>
              <w:t>N=167</w:t>
            </w:r>
          </w:p>
        </w:tc>
      </w:tr>
      <w:tr w:rsidR="00C502BB" w:rsidRPr="00FA450A" w:rsidTr="00965232">
        <w:trPr>
          <w:trHeight w:val="340"/>
        </w:trPr>
        <w:tc>
          <w:tcPr>
            <w:tcW w:w="1582" w:type="dxa"/>
          </w:tcPr>
          <w:p w:rsidR="00C502BB" w:rsidRPr="00C16E57" w:rsidRDefault="00C502BB" w:rsidP="00965232">
            <w:pPr>
              <w:autoSpaceDE w:val="0"/>
              <w:autoSpaceDN w:val="0"/>
              <w:adjustRightInd w:val="0"/>
              <w:spacing w:before="40" w:after="40"/>
              <w:rPr>
                <w:b/>
                <w:color w:val="211D1E"/>
                <w:sz w:val="20"/>
                <w:lang w:eastAsia="ja-JP"/>
              </w:rPr>
            </w:pPr>
            <w:r w:rsidRPr="00C16E57">
              <w:rPr>
                <w:b/>
                <w:color w:val="211D1E"/>
                <w:sz w:val="20"/>
                <w:lang w:eastAsia="ja-JP"/>
              </w:rPr>
              <w:t>ACR 20</w:t>
            </w:r>
          </w:p>
        </w:tc>
        <w:tc>
          <w:tcPr>
            <w:tcW w:w="1290" w:type="dxa"/>
          </w:tcPr>
          <w:p w:rsidR="00C502BB" w:rsidRPr="00C16E57" w:rsidRDefault="00C502BB" w:rsidP="00965232">
            <w:pPr>
              <w:autoSpaceDE w:val="0"/>
              <w:autoSpaceDN w:val="0"/>
              <w:adjustRightInd w:val="0"/>
              <w:spacing w:before="40" w:after="40"/>
              <w:rPr>
                <w:color w:val="211D1E"/>
                <w:sz w:val="20"/>
                <w:lang w:eastAsia="ja-JP"/>
              </w:rPr>
            </w:pPr>
          </w:p>
        </w:tc>
        <w:tc>
          <w:tcPr>
            <w:tcW w:w="1290" w:type="dxa"/>
          </w:tcPr>
          <w:p w:rsidR="00C502BB" w:rsidRPr="00C16E57" w:rsidRDefault="00C502BB" w:rsidP="00965232">
            <w:pPr>
              <w:autoSpaceDE w:val="0"/>
              <w:autoSpaceDN w:val="0"/>
              <w:adjustRightInd w:val="0"/>
              <w:spacing w:before="40" w:after="40"/>
              <w:rPr>
                <w:color w:val="211D1E"/>
                <w:sz w:val="20"/>
                <w:lang w:eastAsia="ja-JP"/>
              </w:rPr>
            </w:pPr>
          </w:p>
        </w:tc>
        <w:tc>
          <w:tcPr>
            <w:tcW w:w="1290" w:type="dxa"/>
          </w:tcPr>
          <w:p w:rsidR="00C502BB" w:rsidRPr="00C16E57" w:rsidRDefault="00C502BB" w:rsidP="00965232">
            <w:pPr>
              <w:autoSpaceDE w:val="0"/>
              <w:autoSpaceDN w:val="0"/>
              <w:adjustRightInd w:val="0"/>
              <w:spacing w:before="40" w:after="40"/>
              <w:rPr>
                <w:color w:val="211D1E"/>
                <w:sz w:val="20"/>
                <w:lang w:eastAsia="ja-JP"/>
              </w:rPr>
            </w:pPr>
          </w:p>
        </w:tc>
        <w:tc>
          <w:tcPr>
            <w:tcW w:w="1290" w:type="dxa"/>
          </w:tcPr>
          <w:p w:rsidR="00C502BB" w:rsidRPr="00C16E57" w:rsidRDefault="00C502BB" w:rsidP="00965232">
            <w:pPr>
              <w:autoSpaceDE w:val="0"/>
              <w:autoSpaceDN w:val="0"/>
              <w:adjustRightInd w:val="0"/>
              <w:spacing w:before="40" w:after="40"/>
              <w:rPr>
                <w:color w:val="211D1E"/>
                <w:sz w:val="20"/>
                <w:lang w:eastAsia="ja-JP"/>
              </w:rPr>
            </w:pPr>
          </w:p>
        </w:tc>
        <w:tc>
          <w:tcPr>
            <w:tcW w:w="1290" w:type="dxa"/>
          </w:tcPr>
          <w:p w:rsidR="00C502BB" w:rsidRPr="00C16E57" w:rsidRDefault="00C502BB" w:rsidP="00965232">
            <w:pPr>
              <w:autoSpaceDE w:val="0"/>
              <w:autoSpaceDN w:val="0"/>
              <w:adjustRightInd w:val="0"/>
              <w:spacing w:before="40" w:after="40"/>
              <w:rPr>
                <w:color w:val="211D1E"/>
                <w:sz w:val="20"/>
                <w:lang w:eastAsia="ja-JP"/>
              </w:rPr>
            </w:pPr>
          </w:p>
        </w:tc>
        <w:tc>
          <w:tcPr>
            <w:tcW w:w="1290" w:type="dxa"/>
          </w:tcPr>
          <w:p w:rsidR="00C502BB" w:rsidRPr="00C16E57" w:rsidRDefault="00C502BB" w:rsidP="00965232">
            <w:pPr>
              <w:autoSpaceDE w:val="0"/>
              <w:autoSpaceDN w:val="0"/>
              <w:adjustRightInd w:val="0"/>
              <w:spacing w:before="40" w:after="40"/>
              <w:rPr>
                <w:color w:val="211D1E"/>
                <w:sz w:val="20"/>
                <w:lang w:eastAsia="ja-JP"/>
              </w:rPr>
            </w:pPr>
          </w:p>
        </w:tc>
      </w:tr>
      <w:tr w:rsidR="00C502BB" w:rsidRPr="00FA450A" w:rsidTr="00965232">
        <w:trPr>
          <w:trHeight w:val="340"/>
        </w:trPr>
        <w:tc>
          <w:tcPr>
            <w:tcW w:w="1582" w:type="dxa"/>
          </w:tcPr>
          <w:p w:rsidR="00C502BB" w:rsidRPr="006139D7" w:rsidRDefault="00C502BB" w:rsidP="00965232">
            <w:pPr>
              <w:autoSpaceDE w:val="0"/>
              <w:autoSpaceDN w:val="0"/>
              <w:adjustRightInd w:val="0"/>
              <w:spacing w:before="40" w:after="40"/>
              <w:ind w:firstLine="284"/>
              <w:rPr>
                <w:b/>
                <w:color w:val="211D1E"/>
                <w:sz w:val="20"/>
                <w:szCs w:val="20"/>
                <w:lang w:eastAsia="ja-JP"/>
              </w:rPr>
            </w:pPr>
            <w:r w:rsidRPr="006139D7">
              <w:rPr>
                <w:b/>
                <w:color w:val="211D1E"/>
                <w:sz w:val="20"/>
                <w:szCs w:val="20"/>
                <w:lang w:eastAsia="ja-JP"/>
              </w:rPr>
              <w:t>Week 16</w:t>
            </w:r>
          </w:p>
        </w:tc>
        <w:tc>
          <w:tcPr>
            <w:tcW w:w="1290" w:type="dxa"/>
          </w:tcPr>
          <w:p w:rsidR="00C502BB" w:rsidRPr="00C16E57" w:rsidRDefault="00C502BB" w:rsidP="00965232">
            <w:pPr>
              <w:autoSpaceDE w:val="0"/>
              <w:autoSpaceDN w:val="0"/>
              <w:adjustRightInd w:val="0"/>
              <w:spacing w:before="40" w:after="40"/>
              <w:rPr>
                <w:color w:val="211D1E"/>
                <w:sz w:val="20"/>
                <w:lang w:eastAsia="ja-JP"/>
              </w:rPr>
            </w:pPr>
            <w:r w:rsidRPr="00C16E57">
              <w:rPr>
                <w:color w:val="211D1E"/>
                <w:sz w:val="20"/>
                <w:lang w:eastAsia="ja-JP"/>
              </w:rPr>
              <w:t>19.0%</w:t>
            </w:r>
          </w:p>
        </w:tc>
        <w:tc>
          <w:tcPr>
            <w:tcW w:w="1290" w:type="dxa"/>
          </w:tcPr>
          <w:p w:rsidR="00C502BB" w:rsidRPr="00C16E57" w:rsidRDefault="00A766CA" w:rsidP="00965232">
            <w:pPr>
              <w:autoSpaceDE w:val="0"/>
              <w:autoSpaceDN w:val="0"/>
              <w:adjustRightInd w:val="0"/>
              <w:spacing w:before="40" w:after="40"/>
              <w:rPr>
                <w:color w:val="211D1E"/>
                <w:sz w:val="20"/>
                <w:lang w:eastAsia="ja-JP"/>
              </w:rPr>
            </w:pPr>
            <w:r>
              <w:rPr>
                <w:color w:val="211D1E"/>
                <w:sz w:val="20"/>
                <w:lang w:eastAsia="ja-JP"/>
              </w:rPr>
              <w:t>38.1%**</w:t>
            </w:r>
          </w:p>
        </w:tc>
        <w:tc>
          <w:tcPr>
            <w:tcW w:w="1290" w:type="dxa"/>
          </w:tcPr>
          <w:p w:rsidR="00C502BB" w:rsidRPr="00965232" w:rsidRDefault="00C502BB" w:rsidP="00965232">
            <w:pPr>
              <w:spacing w:before="40" w:after="40"/>
              <w:rPr>
                <w:sz w:val="20"/>
              </w:rPr>
            </w:pPr>
            <w:r w:rsidRPr="00C16E57">
              <w:rPr>
                <w:sz w:val="20"/>
              </w:rPr>
              <w:t>18.9%</w:t>
            </w:r>
          </w:p>
        </w:tc>
        <w:tc>
          <w:tcPr>
            <w:tcW w:w="1290" w:type="dxa"/>
          </w:tcPr>
          <w:p w:rsidR="00C502BB" w:rsidRPr="00C16E57" w:rsidRDefault="00C502BB" w:rsidP="00965232">
            <w:pPr>
              <w:spacing w:before="40" w:after="40"/>
              <w:rPr>
                <w:color w:val="211D1E"/>
                <w:sz w:val="20"/>
                <w:lang w:eastAsia="ja-JP"/>
              </w:rPr>
            </w:pPr>
            <w:r w:rsidRPr="00C16E57">
              <w:rPr>
                <w:sz w:val="20"/>
              </w:rPr>
              <w:t>32.1%*</w:t>
            </w:r>
          </w:p>
        </w:tc>
        <w:tc>
          <w:tcPr>
            <w:tcW w:w="1290" w:type="dxa"/>
          </w:tcPr>
          <w:p w:rsidR="00C502BB" w:rsidRPr="00C16E57" w:rsidRDefault="00C502BB" w:rsidP="00965232">
            <w:pPr>
              <w:spacing w:before="40" w:after="40"/>
              <w:rPr>
                <w:color w:val="211D1E"/>
                <w:sz w:val="20"/>
                <w:lang w:eastAsia="ja-JP"/>
              </w:rPr>
            </w:pPr>
            <w:r w:rsidRPr="00C16E57">
              <w:rPr>
                <w:sz w:val="20"/>
              </w:rPr>
              <w:t>18.3%</w:t>
            </w:r>
          </w:p>
        </w:tc>
        <w:tc>
          <w:tcPr>
            <w:tcW w:w="1290" w:type="dxa"/>
          </w:tcPr>
          <w:p w:rsidR="00C502BB" w:rsidRPr="00C16E57" w:rsidRDefault="00C502BB" w:rsidP="00965232">
            <w:pPr>
              <w:spacing w:before="40" w:after="40"/>
              <w:rPr>
                <w:color w:val="211D1E"/>
                <w:sz w:val="20"/>
                <w:lang w:eastAsia="ja-JP"/>
              </w:rPr>
            </w:pPr>
            <w:r w:rsidRPr="00C16E57">
              <w:rPr>
                <w:sz w:val="20"/>
              </w:rPr>
              <w:t>40.7%**</w:t>
            </w:r>
          </w:p>
        </w:tc>
      </w:tr>
      <w:tr w:rsidR="00C502BB" w:rsidRPr="00FA450A" w:rsidTr="00965232">
        <w:trPr>
          <w:trHeight w:val="340"/>
        </w:trPr>
        <w:tc>
          <w:tcPr>
            <w:tcW w:w="1582" w:type="dxa"/>
          </w:tcPr>
          <w:p w:rsidR="00C502BB" w:rsidRPr="00C16E57" w:rsidRDefault="00C502BB" w:rsidP="00965232">
            <w:pPr>
              <w:autoSpaceDE w:val="0"/>
              <w:autoSpaceDN w:val="0"/>
              <w:adjustRightInd w:val="0"/>
              <w:spacing w:before="40" w:after="40"/>
              <w:rPr>
                <w:b/>
                <w:color w:val="211D1E"/>
                <w:sz w:val="20"/>
                <w:lang w:eastAsia="ja-JP"/>
              </w:rPr>
            </w:pPr>
            <w:r w:rsidRPr="00C16E57">
              <w:rPr>
                <w:b/>
                <w:color w:val="211D1E"/>
                <w:sz w:val="20"/>
                <w:lang w:eastAsia="ja-JP"/>
              </w:rPr>
              <w:t>ACR 50</w:t>
            </w:r>
          </w:p>
        </w:tc>
        <w:tc>
          <w:tcPr>
            <w:tcW w:w="1290" w:type="dxa"/>
          </w:tcPr>
          <w:p w:rsidR="00C502BB" w:rsidRPr="00C16E57" w:rsidRDefault="00C502BB" w:rsidP="00965232">
            <w:pPr>
              <w:autoSpaceDE w:val="0"/>
              <w:autoSpaceDN w:val="0"/>
              <w:adjustRightInd w:val="0"/>
              <w:spacing w:before="40" w:after="40"/>
              <w:rPr>
                <w:color w:val="211D1E"/>
                <w:sz w:val="20"/>
                <w:lang w:eastAsia="ja-JP"/>
              </w:rPr>
            </w:pPr>
          </w:p>
        </w:tc>
        <w:tc>
          <w:tcPr>
            <w:tcW w:w="1290" w:type="dxa"/>
          </w:tcPr>
          <w:p w:rsidR="00C502BB" w:rsidRPr="00C16E57" w:rsidRDefault="00C502BB" w:rsidP="00965232">
            <w:pPr>
              <w:autoSpaceDE w:val="0"/>
              <w:autoSpaceDN w:val="0"/>
              <w:adjustRightInd w:val="0"/>
              <w:spacing w:before="40" w:after="40"/>
              <w:rPr>
                <w:color w:val="211D1E"/>
                <w:sz w:val="20"/>
                <w:lang w:eastAsia="ja-JP"/>
              </w:rPr>
            </w:pPr>
          </w:p>
        </w:tc>
        <w:tc>
          <w:tcPr>
            <w:tcW w:w="1290" w:type="dxa"/>
          </w:tcPr>
          <w:p w:rsidR="00C502BB" w:rsidRPr="00C16E57" w:rsidRDefault="00C502BB" w:rsidP="00965232">
            <w:pPr>
              <w:autoSpaceDE w:val="0"/>
              <w:autoSpaceDN w:val="0"/>
              <w:adjustRightInd w:val="0"/>
              <w:spacing w:before="40" w:after="40"/>
              <w:rPr>
                <w:color w:val="211D1E"/>
                <w:sz w:val="20"/>
                <w:lang w:eastAsia="ja-JP"/>
              </w:rPr>
            </w:pPr>
          </w:p>
        </w:tc>
        <w:tc>
          <w:tcPr>
            <w:tcW w:w="1290" w:type="dxa"/>
          </w:tcPr>
          <w:p w:rsidR="00C502BB" w:rsidRPr="00C16E57" w:rsidRDefault="00C502BB" w:rsidP="00965232">
            <w:pPr>
              <w:autoSpaceDE w:val="0"/>
              <w:autoSpaceDN w:val="0"/>
              <w:adjustRightInd w:val="0"/>
              <w:spacing w:before="40" w:after="40"/>
              <w:rPr>
                <w:color w:val="211D1E"/>
                <w:sz w:val="20"/>
                <w:lang w:eastAsia="ja-JP"/>
              </w:rPr>
            </w:pPr>
          </w:p>
        </w:tc>
        <w:tc>
          <w:tcPr>
            <w:tcW w:w="1290" w:type="dxa"/>
          </w:tcPr>
          <w:p w:rsidR="00C502BB" w:rsidRPr="00C16E57" w:rsidRDefault="00C502BB" w:rsidP="00965232">
            <w:pPr>
              <w:autoSpaceDE w:val="0"/>
              <w:autoSpaceDN w:val="0"/>
              <w:adjustRightInd w:val="0"/>
              <w:spacing w:before="40" w:after="40"/>
              <w:rPr>
                <w:color w:val="211D1E"/>
                <w:sz w:val="20"/>
                <w:lang w:eastAsia="ja-JP"/>
              </w:rPr>
            </w:pPr>
          </w:p>
        </w:tc>
        <w:tc>
          <w:tcPr>
            <w:tcW w:w="1290" w:type="dxa"/>
          </w:tcPr>
          <w:p w:rsidR="00C502BB" w:rsidRPr="00C16E57" w:rsidRDefault="00C502BB" w:rsidP="00965232">
            <w:pPr>
              <w:autoSpaceDE w:val="0"/>
              <w:autoSpaceDN w:val="0"/>
              <w:adjustRightInd w:val="0"/>
              <w:spacing w:before="40" w:after="40"/>
              <w:rPr>
                <w:color w:val="211D1E"/>
                <w:sz w:val="20"/>
                <w:lang w:eastAsia="ja-JP"/>
              </w:rPr>
            </w:pPr>
          </w:p>
        </w:tc>
      </w:tr>
      <w:tr w:rsidR="00C502BB" w:rsidRPr="00FA450A" w:rsidTr="00965232">
        <w:trPr>
          <w:trHeight w:val="340"/>
        </w:trPr>
        <w:tc>
          <w:tcPr>
            <w:tcW w:w="1582" w:type="dxa"/>
          </w:tcPr>
          <w:p w:rsidR="00C502BB" w:rsidRPr="006139D7" w:rsidRDefault="00C502BB" w:rsidP="00965232">
            <w:pPr>
              <w:autoSpaceDE w:val="0"/>
              <w:autoSpaceDN w:val="0"/>
              <w:adjustRightInd w:val="0"/>
              <w:spacing w:before="40" w:after="40"/>
              <w:ind w:firstLine="284"/>
              <w:rPr>
                <w:b/>
                <w:color w:val="211D1E"/>
                <w:sz w:val="20"/>
                <w:szCs w:val="20"/>
                <w:lang w:eastAsia="ja-JP"/>
              </w:rPr>
            </w:pPr>
            <w:r w:rsidRPr="006139D7">
              <w:rPr>
                <w:b/>
                <w:color w:val="211D1E"/>
                <w:sz w:val="20"/>
                <w:szCs w:val="20"/>
                <w:lang w:eastAsia="ja-JP"/>
              </w:rPr>
              <w:t>Week 16</w:t>
            </w:r>
          </w:p>
        </w:tc>
        <w:tc>
          <w:tcPr>
            <w:tcW w:w="1290" w:type="dxa"/>
          </w:tcPr>
          <w:p w:rsidR="00C502BB" w:rsidRPr="00C16E57" w:rsidRDefault="00C502BB" w:rsidP="00965232">
            <w:pPr>
              <w:autoSpaceDE w:val="0"/>
              <w:autoSpaceDN w:val="0"/>
              <w:adjustRightInd w:val="0"/>
              <w:spacing w:before="40" w:after="40"/>
              <w:rPr>
                <w:color w:val="211D1E"/>
                <w:sz w:val="20"/>
                <w:lang w:eastAsia="ja-JP"/>
              </w:rPr>
            </w:pPr>
            <w:r w:rsidRPr="00C16E57">
              <w:rPr>
                <w:color w:val="211D1E"/>
                <w:sz w:val="20"/>
                <w:lang w:eastAsia="ja-JP"/>
              </w:rPr>
              <w:t>6.0%</w:t>
            </w:r>
          </w:p>
        </w:tc>
        <w:tc>
          <w:tcPr>
            <w:tcW w:w="1290" w:type="dxa"/>
          </w:tcPr>
          <w:p w:rsidR="00C502BB" w:rsidRPr="00C16E57" w:rsidRDefault="00C502BB" w:rsidP="00965232">
            <w:pPr>
              <w:autoSpaceDE w:val="0"/>
              <w:autoSpaceDN w:val="0"/>
              <w:adjustRightInd w:val="0"/>
              <w:spacing w:before="40" w:after="40"/>
              <w:rPr>
                <w:color w:val="211D1E"/>
                <w:sz w:val="20"/>
                <w:lang w:eastAsia="ja-JP"/>
              </w:rPr>
            </w:pPr>
            <w:r w:rsidRPr="00C16E57">
              <w:rPr>
                <w:color w:val="211D1E"/>
                <w:sz w:val="20"/>
                <w:lang w:eastAsia="ja-JP"/>
              </w:rPr>
              <w:t>16.1%*</w:t>
            </w:r>
          </w:p>
        </w:tc>
        <w:tc>
          <w:tcPr>
            <w:tcW w:w="1290" w:type="dxa"/>
          </w:tcPr>
          <w:p w:rsidR="00C502BB" w:rsidRPr="00965232" w:rsidRDefault="00C502BB" w:rsidP="00965232">
            <w:pPr>
              <w:spacing w:before="40" w:after="40"/>
              <w:rPr>
                <w:sz w:val="20"/>
              </w:rPr>
            </w:pPr>
            <w:r w:rsidRPr="00C16E57">
              <w:rPr>
                <w:sz w:val="20"/>
              </w:rPr>
              <w:t>5.0%</w:t>
            </w:r>
          </w:p>
        </w:tc>
        <w:tc>
          <w:tcPr>
            <w:tcW w:w="1290" w:type="dxa"/>
          </w:tcPr>
          <w:p w:rsidR="00C502BB" w:rsidRPr="00965232" w:rsidRDefault="00C502BB" w:rsidP="00965232">
            <w:pPr>
              <w:spacing w:before="40" w:after="40"/>
              <w:rPr>
                <w:sz w:val="20"/>
              </w:rPr>
            </w:pPr>
            <w:r w:rsidRPr="00C16E57">
              <w:rPr>
                <w:sz w:val="20"/>
              </w:rPr>
              <w:t>10.5%</w:t>
            </w:r>
          </w:p>
        </w:tc>
        <w:tc>
          <w:tcPr>
            <w:tcW w:w="1290" w:type="dxa"/>
          </w:tcPr>
          <w:p w:rsidR="00C502BB" w:rsidRPr="00965232" w:rsidRDefault="00C502BB" w:rsidP="00965232">
            <w:pPr>
              <w:spacing w:before="40" w:after="40"/>
              <w:rPr>
                <w:sz w:val="20"/>
              </w:rPr>
            </w:pPr>
            <w:r w:rsidRPr="00C16E57">
              <w:rPr>
                <w:sz w:val="20"/>
              </w:rPr>
              <w:t>8.3%</w:t>
            </w:r>
          </w:p>
        </w:tc>
        <w:tc>
          <w:tcPr>
            <w:tcW w:w="1290" w:type="dxa"/>
          </w:tcPr>
          <w:p w:rsidR="00C502BB" w:rsidRPr="00965232" w:rsidRDefault="00C502BB" w:rsidP="00965232">
            <w:pPr>
              <w:spacing w:before="40" w:after="40"/>
              <w:rPr>
                <w:sz w:val="20"/>
              </w:rPr>
            </w:pPr>
            <w:r w:rsidRPr="00C16E57">
              <w:rPr>
                <w:sz w:val="20"/>
              </w:rPr>
              <w:t>15.0%</w:t>
            </w:r>
          </w:p>
        </w:tc>
      </w:tr>
      <w:tr w:rsidR="00C502BB" w:rsidRPr="00FA450A" w:rsidTr="00965232">
        <w:trPr>
          <w:trHeight w:val="340"/>
        </w:trPr>
        <w:tc>
          <w:tcPr>
            <w:tcW w:w="1582" w:type="dxa"/>
          </w:tcPr>
          <w:p w:rsidR="00C502BB" w:rsidRPr="00C16E57" w:rsidRDefault="00C502BB" w:rsidP="00965232">
            <w:pPr>
              <w:autoSpaceDE w:val="0"/>
              <w:autoSpaceDN w:val="0"/>
              <w:adjustRightInd w:val="0"/>
              <w:spacing w:before="40" w:after="40"/>
              <w:rPr>
                <w:b/>
                <w:color w:val="211D1E"/>
                <w:sz w:val="20"/>
                <w:lang w:eastAsia="ja-JP"/>
              </w:rPr>
            </w:pPr>
            <w:r w:rsidRPr="00C16E57">
              <w:rPr>
                <w:b/>
                <w:color w:val="211D1E"/>
                <w:sz w:val="20"/>
                <w:lang w:eastAsia="ja-JP"/>
              </w:rPr>
              <w:t>ACR 70</w:t>
            </w:r>
          </w:p>
        </w:tc>
        <w:tc>
          <w:tcPr>
            <w:tcW w:w="1290" w:type="dxa"/>
          </w:tcPr>
          <w:p w:rsidR="00C502BB" w:rsidRPr="00C16E57" w:rsidRDefault="00C502BB" w:rsidP="00965232">
            <w:pPr>
              <w:autoSpaceDE w:val="0"/>
              <w:autoSpaceDN w:val="0"/>
              <w:adjustRightInd w:val="0"/>
              <w:spacing w:before="40" w:after="40"/>
              <w:rPr>
                <w:color w:val="211D1E"/>
                <w:sz w:val="20"/>
                <w:lang w:eastAsia="ja-JP"/>
              </w:rPr>
            </w:pPr>
          </w:p>
        </w:tc>
        <w:tc>
          <w:tcPr>
            <w:tcW w:w="1290" w:type="dxa"/>
          </w:tcPr>
          <w:p w:rsidR="00C502BB" w:rsidRPr="00C16E57" w:rsidRDefault="00C502BB" w:rsidP="00965232">
            <w:pPr>
              <w:autoSpaceDE w:val="0"/>
              <w:autoSpaceDN w:val="0"/>
              <w:adjustRightInd w:val="0"/>
              <w:spacing w:before="40" w:after="40"/>
              <w:rPr>
                <w:color w:val="211D1E"/>
                <w:sz w:val="20"/>
                <w:lang w:eastAsia="ja-JP"/>
              </w:rPr>
            </w:pPr>
          </w:p>
        </w:tc>
        <w:tc>
          <w:tcPr>
            <w:tcW w:w="1290" w:type="dxa"/>
          </w:tcPr>
          <w:p w:rsidR="00C502BB" w:rsidRPr="00C16E57" w:rsidRDefault="00C502BB" w:rsidP="00965232">
            <w:pPr>
              <w:autoSpaceDE w:val="0"/>
              <w:autoSpaceDN w:val="0"/>
              <w:adjustRightInd w:val="0"/>
              <w:spacing w:before="40" w:after="40"/>
              <w:rPr>
                <w:color w:val="211D1E"/>
                <w:sz w:val="20"/>
                <w:lang w:eastAsia="ja-JP"/>
              </w:rPr>
            </w:pPr>
          </w:p>
        </w:tc>
        <w:tc>
          <w:tcPr>
            <w:tcW w:w="1290" w:type="dxa"/>
          </w:tcPr>
          <w:p w:rsidR="00C502BB" w:rsidRPr="00C16E57" w:rsidRDefault="00C502BB" w:rsidP="00965232">
            <w:pPr>
              <w:autoSpaceDE w:val="0"/>
              <w:autoSpaceDN w:val="0"/>
              <w:adjustRightInd w:val="0"/>
              <w:spacing w:before="40" w:after="40"/>
              <w:rPr>
                <w:color w:val="211D1E"/>
                <w:sz w:val="20"/>
                <w:lang w:eastAsia="ja-JP"/>
              </w:rPr>
            </w:pPr>
          </w:p>
        </w:tc>
        <w:tc>
          <w:tcPr>
            <w:tcW w:w="1290" w:type="dxa"/>
          </w:tcPr>
          <w:p w:rsidR="00C502BB" w:rsidRPr="00C16E57" w:rsidRDefault="00C502BB" w:rsidP="00965232">
            <w:pPr>
              <w:autoSpaceDE w:val="0"/>
              <w:autoSpaceDN w:val="0"/>
              <w:adjustRightInd w:val="0"/>
              <w:spacing w:before="40" w:after="40"/>
              <w:rPr>
                <w:color w:val="211D1E"/>
                <w:sz w:val="20"/>
                <w:lang w:eastAsia="ja-JP"/>
              </w:rPr>
            </w:pPr>
          </w:p>
        </w:tc>
        <w:tc>
          <w:tcPr>
            <w:tcW w:w="1290" w:type="dxa"/>
          </w:tcPr>
          <w:p w:rsidR="00C502BB" w:rsidRPr="00C16E57" w:rsidRDefault="00C502BB" w:rsidP="00965232">
            <w:pPr>
              <w:autoSpaceDE w:val="0"/>
              <w:autoSpaceDN w:val="0"/>
              <w:adjustRightInd w:val="0"/>
              <w:spacing w:before="40" w:after="40"/>
              <w:rPr>
                <w:color w:val="211D1E"/>
                <w:sz w:val="20"/>
                <w:lang w:eastAsia="ja-JP"/>
              </w:rPr>
            </w:pPr>
          </w:p>
        </w:tc>
      </w:tr>
      <w:tr w:rsidR="00C502BB" w:rsidRPr="00FA450A" w:rsidTr="00965232">
        <w:trPr>
          <w:trHeight w:val="340"/>
        </w:trPr>
        <w:tc>
          <w:tcPr>
            <w:tcW w:w="1582" w:type="dxa"/>
          </w:tcPr>
          <w:p w:rsidR="00C502BB" w:rsidRPr="006139D7" w:rsidRDefault="00C502BB" w:rsidP="00965232">
            <w:pPr>
              <w:autoSpaceDE w:val="0"/>
              <w:autoSpaceDN w:val="0"/>
              <w:adjustRightInd w:val="0"/>
              <w:spacing w:before="40" w:after="40"/>
              <w:ind w:firstLine="284"/>
              <w:rPr>
                <w:b/>
                <w:color w:val="211D1E"/>
                <w:sz w:val="20"/>
                <w:szCs w:val="20"/>
                <w:lang w:eastAsia="ja-JP"/>
              </w:rPr>
            </w:pPr>
            <w:r w:rsidRPr="006139D7">
              <w:rPr>
                <w:b/>
                <w:color w:val="211D1E"/>
                <w:sz w:val="20"/>
                <w:szCs w:val="20"/>
                <w:lang w:eastAsia="ja-JP"/>
              </w:rPr>
              <w:t>Week 16</w:t>
            </w:r>
          </w:p>
        </w:tc>
        <w:tc>
          <w:tcPr>
            <w:tcW w:w="1290" w:type="dxa"/>
          </w:tcPr>
          <w:p w:rsidR="00C502BB" w:rsidRPr="00C16E57" w:rsidRDefault="00C502BB" w:rsidP="00965232">
            <w:pPr>
              <w:autoSpaceDE w:val="0"/>
              <w:autoSpaceDN w:val="0"/>
              <w:adjustRightInd w:val="0"/>
              <w:spacing w:before="40" w:after="40"/>
              <w:rPr>
                <w:color w:val="211D1E"/>
                <w:sz w:val="20"/>
                <w:lang w:eastAsia="ja-JP"/>
              </w:rPr>
            </w:pPr>
            <w:r w:rsidRPr="00C16E57">
              <w:rPr>
                <w:color w:val="211D1E"/>
                <w:sz w:val="20"/>
                <w:lang w:eastAsia="ja-JP"/>
              </w:rPr>
              <w:t>1.2%</w:t>
            </w:r>
          </w:p>
        </w:tc>
        <w:tc>
          <w:tcPr>
            <w:tcW w:w="1290" w:type="dxa"/>
          </w:tcPr>
          <w:p w:rsidR="00C502BB" w:rsidRPr="00C16E57" w:rsidRDefault="00C502BB" w:rsidP="00965232">
            <w:pPr>
              <w:autoSpaceDE w:val="0"/>
              <w:autoSpaceDN w:val="0"/>
              <w:adjustRightInd w:val="0"/>
              <w:spacing w:before="40" w:after="40"/>
              <w:rPr>
                <w:color w:val="211D1E"/>
                <w:sz w:val="20"/>
                <w:lang w:eastAsia="ja-JP"/>
              </w:rPr>
            </w:pPr>
            <w:r w:rsidRPr="00C16E57">
              <w:rPr>
                <w:color w:val="211D1E"/>
                <w:sz w:val="20"/>
                <w:lang w:eastAsia="ja-JP"/>
              </w:rPr>
              <w:t>4.2%</w:t>
            </w:r>
          </w:p>
        </w:tc>
        <w:tc>
          <w:tcPr>
            <w:tcW w:w="1290" w:type="dxa"/>
          </w:tcPr>
          <w:p w:rsidR="00C502BB" w:rsidRPr="00965232" w:rsidRDefault="00C502BB" w:rsidP="00965232">
            <w:pPr>
              <w:spacing w:before="40" w:after="40"/>
              <w:rPr>
                <w:sz w:val="20"/>
              </w:rPr>
            </w:pPr>
            <w:r w:rsidRPr="00C16E57">
              <w:rPr>
                <w:sz w:val="20"/>
              </w:rPr>
              <w:t>0.6%</w:t>
            </w:r>
          </w:p>
        </w:tc>
        <w:tc>
          <w:tcPr>
            <w:tcW w:w="1290" w:type="dxa"/>
          </w:tcPr>
          <w:p w:rsidR="00C502BB" w:rsidRPr="00965232" w:rsidRDefault="00C502BB" w:rsidP="00965232">
            <w:pPr>
              <w:spacing w:before="40" w:after="40"/>
              <w:rPr>
                <w:sz w:val="20"/>
              </w:rPr>
            </w:pPr>
            <w:r w:rsidRPr="00C16E57">
              <w:rPr>
                <w:sz w:val="20"/>
              </w:rPr>
              <w:t>1.2%</w:t>
            </w:r>
          </w:p>
        </w:tc>
        <w:tc>
          <w:tcPr>
            <w:tcW w:w="1290" w:type="dxa"/>
          </w:tcPr>
          <w:p w:rsidR="00C502BB" w:rsidRPr="00965232" w:rsidRDefault="00C502BB" w:rsidP="00965232">
            <w:pPr>
              <w:spacing w:before="40" w:after="40"/>
              <w:rPr>
                <w:sz w:val="20"/>
              </w:rPr>
            </w:pPr>
            <w:r w:rsidRPr="00C16E57">
              <w:rPr>
                <w:sz w:val="20"/>
              </w:rPr>
              <w:t>2.4%</w:t>
            </w:r>
          </w:p>
        </w:tc>
        <w:tc>
          <w:tcPr>
            <w:tcW w:w="1290" w:type="dxa"/>
          </w:tcPr>
          <w:p w:rsidR="00C502BB" w:rsidRPr="00965232" w:rsidRDefault="00C502BB" w:rsidP="00965232">
            <w:pPr>
              <w:spacing w:before="40" w:after="40"/>
              <w:rPr>
                <w:sz w:val="20"/>
              </w:rPr>
            </w:pPr>
            <w:r w:rsidRPr="00C16E57">
              <w:rPr>
                <w:sz w:val="20"/>
              </w:rPr>
              <w:t>3.6%</w:t>
            </w:r>
          </w:p>
        </w:tc>
      </w:tr>
    </w:tbl>
    <w:p w:rsidR="00D81BA4" w:rsidRPr="006717B8" w:rsidRDefault="00D81BA4" w:rsidP="00D81BA4">
      <w:pPr>
        <w:pStyle w:val="C-BodyText"/>
        <w:spacing w:before="0" w:after="0"/>
        <w:rPr>
          <w:color w:val="211D1E"/>
          <w:sz w:val="16"/>
          <w:szCs w:val="16"/>
          <w:lang w:eastAsia="ja-JP"/>
        </w:rPr>
      </w:pPr>
      <w:r w:rsidRPr="006717B8">
        <w:rPr>
          <w:color w:val="211D1E"/>
          <w:sz w:val="16"/>
          <w:szCs w:val="16"/>
          <w:lang w:val="en-GB" w:eastAsia="ja-JP"/>
        </w:rPr>
        <w:t>*</w:t>
      </w:r>
      <w:r w:rsidRPr="006717B8">
        <w:rPr>
          <w:color w:val="211D1E"/>
          <w:sz w:val="16"/>
          <w:szCs w:val="16"/>
          <w:lang w:eastAsia="ja-JP"/>
        </w:rPr>
        <w:t>p</w:t>
      </w:r>
      <w:proofErr w:type="gramStart"/>
      <w:r w:rsidRPr="006717B8">
        <w:rPr>
          <w:color w:val="211D1E"/>
          <w:sz w:val="16"/>
          <w:szCs w:val="16"/>
          <w:lang w:eastAsia="ja-JP"/>
        </w:rPr>
        <w:t>≤  0.01</w:t>
      </w:r>
      <w:proofErr w:type="gramEnd"/>
      <w:r w:rsidRPr="006717B8">
        <w:rPr>
          <w:color w:val="211D1E"/>
          <w:sz w:val="16"/>
          <w:szCs w:val="16"/>
          <w:lang w:eastAsia="ja-JP"/>
        </w:rPr>
        <w:t xml:space="preserve"> for apremilast vs. placebo.</w:t>
      </w:r>
    </w:p>
    <w:p w:rsidR="00D81BA4" w:rsidRPr="006717B8" w:rsidRDefault="00A766CA" w:rsidP="00D81BA4">
      <w:pPr>
        <w:outlineLvl w:val="0"/>
        <w:rPr>
          <w:color w:val="211D1E"/>
          <w:sz w:val="16"/>
          <w:szCs w:val="16"/>
          <w:lang w:eastAsia="ja-JP"/>
        </w:rPr>
      </w:pPr>
      <w:proofErr w:type="gramStart"/>
      <w:r w:rsidRPr="006717B8">
        <w:rPr>
          <w:color w:val="211D1E"/>
          <w:sz w:val="16"/>
          <w:szCs w:val="16"/>
          <w:lang w:eastAsia="ja-JP"/>
        </w:rPr>
        <w:t>**</w:t>
      </w:r>
      <w:r w:rsidR="00D81BA4" w:rsidRPr="006717B8">
        <w:rPr>
          <w:color w:val="211D1E"/>
          <w:sz w:val="16"/>
          <w:szCs w:val="16"/>
          <w:lang w:eastAsia="ja-JP"/>
        </w:rPr>
        <w:t>p ≤ 0.001 for apremilast vs. placebo.</w:t>
      </w:r>
      <w:proofErr w:type="gramEnd"/>
    </w:p>
    <w:p w:rsidR="00D81BA4" w:rsidRPr="006717B8" w:rsidRDefault="00D81BA4" w:rsidP="00D81BA4">
      <w:pPr>
        <w:outlineLvl w:val="0"/>
        <w:rPr>
          <w:sz w:val="16"/>
          <w:szCs w:val="16"/>
        </w:rPr>
      </w:pPr>
      <w:proofErr w:type="gramStart"/>
      <w:r w:rsidRPr="006717B8">
        <w:rPr>
          <w:sz w:val="16"/>
          <w:szCs w:val="16"/>
          <w:vertAlign w:val="superscript"/>
        </w:rPr>
        <w:t>a</w:t>
      </w:r>
      <w:proofErr w:type="gramEnd"/>
      <w:r w:rsidRPr="006717B8">
        <w:rPr>
          <w:sz w:val="16"/>
          <w:szCs w:val="16"/>
        </w:rPr>
        <w:t xml:space="preserve"> N is the number of randomised and treated patients </w:t>
      </w:r>
      <w:r w:rsidR="001E2D1E">
        <w:rPr>
          <w:sz w:val="16"/>
          <w:szCs w:val="16"/>
        </w:rPr>
        <w:t>at</w:t>
      </w:r>
      <w:r w:rsidRPr="006717B8">
        <w:rPr>
          <w:sz w:val="16"/>
          <w:szCs w:val="16"/>
        </w:rPr>
        <w:t xml:space="preserve"> Week 16</w:t>
      </w:r>
      <w:r w:rsidRPr="006717B8">
        <w:rPr>
          <w:color w:val="1F1C1D"/>
          <w:sz w:val="16"/>
          <w:szCs w:val="16"/>
        </w:rPr>
        <w:t>.</w:t>
      </w:r>
    </w:p>
    <w:p w:rsidR="005C503A" w:rsidRDefault="005C503A" w:rsidP="006717B8">
      <w:pPr>
        <w:spacing w:after="120"/>
        <w:rPr>
          <w:b/>
          <w:bCs/>
          <w:color w:val="211D1E"/>
          <w:sz w:val="22"/>
          <w:szCs w:val="22"/>
          <w:lang w:val="en-AU" w:eastAsia="ja-JP"/>
        </w:rPr>
      </w:pPr>
    </w:p>
    <w:p w:rsidR="00B82112" w:rsidRPr="00B82112" w:rsidRDefault="00B82112" w:rsidP="00863370">
      <w:pPr>
        <w:rPr>
          <w:color w:val="211D1E"/>
          <w:sz w:val="18"/>
          <w:szCs w:val="18"/>
          <w:lang w:val="en-US" w:eastAsia="ja-JP"/>
        </w:rPr>
      </w:pPr>
    </w:p>
    <w:p w:rsidR="008D2FE2" w:rsidRDefault="008D2FE2" w:rsidP="00D81BA4">
      <w:pPr>
        <w:numPr>
          <w:ilvl w:val="12"/>
          <w:numId w:val="0"/>
        </w:numPr>
        <w:ind w:right="-2"/>
        <w:rPr>
          <w:b/>
          <w:sz w:val="22"/>
          <w:szCs w:val="22"/>
          <w:lang w:val="en-US"/>
        </w:rPr>
      </w:pPr>
      <w:r w:rsidRPr="002A6C0B">
        <w:rPr>
          <w:b/>
          <w:sz w:val="22"/>
          <w:szCs w:val="22"/>
          <w:lang w:val="en-US"/>
        </w:rPr>
        <w:t>ACR 20/50/70 Respon</w:t>
      </w:r>
      <w:r>
        <w:rPr>
          <w:b/>
          <w:sz w:val="22"/>
          <w:szCs w:val="22"/>
          <w:lang w:val="en-US"/>
        </w:rPr>
        <w:t>se</w:t>
      </w:r>
      <w:r w:rsidRPr="002A6C0B">
        <w:rPr>
          <w:b/>
          <w:sz w:val="22"/>
          <w:szCs w:val="22"/>
          <w:lang w:val="en-US"/>
        </w:rPr>
        <w:t xml:space="preserve"> </w:t>
      </w:r>
      <w:proofErr w:type="gramStart"/>
      <w:r w:rsidRPr="002A6C0B">
        <w:rPr>
          <w:b/>
          <w:sz w:val="22"/>
          <w:szCs w:val="22"/>
          <w:lang w:val="en-US"/>
        </w:rPr>
        <w:t>Through</w:t>
      </w:r>
      <w:proofErr w:type="gramEnd"/>
      <w:r w:rsidRPr="002A6C0B">
        <w:rPr>
          <w:b/>
          <w:sz w:val="22"/>
          <w:szCs w:val="22"/>
          <w:lang w:val="en-US"/>
        </w:rPr>
        <w:t xml:space="preserve"> Week 52 </w:t>
      </w:r>
    </w:p>
    <w:p w:rsidR="003C3DD7" w:rsidRPr="003C3DD7" w:rsidRDefault="00D81BA4" w:rsidP="003C3DD7">
      <w:pPr>
        <w:numPr>
          <w:ilvl w:val="12"/>
          <w:numId w:val="0"/>
        </w:numPr>
        <w:ind w:right="-2"/>
        <w:rPr>
          <w:iCs/>
          <w:noProof/>
          <w:sz w:val="22"/>
          <w:szCs w:val="22"/>
        </w:rPr>
      </w:pPr>
      <w:r w:rsidRPr="00B51A39">
        <w:rPr>
          <w:iCs/>
          <w:noProof/>
          <w:sz w:val="22"/>
          <w:szCs w:val="22"/>
        </w:rPr>
        <w:t>Among 497 patients initially randomized to apremilast 30 mg twice daily, 373 (75%) patients were still on this treatment at Week 52.  In these patients,  ACR 20/50/70 responses at week 52 were 57%, 25%, and 11% respectively (</w:t>
      </w:r>
      <w:r w:rsidR="00CD3CCB" w:rsidRPr="00B51A39">
        <w:rPr>
          <w:b/>
          <w:iCs/>
          <w:noProof/>
          <w:sz w:val="22"/>
          <w:szCs w:val="22"/>
        </w:rPr>
        <w:t>Figure 1</w:t>
      </w:r>
      <w:r w:rsidRPr="00B51A39">
        <w:rPr>
          <w:iCs/>
          <w:noProof/>
          <w:sz w:val="22"/>
          <w:szCs w:val="22"/>
        </w:rPr>
        <w:t xml:space="preserve">). </w:t>
      </w:r>
    </w:p>
    <w:p w:rsidR="00581AB0" w:rsidRPr="002A6C0B" w:rsidRDefault="00F44F74" w:rsidP="00A57292">
      <w:pPr>
        <w:pageBreakBefore/>
        <w:autoSpaceDE w:val="0"/>
        <w:autoSpaceDN w:val="0"/>
        <w:adjustRightInd w:val="0"/>
        <w:spacing w:before="120"/>
        <w:ind w:left="1440" w:hanging="1440"/>
        <w:rPr>
          <w:b/>
          <w:sz w:val="22"/>
          <w:szCs w:val="22"/>
          <w:lang w:val="en-US"/>
        </w:rPr>
      </w:pPr>
      <w:r w:rsidRPr="000A72AF">
        <w:rPr>
          <w:b/>
          <w:sz w:val="22"/>
          <w:szCs w:val="22"/>
          <w:lang w:val="en-US"/>
        </w:rPr>
        <w:lastRenderedPageBreak/>
        <w:t>Figure 1</w:t>
      </w:r>
      <w:r w:rsidRPr="002A6C0B">
        <w:rPr>
          <w:sz w:val="22"/>
          <w:szCs w:val="22"/>
          <w:lang w:val="en-US"/>
        </w:rPr>
        <w:tab/>
      </w:r>
      <w:r w:rsidRPr="002A6C0B">
        <w:rPr>
          <w:b/>
          <w:sz w:val="22"/>
          <w:szCs w:val="22"/>
          <w:lang w:val="en-US"/>
        </w:rPr>
        <w:t>Proportion of ACR 20/50/70 Responders</w:t>
      </w:r>
      <w:r w:rsidR="006F5B7C" w:rsidRPr="002A6C0B">
        <w:rPr>
          <w:b/>
          <w:sz w:val="22"/>
          <w:szCs w:val="22"/>
          <w:lang w:val="en-US"/>
        </w:rPr>
        <w:t xml:space="preserve"> </w:t>
      </w:r>
      <w:proofErr w:type="gramStart"/>
      <w:r w:rsidRPr="002A6C0B">
        <w:rPr>
          <w:b/>
          <w:sz w:val="22"/>
          <w:szCs w:val="22"/>
          <w:lang w:val="en-US"/>
        </w:rPr>
        <w:t>Through</w:t>
      </w:r>
      <w:proofErr w:type="gramEnd"/>
      <w:r w:rsidRPr="002A6C0B">
        <w:rPr>
          <w:b/>
          <w:sz w:val="22"/>
          <w:szCs w:val="22"/>
          <w:lang w:val="en-US"/>
        </w:rPr>
        <w:t xml:space="preserve"> Week 52 in </w:t>
      </w:r>
      <w:r w:rsidR="00D81BA4">
        <w:rPr>
          <w:b/>
          <w:sz w:val="22"/>
          <w:szCs w:val="22"/>
          <w:lang w:val="en-US"/>
        </w:rPr>
        <w:t>the Pooled Studies PALACE 1 PAL</w:t>
      </w:r>
      <w:r w:rsidR="00B81C11">
        <w:rPr>
          <w:b/>
          <w:sz w:val="22"/>
          <w:szCs w:val="22"/>
          <w:lang w:val="en-US"/>
        </w:rPr>
        <w:t>A</w:t>
      </w:r>
      <w:r w:rsidR="00D81BA4">
        <w:rPr>
          <w:b/>
          <w:sz w:val="22"/>
          <w:szCs w:val="22"/>
          <w:lang w:val="en-US"/>
        </w:rPr>
        <w:t>CE 2 and PALACE 3</w:t>
      </w:r>
    </w:p>
    <w:p w:rsidR="00A10576" w:rsidRDefault="00A10576" w:rsidP="00F44F74">
      <w:pPr>
        <w:autoSpaceDE w:val="0"/>
        <w:autoSpaceDN w:val="0"/>
        <w:adjustRightInd w:val="0"/>
        <w:spacing w:before="120"/>
        <w:ind w:left="1440" w:hanging="1440"/>
        <w:rPr>
          <w:lang w:val="en-AU"/>
        </w:rPr>
      </w:pPr>
    </w:p>
    <w:p w:rsidR="00F1713A" w:rsidRDefault="003C3DD7" w:rsidP="006F1101">
      <w:pPr>
        <w:autoSpaceDE w:val="0"/>
        <w:autoSpaceDN w:val="0"/>
        <w:rPr>
          <w:noProof/>
          <w:sz w:val="22"/>
          <w:szCs w:val="22"/>
        </w:rPr>
      </w:pPr>
      <w:bookmarkStart w:id="0" w:name="IDX"/>
      <w:bookmarkEnd w:id="0"/>
      <w:r>
        <w:rPr>
          <w:noProof/>
          <w:lang w:val="en-AU" w:eastAsia="en-AU"/>
        </w:rPr>
        <w:drawing>
          <wp:inline distT="0" distB="0" distL="0" distR="0" wp14:anchorId="057643FF" wp14:editId="251B2FF5">
            <wp:extent cx="5846445" cy="3376593"/>
            <wp:effectExtent l="0" t="0" r="0" b="0"/>
            <wp:docPr id="2" name="Picture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846445" cy="3376593"/>
                    </a:xfrm>
                    <a:prstGeom prst="rect">
                      <a:avLst/>
                    </a:prstGeom>
                    <a:noFill/>
                    <a:ln w="9525">
                      <a:noFill/>
                      <a:miter lim="800000"/>
                      <a:headEnd/>
                      <a:tailEnd/>
                    </a:ln>
                  </pic:spPr>
                </pic:pic>
              </a:graphicData>
            </a:graphic>
          </wp:inline>
        </w:drawing>
      </w:r>
    </w:p>
    <w:p w:rsidR="00F1713A" w:rsidRDefault="00F1713A" w:rsidP="006F1101">
      <w:pPr>
        <w:autoSpaceDE w:val="0"/>
        <w:autoSpaceDN w:val="0"/>
        <w:rPr>
          <w:noProof/>
          <w:sz w:val="22"/>
          <w:szCs w:val="22"/>
        </w:rPr>
      </w:pPr>
    </w:p>
    <w:p w:rsidR="006F1101" w:rsidRPr="00867A73" w:rsidRDefault="00A5655F" w:rsidP="006F1101">
      <w:pPr>
        <w:autoSpaceDE w:val="0"/>
        <w:autoSpaceDN w:val="0"/>
        <w:rPr>
          <w:iCs/>
          <w:noProof/>
          <w:sz w:val="18"/>
          <w:szCs w:val="18"/>
        </w:rPr>
      </w:pPr>
      <w:r w:rsidRPr="00A5655F">
        <w:rPr>
          <w:noProof/>
          <w:sz w:val="18"/>
          <w:szCs w:val="18"/>
        </w:rPr>
        <w:t xml:space="preserve">Note: </w:t>
      </w:r>
      <w:r w:rsidRPr="00A5655F">
        <w:rPr>
          <w:iCs/>
          <w:noProof/>
          <w:sz w:val="18"/>
          <w:szCs w:val="18"/>
        </w:rPr>
        <w:t>n/m is the number of responders/number of subjects with sufficient data for definitive determination of response status at each time point, which includes subjects who discontinued early between the preceding time point and the time point in question.</w:t>
      </w:r>
    </w:p>
    <w:p w:rsidR="00F44F74" w:rsidRPr="00F1713A" w:rsidRDefault="00960826" w:rsidP="00E46E06">
      <w:pPr>
        <w:numPr>
          <w:ilvl w:val="12"/>
          <w:numId w:val="0"/>
        </w:numPr>
        <w:ind w:right="-2"/>
        <w:rPr>
          <w:color w:val="221E1F"/>
          <w:sz w:val="22"/>
          <w:szCs w:val="22"/>
        </w:rPr>
      </w:pPr>
      <w:r w:rsidRPr="004A4E0D">
        <w:rPr>
          <w:rStyle w:val="A0"/>
          <w:rFonts w:ascii="Times New Roman" w:hAnsi="Times New Roman"/>
          <w:b w:val="0"/>
          <w:bCs w:val="0"/>
          <w:i w:val="0"/>
          <w:iCs w:val="0"/>
          <w:sz w:val="22"/>
          <w:szCs w:val="22"/>
        </w:rPr>
        <w:t xml:space="preserve">ACR </w:t>
      </w:r>
      <w:r w:rsidR="00366DB7">
        <w:rPr>
          <w:rStyle w:val="A0"/>
          <w:rFonts w:ascii="Times New Roman" w:hAnsi="Times New Roman"/>
          <w:b w:val="0"/>
          <w:bCs w:val="0"/>
          <w:i w:val="0"/>
          <w:iCs w:val="0"/>
          <w:sz w:val="22"/>
          <w:szCs w:val="22"/>
        </w:rPr>
        <w:t>20</w:t>
      </w:r>
      <w:r w:rsidR="00BC71C3">
        <w:rPr>
          <w:rStyle w:val="A0"/>
          <w:rFonts w:ascii="Times New Roman" w:hAnsi="Times New Roman"/>
          <w:b w:val="0"/>
          <w:bCs w:val="0"/>
          <w:i w:val="0"/>
          <w:iCs w:val="0"/>
          <w:sz w:val="22"/>
          <w:szCs w:val="22"/>
        </w:rPr>
        <w:t xml:space="preserve"> </w:t>
      </w:r>
      <w:r w:rsidRPr="004A4E0D">
        <w:rPr>
          <w:rStyle w:val="A0"/>
          <w:rFonts w:ascii="Times New Roman" w:hAnsi="Times New Roman"/>
          <w:b w:val="0"/>
          <w:bCs w:val="0"/>
          <w:i w:val="0"/>
          <w:iCs w:val="0"/>
          <w:sz w:val="22"/>
          <w:szCs w:val="22"/>
        </w:rPr>
        <w:t xml:space="preserve">responses were higher in patients treated with </w:t>
      </w:r>
      <w:r w:rsidR="000F630E">
        <w:rPr>
          <w:rStyle w:val="A0"/>
          <w:rFonts w:ascii="Times New Roman" w:hAnsi="Times New Roman"/>
          <w:b w:val="0"/>
          <w:bCs w:val="0"/>
          <w:i w:val="0"/>
          <w:iCs w:val="0"/>
          <w:sz w:val="22"/>
          <w:szCs w:val="22"/>
        </w:rPr>
        <w:t>Otezla</w:t>
      </w:r>
      <w:r w:rsidRPr="004A4E0D">
        <w:rPr>
          <w:rStyle w:val="A0"/>
          <w:rFonts w:ascii="Times New Roman" w:hAnsi="Times New Roman"/>
          <w:b w:val="0"/>
          <w:bCs w:val="0"/>
          <w:i w:val="0"/>
          <w:iCs w:val="0"/>
          <w:sz w:val="22"/>
          <w:szCs w:val="22"/>
        </w:rPr>
        <w:t xml:space="preserve"> than in patients treated with placebo when used alone or in combination with DMARDs.  </w:t>
      </w:r>
      <w:r w:rsidR="00F44F74" w:rsidRPr="004A4E0D">
        <w:rPr>
          <w:iCs/>
          <w:noProof/>
          <w:sz w:val="22"/>
          <w:szCs w:val="22"/>
          <w:lang w:val="en-US"/>
        </w:rPr>
        <w:t xml:space="preserve">In Study PALACE 1, the proportion of patients with an ACR 20 response at Week 16 with concomitant DMARD use was 33.0 % </w:t>
      </w:r>
      <w:r w:rsidR="00D40D48">
        <w:rPr>
          <w:iCs/>
          <w:noProof/>
          <w:sz w:val="22"/>
          <w:szCs w:val="22"/>
          <w:lang w:val="en-US"/>
        </w:rPr>
        <w:t xml:space="preserve">for </w:t>
      </w:r>
      <w:r w:rsidR="00DC6FE3" w:rsidRPr="004A4E0D">
        <w:rPr>
          <w:iCs/>
          <w:noProof/>
          <w:sz w:val="22"/>
          <w:szCs w:val="22"/>
          <w:lang w:val="en-US"/>
        </w:rPr>
        <w:t>Otezla</w:t>
      </w:r>
      <w:r w:rsidR="00F44F74" w:rsidRPr="004A4E0D">
        <w:rPr>
          <w:iCs/>
          <w:noProof/>
          <w:sz w:val="22"/>
          <w:szCs w:val="22"/>
          <w:lang w:val="en-US"/>
        </w:rPr>
        <w:t xml:space="preserve"> 30 mg </w:t>
      </w:r>
      <w:r w:rsidR="00866D05">
        <w:rPr>
          <w:iCs/>
          <w:noProof/>
          <w:sz w:val="22"/>
          <w:szCs w:val="22"/>
          <w:lang w:val="en-US"/>
        </w:rPr>
        <w:t>twice daily</w:t>
      </w:r>
      <w:r w:rsidR="00F44F74" w:rsidRPr="004A4E0D">
        <w:rPr>
          <w:iCs/>
          <w:noProof/>
          <w:sz w:val="22"/>
          <w:szCs w:val="22"/>
          <w:lang w:val="en-US"/>
        </w:rPr>
        <w:t xml:space="preserve"> and 23.6 % </w:t>
      </w:r>
      <w:r w:rsidR="00D01906">
        <w:rPr>
          <w:iCs/>
          <w:noProof/>
          <w:sz w:val="22"/>
          <w:szCs w:val="22"/>
          <w:lang w:val="en-US"/>
        </w:rPr>
        <w:t xml:space="preserve">for </w:t>
      </w:r>
      <w:r w:rsidR="00F44F74" w:rsidRPr="004A4E0D">
        <w:rPr>
          <w:iCs/>
          <w:noProof/>
          <w:sz w:val="22"/>
          <w:szCs w:val="22"/>
          <w:lang w:val="en-US"/>
        </w:rPr>
        <w:t xml:space="preserve">placebo. </w:t>
      </w:r>
      <w:r w:rsidR="009003B6" w:rsidRPr="004A4E0D">
        <w:rPr>
          <w:iCs/>
          <w:noProof/>
          <w:sz w:val="22"/>
          <w:szCs w:val="22"/>
          <w:lang w:val="en-US"/>
        </w:rPr>
        <w:t xml:space="preserve"> </w:t>
      </w:r>
      <w:r w:rsidR="00F44F74" w:rsidRPr="004A4E0D">
        <w:rPr>
          <w:iCs/>
          <w:noProof/>
          <w:sz w:val="22"/>
          <w:szCs w:val="22"/>
          <w:lang w:val="en-US"/>
        </w:rPr>
        <w:t xml:space="preserve">The proportion of patients with an ACR 20 response at </w:t>
      </w:r>
      <w:r w:rsidR="001D5B04" w:rsidRPr="00C75DF4">
        <w:rPr>
          <w:iCs/>
          <w:noProof/>
          <w:sz w:val="22"/>
          <w:szCs w:val="22"/>
          <w:lang w:val="en-US"/>
        </w:rPr>
        <w:t>Week</w:t>
      </w:r>
      <w:r w:rsidR="001D5B04" w:rsidRPr="004A4E0D">
        <w:rPr>
          <w:iCs/>
          <w:noProof/>
          <w:sz w:val="22"/>
          <w:szCs w:val="22"/>
          <w:lang w:val="en-US"/>
        </w:rPr>
        <w:t xml:space="preserve"> </w:t>
      </w:r>
      <w:r w:rsidR="00F44F74" w:rsidRPr="004A4E0D">
        <w:rPr>
          <w:iCs/>
          <w:noProof/>
          <w:sz w:val="22"/>
          <w:szCs w:val="22"/>
          <w:lang w:val="en-US"/>
        </w:rPr>
        <w:t xml:space="preserve">16 without concomitant DMARD use was 46.8% </w:t>
      </w:r>
      <w:r w:rsidR="00D01906">
        <w:rPr>
          <w:iCs/>
          <w:noProof/>
          <w:sz w:val="22"/>
          <w:szCs w:val="22"/>
          <w:lang w:val="en-US"/>
        </w:rPr>
        <w:t xml:space="preserve">for </w:t>
      </w:r>
      <w:r w:rsidR="00DC6FE3" w:rsidRPr="004A4E0D">
        <w:rPr>
          <w:iCs/>
          <w:noProof/>
          <w:sz w:val="22"/>
          <w:szCs w:val="22"/>
          <w:lang w:val="en-US"/>
        </w:rPr>
        <w:t>Otezla</w:t>
      </w:r>
      <w:r w:rsidR="00F44F74" w:rsidRPr="004A4E0D">
        <w:rPr>
          <w:iCs/>
          <w:noProof/>
          <w:sz w:val="22"/>
          <w:szCs w:val="22"/>
          <w:lang w:val="en-US"/>
        </w:rPr>
        <w:t xml:space="preserve"> 30 mg </w:t>
      </w:r>
      <w:r w:rsidR="00866D05">
        <w:rPr>
          <w:iCs/>
          <w:noProof/>
          <w:sz w:val="22"/>
          <w:szCs w:val="22"/>
          <w:lang w:val="en-US"/>
        </w:rPr>
        <w:t>twice daily</w:t>
      </w:r>
      <w:r w:rsidR="00F44F74" w:rsidRPr="004A4E0D">
        <w:rPr>
          <w:iCs/>
          <w:noProof/>
          <w:sz w:val="22"/>
          <w:szCs w:val="22"/>
          <w:lang w:val="en-US"/>
        </w:rPr>
        <w:t xml:space="preserve"> and 10.3% </w:t>
      </w:r>
      <w:r w:rsidR="00D01906">
        <w:rPr>
          <w:iCs/>
          <w:noProof/>
          <w:sz w:val="22"/>
          <w:szCs w:val="22"/>
          <w:lang w:val="en-US"/>
        </w:rPr>
        <w:t xml:space="preserve">for </w:t>
      </w:r>
      <w:r w:rsidR="00F44F74" w:rsidRPr="004A4E0D">
        <w:rPr>
          <w:iCs/>
          <w:noProof/>
          <w:sz w:val="22"/>
          <w:szCs w:val="22"/>
          <w:lang w:val="en-US"/>
        </w:rPr>
        <w:t xml:space="preserve">placebo. </w:t>
      </w:r>
      <w:r w:rsidR="000851A3" w:rsidRPr="004A4E0D">
        <w:rPr>
          <w:iCs/>
          <w:noProof/>
          <w:sz w:val="22"/>
          <w:szCs w:val="22"/>
          <w:lang w:val="en-US"/>
        </w:rPr>
        <w:t xml:space="preserve"> </w:t>
      </w:r>
      <w:r w:rsidR="00F44F74" w:rsidRPr="004A4E0D">
        <w:rPr>
          <w:iCs/>
          <w:noProof/>
          <w:sz w:val="22"/>
          <w:szCs w:val="22"/>
          <w:lang w:val="en-US"/>
        </w:rPr>
        <w:t xml:space="preserve">Similar results were observed in Studies PALACE 2 and PALACE 3. </w:t>
      </w:r>
    </w:p>
    <w:p w:rsidR="00F44F74" w:rsidRPr="00F44F74" w:rsidRDefault="00F44F74" w:rsidP="00E46E06">
      <w:pPr>
        <w:numPr>
          <w:ilvl w:val="12"/>
          <w:numId w:val="0"/>
        </w:numPr>
        <w:ind w:right="-2"/>
        <w:rPr>
          <w:iCs/>
          <w:noProof/>
          <w:sz w:val="22"/>
          <w:szCs w:val="22"/>
          <w:lang w:val="en-US"/>
        </w:rPr>
      </w:pPr>
    </w:p>
    <w:p w:rsidR="00F44F74" w:rsidRPr="00F44F74" w:rsidRDefault="009667A1" w:rsidP="00E46E06">
      <w:pPr>
        <w:numPr>
          <w:ilvl w:val="12"/>
          <w:numId w:val="0"/>
        </w:numPr>
        <w:ind w:right="-2"/>
        <w:rPr>
          <w:iCs/>
          <w:noProof/>
          <w:sz w:val="22"/>
          <w:szCs w:val="22"/>
          <w:lang w:val="en-US"/>
        </w:rPr>
      </w:pPr>
      <w:r w:rsidRPr="009667A1">
        <w:rPr>
          <w:rStyle w:val="A0"/>
          <w:rFonts w:ascii="Times New Roman" w:hAnsi="Times New Roman"/>
          <w:b w:val="0"/>
          <w:bCs w:val="0"/>
          <w:i w:val="0"/>
          <w:iCs w:val="0"/>
          <w:sz w:val="22"/>
          <w:szCs w:val="22"/>
        </w:rPr>
        <w:t xml:space="preserve">A greater proportion of patients achieved an ACR 20 response with the use </w:t>
      </w:r>
      <w:r w:rsidR="00405DCB" w:rsidRPr="009667A1">
        <w:rPr>
          <w:rStyle w:val="A0"/>
          <w:rFonts w:ascii="Times New Roman" w:hAnsi="Times New Roman"/>
          <w:b w:val="0"/>
          <w:bCs w:val="0"/>
          <w:i w:val="0"/>
          <w:iCs w:val="0"/>
          <w:sz w:val="22"/>
          <w:szCs w:val="22"/>
        </w:rPr>
        <w:t>of</w:t>
      </w:r>
      <w:r w:rsidR="00405DCB">
        <w:rPr>
          <w:rStyle w:val="A0"/>
          <w:rFonts w:ascii="Times New Roman" w:hAnsi="Times New Roman"/>
          <w:b w:val="0"/>
          <w:bCs w:val="0"/>
          <w:i w:val="0"/>
          <w:iCs w:val="0"/>
          <w:sz w:val="22"/>
          <w:szCs w:val="22"/>
        </w:rPr>
        <w:t xml:space="preserve"> Otezla</w:t>
      </w:r>
      <w:r w:rsidRPr="009667A1">
        <w:rPr>
          <w:rStyle w:val="A0"/>
          <w:rFonts w:ascii="Times New Roman" w:hAnsi="Times New Roman"/>
          <w:b w:val="0"/>
          <w:bCs w:val="0"/>
          <w:i w:val="0"/>
          <w:iCs w:val="0"/>
          <w:sz w:val="22"/>
          <w:szCs w:val="22"/>
        </w:rPr>
        <w:t xml:space="preserve"> 30 mg twice daily, irrespective of prior small molecule or prior biologic DMARD use.</w:t>
      </w:r>
      <w:r w:rsidR="00B44D05">
        <w:rPr>
          <w:iCs/>
          <w:noProof/>
          <w:sz w:val="22"/>
          <w:szCs w:val="22"/>
          <w:lang w:val="en-US"/>
        </w:rPr>
        <w:t xml:space="preserve">  </w:t>
      </w:r>
      <w:r w:rsidR="00F44F74" w:rsidRPr="00F44F74">
        <w:rPr>
          <w:iCs/>
          <w:noProof/>
          <w:sz w:val="22"/>
          <w:szCs w:val="22"/>
          <w:lang w:val="en-US"/>
        </w:rPr>
        <w:t>In Study PALACE 1</w:t>
      </w:r>
      <w:r w:rsidR="007432E9">
        <w:rPr>
          <w:iCs/>
          <w:noProof/>
          <w:sz w:val="22"/>
          <w:szCs w:val="22"/>
          <w:lang w:val="en-US"/>
        </w:rPr>
        <w:t>,</w:t>
      </w:r>
      <w:r w:rsidR="00F44F74" w:rsidRPr="00F44F74">
        <w:rPr>
          <w:iCs/>
          <w:noProof/>
          <w:sz w:val="22"/>
          <w:szCs w:val="22"/>
          <w:lang w:val="en-US"/>
        </w:rPr>
        <w:t xml:space="preserve"> the proportion of patients with prior treatment of only small-molecule DMARDs (biologic-naïve) with an ACR 20 response at Week 16 were 41.1% </w:t>
      </w:r>
      <w:r w:rsidR="00D01906">
        <w:rPr>
          <w:iCs/>
          <w:noProof/>
          <w:sz w:val="22"/>
          <w:szCs w:val="22"/>
          <w:lang w:val="en-US"/>
        </w:rPr>
        <w:t xml:space="preserve">for </w:t>
      </w:r>
      <w:r w:rsidR="00DC6FE3">
        <w:rPr>
          <w:iCs/>
          <w:noProof/>
          <w:sz w:val="22"/>
          <w:szCs w:val="22"/>
          <w:lang w:val="en-US"/>
        </w:rPr>
        <w:t>Otezla</w:t>
      </w:r>
      <w:r w:rsidR="00F44F74" w:rsidRPr="00F44F74">
        <w:rPr>
          <w:iCs/>
          <w:noProof/>
          <w:sz w:val="22"/>
          <w:szCs w:val="22"/>
          <w:lang w:val="en-US"/>
        </w:rPr>
        <w:t xml:space="preserve"> 30 mg </w:t>
      </w:r>
      <w:r w:rsidR="00866D05">
        <w:rPr>
          <w:iCs/>
          <w:noProof/>
          <w:sz w:val="22"/>
          <w:szCs w:val="22"/>
          <w:lang w:val="en-US"/>
        </w:rPr>
        <w:t>twice daily</w:t>
      </w:r>
      <w:r w:rsidR="00F44F74" w:rsidRPr="00F44F74">
        <w:rPr>
          <w:iCs/>
          <w:noProof/>
          <w:sz w:val="22"/>
          <w:szCs w:val="22"/>
          <w:lang w:val="en-US"/>
        </w:rPr>
        <w:t xml:space="preserve"> and 23.3% </w:t>
      </w:r>
      <w:r w:rsidR="00D01906">
        <w:rPr>
          <w:iCs/>
          <w:noProof/>
          <w:sz w:val="22"/>
          <w:szCs w:val="22"/>
          <w:lang w:val="en-US"/>
        </w:rPr>
        <w:t xml:space="preserve">for </w:t>
      </w:r>
      <w:r w:rsidR="00F44F74" w:rsidRPr="00F44F74">
        <w:rPr>
          <w:iCs/>
          <w:noProof/>
          <w:sz w:val="22"/>
          <w:szCs w:val="22"/>
          <w:lang w:val="en-US"/>
        </w:rPr>
        <w:t xml:space="preserve">placebo and the proportion of patients with prior biologic use with an ACR 20 response at Week 16 were 26.8% </w:t>
      </w:r>
      <w:r w:rsidR="00D01906">
        <w:rPr>
          <w:iCs/>
          <w:noProof/>
          <w:sz w:val="22"/>
          <w:szCs w:val="22"/>
          <w:lang w:val="en-US"/>
        </w:rPr>
        <w:t xml:space="preserve">for </w:t>
      </w:r>
      <w:r w:rsidR="00DC6FE3">
        <w:rPr>
          <w:iCs/>
          <w:noProof/>
          <w:sz w:val="22"/>
          <w:szCs w:val="22"/>
          <w:lang w:val="en-US"/>
        </w:rPr>
        <w:t>Otezla</w:t>
      </w:r>
      <w:r w:rsidR="00F44F74" w:rsidRPr="00F44F74">
        <w:rPr>
          <w:iCs/>
          <w:noProof/>
          <w:sz w:val="22"/>
          <w:szCs w:val="22"/>
          <w:lang w:val="en-US"/>
        </w:rPr>
        <w:t xml:space="preserve"> 30 mg </w:t>
      </w:r>
      <w:r w:rsidR="00866D05">
        <w:rPr>
          <w:iCs/>
          <w:noProof/>
          <w:sz w:val="22"/>
          <w:szCs w:val="22"/>
          <w:lang w:val="en-US"/>
        </w:rPr>
        <w:t>twice daily</w:t>
      </w:r>
      <w:r w:rsidR="00F44F74" w:rsidRPr="00F44F74">
        <w:rPr>
          <w:iCs/>
          <w:noProof/>
          <w:sz w:val="22"/>
          <w:szCs w:val="22"/>
          <w:lang w:val="en-US"/>
        </w:rPr>
        <w:t xml:space="preserve"> and 4.9% </w:t>
      </w:r>
      <w:r w:rsidR="00D01906">
        <w:rPr>
          <w:iCs/>
          <w:noProof/>
          <w:sz w:val="22"/>
          <w:szCs w:val="22"/>
          <w:lang w:val="en-US"/>
        </w:rPr>
        <w:t xml:space="preserve">for </w:t>
      </w:r>
      <w:r w:rsidR="00F44F74" w:rsidRPr="00F44F74">
        <w:rPr>
          <w:iCs/>
          <w:noProof/>
          <w:sz w:val="22"/>
          <w:szCs w:val="22"/>
          <w:lang w:val="en-US"/>
        </w:rPr>
        <w:t xml:space="preserve">placebo. </w:t>
      </w:r>
      <w:r w:rsidR="000851A3">
        <w:rPr>
          <w:iCs/>
          <w:noProof/>
          <w:sz w:val="22"/>
          <w:szCs w:val="22"/>
          <w:lang w:val="en-US"/>
        </w:rPr>
        <w:t xml:space="preserve"> </w:t>
      </w:r>
      <w:r w:rsidR="00F44F74" w:rsidRPr="00F44F74">
        <w:rPr>
          <w:iCs/>
          <w:noProof/>
          <w:sz w:val="22"/>
          <w:szCs w:val="22"/>
          <w:lang w:val="en-US"/>
        </w:rPr>
        <w:t>Similar results were observed in Studies PALACE 2 and PALACE 3.</w:t>
      </w:r>
      <w:r w:rsidR="000851A3">
        <w:rPr>
          <w:iCs/>
          <w:noProof/>
          <w:sz w:val="22"/>
          <w:szCs w:val="22"/>
          <w:lang w:val="en-US"/>
        </w:rPr>
        <w:t xml:space="preserve"> </w:t>
      </w:r>
    </w:p>
    <w:p w:rsidR="00826F44" w:rsidRDefault="00826F44" w:rsidP="00E46E06">
      <w:pPr>
        <w:numPr>
          <w:ilvl w:val="12"/>
          <w:numId w:val="0"/>
        </w:numPr>
        <w:ind w:right="-2"/>
        <w:rPr>
          <w:iCs/>
          <w:noProof/>
          <w:sz w:val="22"/>
          <w:szCs w:val="22"/>
          <w:lang w:val="en-US"/>
        </w:rPr>
      </w:pPr>
    </w:p>
    <w:p w:rsidR="00F24E3A" w:rsidRPr="007D0AC0" w:rsidRDefault="00F24E3A" w:rsidP="000B36A0">
      <w:pPr>
        <w:pStyle w:val="Pa8"/>
        <w:spacing w:line="240" w:lineRule="auto"/>
        <w:rPr>
          <w:rStyle w:val="A0"/>
          <w:rFonts w:ascii="Times New Roman" w:hAnsi="Times New Roman"/>
          <w:b w:val="0"/>
          <w:bCs w:val="0"/>
          <w:i w:val="0"/>
          <w:iCs w:val="0"/>
          <w:sz w:val="22"/>
          <w:szCs w:val="22"/>
        </w:rPr>
      </w:pPr>
      <w:r w:rsidRPr="007D0AC0">
        <w:rPr>
          <w:rStyle w:val="A0"/>
          <w:rFonts w:ascii="Times New Roman" w:hAnsi="Times New Roman"/>
          <w:b w:val="0"/>
          <w:bCs w:val="0"/>
          <w:i w:val="0"/>
          <w:iCs w:val="0"/>
          <w:sz w:val="22"/>
          <w:szCs w:val="22"/>
        </w:rPr>
        <w:t xml:space="preserve">Similar ACR </w:t>
      </w:r>
      <w:r w:rsidR="00366DB7">
        <w:rPr>
          <w:rStyle w:val="A0"/>
          <w:rFonts w:ascii="Times New Roman" w:hAnsi="Times New Roman"/>
          <w:b w:val="0"/>
          <w:bCs w:val="0"/>
          <w:i w:val="0"/>
          <w:iCs w:val="0"/>
          <w:sz w:val="22"/>
          <w:szCs w:val="22"/>
        </w:rPr>
        <w:t>20</w:t>
      </w:r>
      <w:r w:rsidR="00FA7343">
        <w:rPr>
          <w:rStyle w:val="A0"/>
          <w:rFonts w:ascii="Times New Roman" w:hAnsi="Times New Roman"/>
          <w:b w:val="0"/>
          <w:bCs w:val="0"/>
          <w:i w:val="0"/>
          <w:iCs w:val="0"/>
          <w:sz w:val="22"/>
          <w:szCs w:val="22"/>
        </w:rPr>
        <w:t xml:space="preserve"> </w:t>
      </w:r>
      <w:r w:rsidRPr="007D0AC0">
        <w:rPr>
          <w:rStyle w:val="A0"/>
          <w:rFonts w:ascii="Times New Roman" w:hAnsi="Times New Roman"/>
          <w:b w:val="0"/>
          <w:bCs w:val="0"/>
          <w:i w:val="0"/>
          <w:iCs w:val="0"/>
          <w:sz w:val="22"/>
          <w:szCs w:val="22"/>
        </w:rPr>
        <w:t xml:space="preserve">responses were observed in patients with different PsA subtypes including </w:t>
      </w:r>
      <w:r w:rsidR="00AE698D" w:rsidRPr="00AE698D">
        <w:rPr>
          <w:rFonts w:ascii="Times New Roman" w:eastAsia="TimesNewRoman" w:hAnsi="Times New Roman"/>
          <w:sz w:val="22"/>
          <w:szCs w:val="22"/>
        </w:rPr>
        <w:t>distal interphalangeal</w:t>
      </w:r>
      <w:r w:rsidR="00AE698D" w:rsidRPr="007D0AC0">
        <w:rPr>
          <w:rFonts w:eastAsia="TimesNewRoman"/>
          <w:sz w:val="22"/>
          <w:szCs w:val="22"/>
        </w:rPr>
        <w:t xml:space="preserve"> </w:t>
      </w:r>
      <w:r w:rsidR="00AE698D">
        <w:rPr>
          <w:rFonts w:eastAsia="TimesNewRoman"/>
          <w:sz w:val="22"/>
          <w:szCs w:val="22"/>
        </w:rPr>
        <w:t>(</w:t>
      </w:r>
      <w:r w:rsidRPr="007D0AC0">
        <w:rPr>
          <w:rStyle w:val="A0"/>
          <w:rFonts w:ascii="Times New Roman" w:hAnsi="Times New Roman"/>
          <w:b w:val="0"/>
          <w:bCs w:val="0"/>
          <w:i w:val="0"/>
          <w:iCs w:val="0"/>
          <w:sz w:val="22"/>
          <w:szCs w:val="22"/>
        </w:rPr>
        <w:t>DIP</w:t>
      </w:r>
      <w:r w:rsidR="00AE698D">
        <w:rPr>
          <w:rStyle w:val="A0"/>
          <w:rFonts w:ascii="Times New Roman" w:hAnsi="Times New Roman"/>
          <w:b w:val="0"/>
          <w:bCs w:val="0"/>
          <w:i w:val="0"/>
          <w:iCs w:val="0"/>
          <w:sz w:val="22"/>
          <w:szCs w:val="22"/>
        </w:rPr>
        <w:t>)</w:t>
      </w:r>
      <w:r w:rsidRPr="007D0AC0">
        <w:rPr>
          <w:rStyle w:val="A0"/>
          <w:rFonts w:ascii="Times New Roman" w:hAnsi="Times New Roman"/>
          <w:b w:val="0"/>
          <w:bCs w:val="0"/>
          <w:i w:val="0"/>
          <w:iCs w:val="0"/>
          <w:sz w:val="22"/>
          <w:szCs w:val="22"/>
        </w:rPr>
        <w:t xml:space="preserve">; </w:t>
      </w:r>
      <w:r w:rsidR="00D01906" w:rsidRPr="007D0AC0">
        <w:rPr>
          <w:rStyle w:val="A0"/>
          <w:rFonts w:ascii="Times New Roman" w:hAnsi="Times New Roman"/>
          <w:b w:val="0"/>
          <w:bCs w:val="0"/>
          <w:i w:val="0"/>
          <w:iCs w:val="0"/>
          <w:sz w:val="22"/>
          <w:szCs w:val="22"/>
        </w:rPr>
        <w:t>however,</w:t>
      </w:r>
      <w:r w:rsidR="00D01906">
        <w:rPr>
          <w:rStyle w:val="A0"/>
          <w:rFonts w:ascii="Times New Roman" w:hAnsi="Times New Roman"/>
          <w:b w:val="0"/>
          <w:bCs w:val="0"/>
          <w:i w:val="0"/>
          <w:iCs w:val="0"/>
          <w:sz w:val="22"/>
          <w:szCs w:val="22"/>
        </w:rPr>
        <w:t xml:space="preserve"> the number of patients with arthritis mutilans and predominant spondylitis subtypes was too small to allow for a meaningful assessment. </w:t>
      </w:r>
    </w:p>
    <w:p w:rsidR="00B3287D" w:rsidRPr="007D0AC0" w:rsidRDefault="00B3287D">
      <w:pPr>
        <w:autoSpaceDE w:val="0"/>
        <w:autoSpaceDN w:val="0"/>
        <w:adjustRightInd w:val="0"/>
        <w:jc w:val="both"/>
        <w:rPr>
          <w:sz w:val="22"/>
          <w:szCs w:val="22"/>
          <w:lang w:val="en-US"/>
        </w:rPr>
      </w:pPr>
    </w:p>
    <w:p w:rsidR="00BE5173" w:rsidRDefault="006F2E96" w:rsidP="00E46E06">
      <w:pPr>
        <w:pStyle w:val="Pa8"/>
        <w:spacing w:line="240" w:lineRule="auto"/>
        <w:rPr>
          <w:rStyle w:val="A0"/>
          <w:rFonts w:ascii="Times New Roman" w:hAnsi="Times New Roman"/>
          <w:b w:val="0"/>
          <w:bCs w:val="0"/>
          <w:i w:val="0"/>
          <w:iCs w:val="0"/>
          <w:sz w:val="22"/>
          <w:szCs w:val="22"/>
          <w:lang w:val="en-GB"/>
        </w:rPr>
      </w:pPr>
      <w:r w:rsidRPr="007D0AC0">
        <w:rPr>
          <w:rStyle w:val="A0"/>
          <w:rFonts w:ascii="Times New Roman" w:hAnsi="Times New Roman"/>
          <w:b w:val="0"/>
          <w:bCs w:val="0"/>
          <w:i w:val="0"/>
          <w:iCs w:val="0"/>
          <w:sz w:val="22"/>
          <w:szCs w:val="22"/>
        </w:rPr>
        <w:t>Otezla</w:t>
      </w:r>
      <w:r w:rsidR="002C493A" w:rsidRPr="007D0AC0">
        <w:rPr>
          <w:rStyle w:val="A0"/>
          <w:rFonts w:ascii="Times New Roman" w:hAnsi="Times New Roman"/>
          <w:b w:val="0"/>
          <w:bCs w:val="0"/>
          <w:i w:val="0"/>
          <w:iCs w:val="0"/>
          <w:sz w:val="22"/>
          <w:szCs w:val="22"/>
        </w:rPr>
        <w:t xml:space="preserve"> 30 mg twice daily resulted in</w:t>
      </w:r>
      <w:r w:rsidR="0038296A" w:rsidRPr="007D0AC0">
        <w:rPr>
          <w:rStyle w:val="A0"/>
          <w:rFonts w:ascii="Times New Roman" w:hAnsi="Times New Roman"/>
          <w:b w:val="0"/>
          <w:bCs w:val="0"/>
          <w:i w:val="0"/>
          <w:iCs w:val="0"/>
          <w:sz w:val="22"/>
          <w:szCs w:val="22"/>
        </w:rPr>
        <w:t xml:space="preserve"> </w:t>
      </w:r>
      <w:r w:rsidR="002C493A" w:rsidRPr="007D0AC0">
        <w:rPr>
          <w:rStyle w:val="A0"/>
          <w:rFonts w:ascii="Times New Roman" w:hAnsi="Times New Roman"/>
          <w:b w:val="0"/>
          <w:bCs w:val="0"/>
          <w:i w:val="0"/>
          <w:iCs w:val="0"/>
          <w:sz w:val="22"/>
          <w:szCs w:val="22"/>
        </w:rPr>
        <w:t>greater improvement for each ACR component</w:t>
      </w:r>
      <w:r w:rsidR="003614ED" w:rsidRPr="007D0AC0">
        <w:rPr>
          <w:rStyle w:val="A0"/>
          <w:rFonts w:ascii="Times New Roman" w:hAnsi="Times New Roman"/>
          <w:b w:val="0"/>
          <w:bCs w:val="0"/>
          <w:i w:val="0"/>
          <w:iCs w:val="0"/>
          <w:sz w:val="22"/>
          <w:szCs w:val="22"/>
        </w:rPr>
        <w:t xml:space="preserve"> </w:t>
      </w:r>
      <w:r w:rsidR="003614ED" w:rsidRPr="007D0AC0">
        <w:rPr>
          <w:noProof/>
          <w:sz w:val="22"/>
          <w:szCs w:val="22"/>
        </w:rPr>
        <w:t xml:space="preserve"> </w:t>
      </w:r>
      <w:r w:rsidR="003614ED" w:rsidRPr="007D0AC0">
        <w:rPr>
          <w:rFonts w:ascii="Times New Roman" w:hAnsi="Times New Roman"/>
          <w:noProof/>
          <w:sz w:val="22"/>
          <w:szCs w:val="22"/>
        </w:rPr>
        <w:t xml:space="preserve">[number of swollen and tender joints, physician and patient assessment of disease activity and patient assessment of pain, </w:t>
      </w:r>
      <w:r w:rsidR="003614ED" w:rsidRPr="007D0AC0">
        <w:rPr>
          <w:rFonts w:ascii="Times New Roman" w:hAnsi="Times New Roman"/>
          <w:iCs/>
          <w:noProof/>
          <w:sz w:val="22"/>
          <w:szCs w:val="22"/>
        </w:rPr>
        <w:t xml:space="preserve">Health Assessment Questionnaire-Disability Index (HAQ-DI) </w:t>
      </w:r>
      <w:r w:rsidR="003614ED" w:rsidRPr="007D0AC0">
        <w:rPr>
          <w:rFonts w:ascii="Times New Roman" w:hAnsi="Times New Roman"/>
          <w:noProof/>
          <w:sz w:val="22"/>
          <w:szCs w:val="22"/>
        </w:rPr>
        <w:t>scores and CRP values]</w:t>
      </w:r>
      <w:r w:rsidR="002C493A" w:rsidRPr="007D0AC0">
        <w:rPr>
          <w:rStyle w:val="A0"/>
          <w:rFonts w:ascii="Times New Roman" w:hAnsi="Times New Roman"/>
          <w:b w:val="0"/>
          <w:bCs w:val="0"/>
          <w:i w:val="0"/>
          <w:iCs w:val="0"/>
          <w:sz w:val="22"/>
          <w:szCs w:val="22"/>
        </w:rPr>
        <w:t xml:space="preserve">, compared to placebo at Weeks 16 and 24 </w:t>
      </w:r>
      <w:r w:rsidR="00BD1429">
        <w:rPr>
          <w:rStyle w:val="A0"/>
          <w:rFonts w:ascii="Times New Roman" w:hAnsi="Times New Roman"/>
          <w:b w:val="0"/>
          <w:bCs w:val="0"/>
          <w:i w:val="0"/>
          <w:iCs w:val="0"/>
          <w:sz w:val="22"/>
          <w:szCs w:val="22"/>
        </w:rPr>
        <w:t>in Study PALACE 1</w:t>
      </w:r>
      <w:r w:rsidR="00D93236" w:rsidRPr="007D0AC0">
        <w:rPr>
          <w:rStyle w:val="A0"/>
          <w:rFonts w:ascii="Times New Roman" w:hAnsi="Times New Roman"/>
          <w:b w:val="0"/>
          <w:bCs w:val="0"/>
          <w:i w:val="0"/>
          <w:iCs w:val="0"/>
          <w:sz w:val="22"/>
          <w:szCs w:val="22"/>
        </w:rPr>
        <w:t xml:space="preserve">.  </w:t>
      </w:r>
      <w:r w:rsidR="002C493A" w:rsidRPr="007D0AC0">
        <w:rPr>
          <w:rStyle w:val="A0"/>
          <w:rFonts w:ascii="Times New Roman" w:hAnsi="Times New Roman"/>
          <w:b w:val="0"/>
          <w:bCs w:val="0"/>
          <w:i w:val="0"/>
          <w:iCs w:val="0"/>
          <w:sz w:val="22"/>
          <w:szCs w:val="22"/>
        </w:rPr>
        <w:t xml:space="preserve">Among patients who </w:t>
      </w:r>
      <w:r w:rsidR="00F81AC5">
        <w:rPr>
          <w:rStyle w:val="A0"/>
          <w:rFonts w:ascii="Times New Roman" w:hAnsi="Times New Roman"/>
          <w:b w:val="0"/>
          <w:bCs w:val="0"/>
          <w:i w:val="0"/>
          <w:iCs w:val="0"/>
          <w:sz w:val="22"/>
          <w:szCs w:val="22"/>
        </w:rPr>
        <w:t xml:space="preserve">were </w:t>
      </w:r>
      <w:r w:rsidR="00F71922">
        <w:rPr>
          <w:rStyle w:val="A0"/>
          <w:rFonts w:ascii="Times New Roman" w:hAnsi="Times New Roman"/>
          <w:b w:val="0"/>
          <w:bCs w:val="0"/>
          <w:i w:val="0"/>
          <w:iCs w:val="0"/>
          <w:sz w:val="22"/>
          <w:szCs w:val="22"/>
        </w:rPr>
        <w:t>continuously treated with</w:t>
      </w:r>
      <w:r w:rsidR="002C493A" w:rsidRPr="007D0AC0">
        <w:rPr>
          <w:rStyle w:val="A0"/>
          <w:rFonts w:ascii="Times New Roman" w:hAnsi="Times New Roman"/>
          <w:b w:val="0"/>
          <w:bCs w:val="0"/>
          <w:i w:val="0"/>
          <w:iCs w:val="0"/>
          <w:sz w:val="22"/>
          <w:szCs w:val="22"/>
        </w:rPr>
        <w:t xml:space="preserve"> </w:t>
      </w:r>
      <w:r w:rsidR="00442613">
        <w:rPr>
          <w:rStyle w:val="A0"/>
          <w:rFonts w:ascii="Times New Roman" w:hAnsi="Times New Roman"/>
          <w:b w:val="0"/>
          <w:bCs w:val="0"/>
          <w:i w:val="0"/>
          <w:iCs w:val="0"/>
          <w:sz w:val="22"/>
          <w:szCs w:val="22"/>
        </w:rPr>
        <w:t>Otezla</w:t>
      </w:r>
      <w:r w:rsidR="002C493A" w:rsidRPr="007D0AC0">
        <w:rPr>
          <w:rStyle w:val="A0"/>
          <w:rFonts w:ascii="Times New Roman" w:hAnsi="Times New Roman"/>
          <w:b w:val="0"/>
          <w:bCs w:val="0"/>
          <w:i w:val="0"/>
          <w:iCs w:val="0"/>
          <w:sz w:val="22"/>
          <w:szCs w:val="22"/>
        </w:rPr>
        <w:t xml:space="preserve">, sustained improvements in individual ACR components </w:t>
      </w:r>
      <w:r w:rsidR="00756BCE">
        <w:rPr>
          <w:rStyle w:val="A0"/>
          <w:rFonts w:ascii="Times New Roman" w:hAnsi="Times New Roman"/>
          <w:b w:val="0"/>
          <w:bCs w:val="0"/>
          <w:i w:val="0"/>
          <w:iCs w:val="0"/>
          <w:sz w:val="22"/>
          <w:szCs w:val="22"/>
        </w:rPr>
        <w:t>were observed at Week 52</w:t>
      </w:r>
      <w:r w:rsidR="00BD1429">
        <w:rPr>
          <w:rStyle w:val="A0"/>
          <w:rFonts w:ascii="Times New Roman" w:hAnsi="Times New Roman"/>
          <w:b w:val="0"/>
          <w:bCs w:val="0"/>
          <w:i w:val="0"/>
          <w:iCs w:val="0"/>
          <w:sz w:val="22"/>
          <w:szCs w:val="22"/>
        </w:rPr>
        <w:t>.  Similar results were observed in Studies PALACE 2 and PALACE 3</w:t>
      </w:r>
      <w:r w:rsidR="0049662A">
        <w:rPr>
          <w:rStyle w:val="A0"/>
          <w:rFonts w:ascii="Times New Roman" w:hAnsi="Times New Roman"/>
          <w:b w:val="0"/>
          <w:bCs w:val="0"/>
          <w:i w:val="0"/>
          <w:iCs w:val="0"/>
          <w:sz w:val="22"/>
          <w:szCs w:val="22"/>
        </w:rPr>
        <w:t xml:space="preserve"> at Weeks 16, 24 and 52</w:t>
      </w:r>
      <w:r w:rsidR="00D93236" w:rsidRPr="007D0AC0">
        <w:rPr>
          <w:rStyle w:val="A0"/>
          <w:rFonts w:ascii="Times New Roman" w:hAnsi="Times New Roman"/>
          <w:b w:val="0"/>
          <w:bCs w:val="0"/>
          <w:i w:val="0"/>
          <w:iCs w:val="0"/>
          <w:sz w:val="22"/>
          <w:szCs w:val="22"/>
        </w:rPr>
        <w:t>.</w:t>
      </w:r>
    </w:p>
    <w:p w:rsidR="00826F44" w:rsidRDefault="00826F44" w:rsidP="00E46E06">
      <w:pPr>
        <w:numPr>
          <w:ilvl w:val="12"/>
          <w:numId w:val="0"/>
        </w:numPr>
        <w:ind w:right="-2"/>
        <w:rPr>
          <w:iCs/>
          <w:noProof/>
          <w:sz w:val="22"/>
          <w:szCs w:val="22"/>
          <w:lang w:val="en-US"/>
        </w:rPr>
      </w:pPr>
    </w:p>
    <w:p w:rsidR="00834E9F" w:rsidRPr="007D0AC0" w:rsidRDefault="00301762" w:rsidP="00E46E06">
      <w:pPr>
        <w:pStyle w:val="Pa8"/>
        <w:spacing w:line="240" w:lineRule="auto"/>
        <w:rPr>
          <w:rStyle w:val="A0"/>
          <w:rFonts w:ascii="Times New Roman" w:hAnsi="Times New Roman"/>
          <w:b w:val="0"/>
          <w:bCs w:val="0"/>
          <w:i w:val="0"/>
          <w:iCs w:val="0"/>
          <w:sz w:val="22"/>
          <w:szCs w:val="22"/>
        </w:rPr>
      </w:pPr>
      <w:r>
        <w:rPr>
          <w:rStyle w:val="A0"/>
          <w:rFonts w:ascii="Times New Roman" w:hAnsi="Times New Roman"/>
          <w:b w:val="0"/>
          <w:bCs w:val="0"/>
          <w:i w:val="0"/>
          <w:iCs w:val="0"/>
          <w:sz w:val="22"/>
          <w:szCs w:val="22"/>
        </w:rPr>
        <w:lastRenderedPageBreak/>
        <w:t>T</w:t>
      </w:r>
      <w:r w:rsidR="00FD13F3" w:rsidRPr="00B95D4D">
        <w:rPr>
          <w:rStyle w:val="A0"/>
          <w:rFonts w:ascii="Times New Roman" w:hAnsi="Times New Roman"/>
          <w:b w:val="0"/>
          <w:bCs w:val="0"/>
          <w:i w:val="0"/>
          <w:iCs w:val="0"/>
          <w:sz w:val="22"/>
          <w:szCs w:val="22"/>
        </w:rPr>
        <w:t xml:space="preserve">he proportion of patients achieving modified PsA response criteria (PsARC) was </w:t>
      </w:r>
      <w:r w:rsidR="00FD13F3" w:rsidRPr="001555F6">
        <w:rPr>
          <w:rStyle w:val="A0"/>
          <w:rFonts w:ascii="Times New Roman" w:hAnsi="Times New Roman"/>
          <w:b w:val="0"/>
          <w:bCs w:val="0"/>
          <w:i w:val="0"/>
          <w:iCs w:val="0"/>
          <w:sz w:val="22"/>
          <w:szCs w:val="22"/>
        </w:rPr>
        <w:t>significantly</w:t>
      </w:r>
      <w:r w:rsidR="00FD13F3" w:rsidRPr="00B95D4D">
        <w:rPr>
          <w:rStyle w:val="A0"/>
          <w:rFonts w:ascii="Times New Roman" w:hAnsi="Times New Roman"/>
          <w:b w:val="0"/>
          <w:bCs w:val="0"/>
          <w:i w:val="0"/>
          <w:iCs w:val="0"/>
        </w:rPr>
        <w:t xml:space="preserve"> </w:t>
      </w:r>
      <w:r w:rsidR="00FD13F3" w:rsidRPr="00B95D4D">
        <w:rPr>
          <w:rStyle w:val="A0"/>
          <w:rFonts w:ascii="Times New Roman" w:hAnsi="Times New Roman"/>
          <w:b w:val="0"/>
          <w:bCs w:val="0"/>
          <w:i w:val="0"/>
          <w:iCs w:val="0"/>
          <w:sz w:val="22"/>
          <w:szCs w:val="22"/>
        </w:rPr>
        <w:t xml:space="preserve">greater in the Otezla </w:t>
      </w:r>
      <w:r w:rsidR="00C75DF4" w:rsidRPr="007D0AC0">
        <w:rPr>
          <w:rStyle w:val="A0"/>
          <w:rFonts w:ascii="Times New Roman" w:hAnsi="Times New Roman"/>
          <w:b w:val="0"/>
          <w:bCs w:val="0"/>
          <w:i w:val="0"/>
          <w:iCs w:val="0"/>
          <w:sz w:val="22"/>
          <w:szCs w:val="22"/>
        </w:rPr>
        <w:t xml:space="preserve">30 mg twice daily </w:t>
      </w:r>
      <w:r w:rsidR="00FD13F3" w:rsidRPr="00B95D4D">
        <w:rPr>
          <w:rStyle w:val="A0"/>
          <w:rFonts w:ascii="Times New Roman" w:hAnsi="Times New Roman"/>
          <w:b w:val="0"/>
          <w:bCs w:val="0"/>
          <w:i w:val="0"/>
          <w:iCs w:val="0"/>
          <w:sz w:val="22"/>
          <w:szCs w:val="22"/>
        </w:rPr>
        <w:t xml:space="preserve">group compared </w:t>
      </w:r>
      <w:r>
        <w:rPr>
          <w:rStyle w:val="A0"/>
          <w:rFonts w:ascii="Times New Roman" w:hAnsi="Times New Roman"/>
          <w:b w:val="0"/>
          <w:bCs w:val="0"/>
          <w:i w:val="0"/>
          <w:iCs w:val="0"/>
          <w:sz w:val="22"/>
          <w:szCs w:val="22"/>
        </w:rPr>
        <w:t>to</w:t>
      </w:r>
      <w:r w:rsidR="00FD13F3" w:rsidRPr="00B95D4D">
        <w:rPr>
          <w:rStyle w:val="A0"/>
          <w:rFonts w:ascii="Times New Roman" w:hAnsi="Times New Roman"/>
          <w:b w:val="0"/>
          <w:bCs w:val="0"/>
          <w:i w:val="0"/>
          <w:iCs w:val="0"/>
          <w:sz w:val="22"/>
          <w:szCs w:val="22"/>
        </w:rPr>
        <w:t xml:space="preserve"> placebo at Week 16 (46.4% and 29.8% </w:t>
      </w:r>
      <w:r w:rsidR="00EE5EDB">
        <w:rPr>
          <w:rStyle w:val="A0"/>
          <w:rFonts w:ascii="Times New Roman" w:hAnsi="Times New Roman"/>
          <w:b w:val="0"/>
          <w:bCs w:val="0"/>
          <w:i w:val="0"/>
          <w:iCs w:val="0"/>
          <w:sz w:val="22"/>
          <w:szCs w:val="22"/>
        </w:rPr>
        <w:t xml:space="preserve">respectively; </w:t>
      </w:r>
      <w:r w:rsidR="00FD13F3" w:rsidRPr="00B95D4D">
        <w:rPr>
          <w:rFonts w:ascii="Times New Roman" w:hAnsi="Times New Roman"/>
          <w:color w:val="211D1E"/>
          <w:sz w:val="22"/>
          <w:szCs w:val="22"/>
          <w:lang w:eastAsia="ja-JP"/>
        </w:rPr>
        <w:t>p &lt; 0.01</w:t>
      </w:r>
      <w:r w:rsidR="00FD13F3" w:rsidRPr="00B95D4D">
        <w:rPr>
          <w:rStyle w:val="A0"/>
          <w:rFonts w:ascii="Times New Roman" w:hAnsi="Times New Roman"/>
          <w:b w:val="0"/>
          <w:bCs w:val="0"/>
          <w:i w:val="0"/>
          <w:iCs w:val="0"/>
          <w:sz w:val="22"/>
          <w:szCs w:val="22"/>
        </w:rPr>
        <w:t>)</w:t>
      </w:r>
      <w:r>
        <w:rPr>
          <w:rStyle w:val="A0"/>
          <w:rFonts w:ascii="Times New Roman" w:hAnsi="Times New Roman"/>
          <w:b w:val="0"/>
          <w:bCs w:val="0"/>
          <w:i w:val="0"/>
          <w:iCs w:val="0"/>
          <w:sz w:val="22"/>
          <w:szCs w:val="22"/>
        </w:rPr>
        <w:t xml:space="preserve"> i</w:t>
      </w:r>
      <w:r w:rsidRPr="00B95D4D">
        <w:rPr>
          <w:rStyle w:val="A0"/>
          <w:rFonts w:ascii="Times New Roman" w:hAnsi="Times New Roman"/>
          <w:b w:val="0"/>
          <w:bCs w:val="0"/>
          <w:i w:val="0"/>
          <w:iCs w:val="0"/>
          <w:sz w:val="22"/>
          <w:szCs w:val="22"/>
        </w:rPr>
        <w:t>n Study PALACE</w:t>
      </w:r>
      <w:r>
        <w:rPr>
          <w:rStyle w:val="A0"/>
          <w:rFonts w:ascii="Times New Roman" w:hAnsi="Times New Roman"/>
          <w:b w:val="0"/>
          <w:bCs w:val="0"/>
          <w:i w:val="0"/>
          <w:iCs w:val="0"/>
          <w:sz w:val="22"/>
          <w:szCs w:val="22"/>
        </w:rPr>
        <w:t xml:space="preserve"> 1.  T</w:t>
      </w:r>
      <w:r w:rsidR="00612C4C">
        <w:rPr>
          <w:rStyle w:val="A0"/>
          <w:rFonts w:ascii="Times New Roman" w:hAnsi="Times New Roman"/>
          <w:b w:val="0"/>
          <w:bCs w:val="0"/>
          <w:i w:val="0"/>
          <w:iCs w:val="0"/>
          <w:sz w:val="22"/>
          <w:szCs w:val="22"/>
        </w:rPr>
        <w:t>he response was</w:t>
      </w:r>
      <w:r>
        <w:rPr>
          <w:rStyle w:val="A0"/>
          <w:rFonts w:ascii="Times New Roman" w:hAnsi="Times New Roman"/>
          <w:b w:val="0"/>
          <w:bCs w:val="0"/>
          <w:i w:val="0"/>
          <w:iCs w:val="0"/>
          <w:sz w:val="22"/>
          <w:szCs w:val="22"/>
        </w:rPr>
        <w:t xml:space="preserve"> </w:t>
      </w:r>
      <w:r w:rsidR="00C75DF4" w:rsidRPr="00301762">
        <w:rPr>
          <w:rFonts w:ascii="Times New Roman" w:hAnsi="Times New Roman"/>
          <w:sz w:val="22"/>
          <w:szCs w:val="22"/>
        </w:rPr>
        <w:t>maintained at Week 24</w:t>
      </w:r>
      <w:r w:rsidR="001E326F">
        <w:rPr>
          <w:rFonts w:ascii="Times New Roman" w:hAnsi="Times New Roman"/>
          <w:sz w:val="22"/>
          <w:szCs w:val="22"/>
        </w:rPr>
        <w:t>.</w:t>
      </w:r>
      <w:r w:rsidR="00FF4C47">
        <w:rPr>
          <w:rFonts w:ascii="Times New Roman" w:hAnsi="Times New Roman"/>
          <w:sz w:val="22"/>
          <w:szCs w:val="22"/>
        </w:rPr>
        <w:t xml:space="preserve"> </w:t>
      </w:r>
      <w:r w:rsidR="00FA7343">
        <w:rPr>
          <w:rFonts w:ascii="Times New Roman" w:hAnsi="Times New Roman"/>
          <w:sz w:val="22"/>
          <w:szCs w:val="22"/>
        </w:rPr>
        <w:t>A</w:t>
      </w:r>
      <w:r w:rsidR="00FD13F3" w:rsidRPr="00B95D4D">
        <w:rPr>
          <w:rStyle w:val="A0"/>
          <w:rFonts w:ascii="Times New Roman" w:hAnsi="Times New Roman"/>
          <w:b w:val="0"/>
          <w:bCs w:val="0"/>
          <w:i w:val="0"/>
          <w:iCs w:val="0"/>
          <w:sz w:val="22"/>
          <w:szCs w:val="22"/>
        </w:rPr>
        <w:t xml:space="preserve">mong patients who </w:t>
      </w:r>
      <w:r w:rsidR="00F71922">
        <w:rPr>
          <w:rStyle w:val="A0"/>
          <w:rFonts w:ascii="Times New Roman" w:hAnsi="Times New Roman"/>
          <w:b w:val="0"/>
          <w:bCs w:val="0"/>
          <w:i w:val="0"/>
          <w:iCs w:val="0"/>
          <w:sz w:val="22"/>
          <w:szCs w:val="22"/>
        </w:rPr>
        <w:t>were continuously treated with</w:t>
      </w:r>
      <w:r w:rsidR="00FF4C47">
        <w:rPr>
          <w:rStyle w:val="A0"/>
          <w:rFonts w:ascii="Times New Roman" w:hAnsi="Times New Roman"/>
          <w:b w:val="0"/>
          <w:bCs w:val="0"/>
          <w:i w:val="0"/>
          <w:iCs w:val="0"/>
          <w:sz w:val="22"/>
          <w:szCs w:val="22"/>
        </w:rPr>
        <w:t xml:space="preserve"> Otezla, </w:t>
      </w:r>
      <w:r w:rsidR="001E326F">
        <w:rPr>
          <w:rStyle w:val="A0"/>
          <w:rFonts w:ascii="Times New Roman" w:hAnsi="Times New Roman"/>
          <w:b w:val="0"/>
          <w:bCs w:val="0"/>
          <w:i w:val="0"/>
          <w:iCs w:val="0"/>
          <w:sz w:val="22"/>
          <w:szCs w:val="22"/>
        </w:rPr>
        <w:t xml:space="preserve">a PsARC response of 73.6% was observed </w:t>
      </w:r>
      <w:r w:rsidR="00FD13F3" w:rsidRPr="00B95D4D">
        <w:rPr>
          <w:rStyle w:val="A0"/>
          <w:rFonts w:ascii="Times New Roman" w:hAnsi="Times New Roman"/>
          <w:b w:val="0"/>
          <w:bCs w:val="0"/>
          <w:i w:val="0"/>
          <w:iCs w:val="0"/>
          <w:sz w:val="22"/>
          <w:szCs w:val="22"/>
        </w:rPr>
        <w:t xml:space="preserve">at </w:t>
      </w:r>
      <w:r w:rsidR="00FD13F3" w:rsidRPr="000B36A0">
        <w:rPr>
          <w:rStyle w:val="A0"/>
          <w:rFonts w:ascii="Times New Roman" w:hAnsi="Times New Roman"/>
          <w:b w:val="0"/>
          <w:bCs w:val="0"/>
          <w:i w:val="0"/>
          <w:iCs w:val="0"/>
          <w:sz w:val="22"/>
          <w:szCs w:val="22"/>
        </w:rPr>
        <w:t>Week 52.</w:t>
      </w:r>
      <w:r w:rsidR="00FD13F3" w:rsidRPr="00B95D4D">
        <w:rPr>
          <w:rStyle w:val="A0"/>
          <w:rFonts w:ascii="Times New Roman" w:hAnsi="Times New Roman"/>
          <w:b w:val="0"/>
          <w:bCs w:val="0"/>
          <w:i w:val="0"/>
          <w:iCs w:val="0"/>
          <w:sz w:val="22"/>
          <w:szCs w:val="22"/>
        </w:rPr>
        <w:t xml:space="preserve">  </w:t>
      </w:r>
      <w:r w:rsidR="001E326F" w:rsidRPr="001E326F">
        <w:rPr>
          <w:rStyle w:val="A0"/>
          <w:rFonts w:ascii="Times New Roman" w:hAnsi="Times New Roman"/>
          <w:b w:val="0"/>
          <w:bCs w:val="0"/>
          <w:i w:val="0"/>
          <w:iCs w:val="0"/>
          <w:sz w:val="22"/>
          <w:szCs w:val="22"/>
        </w:rPr>
        <w:t xml:space="preserve"> </w:t>
      </w:r>
      <w:r w:rsidR="00FD13F3" w:rsidRPr="00B95D4D">
        <w:rPr>
          <w:rStyle w:val="A0"/>
          <w:rFonts w:ascii="Times New Roman" w:hAnsi="Times New Roman"/>
          <w:b w:val="0"/>
          <w:bCs w:val="0"/>
          <w:i w:val="0"/>
          <w:iCs w:val="0"/>
          <w:sz w:val="22"/>
          <w:szCs w:val="22"/>
        </w:rPr>
        <w:t>Similar results were observed in Studies PALACE 2 and PALACE 3</w:t>
      </w:r>
      <w:r w:rsidR="00867333">
        <w:rPr>
          <w:rStyle w:val="A0"/>
          <w:rFonts w:ascii="Times New Roman" w:hAnsi="Times New Roman"/>
          <w:b w:val="0"/>
          <w:bCs w:val="0"/>
          <w:i w:val="0"/>
          <w:iCs w:val="0"/>
          <w:sz w:val="22"/>
          <w:szCs w:val="22"/>
        </w:rPr>
        <w:t xml:space="preserve"> at Weeks 16, 24 and 52</w:t>
      </w:r>
      <w:r w:rsidR="00FD13F3" w:rsidRPr="00B95D4D">
        <w:rPr>
          <w:rStyle w:val="A0"/>
          <w:rFonts w:ascii="Times New Roman" w:hAnsi="Times New Roman"/>
          <w:b w:val="0"/>
          <w:bCs w:val="0"/>
          <w:i w:val="0"/>
          <w:iCs w:val="0"/>
          <w:sz w:val="22"/>
          <w:szCs w:val="22"/>
        </w:rPr>
        <w:t>.</w:t>
      </w:r>
    </w:p>
    <w:p w:rsidR="002072CF" w:rsidRPr="007D0AC0" w:rsidRDefault="002072CF" w:rsidP="00E46E06">
      <w:pPr>
        <w:numPr>
          <w:ilvl w:val="12"/>
          <w:numId w:val="0"/>
        </w:numPr>
        <w:ind w:right="-2"/>
        <w:rPr>
          <w:iCs/>
          <w:noProof/>
          <w:sz w:val="22"/>
          <w:szCs w:val="22"/>
          <w:lang w:val="en-US"/>
        </w:rPr>
      </w:pPr>
    </w:p>
    <w:p w:rsidR="00B20134" w:rsidRDefault="00B20134" w:rsidP="00E46E06">
      <w:pPr>
        <w:pStyle w:val="Pa8"/>
        <w:spacing w:line="240" w:lineRule="auto"/>
        <w:rPr>
          <w:rStyle w:val="A0"/>
          <w:rFonts w:ascii="Times New Roman" w:hAnsi="Times New Roman"/>
          <w:b w:val="0"/>
          <w:bCs w:val="0"/>
          <w:i w:val="0"/>
          <w:iCs w:val="0"/>
          <w:sz w:val="22"/>
          <w:szCs w:val="22"/>
        </w:rPr>
      </w:pPr>
      <w:r w:rsidRPr="007D0AC0">
        <w:rPr>
          <w:rStyle w:val="A0"/>
          <w:rFonts w:ascii="Times New Roman" w:hAnsi="Times New Roman"/>
          <w:b w:val="0"/>
          <w:bCs w:val="0"/>
          <w:i w:val="0"/>
          <w:iCs w:val="0"/>
          <w:sz w:val="22"/>
          <w:szCs w:val="22"/>
        </w:rPr>
        <w:t xml:space="preserve">A greater proportion of patients treated with </w:t>
      </w:r>
      <w:r w:rsidR="00050DA3">
        <w:rPr>
          <w:rStyle w:val="A0"/>
          <w:rFonts w:ascii="Times New Roman" w:hAnsi="Times New Roman"/>
          <w:b w:val="0"/>
          <w:bCs w:val="0"/>
          <w:i w:val="0"/>
          <w:iCs w:val="0"/>
          <w:sz w:val="22"/>
          <w:szCs w:val="22"/>
        </w:rPr>
        <w:t>Otezla</w:t>
      </w:r>
      <w:r w:rsidRPr="007D0AC0">
        <w:rPr>
          <w:rStyle w:val="A0"/>
          <w:rFonts w:ascii="Times New Roman" w:hAnsi="Times New Roman"/>
          <w:b w:val="0"/>
          <w:bCs w:val="0"/>
          <w:i w:val="0"/>
          <w:iCs w:val="0"/>
          <w:sz w:val="22"/>
          <w:szCs w:val="22"/>
        </w:rPr>
        <w:t xml:space="preserve"> 30 mg twice daily achieved remission, as measure</w:t>
      </w:r>
      <w:r w:rsidRPr="00B20134">
        <w:rPr>
          <w:rStyle w:val="A0"/>
          <w:rFonts w:ascii="Times New Roman" w:hAnsi="Times New Roman"/>
          <w:b w:val="0"/>
          <w:bCs w:val="0"/>
          <w:i w:val="0"/>
          <w:iCs w:val="0"/>
          <w:sz w:val="22"/>
          <w:szCs w:val="22"/>
        </w:rPr>
        <w:t xml:space="preserve">d by a DAS28 (CRP) less than 2.6, compared </w:t>
      </w:r>
      <w:r w:rsidR="0054206D">
        <w:rPr>
          <w:rStyle w:val="A0"/>
          <w:rFonts w:ascii="Times New Roman" w:hAnsi="Times New Roman"/>
          <w:b w:val="0"/>
          <w:bCs w:val="0"/>
          <w:i w:val="0"/>
          <w:iCs w:val="0"/>
          <w:sz w:val="22"/>
          <w:szCs w:val="22"/>
        </w:rPr>
        <w:t>to placebo at Weeks 16 (13.1% and</w:t>
      </w:r>
      <w:r w:rsidRPr="00B20134">
        <w:rPr>
          <w:rStyle w:val="A0"/>
          <w:rFonts w:ascii="Times New Roman" w:hAnsi="Times New Roman"/>
          <w:b w:val="0"/>
          <w:bCs w:val="0"/>
          <w:i w:val="0"/>
          <w:iCs w:val="0"/>
          <w:sz w:val="22"/>
          <w:szCs w:val="22"/>
        </w:rPr>
        <w:t xml:space="preserve"> 3.6%</w:t>
      </w:r>
      <w:r w:rsidR="003934FF">
        <w:rPr>
          <w:rStyle w:val="A0"/>
          <w:rFonts w:ascii="Times New Roman" w:hAnsi="Times New Roman"/>
          <w:b w:val="0"/>
          <w:bCs w:val="0"/>
          <w:i w:val="0"/>
          <w:iCs w:val="0"/>
          <w:sz w:val="22"/>
          <w:szCs w:val="22"/>
        </w:rPr>
        <w:t xml:space="preserve"> respectively</w:t>
      </w:r>
      <w:r w:rsidRPr="00B20134">
        <w:rPr>
          <w:rStyle w:val="A0"/>
          <w:rFonts w:ascii="Times New Roman" w:hAnsi="Times New Roman"/>
          <w:b w:val="0"/>
          <w:bCs w:val="0"/>
          <w:i w:val="0"/>
          <w:iCs w:val="0"/>
          <w:sz w:val="22"/>
          <w:szCs w:val="22"/>
        </w:rPr>
        <w:t xml:space="preserve">; </w:t>
      </w:r>
      <w:r w:rsidR="000B36A0">
        <w:rPr>
          <w:rFonts w:ascii="Times New Roman" w:hAnsi="Times New Roman"/>
          <w:color w:val="211D1E"/>
          <w:sz w:val="22"/>
          <w:szCs w:val="22"/>
          <w:lang w:eastAsia="ja-JP"/>
        </w:rPr>
        <w:t>p &lt; </w:t>
      </w:r>
      <w:r w:rsidRPr="00B20134">
        <w:rPr>
          <w:rFonts w:ascii="Times New Roman" w:hAnsi="Times New Roman"/>
          <w:color w:val="211D1E"/>
          <w:sz w:val="22"/>
          <w:szCs w:val="22"/>
          <w:lang w:eastAsia="ja-JP"/>
        </w:rPr>
        <w:t>0.01</w:t>
      </w:r>
      <w:r w:rsidRPr="00B20134">
        <w:rPr>
          <w:rStyle w:val="A0"/>
          <w:rFonts w:ascii="Times New Roman" w:hAnsi="Times New Roman"/>
          <w:b w:val="0"/>
          <w:bCs w:val="0"/>
          <w:i w:val="0"/>
          <w:iCs w:val="0"/>
          <w:sz w:val="22"/>
          <w:szCs w:val="22"/>
        </w:rPr>
        <w:t>) in</w:t>
      </w:r>
      <w:r w:rsidRPr="007D0AC0">
        <w:rPr>
          <w:rStyle w:val="A0"/>
          <w:rFonts w:ascii="Times New Roman" w:hAnsi="Times New Roman"/>
          <w:b w:val="0"/>
          <w:bCs w:val="0"/>
          <w:i w:val="0"/>
          <w:iCs w:val="0"/>
          <w:sz w:val="22"/>
          <w:szCs w:val="22"/>
        </w:rPr>
        <w:t xml:space="preserve"> Study PALACE 1.  </w:t>
      </w:r>
      <w:r w:rsidR="00301762" w:rsidRPr="00301762">
        <w:rPr>
          <w:rStyle w:val="A0"/>
          <w:rFonts w:ascii="Times New Roman" w:hAnsi="Times New Roman"/>
          <w:b w:val="0"/>
          <w:bCs w:val="0"/>
          <w:i w:val="0"/>
          <w:iCs w:val="0"/>
          <w:sz w:val="22"/>
          <w:szCs w:val="22"/>
        </w:rPr>
        <w:t xml:space="preserve">The </w:t>
      </w:r>
      <w:r w:rsidR="00DC7906">
        <w:rPr>
          <w:rFonts w:ascii="Times New Roman" w:hAnsi="Times New Roman"/>
          <w:sz w:val="22"/>
          <w:szCs w:val="22"/>
        </w:rPr>
        <w:t>r</w:t>
      </w:r>
      <w:r w:rsidR="00301762">
        <w:rPr>
          <w:rFonts w:ascii="Times New Roman" w:hAnsi="Times New Roman"/>
          <w:sz w:val="22"/>
          <w:szCs w:val="22"/>
        </w:rPr>
        <w:t xml:space="preserve">esponse </w:t>
      </w:r>
      <w:r w:rsidR="00612C4C">
        <w:rPr>
          <w:rFonts w:ascii="Times New Roman" w:hAnsi="Times New Roman"/>
          <w:sz w:val="22"/>
          <w:szCs w:val="22"/>
        </w:rPr>
        <w:t>was</w:t>
      </w:r>
      <w:r w:rsidR="00301762" w:rsidRPr="00301762">
        <w:rPr>
          <w:rFonts w:ascii="Times New Roman" w:hAnsi="Times New Roman"/>
          <w:sz w:val="22"/>
          <w:szCs w:val="22"/>
        </w:rPr>
        <w:t xml:space="preserve"> maintained at Week 24</w:t>
      </w:r>
      <w:r w:rsidR="001E326F">
        <w:rPr>
          <w:rFonts w:ascii="Times New Roman" w:hAnsi="Times New Roman"/>
          <w:sz w:val="22"/>
          <w:szCs w:val="22"/>
        </w:rPr>
        <w:t xml:space="preserve">.  </w:t>
      </w:r>
      <w:r w:rsidR="001E326F">
        <w:rPr>
          <w:rStyle w:val="A0"/>
          <w:rFonts w:ascii="Times New Roman" w:hAnsi="Times New Roman"/>
          <w:b w:val="0"/>
          <w:bCs w:val="0"/>
          <w:i w:val="0"/>
          <w:iCs w:val="0"/>
          <w:sz w:val="22"/>
          <w:szCs w:val="22"/>
        </w:rPr>
        <w:t>A</w:t>
      </w:r>
      <w:r w:rsidRPr="007D0AC0">
        <w:rPr>
          <w:rStyle w:val="A0"/>
          <w:rFonts w:ascii="Times New Roman" w:hAnsi="Times New Roman"/>
          <w:b w:val="0"/>
          <w:bCs w:val="0"/>
          <w:i w:val="0"/>
          <w:iCs w:val="0"/>
          <w:sz w:val="22"/>
          <w:szCs w:val="22"/>
        </w:rPr>
        <w:t xml:space="preserve">mong patients who </w:t>
      </w:r>
      <w:r w:rsidR="00F71922">
        <w:rPr>
          <w:rStyle w:val="A0"/>
          <w:rFonts w:ascii="Times New Roman" w:hAnsi="Times New Roman"/>
          <w:b w:val="0"/>
          <w:bCs w:val="0"/>
          <w:i w:val="0"/>
          <w:iCs w:val="0"/>
          <w:sz w:val="22"/>
          <w:szCs w:val="22"/>
        </w:rPr>
        <w:t>were continuously treated with</w:t>
      </w:r>
      <w:r w:rsidRPr="007D0AC0">
        <w:rPr>
          <w:rStyle w:val="A0"/>
          <w:rFonts w:ascii="Times New Roman" w:hAnsi="Times New Roman"/>
          <w:b w:val="0"/>
          <w:bCs w:val="0"/>
          <w:i w:val="0"/>
          <w:iCs w:val="0"/>
          <w:sz w:val="22"/>
          <w:szCs w:val="22"/>
        </w:rPr>
        <w:t xml:space="preserve"> </w:t>
      </w:r>
      <w:r w:rsidR="00050DA3">
        <w:rPr>
          <w:rStyle w:val="A0"/>
          <w:rFonts w:ascii="Times New Roman" w:hAnsi="Times New Roman"/>
          <w:b w:val="0"/>
          <w:bCs w:val="0"/>
          <w:i w:val="0"/>
          <w:iCs w:val="0"/>
          <w:sz w:val="22"/>
          <w:szCs w:val="22"/>
        </w:rPr>
        <w:t>Otezla</w:t>
      </w:r>
      <w:r w:rsidRPr="007D0AC0">
        <w:rPr>
          <w:rStyle w:val="A0"/>
          <w:rFonts w:ascii="Times New Roman" w:hAnsi="Times New Roman"/>
          <w:b w:val="0"/>
          <w:bCs w:val="0"/>
          <w:i w:val="0"/>
          <w:iCs w:val="0"/>
          <w:sz w:val="22"/>
          <w:szCs w:val="22"/>
        </w:rPr>
        <w:t xml:space="preserve">, </w:t>
      </w:r>
      <w:r w:rsidR="001E326F">
        <w:rPr>
          <w:rStyle w:val="A0"/>
          <w:rFonts w:ascii="Times New Roman" w:hAnsi="Times New Roman"/>
          <w:b w:val="0"/>
          <w:bCs w:val="0"/>
          <w:i w:val="0"/>
          <w:iCs w:val="0"/>
          <w:sz w:val="22"/>
          <w:szCs w:val="22"/>
        </w:rPr>
        <w:t xml:space="preserve">a DAS28 (CRP) response of 23.3% was observed </w:t>
      </w:r>
      <w:r w:rsidR="00DE0A75" w:rsidRPr="000B36A0">
        <w:rPr>
          <w:rStyle w:val="A0"/>
          <w:rFonts w:ascii="Times New Roman" w:hAnsi="Times New Roman"/>
          <w:b w:val="0"/>
          <w:bCs w:val="0"/>
          <w:i w:val="0"/>
          <w:iCs w:val="0"/>
          <w:sz w:val="22"/>
          <w:szCs w:val="22"/>
        </w:rPr>
        <w:t>at Week 52</w:t>
      </w:r>
      <w:r w:rsidRPr="000B36A0">
        <w:rPr>
          <w:rStyle w:val="A0"/>
          <w:rFonts w:ascii="Times New Roman" w:hAnsi="Times New Roman"/>
          <w:b w:val="0"/>
          <w:bCs w:val="0"/>
          <w:i w:val="0"/>
          <w:iCs w:val="0"/>
          <w:sz w:val="22"/>
          <w:szCs w:val="22"/>
        </w:rPr>
        <w:t>.</w:t>
      </w:r>
      <w:r w:rsidRPr="007D0AC0">
        <w:rPr>
          <w:rStyle w:val="A0"/>
          <w:rFonts w:ascii="Times New Roman" w:hAnsi="Times New Roman"/>
          <w:b w:val="0"/>
          <w:bCs w:val="0"/>
          <w:i w:val="0"/>
          <w:iCs w:val="0"/>
          <w:sz w:val="22"/>
          <w:szCs w:val="22"/>
        </w:rPr>
        <w:t xml:space="preserve">  Similar results were observed in Studies PALACE 2 and PALACE 3 </w:t>
      </w:r>
      <w:r w:rsidR="006B7504">
        <w:rPr>
          <w:rStyle w:val="A0"/>
          <w:rFonts w:ascii="Times New Roman" w:hAnsi="Times New Roman"/>
          <w:b w:val="0"/>
          <w:bCs w:val="0"/>
          <w:i w:val="0"/>
          <w:iCs w:val="0"/>
          <w:sz w:val="22"/>
          <w:szCs w:val="22"/>
        </w:rPr>
        <w:t>at</w:t>
      </w:r>
      <w:r w:rsidR="006B7504" w:rsidRPr="007D0AC0">
        <w:rPr>
          <w:rStyle w:val="A0"/>
          <w:rFonts w:ascii="Times New Roman" w:hAnsi="Times New Roman"/>
          <w:b w:val="0"/>
          <w:bCs w:val="0"/>
          <w:i w:val="0"/>
          <w:iCs w:val="0"/>
          <w:sz w:val="22"/>
          <w:szCs w:val="22"/>
        </w:rPr>
        <w:t xml:space="preserve"> </w:t>
      </w:r>
      <w:r w:rsidR="006B7504">
        <w:rPr>
          <w:rStyle w:val="A0"/>
          <w:rFonts w:ascii="Times New Roman" w:hAnsi="Times New Roman"/>
          <w:b w:val="0"/>
          <w:bCs w:val="0"/>
          <w:i w:val="0"/>
          <w:iCs w:val="0"/>
          <w:sz w:val="22"/>
          <w:szCs w:val="22"/>
        </w:rPr>
        <w:t>W</w:t>
      </w:r>
      <w:r w:rsidRPr="007D0AC0">
        <w:rPr>
          <w:rStyle w:val="A0"/>
          <w:rFonts w:ascii="Times New Roman" w:hAnsi="Times New Roman"/>
          <w:b w:val="0"/>
          <w:bCs w:val="0"/>
          <w:i w:val="0"/>
          <w:iCs w:val="0"/>
          <w:sz w:val="22"/>
          <w:szCs w:val="22"/>
        </w:rPr>
        <w:t>eeks 16, 24 and 52.</w:t>
      </w:r>
    </w:p>
    <w:p w:rsidR="00867333" w:rsidRPr="007D0AC0" w:rsidRDefault="00867333" w:rsidP="00E46E06">
      <w:pPr>
        <w:pStyle w:val="Pa8"/>
        <w:spacing w:line="240" w:lineRule="auto"/>
        <w:rPr>
          <w:rStyle w:val="A0"/>
          <w:rFonts w:ascii="Times New Roman" w:hAnsi="Times New Roman"/>
          <w:b w:val="0"/>
          <w:bCs w:val="0"/>
          <w:i w:val="0"/>
          <w:iCs w:val="0"/>
        </w:rPr>
      </w:pPr>
    </w:p>
    <w:p w:rsidR="003A71E5" w:rsidRPr="008C441C" w:rsidRDefault="003A71E5" w:rsidP="00E46E06">
      <w:pPr>
        <w:pStyle w:val="Pa8"/>
        <w:spacing w:line="240" w:lineRule="auto"/>
        <w:rPr>
          <w:rStyle w:val="A0"/>
          <w:rFonts w:ascii="Times New Roman" w:hAnsi="Times New Roman"/>
          <w:b w:val="0"/>
          <w:bCs w:val="0"/>
          <w:i w:val="0"/>
          <w:iCs w:val="0"/>
          <w:sz w:val="22"/>
          <w:szCs w:val="22"/>
        </w:rPr>
      </w:pPr>
      <w:r w:rsidRPr="008C441C">
        <w:rPr>
          <w:rStyle w:val="A0"/>
          <w:rFonts w:ascii="Times New Roman" w:hAnsi="Times New Roman"/>
          <w:b w:val="0"/>
          <w:bCs w:val="0"/>
          <w:i w:val="0"/>
          <w:iCs w:val="0"/>
          <w:sz w:val="22"/>
          <w:szCs w:val="22"/>
        </w:rPr>
        <w:t xml:space="preserve">In patients with pre-existing enthesitis or dactylitis, treatment with </w:t>
      </w:r>
      <w:r>
        <w:rPr>
          <w:rStyle w:val="A0"/>
          <w:rFonts w:ascii="Times New Roman" w:hAnsi="Times New Roman"/>
          <w:b w:val="0"/>
          <w:bCs w:val="0"/>
          <w:i w:val="0"/>
          <w:iCs w:val="0"/>
          <w:sz w:val="22"/>
          <w:szCs w:val="22"/>
        </w:rPr>
        <w:t>Otezla</w:t>
      </w:r>
      <w:r w:rsidRPr="008C441C">
        <w:rPr>
          <w:rStyle w:val="A0"/>
          <w:rFonts w:ascii="Times New Roman" w:hAnsi="Times New Roman"/>
          <w:b w:val="0"/>
          <w:bCs w:val="0"/>
          <w:i w:val="0"/>
          <w:iCs w:val="0"/>
          <w:sz w:val="22"/>
          <w:szCs w:val="22"/>
        </w:rPr>
        <w:t xml:space="preserve"> </w:t>
      </w:r>
      <w:r w:rsidR="00FF4C47">
        <w:rPr>
          <w:rStyle w:val="A0"/>
          <w:rFonts w:ascii="Times New Roman" w:hAnsi="Times New Roman"/>
          <w:b w:val="0"/>
          <w:bCs w:val="0"/>
          <w:i w:val="0"/>
          <w:iCs w:val="0"/>
          <w:sz w:val="22"/>
          <w:szCs w:val="22"/>
        </w:rPr>
        <w:t xml:space="preserve">30 mg twice daily </w:t>
      </w:r>
      <w:r w:rsidRPr="008C441C">
        <w:rPr>
          <w:rStyle w:val="A0"/>
          <w:rFonts w:ascii="Times New Roman" w:hAnsi="Times New Roman"/>
          <w:b w:val="0"/>
          <w:bCs w:val="0"/>
          <w:i w:val="0"/>
          <w:iCs w:val="0"/>
          <w:sz w:val="22"/>
          <w:szCs w:val="22"/>
        </w:rPr>
        <w:t xml:space="preserve">resulted in improvement in enthesitis and dactylitis.  Among patients who </w:t>
      </w:r>
      <w:r w:rsidR="00F71922">
        <w:rPr>
          <w:rStyle w:val="A0"/>
          <w:rFonts w:ascii="Times New Roman" w:hAnsi="Times New Roman"/>
          <w:b w:val="0"/>
          <w:bCs w:val="0"/>
          <w:i w:val="0"/>
          <w:iCs w:val="0"/>
          <w:sz w:val="22"/>
          <w:szCs w:val="22"/>
        </w:rPr>
        <w:t>were continuously treated with</w:t>
      </w:r>
      <w:r w:rsidRPr="008C441C">
        <w:rPr>
          <w:rStyle w:val="A0"/>
          <w:rFonts w:ascii="Times New Roman" w:hAnsi="Times New Roman"/>
          <w:b w:val="0"/>
          <w:bCs w:val="0"/>
          <w:i w:val="0"/>
          <w:iCs w:val="0"/>
          <w:sz w:val="22"/>
          <w:szCs w:val="22"/>
        </w:rPr>
        <w:t xml:space="preserve"> </w:t>
      </w:r>
      <w:r>
        <w:rPr>
          <w:rStyle w:val="A0"/>
          <w:rFonts w:ascii="Times New Roman" w:hAnsi="Times New Roman"/>
          <w:b w:val="0"/>
          <w:bCs w:val="0"/>
          <w:i w:val="0"/>
          <w:iCs w:val="0"/>
          <w:sz w:val="22"/>
          <w:szCs w:val="22"/>
        </w:rPr>
        <w:t>Otezla</w:t>
      </w:r>
      <w:r w:rsidRPr="008C441C">
        <w:rPr>
          <w:rStyle w:val="A0"/>
          <w:rFonts w:ascii="Times New Roman" w:hAnsi="Times New Roman"/>
          <w:b w:val="0"/>
          <w:bCs w:val="0"/>
          <w:i w:val="0"/>
          <w:iCs w:val="0"/>
          <w:sz w:val="22"/>
          <w:szCs w:val="22"/>
        </w:rPr>
        <w:t>, improvement in enthesitis and dactylitis continued through Week 52.</w:t>
      </w:r>
    </w:p>
    <w:p w:rsidR="00101E7A" w:rsidRPr="008C441C" w:rsidRDefault="00101E7A" w:rsidP="00E46E06">
      <w:pPr>
        <w:autoSpaceDE w:val="0"/>
        <w:autoSpaceDN w:val="0"/>
        <w:adjustRightInd w:val="0"/>
        <w:rPr>
          <w:noProof/>
          <w:sz w:val="22"/>
          <w:szCs w:val="22"/>
          <w:lang w:val="en-US"/>
        </w:rPr>
      </w:pPr>
    </w:p>
    <w:p w:rsidR="00F44F74" w:rsidRPr="008C441C" w:rsidRDefault="00F44F74" w:rsidP="008C441C">
      <w:pPr>
        <w:numPr>
          <w:ilvl w:val="12"/>
          <w:numId w:val="0"/>
        </w:numPr>
        <w:ind w:right="-2"/>
        <w:rPr>
          <w:iCs/>
          <w:noProof/>
          <w:sz w:val="22"/>
          <w:szCs w:val="22"/>
          <w:lang w:val="en-US"/>
        </w:rPr>
      </w:pPr>
    </w:p>
    <w:p w:rsidR="00A621FA" w:rsidRPr="008C441C" w:rsidRDefault="00F44F74" w:rsidP="008C441C">
      <w:pPr>
        <w:numPr>
          <w:ilvl w:val="12"/>
          <w:numId w:val="0"/>
        </w:numPr>
        <w:ind w:right="-2"/>
        <w:rPr>
          <w:b/>
          <w:iCs/>
          <w:sz w:val="22"/>
          <w:szCs w:val="22"/>
        </w:rPr>
      </w:pPr>
      <w:r w:rsidRPr="008C441C">
        <w:rPr>
          <w:b/>
          <w:iCs/>
          <w:sz w:val="22"/>
          <w:szCs w:val="22"/>
        </w:rPr>
        <w:t xml:space="preserve">Physical function </w:t>
      </w:r>
      <w:r w:rsidR="00DE76A4" w:rsidRPr="008C441C">
        <w:rPr>
          <w:b/>
          <w:iCs/>
          <w:sz w:val="22"/>
          <w:szCs w:val="22"/>
        </w:rPr>
        <w:t>responses</w:t>
      </w:r>
      <w:r w:rsidR="006B72DC">
        <w:rPr>
          <w:b/>
          <w:iCs/>
          <w:sz w:val="22"/>
          <w:szCs w:val="22"/>
        </w:rPr>
        <w:t xml:space="preserve"> </w:t>
      </w:r>
      <w:r w:rsidR="00366DB7">
        <w:rPr>
          <w:b/>
          <w:iCs/>
          <w:sz w:val="22"/>
          <w:szCs w:val="22"/>
        </w:rPr>
        <w:t>and health-related quality of life</w:t>
      </w:r>
    </w:p>
    <w:p w:rsidR="005D594B" w:rsidRPr="008C441C" w:rsidRDefault="005D594B" w:rsidP="002A6C0B">
      <w:pPr>
        <w:pStyle w:val="C-BodyText"/>
        <w:spacing w:after="0" w:line="240" w:lineRule="auto"/>
        <w:rPr>
          <w:sz w:val="22"/>
          <w:szCs w:val="22"/>
        </w:rPr>
      </w:pPr>
      <w:r w:rsidRPr="008C441C">
        <w:rPr>
          <w:sz w:val="22"/>
          <w:szCs w:val="22"/>
        </w:rPr>
        <w:t>Patients treated with</w:t>
      </w:r>
      <w:r w:rsidRPr="00FD6CFE">
        <w:rPr>
          <w:sz w:val="22"/>
          <w:szCs w:val="22"/>
          <w:lang w:val="en-GB"/>
        </w:rPr>
        <w:t xml:space="preserve"> Otezla</w:t>
      </w:r>
      <w:r w:rsidRPr="008C441C">
        <w:rPr>
          <w:sz w:val="22"/>
          <w:szCs w:val="22"/>
        </w:rPr>
        <w:t xml:space="preserve"> 30 mg twice daily demonstrated a </w:t>
      </w:r>
      <w:r>
        <w:rPr>
          <w:sz w:val="22"/>
          <w:szCs w:val="22"/>
        </w:rPr>
        <w:t>s</w:t>
      </w:r>
      <w:r w:rsidRPr="008C441C">
        <w:rPr>
          <w:sz w:val="22"/>
          <w:szCs w:val="22"/>
        </w:rPr>
        <w:t>ignificantly</w:t>
      </w:r>
      <w:r>
        <w:rPr>
          <w:sz w:val="22"/>
          <w:szCs w:val="22"/>
        </w:rPr>
        <w:t xml:space="preserve"> </w:t>
      </w:r>
      <w:r w:rsidRPr="008C441C">
        <w:rPr>
          <w:sz w:val="22"/>
          <w:szCs w:val="22"/>
        </w:rPr>
        <w:t xml:space="preserve">greater improvement </w:t>
      </w:r>
      <w:r w:rsidR="000F356E">
        <w:rPr>
          <w:sz w:val="22"/>
          <w:szCs w:val="22"/>
        </w:rPr>
        <w:t xml:space="preserve">in physical function </w:t>
      </w:r>
      <w:r w:rsidRPr="008C441C">
        <w:rPr>
          <w:sz w:val="22"/>
          <w:szCs w:val="22"/>
        </w:rPr>
        <w:t>compared to placebo treated patients</w:t>
      </w:r>
      <w:r w:rsidR="00AC5A19">
        <w:rPr>
          <w:sz w:val="22"/>
          <w:szCs w:val="22"/>
        </w:rPr>
        <w:t>,</w:t>
      </w:r>
      <w:r w:rsidRPr="008C441C">
        <w:rPr>
          <w:sz w:val="22"/>
          <w:szCs w:val="22"/>
        </w:rPr>
        <w:t xml:space="preserve"> </w:t>
      </w:r>
      <w:r w:rsidR="006368B6">
        <w:rPr>
          <w:sz w:val="22"/>
          <w:szCs w:val="22"/>
        </w:rPr>
        <w:t xml:space="preserve">as shown </w:t>
      </w:r>
      <w:r w:rsidRPr="008C441C">
        <w:rPr>
          <w:sz w:val="22"/>
          <w:szCs w:val="22"/>
        </w:rPr>
        <w:t>in the mean change from Base</w:t>
      </w:r>
      <w:r w:rsidR="00B60A45">
        <w:rPr>
          <w:sz w:val="22"/>
          <w:szCs w:val="22"/>
        </w:rPr>
        <w:t>line in HAQ-DI score at Week 16 </w:t>
      </w:r>
      <w:r w:rsidRPr="008C441C">
        <w:rPr>
          <w:sz w:val="22"/>
          <w:szCs w:val="22"/>
        </w:rPr>
        <w:t>(-0.244</w:t>
      </w:r>
      <w:r w:rsidR="0054206D">
        <w:rPr>
          <w:sz w:val="22"/>
          <w:szCs w:val="22"/>
        </w:rPr>
        <w:t xml:space="preserve"> and</w:t>
      </w:r>
      <w:r w:rsidRPr="00731C1E">
        <w:rPr>
          <w:sz w:val="22"/>
          <w:szCs w:val="22"/>
        </w:rPr>
        <w:t xml:space="preserve"> -0.086 respectively; </w:t>
      </w:r>
      <w:r w:rsidRPr="00731C1E">
        <w:rPr>
          <w:color w:val="211D1E"/>
          <w:sz w:val="22"/>
          <w:szCs w:val="22"/>
          <w:lang w:eastAsia="ja-JP"/>
        </w:rPr>
        <w:t>p &lt; 0.01</w:t>
      </w:r>
      <w:r w:rsidRPr="00731C1E">
        <w:rPr>
          <w:sz w:val="22"/>
          <w:szCs w:val="22"/>
        </w:rPr>
        <w:t>)</w:t>
      </w:r>
      <w:r w:rsidR="001E1EFF">
        <w:rPr>
          <w:sz w:val="22"/>
          <w:szCs w:val="22"/>
        </w:rPr>
        <w:t xml:space="preserve"> </w:t>
      </w:r>
      <w:r w:rsidR="00366DB7">
        <w:rPr>
          <w:sz w:val="22"/>
          <w:szCs w:val="22"/>
        </w:rPr>
        <w:t xml:space="preserve">and Week 24 (-0.258 vs, -0.076, respectively; p&lt;0.001) in </w:t>
      </w:r>
      <w:r w:rsidR="005B34E6" w:rsidRPr="00731C1E">
        <w:rPr>
          <w:sz w:val="22"/>
          <w:szCs w:val="22"/>
        </w:rPr>
        <w:t>Study PALACE 1</w:t>
      </w:r>
      <w:r w:rsidR="00B95D4D" w:rsidRPr="00B95D4D">
        <w:rPr>
          <w:sz w:val="22"/>
          <w:szCs w:val="22"/>
        </w:rPr>
        <w:t xml:space="preserve">. </w:t>
      </w:r>
      <w:r w:rsidR="00B95D4D">
        <w:rPr>
          <w:sz w:val="22"/>
          <w:szCs w:val="22"/>
        </w:rPr>
        <w:t xml:space="preserve"> </w:t>
      </w:r>
      <w:r w:rsidR="00366DB7">
        <w:rPr>
          <w:sz w:val="22"/>
          <w:szCs w:val="22"/>
        </w:rPr>
        <w:t xml:space="preserve">Among patients who </w:t>
      </w:r>
      <w:r w:rsidR="002D710F">
        <w:rPr>
          <w:sz w:val="22"/>
          <w:szCs w:val="22"/>
        </w:rPr>
        <w:t>were continuously treated with</w:t>
      </w:r>
      <w:r w:rsidR="00366DB7">
        <w:rPr>
          <w:sz w:val="22"/>
          <w:szCs w:val="22"/>
        </w:rPr>
        <w:t xml:space="preserve"> Ote</w:t>
      </w:r>
      <w:r w:rsidR="002D710F">
        <w:rPr>
          <w:sz w:val="22"/>
          <w:szCs w:val="22"/>
        </w:rPr>
        <w:t>z</w:t>
      </w:r>
      <w:r w:rsidR="00366DB7">
        <w:rPr>
          <w:sz w:val="22"/>
          <w:szCs w:val="22"/>
        </w:rPr>
        <w:t>la</w:t>
      </w:r>
      <w:r w:rsidR="002D710F">
        <w:rPr>
          <w:sz w:val="22"/>
          <w:szCs w:val="22"/>
        </w:rPr>
        <w:t>,</w:t>
      </w:r>
      <w:r w:rsidR="00366DB7">
        <w:rPr>
          <w:sz w:val="22"/>
          <w:szCs w:val="22"/>
        </w:rPr>
        <w:t xml:space="preserve"> </w:t>
      </w:r>
      <w:r w:rsidR="002D710F">
        <w:rPr>
          <w:sz w:val="22"/>
          <w:szCs w:val="22"/>
        </w:rPr>
        <w:t>a</w:t>
      </w:r>
      <w:r w:rsidR="00366DB7">
        <w:rPr>
          <w:sz w:val="22"/>
          <w:szCs w:val="22"/>
        </w:rPr>
        <w:t xml:space="preserve"> mean change from Baseline in HAQ-DI score </w:t>
      </w:r>
      <w:r w:rsidR="002D710F">
        <w:rPr>
          <w:sz w:val="22"/>
          <w:szCs w:val="22"/>
        </w:rPr>
        <w:t xml:space="preserve">of -0.318 </w:t>
      </w:r>
      <w:r w:rsidR="00366DB7">
        <w:rPr>
          <w:sz w:val="22"/>
          <w:szCs w:val="22"/>
        </w:rPr>
        <w:t xml:space="preserve">was </w:t>
      </w:r>
      <w:r w:rsidR="002D710F">
        <w:rPr>
          <w:sz w:val="22"/>
          <w:szCs w:val="22"/>
        </w:rPr>
        <w:t>observed</w:t>
      </w:r>
      <w:r w:rsidR="00366DB7">
        <w:rPr>
          <w:sz w:val="22"/>
          <w:szCs w:val="22"/>
        </w:rPr>
        <w:t xml:space="preserve"> at Wee</w:t>
      </w:r>
      <w:r w:rsidR="000B36A0">
        <w:rPr>
          <w:sz w:val="22"/>
          <w:szCs w:val="22"/>
        </w:rPr>
        <w:t>k 52</w:t>
      </w:r>
      <w:r w:rsidR="00E82826">
        <w:rPr>
          <w:sz w:val="22"/>
          <w:szCs w:val="22"/>
        </w:rPr>
        <w:t xml:space="preserve">.  </w:t>
      </w:r>
      <w:r w:rsidRPr="00731C1E">
        <w:rPr>
          <w:sz w:val="22"/>
          <w:szCs w:val="22"/>
        </w:rPr>
        <w:t xml:space="preserve">In addition, there was a greater proportion of HAQ-DI responders who showed improvement (≥ 0.3 improvement from Baseline) at Week 16 for the </w:t>
      </w:r>
      <w:r w:rsidR="00753E14">
        <w:rPr>
          <w:sz w:val="22"/>
          <w:szCs w:val="22"/>
        </w:rPr>
        <w:t>Otezla</w:t>
      </w:r>
      <w:r w:rsidRPr="00731C1E">
        <w:rPr>
          <w:sz w:val="22"/>
          <w:szCs w:val="22"/>
        </w:rPr>
        <w:t xml:space="preserve"> 30 mg twice daily group compared to the placebo group</w:t>
      </w:r>
      <w:r w:rsidR="00E82826">
        <w:rPr>
          <w:sz w:val="22"/>
          <w:szCs w:val="22"/>
        </w:rPr>
        <w:t xml:space="preserve"> </w:t>
      </w:r>
      <w:r w:rsidR="00366DB7">
        <w:rPr>
          <w:sz w:val="22"/>
          <w:szCs w:val="22"/>
        </w:rPr>
        <w:t>(38.1% vs 26.8% respectively, p&lt;0.05)</w:t>
      </w:r>
      <w:r w:rsidRPr="00731C1E">
        <w:rPr>
          <w:sz w:val="22"/>
          <w:szCs w:val="22"/>
        </w:rPr>
        <w:t xml:space="preserve">.  </w:t>
      </w:r>
      <w:r w:rsidR="00612C4C">
        <w:rPr>
          <w:sz w:val="22"/>
          <w:szCs w:val="22"/>
        </w:rPr>
        <w:t>The r</w:t>
      </w:r>
      <w:r w:rsidRPr="00731C1E">
        <w:rPr>
          <w:sz w:val="22"/>
          <w:szCs w:val="22"/>
        </w:rPr>
        <w:t>esponse</w:t>
      </w:r>
      <w:r w:rsidR="00BC71C3">
        <w:rPr>
          <w:sz w:val="22"/>
          <w:szCs w:val="22"/>
        </w:rPr>
        <w:t xml:space="preserve"> </w:t>
      </w:r>
      <w:r w:rsidR="00366DB7">
        <w:rPr>
          <w:sz w:val="22"/>
          <w:szCs w:val="22"/>
        </w:rPr>
        <w:t>was</w:t>
      </w:r>
      <w:r w:rsidRPr="00731C1E">
        <w:rPr>
          <w:sz w:val="22"/>
          <w:szCs w:val="22"/>
        </w:rPr>
        <w:t xml:space="preserve"> </w:t>
      </w:r>
      <w:r w:rsidR="0054206D">
        <w:rPr>
          <w:sz w:val="22"/>
          <w:szCs w:val="22"/>
        </w:rPr>
        <w:t>maintained at Week 24</w:t>
      </w:r>
      <w:r w:rsidR="00425ADF">
        <w:rPr>
          <w:sz w:val="22"/>
          <w:szCs w:val="22"/>
        </w:rPr>
        <w:t>.  A</w:t>
      </w:r>
      <w:r w:rsidRPr="008C441C">
        <w:rPr>
          <w:sz w:val="22"/>
          <w:szCs w:val="22"/>
        </w:rPr>
        <w:t xml:space="preserve">mong patients who </w:t>
      </w:r>
      <w:r w:rsidR="002D710F">
        <w:rPr>
          <w:sz w:val="22"/>
          <w:szCs w:val="22"/>
        </w:rPr>
        <w:t>were continuously treated with</w:t>
      </w:r>
      <w:r w:rsidRPr="008C441C">
        <w:rPr>
          <w:sz w:val="22"/>
          <w:szCs w:val="22"/>
        </w:rPr>
        <w:t xml:space="preserve"> </w:t>
      </w:r>
      <w:r w:rsidR="009D31C2">
        <w:rPr>
          <w:sz w:val="22"/>
          <w:szCs w:val="22"/>
        </w:rPr>
        <w:t>Otezla</w:t>
      </w:r>
      <w:r w:rsidRPr="008C441C">
        <w:rPr>
          <w:sz w:val="22"/>
          <w:szCs w:val="22"/>
        </w:rPr>
        <w:t xml:space="preserve">, </w:t>
      </w:r>
      <w:r w:rsidR="00425ADF">
        <w:rPr>
          <w:sz w:val="22"/>
          <w:szCs w:val="22"/>
        </w:rPr>
        <w:t xml:space="preserve">the proportion of HAQ-DI responders was 44.7% </w:t>
      </w:r>
      <w:r w:rsidRPr="008C441C">
        <w:rPr>
          <w:sz w:val="22"/>
          <w:szCs w:val="22"/>
        </w:rPr>
        <w:t>at W</w:t>
      </w:r>
      <w:r w:rsidR="000B36A0">
        <w:rPr>
          <w:sz w:val="22"/>
          <w:szCs w:val="22"/>
        </w:rPr>
        <w:t>eek 52</w:t>
      </w:r>
      <w:r w:rsidRPr="008C441C">
        <w:rPr>
          <w:sz w:val="22"/>
          <w:szCs w:val="22"/>
        </w:rPr>
        <w:t xml:space="preserve">.  Similar </w:t>
      </w:r>
      <w:r w:rsidR="00AB5EF9" w:rsidRPr="008C441C">
        <w:rPr>
          <w:sz w:val="22"/>
          <w:szCs w:val="22"/>
        </w:rPr>
        <w:t xml:space="preserve">results </w:t>
      </w:r>
      <w:r w:rsidR="00AB5EF9">
        <w:rPr>
          <w:sz w:val="22"/>
          <w:szCs w:val="22"/>
        </w:rPr>
        <w:t>in</w:t>
      </w:r>
      <w:r w:rsidR="00366DB7">
        <w:rPr>
          <w:sz w:val="22"/>
          <w:szCs w:val="22"/>
        </w:rPr>
        <w:t xml:space="preserve"> the mean change from Baseline in HAQ-DI and in the proportion of HAQ-DI responders </w:t>
      </w:r>
      <w:r w:rsidRPr="008C441C">
        <w:rPr>
          <w:sz w:val="22"/>
          <w:szCs w:val="22"/>
        </w:rPr>
        <w:t>were observed in Studies PALACE 2 and PALACE 3</w:t>
      </w:r>
      <w:r w:rsidR="005B34E6">
        <w:rPr>
          <w:sz w:val="22"/>
          <w:szCs w:val="22"/>
        </w:rPr>
        <w:t xml:space="preserve"> at Week</w:t>
      </w:r>
      <w:r w:rsidR="002B057F">
        <w:rPr>
          <w:sz w:val="22"/>
          <w:szCs w:val="22"/>
        </w:rPr>
        <w:t>s</w:t>
      </w:r>
      <w:r w:rsidR="005B34E6">
        <w:rPr>
          <w:sz w:val="22"/>
          <w:szCs w:val="22"/>
        </w:rPr>
        <w:t xml:space="preserve"> 16, 24 and 52</w:t>
      </w:r>
      <w:r w:rsidRPr="008C441C">
        <w:rPr>
          <w:sz w:val="22"/>
          <w:szCs w:val="22"/>
        </w:rPr>
        <w:t>.</w:t>
      </w:r>
    </w:p>
    <w:p w:rsidR="00240993" w:rsidRPr="005D594B" w:rsidRDefault="00240993" w:rsidP="00E46E06">
      <w:pPr>
        <w:numPr>
          <w:ilvl w:val="12"/>
          <w:numId w:val="0"/>
        </w:numPr>
        <w:ind w:right="-2"/>
        <w:rPr>
          <w:b/>
          <w:iCs/>
          <w:sz w:val="22"/>
          <w:szCs w:val="22"/>
        </w:rPr>
      </w:pPr>
    </w:p>
    <w:p w:rsidR="00050122" w:rsidRDefault="00050122" w:rsidP="00E46E06">
      <w:pPr>
        <w:pStyle w:val="Pa8"/>
        <w:spacing w:line="240" w:lineRule="auto"/>
        <w:rPr>
          <w:rStyle w:val="A0"/>
          <w:rFonts w:ascii="Times New Roman" w:hAnsi="Times New Roman"/>
          <w:b w:val="0"/>
          <w:bCs w:val="0"/>
          <w:i w:val="0"/>
          <w:iCs w:val="0"/>
          <w:sz w:val="22"/>
          <w:szCs w:val="22"/>
        </w:rPr>
      </w:pPr>
      <w:r w:rsidRPr="00B5231B">
        <w:rPr>
          <w:rFonts w:ascii="Times New Roman" w:hAnsi="Times New Roman"/>
          <w:sz w:val="22"/>
          <w:szCs w:val="22"/>
        </w:rPr>
        <w:t xml:space="preserve">Patients treated with Otezla </w:t>
      </w:r>
      <w:r w:rsidRPr="00B5231B">
        <w:rPr>
          <w:rStyle w:val="A0"/>
          <w:rFonts w:ascii="Times New Roman" w:hAnsi="Times New Roman"/>
          <w:b w:val="0"/>
          <w:bCs w:val="0"/>
          <w:i w:val="0"/>
          <w:iCs w:val="0"/>
          <w:sz w:val="22"/>
          <w:szCs w:val="22"/>
        </w:rPr>
        <w:t>30 mg twice daily demonstrated a</w:t>
      </w:r>
      <w:r w:rsidR="00DB654B" w:rsidRPr="00B5231B">
        <w:rPr>
          <w:rStyle w:val="A0"/>
          <w:rFonts w:ascii="Times New Roman" w:hAnsi="Times New Roman"/>
          <w:b w:val="0"/>
          <w:bCs w:val="0"/>
          <w:i w:val="0"/>
          <w:iCs w:val="0"/>
          <w:sz w:val="22"/>
          <w:szCs w:val="22"/>
        </w:rPr>
        <w:t xml:space="preserve"> </w:t>
      </w:r>
      <w:r w:rsidR="00AE547D">
        <w:rPr>
          <w:rStyle w:val="A0"/>
          <w:rFonts w:ascii="Times New Roman" w:hAnsi="Times New Roman"/>
          <w:b w:val="0"/>
          <w:bCs w:val="0"/>
          <w:i w:val="0"/>
          <w:iCs w:val="0"/>
          <w:sz w:val="22"/>
          <w:szCs w:val="22"/>
        </w:rPr>
        <w:t xml:space="preserve">significantly </w:t>
      </w:r>
      <w:r w:rsidR="004838D9" w:rsidRPr="00B5231B">
        <w:rPr>
          <w:rStyle w:val="A0"/>
          <w:rFonts w:ascii="Times New Roman" w:hAnsi="Times New Roman"/>
          <w:b w:val="0"/>
          <w:bCs w:val="0"/>
          <w:i w:val="0"/>
          <w:iCs w:val="0"/>
          <w:sz w:val="22"/>
          <w:szCs w:val="22"/>
        </w:rPr>
        <w:t>greater improvement</w:t>
      </w:r>
      <w:r w:rsidRPr="00B5231B">
        <w:rPr>
          <w:rStyle w:val="A0"/>
          <w:rFonts w:ascii="Times New Roman" w:hAnsi="Times New Roman"/>
          <w:b w:val="0"/>
          <w:bCs w:val="0"/>
          <w:i w:val="0"/>
          <w:iCs w:val="0"/>
          <w:sz w:val="22"/>
          <w:szCs w:val="22"/>
        </w:rPr>
        <w:t xml:space="preserve"> </w:t>
      </w:r>
      <w:r w:rsidR="00C46C2A" w:rsidRPr="00B5231B">
        <w:rPr>
          <w:rStyle w:val="A0"/>
          <w:rFonts w:ascii="Times New Roman" w:hAnsi="Times New Roman"/>
          <w:b w:val="0"/>
          <w:bCs w:val="0"/>
          <w:i w:val="0"/>
          <w:iCs w:val="0"/>
          <w:sz w:val="22"/>
          <w:szCs w:val="22"/>
        </w:rPr>
        <w:t xml:space="preserve">compared to </w:t>
      </w:r>
      <w:r w:rsidRPr="00B5231B">
        <w:rPr>
          <w:rStyle w:val="A0"/>
          <w:rFonts w:ascii="Times New Roman" w:hAnsi="Times New Roman"/>
          <w:b w:val="0"/>
          <w:bCs w:val="0"/>
          <w:i w:val="0"/>
          <w:iCs w:val="0"/>
          <w:sz w:val="22"/>
          <w:szCs w:val="22"/>
        </w:rPr>
        <w:t>placebo</w:t>
      </w:r>
      <w:r w:rsidR="00C46C2A" w:rsidRPr="00B5231B">
        <w:rPr>
          <w:rStyle w:val="A0"/>
          <w:rFonts w:ascii="Times New Roman" w:hAnsi="Times New Roman"/>
          <w:b w:val="0"/>
          <w:bCs w:val="0"/>
          <w:i w:val="0"/>
          <w:iCs w:val="0"/>
          <w:sz w:val="22"/>
          <w:szCs w:val="22"/>
        </w:rPr>
        <w:t xml:space="preserve"> treated patients</w:t>
      </w:r>
      <w:r w:rsidRPr="00B5231B">
        <w:rPr>
          <w:rStyle w:val="A0"/>
          <w:rFonts w:ascii="Times New Roman" w:hAnsi="Times New Roman"/>
          <w:b w:val="0"/>
          <w:bCs w:val="0"/>
          <w:i w:val="0"/>
          <w:iCs w:val="0"/>
          <w:sz w:val="22"/>
          <w:szCs w:val="22"/>
        </w:rPr>
        <w:t xml:space="preserve"> in the mean change from Baseline in the SF-36v2 Physical Functioning </w:t>
      </w:r>
      <w:r w:rsidR="001E326F">
        <w:rPr>
          <w:rStyle w:val="A0"/>
          <w:rFonts w:ascii="Times New Roman" w:hAnsi="Times New Roman"/>
          <w:b w:val="0"/>
          <w:bCs w:val="0"/>
          <w:i w:val="0"/>
          <w:iCs w:val="0"/>
          <w:sz w:val="22"/>
          <w:szCs w:val="22"/>
        </w:rPr>
        <w:t xml:space="preserve">(PF) </w:t>
      </w:r>
      <w:r w:rsidRPr="00B5231B">
        <w:rPr>
          <w:rStyle w:val="A0"/>
          <w:rFonts w:ascii="Times New Roman" w:hAnsi="Times New Roman"/>
          <w:b w:val="0"/>
          <w:bCs w:val="0"/>
          <w:i w:val="0"/>
          <w:iCs w:val="0"/>
          <w:sz w:val="22"/>
          <w:szCs w:val="22"/>
        </w:rPr>
        <w:t xml:space="preserve">Domain Score </w:t>
      </w:r>
      <w:r w:rsidR="00E174B6" w:rsidRPr="00B5231B">
        <w:rPr>
          <w:rStyle w:val="A0"/>
          <w:rFonts w:ascii="Times New Roman" w:hAnsi="Times New Roman"/>
          <w:b w:val="0"/>
          <w:bCs w:val="0"/>
          <w:i w:val="0"/>
          <w:iCs w:val="0"/>
          <w:sz w:val="22"/>
          <w:szCs w:val="22"/>
        </w:rPr>
        <w:t>at Week 16 (</w:t>
      </w:r>
      <w:r w:rsidR="008932A4">
        <w:rPr>
          <w:rFonts w:ascii="Times New Roman" w:hAnsi="Times New Roman"/>
          <w:color w:val="211D1E"/>
          <w:sz w:val="22"/>
          <w:szCs w:val="22"/>
          <w:lang w:eastAsia="ja-JP"/>
        </w:rPr>
        <w:t>4.23 and</w:t>
      </w:r>
      <w:r w:rsidR="00F01969" w:rsidRPr="00B5231B">
        <w:rPr>
          <w:rFonts w:ascii="Times New Roman" w:hAnsi="Times New Roman"/>
          <w:color w:val="211D1E"/>
          <w:sz w:val="22"/>
          <w:szCs w:val="22"/>
          <w:lang w:eastAsia="ja-JP"/>
        </w:rPr>
        <w:t xml:space="preserve"> 1.81</w:t>
      </w:r>
      <w:r w:rsidR="00F34B1E" w:rsidRPr="00B5231B">
        <w:rPr>
          <w:rFonts w:ascii="Times New Roman" w:hAnsi="Times New Roman"/>
          <w:color w:val="211D1E"/>
          <w:sz w:val="22"/>
          <w:szCs w:val="22"/>
          <w:lang w:eastAsia="ja-JP"/>
        </w:rPr>
        <w:t xml:space="preserve"> respectively; p &lt; 0.01</w:t>
      </w:r>
      <w:r w:rsidR="00F01969" w:rsidRPr="00B5231B">
        <w:rPr>
          <w:rFonts w:ascii="Times New Roman" w:hAnsi="Times New Roman"/>
          <w:color w:val="211D1E"/>
          <w:sz w:val="22"/>
          <w:szCs w:val="22"/>
          <w:lang w:eastAsia="ja-JP"/>
        </w:rPr>
        <w:t>)</w:t>
      </w:r>
      <w:r w:rsidR="002B057F">
        <w:rPr>
          <w:rFonts w:ascii="Times New Roman" w:hAnsi="Times New Roman"/>
          <w:color w:val="211D1E"/>
          <w:sz w:val="22"/>
          <w:szCs w:val="22"/>
          <w:lang w:eastAsia="ja-JP"/>
        </w:rPr>
        <w:t xml:space="preserve"> in Study PALACE 1</w:t>
      </w:r>
      <w:r w:rsidR="00AE547D">
        <w:rPr>
          <w:rStyle w:val="A0"/>
          <w:rFonts w:ascii="Times New Roman" w:hAnsi="Times New Roman"/>
          <w:b w:val="0"/>
          <w:bCs w:val="0"/>
          <w:i w:val="0"/>
          <w:iCs w:val="0"/>
          <w:sz w:val="22"/>
          <w:szCs w:val="22"/>
        </w:rPr>
        <w:t>.</w:t>
      </w:r>
      <w:r w:rsidR="00F01969" w:rsidRPr="00851EDC">
        <w:rPr>
          <w:rStyle w:val="A0"/>
          <w:rFonts w:ascii="Times New Roman" w:hAnsi="Times New Roman"/>
          <w:b w:val="0"/>
          <w:bCs w:val="0"/>
          <w:i w:val="0"/>
          <w:iCs w:val="0"/>
          <w:sz w:val="22"/>
          <w:szCs w:val="22"/>
        </w:rPr>
        <w:t xml:space="preserve">  </w:t>
      </w:r>
      <w:r w:rsidR="00AE547D" w:rsidRPr="00851EDC">
        <w:rPr>
          <w:rStyle w:val="A0"/>
          <w:rFonts w:ascii="Times New Roman" w:hAnsi="Times New Roman"/>
          <w:b w:val="0"/>
          <w:i w:val="0"/>
          <w:sz w:val="22"/>
          <w:szCs w:val="22"/>
        </w:rPr>
        <w:t xml:space="preserve">A greater improvement, compared to placebo, in the mean change from Baseline was also observed in </w:t>
      </w:r>
      <w:r w:rsidR="00F01969" w:rsidRPr="00851EDC">
        <w:rPr>
          <w:rStyle w:val="A0"/>
          <w:rFonts w:ascii="Times New Roman" w:hAnsi="Times New Roman"/>
          <w:b w:val="0"/>
          <w:bCs w:val="0"/>
          <w:i w:val="0"/>
          <w:iCs w:val="0"/>
          <w:sz w:val="22"/>
          <w:szCs w:val="22"/>
        </w:rPr>
        <w:t>the</w:t>
      </w:r>
      <w:r w:rsidRPr="00851EDC">
        <w:rPr>
          <w:rStyle w:val="A0"/>
          <w:rFonts w:ascii="Times New Roman" w:hAnsi="Times New Roman"/>
          <w:b w:val="0"/>
          <w:bCs w:val="0"/>
          <w:i w:val="0"/>
          <w:iCs w:val="0"/>
          <w:sz w:val="22"/>
          <w:szCs w:val="22"/>
        </w:rPr>
        <w:t xml:space="preserve"> Physical</w:t>
      </w:r>
      <w:r w:rsidRPr="00B5231B">
        <w:rPr>
          <w:rStyle w:val="A0"/>
          <w:rFonts w:ascii="Times New Roman" w:hAnsi="Times New Roman"/>
          <w:b w:val="0"/>
          <w:bCs w:val="0"/>
          <w:i w:val="0"/>
          <w:iCs w:val="0"/>
          <w:sz w:val="22"/>
          <w:szCs w:val="22"/>
        </w:rPr>
        <w:t xml:space="preserve"> Component Summary </w:t>
      </w:r>
      <w:r w:rsidR="00C62305" w:rsidRPr="00B5231B">
        <w:rPr>
          <w:rStyle w:val="A0"/>
          <w:rFonts w:ascii="Times New Roman" w:hAnsi="Times New Roman"/>
          <w:b w:val="0"/>
          <w:bCs w:val="0"/>
          <w:i w:val="0"/>
          <w:iCs w:val="0"/>
          <w:sz w:val="22"/>
          <w:szCs w:val="22"/>
        </w:rPr>
        <w:t xml:space="preserve">(PCS) </w:t>
      </w:r>
      <w:r w:rsidRPr="00B5231B">
        <w:rPr>
          <w:rStyle w:val="A0"/>
          <w:rFonts w:ascii="Times New Roman" w:hAnsi="Times New Roman"/>
          <w:b w:val="0"/>
          <w:bCs w:val="0"/>
          <w:i w:val="0"/>
          <w:iCs w:val="0"/>
          <w:sz w:val="22"/>
          <w:szCs w:val="22"/>
        </w:rPr>
        <w:t>Score at Week 16</w:t>
      </w:r>
      <w:r w:rsidR="00F92CEA" w:rsidRPr="00B5231B">
        <w:rPr>
          <w:rStyle w:val="A0"/>
          <w:rFonts w:ascii="Times New Roman" w:hAnsi="Times New Roman"/>
          <w:b w:val="0"/>
          <w:bCs w:val="0"/>
          <w:i w:val="0"/>
          <w:iCs w:val="0"/>
          <w:sz w:val="22"/>
          <w:szCs w:val="22"/>
        </w:rPr>
        <w:t xml:space="preserve"> (</w:t>
      </w:r>
      <w:r w:rsidR="008932A4">
        <w:rPr>
          <w:rStyle w:val="A0"/>
          <w:rFonts w:ascii="Times New Roman" w:hAnsi="Times New Roman"/>
          <w:b w:val="0"/>
          <w:bCs w:val="0"/>
          <w:i w:val="0"/>
          <w:iCs w:val="0"/>
          <w:sz w:val="22"/>
          <w:szCs w:val="22"/>
        </w:rPr>
        <w:t>4.59 and</w:t>
      </w:r>
      <w:r w:rsidR="008F34B8" w:rsidRPr="00B5231B">
        <w:rPr>
          <w:rStyle w:val="A0"/>
          <w:rFonts w:ascii="Times New Roman" w:hAnsi="Times New Roman"/>
          <w:b w:val="0"/>
          <w:bCs w:val="0"/>
          <w:i w:val="0"/>
          <w:iCs w:val="0"/>
          <w:sz w:val="22"/>
          <w:szCs w:val="22"/>
        </w:rPr>
        <w:t xml:space="preserve"> 2.39</w:t>
      </w:r>
      <w:r w:rsidR="00D3214C" w:rsidRPr="00B5231B">
        <w:rPr>
          <w:rStyle w:val="A0"/>
          <w:rFonts w:ascii="Times New Roman" w:hAnsi="Times New Roman"/>
          <w:b w:val="0"/>
          <w:bCs w:val="0"/>
          <w:i w:val="0"/>
          <w:iCs w:val="0"/>
          <w:sz w:val="22"/>
          <w:szCs w:val="22"/>
        </w:rPr>
        <w:t xml:space="preserve"> respectively; </w:t>
      </w:r>
      <w:r w:rsidR="00D3214C" w:rsidRPr="00B5231B">
        <w:rPr>
          <w:rFonts w:ascii="Times New Roman" w:hAnsi="Times New Roman"/>
          <w:color w:val="211D1E"/>
          <w:sz w:val="22"/>
          <w:szCs w:val="22"/>
          <w:lang w:eastAsia="ja-JP"/>
        </w:rPr>
        <w:t>p &lt; 0.01</w:t>
      </w:r>
      <w:r w:rsidR="008F34B8" w:rsidRPr="00B5231B">
        <w:rPr>
          <w:rStyle w:val="A0"/>
          <w:rFonts w:ascii="Times New Roman" w:hAnsi="Times New Roman"/>
          <w:b w:val="0"/>
          <w:bCs w:val="0"/>
          <w:i w:val="0"/>
          <w:iCs w:val="0"/>
          <w:sz w:val="22"/>
          <w:szCs w:val="22"/>
        </w:rPr>
        <w:t>)</w:t>
      </w:r>
      <w:r w:rsidRPr="00B5231B">
        <w:rPr>
          <w:rStyle w:val="A0"/>
          <w:rFonts w:ascii="Times New Roman" w:hAnsi="Times New Roman"/>
          <w:b w:val="0"/>
          <w:bCs w:val="0"/>
          <w:i w:val="0"/>
          <w:iCs w:val="0"/>
          <w:sz w:val="22"/>
          <w:szCs w:val="22"/>
        </w:rPr>
        <w:t xml:space="preserve">.  </w:t>
      </w:r>
      <w:r w:rsidR="002B057F">
        <w:rPr>
          <w:rStyle w:val="A0"/>
          <w:rFonts w:ascii="Times New Roman" w:hAnsi="Times New Roman"/>
          <w:b w:val="0"/>
          <w:bCs w:val="0"/>
          <w:i w:val="0"/>
          <w:iCs w:val="0"/>
          <w:sz w:val="22"/>
          <w:szCs w:val="22"/>
        </w:rPr>
        <w:t xml:space="preserve">The </w:t>
      </w:r>
      <w:r w:rsidR="00DC7906">
        <w:rPr>
          <w:rStyle w:val="A0"/>
          <w:rFonts w:ascii="Times New Roman" w:hAnsi="Times New Roman"/>
          <w:b w:val="0"/>
          <w:bCs w:val="0"/>
          <w:i w:val="0"/>
          <w:iCs w:val="0"/>
          <w:sz w:val="22"/>
          <w:szCs w:val="22"/>
        </w:rPr>
        <w:t>r</w:t>
      </w:r>
      <w:r w:rsidR="002B057F">
        <w:rPr>
          <w:rStyle w:val="A0"/>
          <w:rFonts w:ascii="Times New Roman" w:hAnsi="Times New Roman"/>
          <w:b w:val="0"/>
          <w:bCs w:val="0"/>
          <w:i w:val="0"/>
          <w:iCs w:val="0"/>
          <w:sz w:val="22"/>
          <w:szCs w:val="22"/>
        </w:rPr>
        <w:t xml:space="preserve">esponses were maintained at </w:t>
      </w:r>
      <w:r w:rsidR="002B057F" w:rsidRPr="00B5231B">
        <w:rPr>
          <w:rStyle w:val="A0"/>
          <w:rFonts w:ascii="Times New Roman" w:hAnsi="Times New Roman"/>
          <w:b w:val="0"/>
          <w:bCs w:val="0"/>
          <w:i w:val="0"/>
          <w:iCs w:val="0"/>
          <w:sz w:val="22"/>
          <w:szCs w:val="22"/>
        </w:rPr>
        <w:t>Week 24</w:t>
      </w:r>
      <w:r w:rsidR="001E326F">
        <w:rPr>
          <w:rStyle w:val="A0"/>
          <w:rFonts w:ascii="Times New Roman" w:hAnsi="Times New Roman"/>
          <w:b w:val="0"/>
          <w:bCs w:val="0"/>
          <w:i w:val="0"/>
          <w:iCs w:val="0"/>
          <w:sz w:val="22"/>
          <w:szCs w:val="22"/>
        </w:rPr>
        <w:t>.  A</w:t>
      </w:r>
      <w:r w:rsidR="00851EDC">
        <w:rPr>
          <w:rStyle w:val="A0"/>
          <w:rFonts w:ascii="Times New Roman" w:hAnsi="Times New Roman"/>
          <w:b w:val="0"/>
          <w:bCs w:val="0"/>
          <w:i w:val="0"/>
          <w:iCs w:val="0"/>
          <w:sz w:val="22"/>
          <w:szCs w:val="22"/>
        </w:rPr>
        <w:t xml:space="preserve">mong patients who </w:t>
      </w:r>
      <w:r w:rsidR="002D710F">
        <w:rPr>
          <w:rStyle w:val="A0"/>
          <w:rFonts w:ascii="Times New Roman" w:hAnsi="Times New Roman"/>
          <w:b w:val="0"/>
          <w:bCs w:val="0"/>
          <w:i w:val="0"/>
          <w:iCs w:val="0"/>
          <w:sz w:val="22"/>
          <w:szCs w:val="22"/>
        </w:rPr>
        <w:t>were continuously treated with</w:t>
      </w:r>
      <w:r w:rsidR="00851EDC">
        <w:rPr>
          <w:rStyle w:val="A0"/>
          <w:rFonts w:ascii="Times New Roman" w:hAnsi="Times New Roman"/>
          <w:b w:val="0"/>
          <w:bCs w:val="0"/>
          <w:i w:val="0"/>
          <w:iCs w:val="0"/>
          <w:sz w:val="22"/>
          <w:szCs w:val="22"/>
        </w:rPr>
        <w:t xml:space="preserve"> Otezla</w:t>
      </w:r>
      <w:r w:rsidR="002B057F">
        <w:rPr>
          <w:rStyle w:val="A0"/>
          <w:rFonts w:ascii="Times New Roman" w:hAnsi="Times New Roman"/>
          <w:b w:val="0"/>
          <w:bCs w:val="0"/>
          <w:i w:val="0"/>
          <w:iCs w:val="0"/>
          <w:sz w:val="22"/>
          <w:szCs w:val="22"/>
        </w:rPr>
        <w:t>,</w:t>
      </w:r>
      <w:r w:rsidR="00851EDC">
        <w:rPr>
          <w:rStyle w:val="A0"/>
          <w:rFonts w:ascii="Times New Roman" w:hAnsi="Times New Roman"/>
          <w:b w:val="0"/>
          <w:bCs w:val="0"/>
          <w:i w:val="0"/>
          <w:iCs w:val="0"/>
          <w:sz w:val="22"/>
          <w:szCs w:val="22"/>
        </w:rPr>
        <w:t xml:space="preserve"> </w:t>
      </w:r>
      <w:r w:rsidR="00F24AC3">
        <w:rPr>
          <w:rStyle w:val="A0"/>
          <w:rFonts w:ascii="Times New Roman" w:hAnsi="Times New Roman"/>
          <w:b w:val="0"/>
          <w:bCs w:val="0"/>
          <w:i w:val="0"/>
          <w:iCs w:val="0"/>
          <w:sz w:val="22"/>
          <w:szCs w:val="22"/>
        </w:rPr>
        <w:t>mean change</w:t>
      </w:r>
      <w:r w:rsidR="002D710F">
        <w:rPr>
          <w:rStyle w:val="A0"/>
          <w:rFonts w:ascii="Times New Roman" w:hAnsi="Times New Roman"/>
          <w:b w:val="0"/>
          <w:bCs w:val="0"/>
          <w:i w:val="0"/>
          <w:iCs w:val="0"/>
          <w:sz w:val="22"/>
          <w:szCs w:val="22"/>
        </w:rPr>
        <w:t>s</w:t>
      </w:r>
      <w:r w:rsidR="00F24AC3">
        <w:rPr>
          <w:rStyle w:val="A0"/>
          <w:rFonts w:ascii="Times New Roman" w:hAnsi="Times New Roman"/>
          <w:b w:val="0"/>
          <w:bCs w:val="0"/>
          <w:i w:val="0"/>
          <w:iCs w:val="0"/>
          <w:sz w:val="22"/>
          <w:szCs w:val="22"/>
        </w:rPr>
        <w:t xml:space="preserve"> from baseline in </w:t>
      </w:r>
      <w:r w:rsidR="001E326F">
        <w:rPr>
          <w:rStyle w:val="A0"/>
          <w:rFonts w:ascii="Times New Roman" w:hAnsi="Times New Roman"/>
          <w:b w:val="0"/>
          <w:bCs w:val="0"/>
          <w:i w:val="0"/>
          <w:iCs w:val="0"/>
          <w:sz w:val="22"/>
          <w:szCs w:val="22"/>
        </w:rPr>
        <w:t xml:space="preserve">SF-36v2 PF and PCS scores of 5.69 and 6.45, respectively, were observed </w:t>
      </w:r>
      <w:r w:rsidR="007432E9">
        <w:rPr>
          <w:rStyle w:val="A0"/>
          <w:rFonts w:ascii="Times New Roman" w:hAnsi="Times New Roman"/>
          <w:b w:val="0"/>
          <w:bCs w:val="0"/>
          <w:i w:val="0"/>
          <w:iCs w:val="0"/>
          <w:sz w:val="22"/>
          <w:szCs w:val="22"/>
        </w:rPr>
        <w:t xml:space="preserve">at </w:t>
      </w:r>
      <w:r w:rsidR="007432E9" w:rsidRPr="000B36A0">
        <w:rPr>
          <w:rStyle w:val="A0"/>
          <w:rFonts w:ascii="Times New Roman" w:hAnsi="Times New Roman"/>
          <w:b w:val="0"/>
          <w:bCs w:val="0"/>
          <w:i w:val="0"/>
          <w:iCs w:val="0"/>
          <w:sz w:val="22"/>
          <w:szCs w:val="22"/>
        </w:rPr>
        <w:t>Week 52</w:t>
      </w:r>
      <w:r w:rsidR="00BC71C3" w:rsidRPr="000B36A0">
        <w:rPr>
          <w:rStyle w:val="A0"/>
          <w:rFonts w:ascii="Times New Roman" w:hAnsi="Times New Roman"/>
          <w:b w:val="0"/>
          <w:bCs w:val="0"/>
          <w:i w:val="0"/>
          <w:iCs w:val="0"/>
          <w:sz w:val="22"/>
          <w:szCs w:val="22"/>
        </w:rPr>
        <w:t>.</w:t>
      </w:r>
      <w:r w:rsidR="002B057F">
        <w:rPr>
          <w:rStyle w:val="A0"/>
          <w:rFonts w:ascii="Times New Roman" w:hAnsi="Times New Roman"/>
          <w:b w:val="0"/>
          <w:bCs w:val="0"/>
          <w:i w:val="0"/>
          <w:iCs w:val="0"/>
          <w:sz w:val="22"/>
          <w:szCs w:val="22"/>
        </w:rPr>
        <w:t xml:space="preserve"> </w:t>
      </w:r>
      <w:r w:rsidRPr="007D0AC0">
        <w:rPr>
          <w:rStyle w:val="A0"/>
          <w:rFonts w:ascii="Times New Roman" w:hAnsi="Times New Roman"/>
          <w:b w:val="0"/>
          <w:bCs w:val="0"/>
          <w:i w:val="0"/>
          <w:iCs w:val="0"/>
          <w:sz w:val="22"/>
          <w:szCs w:val="22"/>
        </w:rPr>
        <w:t xml:space="preserve"> Similar results were observed in Studies PALACE 2 and PALACE 3</w:t>
      </w:r>
      <w:r w:rsidR="00851EDC">
        <w:rPr>
          <w:rStyle w:val="A0"/>
          <w:rFonts w:ascii="Times New Roman" w:hAnsi="Times New Roman"/>
          <w:b w:val="0"/>
          <w:bCs w:val="0"/>
          <w:i w:val="0"/>
          <w:iCs w:val="0"/>
          <w:sz w:val="22"/>
          <w:szCs w:val="22"/>
        </w:rPr>
        <w:t xml:space="preserve"> at Weeks 16, 24 and 52</w:t>
      </w:r>
      <w:r w:rsidRPr="007D0AC0">
        <w:rPr>
          <w:rStyle w:val="A0"/>
          <w:rFonts w:ascii="Times New Roman" w:hAnsi="Times New Roman"/>
          <w:b w:val="0"/>
          <w:bCs w:val="0"/>
          <w:i w:val="0"/>
          <w:iCs w:val="0"/>
          <w:sz w:val="22"/>
          <w:szCs w:val="22"/>
        </w:rPr>
        <w:t>.</w:t>
      </w:r>
    </w:p>
    <w:p w:rsidR="008C441C" w:rsidRPr="007D0AC0" w:rsidRDefault="008C441C" w:rsidP="008C441C">
      <w:pPr>
        <w:pStyle w:val="Pa8"/>
        <w:rPr>
          <w:rStyle w:val="A0"/>
          <w:rFonts w:ascii="Times New Roman" w:hAnsi="Times New Roman"/>
          <w:b w:val="0"/>
          <w:bCs w:val="0"/>
          <w:i w:val="0"/>
          <w:iCs w:val="0"/>
          <w:sz w:val="22"/>
          <w:szCs w:val="22"/>
        </w:rPr>
      </w:pPr>
    </w:p>
    <w:p w:rsidR="00D2477A" w:rsidRPr="00E632F4" w:rsidRDefault="00FF4014" w:rsidP="00E46E06">
      <w:pPr>
        <w:pStyle w:val="C-BodyText"/>
        <w:spacing w:before="0" w:after="0" w:line="240" w:lineRule="auto"/>
        <w:rPr>
          <w:rStyle w:val="A0"/>
          <w:b w:val="0"/>
          <w:bCs w:val="0"/>
          <w:i w:val="0"/>
          <w:iCs w:val="0"/>
        </w:rPr>
      </w:pPr>
      <w:r w:rsidRPr="007D0AC0">
        <w:rPr>
          <w:rStyle w:val="A0"/>
          <w:rFonts w:ascii="Times New Roman" w:hAnsi="Times New Roman"/>
          <w:b w:val="0"/>
          <w:bCs w:val="0"/>
          <w:i w:val="0"/>
          <w:iCs w:val="0"/>
          <w:sz w:val="22"/>
          <w:szCs w:val="22"/>
        </w:rPr>
        <w:t xml:space="preserve">There was no worsening observed in the mean change from Baseline in the Mental Component Summary score (MCS) </w:t>
      </w:r>
      <w:r w:rsidR="004B58D6">
        <w:rPr>
          <w:rStyle w:val="A0"/>
          <w:rFonts w:ascii="Times New Roman" w:hAnsi="Times New Roman"/>
          <w:b w:val="0"/>
          <w:bCs w:val="0"/>
          <w:i w:val="0"/>
          <w:iCs w:val="0"/>
          <w:sz w:val="22"/>
          <w:szCs w:val="22"/>
        </w:rPr>
        <w:t xml:space="preserve">in patients </w:t>
      </w:r>
      <w:r w:rsidR="002B057F">
        <w:rPr>
          <w:rStyle w:val="A0"/>
          <w:rFonts w:ascii="Times New Roman" w:hAnsi="Times New Roman"/>
          <w:b w:val="0"/>
          <w:bCs w:val="0"/>
          <w:i w:val="0"/>
          <w:iCs w:val="0"/>
          <w:sz w:val="22"/>
          <w:szCs w:val="22"/>
        </w:rPr>
        <w:t xml:space="preserve">treated with Otezla </w:t>
      </w:r>
      <w:r w:rsidR="002B057F" w:rsidRPr="00B5231B">
        <w:rPr>
          <w:rStyle w:val="A0"/>
          <w:rFonts w:ascii="Times New Roman" w:hAnsi="Times New Roman"/>
          <w:b w:val="0"/>
          <w:bCs w:val="0"/>
          <w:i w:val="0"/>
          <w:iCs w:val="0"/>
          <w:sz w:val="22"/>
          <w:szCs w:val="22"/>
        </w:rPr>
        <w:t xml:space="preserve">30 mg twice daily </w:t>
      </w:r>
      <w:r w:rsidR="004B58D6">
        <w:rPr>
          <w:rStyle w:val="A0"/>
          <w:rFonts w:ascii="Times New Roman" w:hAnsi="Times New Roman"/>
          <w:b w:val="0"/>
          <w:bCs w:val="0"/>
          <w:i w:val="0"/>
          <w:iCs w:val="0"/>
          <w:sz w:val="22"/>
          <w:szCs w:val="22"/>
        </w:rPr>
        <w:t xml:space="preserve">in comparison to placebo patients </w:t>
      </w:r>
      <w:r w:rsidR="008932A4" w:rsidRPr="007432E9">
        <w:rPr>
          <w:rStyle w:val="A0"/>
          <w:rFonts w:ascii="Times New Roman" w:hAnsi="Times New Roman"/>
          <w:b w:val="0"/>
          <w:bCs w:val="0"/>
          <w:i w:val="0"/>
          <w:iCs w:val="0"/>
          <w:sz w:val="22"/>
          <w:szCs w:val="22"/>
        </w:rPr>
        <w:t xml:space="preserve">at </w:t>
      </w:r>
      <w:r w:rsidR="001E1EFF" w:rsidRPr="007432E9">
        <w:rPr>
          <w:rStyle w:val="A0"/>
          <w:rFonts w:ascii="Times New Roman" w:hAnsi="Times New Roman"/>
          <w:b w:val="0"/>
          <w:bCs w:val="0"/>
          <w:i w:val="0"/>
          <w:iCs w:val="0"/>
          <w:sz w:val="22"/>
          <w:szCs w:val="22"/>
        </w:rPr>
        <w:t>Week</w:t>
      </w:r>
      <w:r w:rsidR="001E1EFF">
        <w:rPr>
          <w:rStyle w:val="A0"/>
          <w:rFonts w:ascii="Times New Roman" w:hAnsi="Times New Roman"/>
          <w:b w:val="0"/>
          <w:bCs w:val="0"/>
          <w:i w:val="0"/>
          <w:iCs w:val="0"/>
          <w:sz w:val="22"/>
          <w:szCs w:val="22"/>
        </w:rPr>
        <w:t xml:space="preserve"> </w:t>
      </w:r>
      <w:r w:rsidR="008932A4">
        <w:rPr>
          <w:rStyle w:val="A0"/>
          <w:rFonts w:ascii="Times New Roman" w:hAnsi="Times New Roman"/>
          <w:b w:val="0"/>
          <w:bCs w:val="0"/>
          <w:i w:val="0"/>
          <w:iCs w:val="0"/>
          <w:sz w:val="22"/>
          <w:szCs w:val="22"/>
        </w:rPr>
        <w:t>16 (0.69 and</w:t>
      </w:r>
      <w:r w:rsidRPr="007D0AC0">
        <w:rPr>
          <w:rStyle w:val="A0"/>
          <w:rFonts w:ascii="Times New Roman" w:hAnsi="Times New Roman"/>
          <w:b w:val="0"/>
          <w:bCs w:val="0"/>
          <w:i w:val="0"/>
          <w:iCs w:val="0"/>
          <w:sz w:val="22"/>
          <w:szCs w:val="22"/>
        </w:rPr>
        <w:t xml:space="preserve"> 0.07</w:t>
      </w:r>
      <w:r w:rsidR="008932A4">
        <w:rPr>
          <w:rStyle w:val="A0"/>
          <w:rFonts w:ascii="Times New Roman" w:hAnsi="Times New Roman"/>
          <w:b w:val="0"/>
          <w:bCs w:val="0"/>
          <w:i w:val="0"/>
          <w:iCs w:val="0"/>
          <w:sz w:val="22"/>
          <w:szCs w:val="22"/>
        </w:rPr>
        <w:t xml:space="preserve"> respectively) and </w:t>
      </w:r>
      <w:r w:rsidR="001E1EFF" w:rsidRPr="007432E9">
        <w:rPr>
          <w:rStyle w:val="A0"/>
          <w:rFonts w:ascii="Times New Roman" w:hAnsi="Times New Roman"/>
          <w:b w:val="0"/>
          <w:bCs w:val="0"/>
          <w:i w:val="0"/>
          <w:iCs w:val="0"/>
          <w:sz w:val="22"/>
          <w:szCs w:val="22"/>
        </w:rPr>
        <w:t>Week</w:t>
      </w:r>
      <w:r w:rsidR="001E1EFF">
        <w:rPr>
          <w:rStyle w:val="A0"/>
          <w:rFonts w:ascii="Times New Roman" w:hAnsi="Times New Roman"/>
          <w:b w:val="0"/>
          <w:bCs w:val="0"/>
          <w:i w:val="0"/>
          <w:iCs w:val="0"/>
          <w:sz w:val="22"/>
          <w:szCs w:val="22"/>
        </w:rPr>
        <w:t xml:space="preserve"> </w:t>
      </w:r>
      <w:r w:rsidR="007432E9">
        <w:rPr>
          <w:rStyle w:val="A0"/>
          <w:rFonts w:ascii="Times New Roman" w:hAnsi="Times New Roman"/>
          <w:b w:val="0"/>
          <w:bCs w:val="0"/>
          <w:i w:val="0"/>
          <w:iCs w:val="0"/>
          <w:sz w:val="22"/>
          <w:szCs w:val="22"/>
        </w:rPr>
        <w:t>24 in Study PALACE 1</w:t>
      </w:r>
      <w:r w:rsidRPr="007D0AC0">
        <w:rPr>
          <w:rStyle w:val="A0"/>
          <w:rFonts w:ascii="Times New Roman" w:hAnsi="Times New Roman"/>
          <w:b w:val="0"/>
          <w:bCs w:val="0"/>
          <w:i w:val="0"/>
          <w:iCs w:val="0"/>
          <w:sz w:val="22"/>
          <w:szCs w:val="22"/>
        </w:rPr>
        <w:t xml:space="preserve">.  </w:t>
      </w:r>
      <w:r w:rsidR="00D2477A" w:rsidRPr="007D0AC0">
        <w:rPr>
          <w:rStyle w:val="A0"/>
          <w:rFonts w:ascii="Times New Roman" w:hAnsi="Times New Roman"/>
          <w:b w:val="0"/>
          <w:bCs w:val="0"/>
          <w:i w:val="0"/>
          <w:iCs w:val="0"/>
          <w:sz w:val="22"/>
          <w:szCs w:val="22"/>
        </w:rPr>
        <w:t xml:space="preserve">Among patients who </w:t>
      </w:r>
      <w:r w:rsidR="00D83A92">
        <w:rPr>
          <w:rStyle w:val="A0"/>
          <w:rFonts w:ascii="Times New Roman" w:hAnsi="Times New Roman"/>
          <w:b w:val="0"/>
          <w:bCs w:val="0"/>
          <w:i w:val="0"/>
          <w:iCs w:val="0"/>
          <w:sz w:val="22"/>
          <w:szCs w:val="22"/>
        </w:rPr>
        <w:t>were continuously treated with</w:t>
      </w:r>
      <w:r w:rsidR="00D2477A" w:rsidRPr="007D0AC0">
        <w:rPr>
          <w:rStyle w:val="A0"/>
          <w:rFonts w:ascii="Times New Roman" w:hAnsi="Times New Roman"/>
          <w:b w:val="0"/>
          <w:bCs w:val="0"/>
          <w:i w:val="0"/>
          <w:iCs w:val="0"/>
          <w:sz w:val="22"/>
          <w:szCs w:val="22"/>
        </w:rPr>
        <w:t xml:space="preserve"> </w:t>
      </w:r>
      <w:r w:rsidR="00847337">
        <w:rPr>
          <w:rStyle w:val="A0"/>
          <w:rFonts w:ascii="Times New Roman" w:hAnsi="Times New Roman"/>
          <w:b w:val="0"/>
          <w:bCs w:val="0"/>
          <w:i w:val="0"/>
          <w:iCs w:val="0"/>
          <w:sz w:val="22"/>
          <w:szCs w:val="22"/>
        </w:rPr>
        <w:t>Otezla</w:t>
      </w:r>
      <w:r w:rsidR="00D2477A" w:rsidRPr="007D0AC0">
        <w:rPr>
          <w:rStyle w:val="A0"/>
          <w:rFonts w:ascii="Times New Roman" w:hAnsi="Times New Roman"/>
          <w:b w:val="0"/>
          <w:bCs w:val="0"/>
          <w:i w:val="0"/>
          <w:iCs w:val="0"/>
          <w:sz w:val="22"/>
          <w:szCs w:val="22"/>
        </w:rPr>
        <w:t xml:space="preserve">, </w:t>
      </w:r>
      <w:r w:rsidR="00571938">
        <w:rPr>
          <w:rStyle w:val="A0"/>
          <w:rFonts w:ascii="Times New Roman" w:hAnsi="Times New Roman"/>
          <w:b w:val="0"/>
          <w:bCs w:val="0"/>
          <w:i w:val="0"/>
          <w:iCs w:val="0"/>
          <w:sz w:val="22"/>
          <w:szCs w:val="22"/>
        </w:rPr>
        <w:t>a</w:t>
      </w:r>
      <w:r w:rsidR="00F24AC3">
        <w:rPr>
          <w:rStyle w:val="A0"/>
          <w:rFonts w:ascii="Times New Roman" w:hAnsi="Times New Roman"/>
          <w:b w:val="0"/>
          <w:bCs w:val="0"/>
          <w:i w:val="0"/>
          <w:iCs w:val="0"/>
          <w:sz w:val="22"/>
          <w:szCs w:val="22"/>
        </w:rPr>
        <w:t xml:space="preserve"> mean change from baseline in</w:t>
      </w:r>
      <w:r w:rsidR="00425ADF">
        <w:rPr>
          <w:rStyle w:val="A0"/>
          <w:rFonts w:ascii="Times New Roman" w:hAnsi="Times New Roman"/>
          <w:b w:val="0"/>
          <w:bCs w:val="0"/>
          <w:i w:val="0"/>
          <w:iCs w:val="0"/>
          <w:sz w:val="22"/>
          <w:szCs w:val="22"/>
        </w:rPr>
        <w:t xml:space="preserve"> </w:t>
      </w:r>
      <w:r w:rsidR="00F24AC3">
        <w:rPr>
          <w:rStyle w:val="A0"/>
          <w:rFonts w:ascii="Times New Roman" w:hAnsi="Times New Roman"/>
          <w:b w:val="0"/>
          <w:bCs w:val="0"/>
          <w:i w:val="0"/>
          <w:iCs w:val="0"/>
          <w:sz w:val="22"/>
          <w:szCs w:val="22"/>
        </w:rPr>
        <w:t xml:space="preserve">the </w:t>
      </w:r>
      <w:r w:rsidR="00425ADF">
        <w:rPr>
          <w:rStyle w:val="A0"/>
          <w:rFonts w:ascii="Times New Roman" w:hAnsi="Times New Roman"/>
          <w:b w:val="0"/>
          <w:bCs w:val="0"/>
          <w:i w:val="0"/>
          <w:iCs w:val="0"/>
          <w:sz w:val="22"/>
          <w:szCs w:val="22"/>
        </w:rPr>
        <w:t xml:space="preserve">MCS </w:t>
      </w:r>
      <w:r w:rsidR="00562415">
        <w:rPr>
          <w:rStyle w:val="A0"/>
          <w:rFonts w:ascii="Times New Roman" w:hAnsi="Times New Roman"/>
          <w:b w:val="0"/>
          <w:bCs w:val="0"/>
          <w:i w:val="0"/>
          <w:iCs w:val="0"/>
          <w:sz w:val="22"/>
          <w:szCs w:val="22"/>
        </w:rPr>
        <w:t xml:space="preserve">score </w:t>
      </w:r>
      <w:r w:rsidR="00425ADF">
        <w:rPr>
          <w:rStyle w:val="A0"/>
          <w:rFonts w:ascii="Times New Roman" w:hAnsi="Times New Roman"/>
          <w:b w:val="0"/>
          <w:bCs w:val="0"/>
          <w:i w:val="0"/>
          <w:iCs w:val="0"/>
          <w:sz w:val="22"/>
          <w:szCs w:val="22"/>
        </w:rPr>
        <w:t xml:space="preserve">of 0.34 was observed </w:t>
      </w:r>
      <w:r w:rsidR="00D2477A" w:rsidRPr="007D0AC0">
        <w:rPr>
          <w:rStyle w:val="A0"/>
          <w:rFonts w:ascii="Times New Roman" w:hAnsi="Times New Roman"/>
          <w:b w:val="0"/>
          <w:bCs w:val="0"/>
          <w:i w:val="0"/>
          <w:iCs w:val="0"/>
          <w:sz w:val="22"/>
          <w:szCs w:val="22"/>
        </w:rPr>
        <w:t xml:space="preserve">at </w:t>
      </w:r>
      <w:r w:rsidR="00D2477A" w:rsidRPr="000B36A0">
        <w:rPr>
          <w:rStyle w:val="A0"/>
          <w:rFonts w:ascii="Times New Roman" w:hAnsi="Times New Roman"/>
          <w:b w:val="0"/>
          <w:bCs w:val="0"/>
          <w:i w:val="0"/>
          <w:iCs w:val="0"/>
          <w:sz w:val="22"/>
          <w:szCs w:val="22"/>
        </w:rPr>
        <w:t>Week 52.</w:t>
      </w:r>
      <w:r w:rsidR="00AB291D">
        <w:rPr>
          <w:rStyle w:val="A0"/>
          <w:rFonts w:ascii="Times New Roman" w:hAnsi="Times New Roman"/>
          <w:b w:val="0"/>
          <w:bCs w:val="0"/>
          <w:i w:val="0"/>
          <w:iCs w:val="0"/>
          <w:sz w:val="22"/>
          <w:szCs w:val="22"/>
        </w:rPr>
        <w:t xml:space="preserve">  </w:t>
      </w:r>
      <w:r w:rsidR="00AB291D" w:rsidRPr="007D0AC0">
        <w:rPr>
          <w:rStyle w:val="A0"/>
          <w:rFonts w:ascii="Times New Roman" w:hAnsi="Times New Roman"/>
          <w:b w:val="0"/>
          <w:bCs w:val="0"/>
          <w:i w:val="0"/>
          <w:iCs w:val="0"/>
          <w:sz w:val="22"/>
          <w:szCs w:val="22"/>
        </w:rPr>
        <w:t>Similar results were observed in Studies PALACE 2 and PALACE 3</w:t>
      </w:r>
      <w:r w:rsidR="005340A9">
        <w:rPr>
          <w:rStyle w:val="A0"/>
          <w:rFonts w:ascii="Times New Roman" w:hAnsi="Times New Roman"/>
          <w:b w:val="0"/>
          <w:bCs w:val="0"/>
          <w:i w:val="0"/>
          <w:iCs w:val="0"/>
          <w:sz w:val="22"/>
          <w:szCs w:val="22"/>
        </w:rPr>
        <w:t xml:space="preserve"> </w:t>
      </w:r>
      <w:r w:rsidR="00366DB7">
        <w:rPr>
          <w:rStyle w:val="A0"/>
          <w:rFonts w:ascii="Times New Roman" w:hAnsi="Times New Roman"/>
          <w:b w:val="0"/>
          <w:bCs w:val="0"/>
          <w:i w:val="0"/>
          <w:iCs w:val="0"/>
          <w:sz w:val="22"/>
          <w:szCs w:val="22"/>
        </w:rPr>
        <w:t>at Weeks 16,</w:t>
      </w:r>
      <w:r w:rsidR="007D0BF0">
        <w:rPr>
          <w:rStyle w:val="A0"/>
          <w:rFonts w:ascii="Times New Roman" w:hAnsi="Times New Roman"/>
          <w:b w:val="0"/>
          <w:bCs w:val="0"/>
          <w:i w:val="0"/>
          <w:iCs w:val="0"/>
          <w:sz w:val="22"/>
          <w:szCs w:val="22"/>
        </w:rPr>
        <w:t xml:space="preserve"> </w:t>
      </w:r>
      <w:r w:rsidR="00366DB7">
        <w:rPr>
          <w:rStyle w:val="A0"/>
          <w:rFonts w:ascii="Times New Roman" w:hAnsi="Times New Roman"/>
          <w:b w:val="0"/>
          <w:bCs w:val="0"/>
          <w:i w:val="0"/>
          <w:iCs w:val="0"/>
          <w:sz w:val="22"/>
          <w:szCs w:val="22"/>
        </w:rPr>
        <w:t>24 and 52</w:t>
      </w:r>
      <w:r w:rsidR="00AB291D" w:rsidRPr="007D0AC0">
        <w:rPr>
          <w:rStyle w:val="A0"/>
          <w:rFonts w:ascii="Times New Roman" w:hAnsi="Times New Roman"/>
          <w:b w:val="0"/>
          <w:bCs w:val="0"/>
          <w:i w:val="0"/>
          <w:iCs w:val="0"/>
          <w:sz w:val="22"/>
          <w:szCs w:val="22"/>
        </w:rPr>
        <w:t xml:space="preserve">.  </w:t>
      </w:r>
    </w:p>
    <w:p w:rsidR="00240993" w:rsidRPr="00FF4014" w:rsidRDefault="00240993" w:rsidP="00E46E06">
      <w:pPr>
        <w:pStyle w:val="C-BodyText"/>
        <w:spacing w:before="0" w:after="0" w:line="240" w:lineRule="auto"/>
        <w:rPr>
          <w:b/>
          <w:iCs/>
          <w:sz w:val="22"/>
          <w:szCs w:val="22"/>
        </w:rPr>
      </w:pPr>
    </w:p>
    <w:p w:rsidR="00240993" w:rsidRPr="007D0AC0" w:rsidRDefault="0023093E" w:rsidP="00E46E06">
      <w:pPr>
        <w:numPr>
          <w:ilvl w:val="12"/>
          <w:numId w:val="0"/>
        </w:numPr>
        <w:ind w:right="-2"/>
        <w:rPr>
          <w:b/>
          <w:iCs/>
          <w:sz w:val="22"/>
          <w:szCs w:val="22"/>
        </w:rPr>
      </w:pPr>
      <w:r>
        <w:rPr>
          <w:sz w:val="22"/>
          <w:szCs w:val="22"/>
        </w:rPr>
        <w:t>A</w:t>
      </w:r>
      <w:r w:rsidR="00640433" w:rsidRPr="0023093E">
        <w:rPr>
          <w:sz w:val="22"/>
          <w:szCs w:val="22"/>
        </w:rPr>
        <w:t xml:space="preserve"> </w:t>
      </w:r>
      <w:r w:rsidR="0047744B">
        <w:rPr>
          <w:sz w:val="22"/>
          <w:szCs w:val="22"/>
        </w:rPr>
        <w:t>greater</w:t>
      </w:r>
      <w:r w:rsidR="0047744B" w:rsidRPr="0023093E">
        <w:rPr>
          <w:sz w:val="22"/>
          <w:szCs w:val="22"/>
        </w:rPr>
        <w:t xml:space="preserve"> </w:t>
      </w:r>
      <w:r w:rsidR="00DD4EF1" w:rsidRPr="0023093E">
        <w:rPr>
          <w:sz w:val="22"/>
          <w:szCs w:val="22"/>
        </w:rPr>
        <w:t>i</w:t>
      </w:r>
      <w:r w:rsidR="00DD4EF1" w:rsidRPr="007D0AC0">
        <w:rPr>
          <w:sz w:val="22"/>
          <w:szCs w:val="22"/>
        </w:rPr>
        <w:t>mprovement</w:t>
      </w:r>
      <w:r>
        <w:rPr>
          <w:sz w:val="22"/>
          <w:szCs w:val="22"/>
        </w:rPr>
        <w:t xml:space="preserve"> was observed</w:t>
      </w:r>
      <w:r w:rsidR="00DD4EF1" w:rsidRPr="007D0AC0">
        <w:rPr>
          <w:sz w:val="22"/>
          <w:szCs w:val="22"/>
        </w:rPr>
        <w:t xml:space="preserve"> in Functional Assessment of Chronic Illness Therapy – Fatigue (F</w:t>
      </w:r>
      <w:r w:rsidR="00DD4EF1" w:rsidRPr="00BD00CF">
        <w:rPr>
          <w:sz w:val="22"/>
          <w:szCs w:val="22"/>
        </w:rPr>
        <w:t xml:space="preserve">ACIT-fatigue) scores in the </w:t>
      </w:r>
      <w:r w:rsidR="00970009">
        <w:rPr>
          <w:sz w:val="22"/>
          <w:szCs w:val="22"/>
        </w:rPr>
        <w:t xml:space="preserve">patients treated with Otezla </w:t>
      </w:r>
      <w:r w:rsidR="00970009" w:rsidRPr="00B5231B">
        <w:rPr>
          <w:rStyle w:val="A0"/>
          <w:rFonts w:ascii="Times New Roman" w:hAnsi="Times New Roman"/>
          <w:b w:val="0"/>
          <w:bCs w:val="0"/>
          <w:i w:val="0"/>
          <w:iCs w:val="0"/>
          <w:sz w:val="22"/>
          <w:szCs w:val="22"/>
        </w:rPr>
        <w:t>30 mg twice daily</w:t>
      </w:r>
      <w:r w:rsidR="00DD4EF1" w:rsidRPr="00BD00CF">
        <w:rPr>
          <w:sz w:val="22"/>
          <w:szCs w:val="22"/>
        </w:rPr>
        <w:t xml:space="preserve"> when compared with </w:t>
      </w:r>
      <w:r>
        <w:rPr>
          <w:sz w:val="22"/>
          <w:szCs w:val="22"/>
        </w:rPr>
        <w:t xml:space="preserve">the </w:t>
      </w:r>
      <w:r w:rsidR="00DD4EF1" w:rsidRPr="00BD00CF">
        <w:rPr>
          <w:sz w:val="22"/>
          <w:szCs w:val="22"/>
        </w:rPr>
        <w:t xml:space="preserve">placebo </w:t>
      </w:r>
      <w:r>
        <w:rPr>
          <w:sz w:val="22"/>
          <w:szCs w:val="22"/>
        </w:rPr>
        <w:t xml:space="preserve">group </w:t>
      </w:r>
      <w:r w:rsidR="00DD4EF1" w:rsidRPr="00BD00CF">
        <w:rPr>
          <w:sz w:val="22"/>
          <w:szCs w:val="22"/>
        </w:rPr>
        <w:t xml:space="preserve">at Weeks 16 </w:t>
      </w:r>
      <w:r w:rsidR="008932A4">
        <w:rPr>
          <w:sz w:val="22"/>
          <w:szCs w:val="22"/>
        </w:rPr>
        <w:t>(3.88 and</w:t>
      </w:r>
      <w:r w:rsidR="00C31E4D" w:rsidRPr="00BD00CF">
        <w:rPr>
          <w:sz w:val="22"/>
          <w:szCs w:val="22"/>
        </w:rPr>
        <w:t xml:space="preserve"> 1.55</w:t>
      </w:r>
      <w:r w:rsidR="005E2B6C" w:rsidRPr="00BD00CF">
        <w:rPr>
          <w:sz w:val="22"/>
          <w:szCs w:val="22"/>
        </w:rPr>
        <w:t xml:space="preserve"> respectively; </w:t>
      </w:r>
      <w:r w:rsidR="005E2B6C" w:rsidRPr="00BD00CF">
        <w:rPr>
          <w:color w:val="211D1E"/>
          <w:sz w:val="22"/>
          <w:szCs w:val="22"/>
          <w:lang w:eastAsia="ja-JP"/>
        </w:rPr>
        <w:t>p &lt; 0.05)</w:t>
      </w:r>
      <w:r w:rsidR="00571938">
        <w:rPr>
          <w:color w:val="211D1E"/>
          <w:sz w:val="22"/>
          <w:szCs w:val="22"/>
          <w:lang w:eastAsia="ja-JP"/>
        </w:rPr>
        <w:t xml:space="preserve"> </w:t>
      </w:r>
      <w:r w:rsidR="00571938" w:rsidRPr="00BD00CF">
        <w:rPr>
          <w:sz w:val="22"/>
          <w:szCs w:val="22"/>
        </w:rPr>
        <w:t>in Study PALACE 1</w:t>
      </w:r>
      <w:r w:rsidR="00571938">
        <w:rPr>
          <w:color w:val="211D1E"/>
          <w:sz w:val="22"/>
          <w:szCs w:val="22"/>
          <w:lang w:eastAsia="ja-JP"/>
        </w:rPr>
        <w:t>.  The response was maintained at</w:t>
      </w:r>
      <w:r w:rsidR="005F5C0E" w:rsidRPr="00BD00CF">
        <w:rPr>
          <w:sz w:val="22"/>
          <w:szCs w:val="22"/>
        </w:rPr>
        <w:t xml:space="preserve"> </w:t>
      </w:r>
      <w:r w:rsidR="007432E9">
        <w:rPr>
          <w:sz w:val="22"/>
          <w:szCs w:val="22"/>
        </w:rPr>
        <w:t xml:space="preserve">Week </w:t>
      </w:r>
      <w:r w:rsidR="005F5C0E" w:rsidRPr="00BD00CF">
        <w:rPr>
          <w:sz w:val="22"/>
          <w:szCs w:val="22"/>
        </w:rPr>
        <w:t xml:space="preserve">24.  </w:t>
      </w:r>
      <w:r w:rsidR="00DD4EF1" w:rsidRPr="00BD00CF">
        <w:rPr>
          <w:sz w:val="22"/>
          <w:szCs w:val="22"/>
        </w:rPr>
        <w:t>Amo</w:t>
      </w:r>
      <w:r w:rsidR="005E2B6C" w:rsidRPr="00BD00CF">
        <w:rPr>
          <w:sz w:val="22"/>
          <w:szCs w:val="22"/>
        </w:rPr>
        <w:t xml:space="preserve">ng patients who </w:t>
      </w:r>
      <w:r w:rsidR="00D83A92">
        <w:rPr>
          <w:sz w:val="22"/>
          <w:szCs w:val="22"/>
        </w:rPr>
        <w:t>were continuously treated with</w:t>
      </w:r>
      <w:r w:rsidR="005E2B6C" w:rsidRPr="00BD00CF">
        <w:rPr>
          <w:sz w:val="22"/>
          <w:szCs w:val="22"/>
        </w:rPr>
        <w:t xml:space="preserve"> Otezla</w:t>
      </w:r>
      <w:r w:rsidR="00DD4EF1" w:rsidRPr="00BD00CF">
        <w:rPr>
          <w:sz w:val="22"/>
          <w:szCs w:val="22"/>
        </w:rPr>
        <w:t xml:space="preserve">, </w:t>
      </w:r>
      <w:r w:rsidR="00571938">
        <w:rPr>
          <w:sz w:val="22"/>
          <w:szCs w:val="22"/>
        </w:rPr>
        <w:t xml:space="preserve">a mean change from baseline in the </w:t>
      </w:r>
      <w:r w:rsidR="00DD4EF1" w:rsidRPr="00BD00CF">
        <w:rPr>
          <w:sz w:val="22"/>
          <w:szCs w:val="22"/>
        </w:rPr>
        <w:t xml:space="preserve">FACIT-fatigue </w:t>
      </w:r>
      <w:r w:rsidR="00571938">
        <w:rPr>
          <w:sz w:val="22"/>
          <w:szCs w:val="22"/>
        </w:rPr>
        <w:t>score of 3.67 was observed</w:t>
      </w:r>
      <w:r w:rsidR="00DD4EF1" w:rsidRPr="00BD00CF">
        <w:rPr>
          <w:sz w:val="22"/>
          <w:szCs w:val="22"/>
        </w:rPr>
        <w:t xml:space="preserve"> at </w:t>
      </w:r>
      <w:r w:rsidR="00DD4EF1" w:rsidRPr="000B36A0">
        <w:rPr>
          <w:sz w:val="22"/>
          <w:szCs w:val="22"/>
        </w:rPr>
        <w:t>Week 52</w:t>
      </w:r>
      <w:r w:rsidR="00B9415B" w:rsidRPr="000B36A0">
        <w:rPr>
          <w:sz w:val="22"/>
          <w:szCs w:val="22"/>
        </w:rPr>
        <w:t>.</w:t>
      </w:r>
      <w:r w:rsidR="00B9415B">
        <w:rPr>
          <w:sz w:val="22"/>
          <w:szCs w:val="22"/>
        </w:rPr>
        <w:t xml:space="preserve">  Simi</w:t>
      </w:r>
      <w:r w:rsidR="00DD4EF1" w:rsidRPr="007D0AC0">
        <w:rPr>
          <w:sz w:val="22"/>
          <w:szCs w:val="22"/>
        </w:rPr>
        <w:t xml:space="preserve">lar results were observed in Studies PALACE 2 and </w:t>
      </w:r>
      <w:r w:rsidR="005340A9">
        <w:rPr>
          <w:sz w:val="22"/>
          <w:szCs w:val="22"/>
        </w:rPr>
        <w:t xml:space="preserve">PALACE </w:t>
      </w:r>
      <w:r w:rsidR="00DD4EF1" w:rsidRPr="007D0AC0">
        <w:rPr>
          <w:sz w:val="22"/>
          <w:szCs w:val="22"/>
        </w:rPr>
        <w:t>3</w:t>
      </w:r>
      <w:r w:rsidR="0047744B">
        <w:rPr>
          <w:sz w:val="22"/>
          <w:szCs w:val="22"/>
        </w:rPr>
        <w:t xml:space="preserve"> at Weeks 16, 24 and 52</w:t>
      </w:r>
      <w:r w:rsidR="00DD4EF1" w:rsidRPr="007D0AC0">
        <w:rPr>
          <w:sz w:val="22"/>
          <w:szCs w:val="22"/>
        </w:rPr>
        <w:t>.</w:t>
      </w:r>
    </w:p>
    <w:p w:rsidR="00240993" w:rsidRPr="00896AF4" w:rsidRDefault="00240993" w:rsidP="008C441C">
      <w:pPr>
        <w:numPr>
          <w:ilvl w:val="12"/>
          <w:numId w:val="0"/>
        </w:numPr>
        <w:ind w:right="-2"/>
        <w:rPr>
          <w:iCs/>
          <w:sz w:val="22"/>
          <w:szCs w:val="22"/>
        </w:rPr>
      </w:pPr>
    </w:p>
    <w:p w:rsidR="006717B8" w:rsidRPr="00896AF4" w:rsidRDefault="006717B8" w:rsidP="008C441C">
      <w:pPr>
        <w:numPr>
          <w:ilvl w:val="12"/>
          <w:numId w:val="0"/>
        </w:numPr>
        <w:ind w:right="-2"/>
        <w:rPr>
          <w:iCs/>
          <w:sz w:val="22"/>
          <w:szCs w:val="22"/>
        </w:rPr>
      </w:pPr>
    </w:p>
    <w:p w:rsidR="00497311" w:rsidRDefault="00F52E5D" w:rsidP="00497311">
      <w:pPr>
        <w:numPr>
          <w:ilvl w:val="12"/>
          <w:numId w:val="0"/>
        </w:numPr>
        <w:ind w:right="-2"/>
        <w:rPr>
          <w:b/>
          <w:iCs/>
          <w:sz w:val="22"/>
          <w:szCs w:val="22"/>
        </w:rPr>
      </w:pPr>
      <w:r w:rsidRPr="007D0AC0">
        <w:rPr>
          <w:b/>
          <w:sz w:val="22"/>
          <w:szCs w:val="22"/>
        </w:rPr>
        <w:t>PASI-75 Response</w:t>
      </w:r>
    </w:p>
    <w:p w:rsidR="00240993" w:rsidRDefault="00301F1B" w:rsidP="002A6C0B">
      <w:pPr>
        <w:numPr>
          <w:ilvl w:val="12"/>
          <w:numId w:val="0"/>
        </w:numPr>
        <w:spacing w:before="120"/>
        <w:rPr>
          <w:sz w:val="22"/>
          <w:szCs w:val="22"/>
        </w:rPr>
      </w:pPr>
      <w:r w:rsidRPr="007D0AC0">
        <w:rPr>
          <w:sz w:val="22"/>
          <w:szCs w:val="22"/>
        </w:rPr>
        <w:t xml:space="preserve">Treatment with </w:t>
      </w:r>
      <w:r w:rsidR="00497311">
        <w:rPr>
          <w:sz w:val="22"/>
          <w:szCs w:val="22"/>
        </w:rPr>
        <w:t xml:space="preserve">Otezla </w:t>
      </w:r>
      <w:r w:rsidRPr="007D0AC0">
        <w:rPr>
          <w:sz w:val="22"/>
          <w:szCs w:val="22"/>
        </w:rPr>
        <w:t>30 mg twice daily resulted in improvement in the skin manifestations of psoriasis.  Patients with psoriasis involvement of at least 3%</w:t>
      </w:r>
      <w:r w:rsidR="002F4F4A" w:rsidRPr="007D0AC0">
        <w:rPr>
          <w:sz w:val="22"/>
          <w:szCs w:val="22"/>
        </w:rPr>
        <w:t xml:space="preserve"> </w:t>
      </w:r>
      <w:r w:rsidRPr="007D0AC0">
        <w:rPr>
          <w:sz w:val="22"/>
          <w:szCs w:val="22"/>
        </w:rPr>
        <w:t xml:space="preserve">BSA were evaluated using the PASI-75 responses.  In Study </w:t>
      </w:r>
      <w:r w:rsidR="005310B6">
        <w:rPr>
          <w:sz w:val="22"/>
          <w:szCs w:val="22"/>
        </w:rPr>
        <w:t xml:space="preserve">PALACE 3, </w:t>
      </w:r>
      <w:r w:rsidRPr="007D0AC0">
        <w:rPr>
          <w:sz w:val="22"/>
          <w:szCs w:val="22"/>
        </w:rPr>
        <w:t>a</w:t>
      </w:r>
      <w:r w:rsidRPr="005310B6">
        <w:rPr>
          <w:sz w:val="22"/>
          <w:szCs w:val="22"/>
        </w:rPr>
        <w:t xml:space="preserve"> </w:t>
      </w:r>
      <w:r w:rsidR="0001461C" w:rsidRPr="005310B6">
        <w:rPr>
          <w:sz w:val="22"/>
          <w:szCs w:val="22"/>
        </w:rPr>
        <w:t>significantly</w:t>
      </w:r>
      <w:r w:rsidR="0001461C" w:rsidRPr="007D0AC0">
        <w:t xml:space="preserve"> </w:t>
      </w:r>
      <w:r w:rsidRPr="007D0AC0">
        <w:rPr>
          <w:sz w:val="22"/>
          <w:szCs w:val="22"/>
        </w:rPr>
        <w:t>greater proportion of pa</w:t>
      </w:r>
      <w:r w:rsidR="005310B6">
        <w:rPr>
          <w:sz w:val="22"/>
          <w:szCs w:val="22"/>
        </w:rPr>
        <w:t>tients achieved</w:t>
      </w:r>
      <w:r w:rsidRPr="007D0AC0">
        <w:rPr>
          <w:sz w:val="22"/>
          <w:szCs w:val="22"/>
        </w:rPr>
        <w:t xml:space="preserve"> a PASI-75 in the </w:t>
      </w:r>
      <w:r w:rsidR="00342ADF">
        <w:rPr>
          <w:sz w:val="22"/>
          <w:szCs w:val="22"/>
        </w:rPr>
        <w:t>Otezla</w:t>
      </w:r>
      <w:r w:rsidRPr="007D0AC0">
        <w:rPr>
          <w:sz w:val="22"/>
          <w:szCs w:val="22"/>
        </w:rPr>
        <w:t xml:space="preserve"> group compared</w:t>
      </w:r>
      <w:r w:rsidR="005310B6">
        <w:rPr>
          <w:sz w:val="22"/>
          <w:szCs w:val="22"/>
        </w:rPr>
        <w:t xml:space="preserve"> to the placebo group (22.2% and</w:t>
      </w:r>
      <w:r w:rsidRPr="007D0AC0">
        <w:rPr>
          <w:sz w:val="22"/>
          <w:szCs w:val="22"/>
        </w:rPr>
        <w:t xml:space="preserve"> 7.9%, respectively</w:t>
      </w:r>
      <w:r w:rsidR="00342ADF" w:rsidRPr="005310B6">
        <w:rPr>
          <w:sz w:val="22"/>
          <w:szCs w:val="22"/>
        </w:rPr>
        <w:t xml:space="preserve">; </w:t>
      </w:r>
      <w:r w:rsidR="00342ADF" w:rsidRPr="005310B6">
        <w:rPr>
          <w:color w:val="211D1E"/>
          <w:sz w:val="22"/>
          <w:szCs w:val="22"/>
          <w:lang w:eastAsia="ja-JP"/>
        </w:rPr>
        <w:t>p &lt; 0.01</w:t>
      </w:r>
      <w:r w:rsidRPr="005310B6">
        <w:rPr>
          <w:sz w:val="22"/>
          <w:szCs w:val="22"/>
        </w:rPr>
        <w:t>)</w:t>
      </w:r>
      <w:r w:rsidR="00970009">
        <w:rPr>
          <w:sz w:val="22"/>
          <w:szCs w:val="22"/>
        </w:rPr>
        <w:t xml:space="preserve"> at Week 16</w:t>
      </w:r>
      <w:r w:rsidRPr="007D0AC0">
        <w:rPr>
          <w:sz w:val="22"/>
          <w:szCs w:val="22"/>
        </w:rPr>
        <w:t xml:space="preserve">.  </w:t>
      </w:r>
      <w:r w:rsidR="00514C74">
        <w:rPr>
          <w:rStyle w:val="A0"/>
          <w:rFonts w:ascii="Times New Roman" w:hAnsi="Times New Roman"/>
          <w:b w:val="0"/>
          <w:bCs w:val="0"/>
          <w:i w:val="0"/>
          <w:iCs w:val="0"/>
          <w:sz w:val="22"/>
          <w:szCs w:val="22"/>
        </w:rPr>
        <w:t>The r</w:t>
      </w:r>
      <w:r w:rsidR="00970009">
        <w:rPr>
          <w:rStyle w:val="A0"/>
          <w:rFonts w:ascii="Times New Roman" w:hAnsi="Times New Roman"/>
          <w:b w:val="0"/>
          <w:bCs w:val="0"/>
          <w:i w:val="0"/>
          <w:iCs w:val="0"/>
          <w:sz w:val="22"/>
          <w:szCs w:val="22"/>
        </w:rPr>
        <w:t xml:space="preserve">esponse was maintained at </w:t>
      </w:r>
      <w:r w:rsidR="00970009" w:rsidRPr="00B5231B">
        <w:rPr>
          <w:rStyle w:val="A0"/>
          <w:rFonts w:ascii="Times New Roman" w:hAnsi="Times New Roman"/>
          <w:b w:val="0"/>
          <w:bCs w:val="0"/>
          <w:i w:val="0"/>
          <w:iCs w:val="0"/>
          <w:sz w:val="22"/>
          <w:szCs w:val="22"/>
        </w:rPr>
        <w:t>Week 24</w:t>
      </w:r>
      <w:r w:rsidR="00970009">
        <w:rPr>
          <w:rStyle w:val="A0"/>
          <w:rFonts w:ascii="Times New Roman" w:hAnsi="Times New Roman"/>
          <w:b w:val="0"/>
          <w:bCs w:val="0"/>
          <w:i w:val="0"/>
          <w:iCs w:val="0"/>
          <w:sz w:val="22"/>
          <w:szCs w:val="22"/>
        </w:rPr>
        <w:t>.</w:t>
      </w:r>
      <w:r w:rsidRPr="007D0AC0">
        <w:rPr>
          <w:sz w:val="22"/>
          <w:szCs w:val="22"/>
        </w:rPr>
        <w:t xml:space="preserve">  There were more patients with PASI-75 responses in the </w:t>
      </w:r>
      <w:r w:rsidR="00695216">
        <w:rPr>
          <w:sz w:val="22"/>
          <w:szCs w:val="22"/>
        </w:rPr>
        <w:t>Otezla</w:t>
      </w:r>
      <w:r w:rsidRPr="007D0AC0">
        <w:rPr>
          <w:sz w:val="22"/>
          <w:szCs w:val="22"/>
        </w:rPr>
        <w:t xml:space="preserve"> group than in patients treated with placebo, with or without concomitant</w:t>
      </w:r>
      <w:r w:rsidR="00CD4B4E" w:rsidRPr="007D0AC0">
        <w:rPr>
          <w:sz w:val="22"/>
          <w:szCs w:val="22"/>
        </w:rPr>
        <w:t xml:space="preserve"> </w:t>
      </w:r>
      <w:r w:rsidRPr="007D0AC0">
        <w:rPr>
          <w:sz w:val="22"/>
          <w:szCs w:val="22"/>
        </w:rPr>
        <w:t xml:space="preserve">DMARD treatment.  Among patients who </w:t>
      </w:r>
      <w:r w:rsidR="003B6D50">
        <w:rPr>
          <w:sz w:val="22"/>
          <w:szCs w:val="22"/>
        </w:rPr>
        <w:t>were continuously treated with</w:t>
      </w:r>
      <w:r w:rsidRPr="007D0AC0">
        <w:rPr>
          <w:sz w:val="22"/>
          <w:szCs w:val="22"/>
        </w:rPr>
        <w:t xml:space="preserve"> </w:t>
      </w:r>
      <w:r w:rsidR="00695216">
        <w:rPr>
          <w:sz w:val="22"/>
          <w:szCs w:val="22"/>
        </w:rPr>
        <w:t>Otezla</w:t>
      </w:r>
      <w:r w:rsidRPr="007D0AC0">
        <w:rPr>
          <w:sz w:val="22"/>
          <w:szCs w:val="22"/>
        </w:rPr>
        <w:t xml:space="preserve">, </w:t>
      </w:r>
      <w:r w:rsidR="00BE563D">
        <w:rPr>
          <w:sz w:val="22"/>
          <w:szCs w:val="22"/>
        </w:rPr>
        <w:t xml:space="preserve">a </w:t>
      </w:r>
      <w:r w:rsidRPr="007D0AC0">
        <w:rPr>
          <w:sz w:val="22"/>
          <w:szCs w:val="22"/>
        </w:rPr>
        <w:t>PASI-75 response</w:t>
      </w:r>
      <w:r w:rsidR="00BE563D">
        <w:rPr>
          <w:sz w:val="22"/>
          <w:szCs w:val="22"/>
        </w:rPr>
        <w:t xml:space="preserve"> of 39.1</w:t>
      </w:r>
      <w:r w:rsidR="00991414">
        <w:rPr>
          <w:sz w:val="22"/>
          <w:szCs w:val="22"/>
        </w:rPr>
        <w:t>%</w:t>
      </w:r>
      <w:r w:rsidR="00BE563D">
        <w:rPr>
          <w:sz w:val="22"/>
          <w:szCs w:val="22"/>
        </w:rPr>
        <w:t xml:space="preserve"> was observed</w:t>
      </w:r>
      <w:r w:rsidRPr="007D0AC0">
        <w:rPr>
          <w:sz w:val="22"/>
          <w:szCs w:val="22"/>
        </w:rPr>
        <w:t xml:space="preserve"> at </w:t>
      </w:r>
      <w:r w:rsidRPr="005340A9">
        <w:rPr>
          <w:sz w:val="22"/>
          <w:szCs w:val="22"/>
        </w:rPr>
        <w:t>Week 52</w:t>
      </w:r>
      <w:r w:rsidR="00970009" w:rsidRPr="005340A9">
        <w:rPr>
          <w:sz w:val="22"/>
          <w:szCs w:val="22"/>
        </w:rPr>
        <w:t>.</w:t>
      </w:r>
      <w:r w:rsidRPr="007D0AC0">
        <w:rPr>
          <w:sz w:val="22"/>
          <w:szCs w:val="22"/>
        </w:rPr>
        <w:t xml:space="preserve">  Similar responses were observed in Studies PALACE 1 and PALACE 2</w:t>
      </w:r>
      <w:r w:rsidR="006027E4">
        <w:rPr>
          <w:sz w:val="22"/>
          <w:szCs w:val="22"/>
        </w:rPr>
        <w:t xml:space="preserve"> at Weeks 16, 24 and 52</w:t>
      </w:r>
      <w:r w:rsidRPr="007D0AC0">
        <w:rPr>
          <w:sz w:val="22"/>
          <w:szCs w:val="22"/>
        </w:rPr>
        <w:t>.</w:t>
      </w:r>
    </w:p>
    <w:p w:rsidR="00531EF0" w:rsidRPr="00896AF4" w:rsidRDefault="00531EF0" w:rsidP="00497311">
      <w:pPr>
        <w:numPr>
          <w:ilvl w:val="12"/>
          <w:numId w:val="0"/>
        </w:numPr>
        <w:ind w:right="-2"/>
        <w:rPr>
          <w:iCs/>
          <w:sz w:val="22"/>
          <w:szCs w:val="22"/>
        </w:rPr>
      </w:pPr>
    </w:p>
    <w:p w:rsidR="00896AF4" w:rsidRPr="00896AF4" w:rsidRDefault="00896AF4" w:rsidP="00497311">
      <w:pPr>
        <w:numPr>
          <w:ilvl w:val="12"/>
          <w:numId w:val="0"/>
        </w:numPr>
        <w:ind w:right="-2"/>
        <w:rPr>
          <w:iCs/>
          <w:sz w:val="22"/>
          <w:szCs w:val="22"/>
        </w:rPr>
      </w:pPr>
    </w:p>
    <w:p w:rsidR="000A3729" w:rsidRPr="003C3DD7" w:rsidRDefault="00EF3C08" w:rsidP="003C3DD7">
      <w:pPr>
        <w:pStyle w:val="ListParagraph"/>
        <w:numPr>
          <w:ilvl w:val="0"/>
          <w:numId w:val="8"/>
        </w:numPr>
        <w:tabs>
          <w:tab w:val="num" w:pos="360"/>
        </w:tabs>
        <w:rPr>
          <w:b/>
          <w:sz w:val="22"/>
          <w:szCs w:val="22"/>
          <w:lang w:val="en-AU"/>
        </w:rPr>
      </w:pPr>
      <w:r w:rsidRPr="003F0D9B">
        <w:rPr>
          <w:b/>
          <w:sz w:val="22"/>
          <w:szCs w:val="22"/>
          <w:lang w:val="en-AU"/>
        </w:rPr>
        <w:t>Clinical Trial</w:t>
      </w:r>
      <w:r w:rsidR="00974136" w:rsidRPr="003F0D9B">
        <w:rPr>
          <w:b/>
          <w:sz w:val="22"/>
          <w:szCs w:val="22"/>
          <w:lang w:val="en-AU"/>
        </w:rPr>
        <w:t xml:space="preserve"> experience in </w:t>
      </w:r>
      <w:r w:rsidR="00032C96" w:rsidRPr="003F0D9B">
        <w:rPr>
          <w:b/>
          <w:sz w:val="22"/>
          <w:szCs w:val="22"/>
          <w:lang w:val="en-AU"/>
        </w:rPr>
        <w:t>DMARD naive Psoriatic Arthritis patients</w:t>
      </w:r>
    </w:p>
    <w:p w:rsidR="0090170C" w:rsidRDefault="003C54E7" w:rsidP="003C3DD7">
      <w:pPr>
        <w:autoSpaceDE w:val="0"/>
        <w:autoSpaceDN w:val="0"/>
        <w:adjustRightInd w:val="0"/>
        <w:spacing w:before="120"/>
        <w:rPr>
          <w:rFonts w:eastAsia="TimesNewRoman"/>
          <w:sz w:val="22"/>
          <w:szCs w:val="22"/>
        </w:rPr>
      </w:pPr>
      <w:r w:rsidRPr="007D0AC0">
        <w:rPr>
          <w:rFonts w:eastAsia="TimesNewRoman"/>
          <w:sz w:val="22"/>
          <w:szCs w:val="22"/>
        </w:rPr>
        <w:t xml:space="preserve">The safety and efficacy of </w:t>
      </w:r>
      <w:r w:rsidR="00EB3A09" w:rsidRPr="007D0AC0">
        <w:rPr>
          <w:rFonts w:eastAsia="TimesNewRoman"/>
          <w:sz w:val="22"/>
          <w:szCs w:val="22"/>
        </w:rPr>
        <w:t>Otezla</w:t>
      </w:r>
      <w:r w:rsidRPr="007D0AC0">
        <w:rPr>
          <w:rFonts w:eastAsia="TimesNewRoman"/>
          <w:sz w:val="22"/>
          <w:szCs w:val="22"/>
        </w:rPr>
        <w:t xml:space="preserve"> were evalu</w:t>
      </w:r>
      <w:r w:rsidR="00D663FB" w:rsidRPr="007D0AC0">
        <w:rPr>
          <w:rFonts w:eastAsia="TimesNewRoman"/>
          <w:sz w:val="22"/>
          <w:szCs w:val="22"/>
        </w:rPr>
        <w:t>ated in a multi-</w:t>
      </w:r>
      <w:r w:rsidR="00531EF0" w:rsidRPr="007D0AC0">
        <w:rPr>
          <w:rFonts w:eastAsia="TimesNewRoman"/>
          <w:sz w:val="22"/>
          <w:szCs w:val="22"/>
        </w:rPr>
        <w:t>centre</w:t>
      </w:r>
      <w:r w:rsidR="00D663FB" w:rsidRPr="007D0AC0">
        <w:rPr>
          <w:rFonts w:eastAsia="TimesNewRoman"/>
          <w:sz w:val="22"/>
          <w:szCs w:val="22"/>
        </w:rPr>
        <w:t>, randomis</w:t>
      </w:r>
      <w:r w:rsidRPr="007D0AC0">
        <w:rPr>
          <w:rFonts w:eastAsia="TimesNewRoman"/>
          <w:sz w:val="22"/>
          <w:szCs w:val="22"/>
        </w:rPr>
        <w:t>ed, double-blind, placebo-controlled study (Study PALACE 4) in 527 adult patients with active PsA (≥ 3 swollen joints and ≥ 3 tender joints)</w:t>
      </w:r>
      <w:r w:rsidR="00ED5278">
        <w:rPr>
          <w:rFonts w:eastAsia="TimesNewRoman"/>
          <w:sz w:val="22"/>
          <w:szCs w:val="22"/>
        </w:rPr>
        <w:t xml:space="preserve"> </w:t>
      </w:r>
      <w:r w:rsidR="00366DB7">
        <w:rPr>
          <w:rFonts w:eastAsia="TimesNewRoman"/>
          <w:sz w:val="22"/>
          <w:szCs w:val="22"/>
        </w:rPr>
        <w:t>who were DMARD-naive</w:t>
      </w:r>
      <w:r w:rsidRPr="007D0AC0">
        <w:rPr>
          <w:rFonts w:eastAsia="TimesNewRoman"/>
          <w:sz w:val="22"/>
          <w:szCs w:val="22"/>
        </w:rPr>
        <w:t xml:space="preserve">.  Patients enrolled in this study had a diagnosis of PsA for at least 3 months.  </w:t>
      </w:r>
      <w:r w:rsidRPr="00B81C11">
        <w:rPr>
          <w:rFonts w:eastAsia="TimesNewRoman"/>
          <w:sz w:val="22"/>
          <w:szCs w:val="22"/>
        </w:rPr>
        <w:t>Previous treatment with DMARDs or biologics was not allowed.</w:t>
      </w:r>
      <w:r w:rsidRPr="007D0AC0">
        <w:rPr>
          <w:rFonts w:eastAsia="TimesNewRoman"/>
          <w:sz w:val="22"/>
          <w:szCs w:val="22"/>
        </w:rPr>
        <w:t xml:space="preserve">  </w:t>
      </w:r>
    </w:p>
    <w:p w:rsidR="00BD5BDB" w:rsidRPr="007D0AC0" w:rsidRDefault="00BD5BDB" w:rsidP="008C441C">
      <w:pPr>
        <w:autoSpaceDE w:val="0"/>
        <w:autoSpaceDN w:val="0"/>
        <w:adjustRightInd w:val="0"/>
        <w:rPr>
          <w:rFonts w:eastAsia="TimesNewRoman"/>
          <w:sz w:val="22"/>
          <w:szCs w:val="22"/>
        </w:rPr>
      </w:pPr>
    </w:p>
    <w:p w:rsidR="0093322C" w:rsidRDefault="003C54E7" w:rsidP="008C441C">
      <w:pPr>
        <w:autoSpaceDE w:val="0"/>
        <w:autoSpaceDN w:val="0"/>
        <w:adjustRightInd w:val="0"/>
        <w:rPr>
          <w:rFonts w:eastAsia="TimesNewRoman"/>
          <w:sz w:val="22"/>
          <w:szCs w:val="22"/>
        </w:rPr>
      </w:pPr>
      <w:r w:rsidRPr="007D0AC0">
        <w:rPr>
          <w:rFonts w:eastAsia="TimesNewRoman"/>
          <w:sz w:val="22"/>
          <w:szCs w:val="22"/>
        </w:rPr>
        <w:t xml:space="preserve">Patients were randomly assigned to placebo (n = 176), </w:t>
      </w:r>
      <w:r w:rsidR="00BD5BDB">
        <w:rPr>
          <w:rFonts w:eastAsia="TimesNewRoman"/>
          <w:sz w:val="22"/>
          <w:szCs w:val="22"/>
        </w:rPr>
        <w:t>Otezla</w:t>
      </w:r>
      <w:r w:rsidRPr="007D0AC0">
        <w:rPr>
          <w:rFonts w:eastAsia="TimesNewRoman"/>
          <w:sz w:val="22"/>
          <w:szCs w:val="22"/>
        </w:rPr>
        <w:t xml:space="preserve"> 20 mg (n = 175), or </w:t>
      </w:r>
      <w:r w:rsidR="00BD5BDB">
        <w:rPr>
          <w:rFonts w:eastAsia="TimesNewRoman"/>
          <w:sz w:val="22"/>
          <w:szCs w:val="22"/>
        </w:rPr>
        <w:t>Otezla</w:t>
      </w:r>
      <w:r w:rsidRPr="007D0AC0">
        <w:rPr>
          <w:rFonts w:eastAsia="TimesNewRoman"/>
          <w:sz w:val="22"/>
          <w:szCs w:val="22"/>
        </w:rPr>
        <w:t xml:space="preserve"> 30 mg (n</w:t>
      </w:r>
      <w:r w:rsidR="00AC5A19">
        <w:rPr>
          <w:rFonts w:eastAsia="TimesNewRoman"/>
          <w:sz w:val="22"/>
          <w:szCs w:val="22"/>
        </w:rPr>
        <w:t> </w:t>
      </w:r>
      <w:r w:rsidRPr="007D0AC0">
        <w:rPr>
          <w:rFonts w:eastAsia="TimesNewRoman"/>
          <w:sz w:val="22"/>
          <w:szCs w:val="22"/>
        </w:rPr>
        <w:t>=</w:t>
      </w:r>
      <w:r w:rsidR="00AC5A19">
        <w:rPr>
          <w:rFonts w:eastAsia="TimesNewRoman"/>
          <w:sz w:val="22"/>
          <w:szCs w:val="22"/>
        </w:rPr>
        <w:t> </w:t>
      </w:r>
      <w:r w:rsidRPr="007D0AC0">
        <w:rPr>
          <w:rFonts w:eastAsia="TimesNewRoman"/>
          <w:sz w:val="22"/>
          <w:szCs w:val="22"/>
        </w:rPr>
        <w:t xml:space="preserve">176) given orally twice daily.  Patients were allowed to receive stable doses of prednisone (equivalent to ≤ 10 mg/day) and/or nonsteroidal anti-inflammatory drugs (NSAIDs).  The use of other DMARDs including </w:t>
      </w:r>
      <w:r w:rsidR="00AE698D" w:rsidRPr="00405DCB">
        <w:rPr>
          <w:rStyle w:val="A0"/>
          <w:rFonts w:ascii="Times New Roman" w:hAnsi="Times New Roman"/>
          <w:b w:val="0"/>
          <w:bCs w:val="0"/>
          <w:i w:val="0"/>
          <w:iCs w:val="0"/>
          <w:sz w:val="22"/>
          <w:szCs w:val="22"/>
        </w:rPr>
        <w:t>methotrexate</w:t>
      </w:r>
      <w:r w:rsidR="00AE698D" w:rsidRPr="007D0AC0">
        <w:rPr>
          <w:rFonts w:eastAsia="TimesNewRoman"/>
          <w:sz w:val="22"/>
          <w:szCs w:val="22"/>
        </w:rPr>
        <w:t xml:space="preserve"> </w:t>
      </w:r>
      <w:r w:rsidR="00AE698D">
        <w:rPr>
          <w:rFonts w:eastAsia="TimesNewRoman"/>
          <w:sz w:val="22"/>
          <w:szCs w:val="22"/>
        </w:rPr>
        <w:t>(</w:t>
      </w:r>
      <w:r w:rsidRPr="007D0AC0">
        <w:rPr>
          <w:rFonts w:eastAsia="TimesNewRoman"/>
          <w:sz w:val="22"/>
          <w:szCs w:val="22"/>
        </w:rPr>
        <w:t>MTX</w:t>
      </w:r>
      <w:r w:rsidR="00AE698D">
        <w:rPr>
          <w:rFonts w:eastAsia="TimesNewRoman"/>
          <w:sz w:val="22"/>
          <w:szCs w:val="22"/>
        </w:rPr>
        <w:t>)</w:t>
      </w:r>
      <w:r w:rsidRPr="007D0AC0">
        <w:rPr>
          <w:rFonts w:eastAsia="TimesNewRoman"/>
          <w:sz w:val="22"/>
          <w:szCs w:val="22"/>
        </w:rPr>
        <w:t xml:space="preserve">, </w:t>
      </w:r>
      <w:r w:rsidR="00AE698D" w:rsidRPr="00405DCB">
        <w:rPr>
          <w:rStyle w:val="A0"/>
          <w:rFonts w:ascii="Times New Roman" w:hAnsi="Times New Roman"/>
          <w:b w:val="0"/>
          <w:bCs w:val="0"/>
          <w:i w:val="0"/>
          <w:iCs w:val="0"/>
          <w:sz w:val="22"/>
          <w:szCs w:val="22"/>
        </w:rPr>
        <w:t>sulfasalazine</w:t>
      </w:r>
      <w:r w:rsidR="00AE698D" w:rsidRPr="007D0AC0">
        <w:rPr>
          <w:rFonts w:eastAsia="TimesNewRoman"/>
          <w:sz w:val="22"/>
          <w:szCs w:val="22"/>
        </w:rPr>
        <w:t xml:space="preserve"> </w:t>
      </w:r>
      <w:r w:rsidR="00AE698D">
        <w:rPr>
          <w:rFonts w:eastAsia="TimesNewRoman"/>
          <w:sz w:val="22"/>
          <w:szCs w:val="22"/>
        </w:rPr>
        <w:t>(</w:t>
      </w:r>
      <w:r w:rsidRPr="007D0AC0">
        <w:rPr>
          <w:rFonts w:eastAsia="TimesNewRoman"/>
          <w:sz w:val="22"/>
          <w:szCs w:val="22"/>
        </w:rPr>
        <w:t>SSZ</w:t>
      </w:r>
      <w:r w:rsidR="00AE698D">
        <w:rPr>
          <w:rFonts w:eastAsia="TimesNewRoman"/>
          <w:sz w:val="22"/>
          <w:szCs w:val="22"/>
        </w:rPr>
        <w:t>)</w:t>
      </w:r>
      <w:r w:rsidRPr="007D0AC0">
        <w:rPr>
          <w:rFonts w:eastAsia="TimesNewRoman"/>
          <w:sz w:val="22"/>
          <w:szCs w:val="22"/>
        </w:rPr>
        <w:t xml:space="preserve">, </w:t>
      </w:r>
      <w:r w:rsidR="00AE698D" w:rsidRPr="00405DCB">
        <w:rPr>
          <w:rStyle w:val="A0"/>
          <w:rFonts w:ascii="Times New Roman" w:hAnsi="Times New Roman"/>
          <w:b w:val="0"/>
          <w:bCs w:val="0"/>
          <w:i w:val="0"/>
          <w:iCs w:val="0"/>
          <w:sz w:val="22"/>
          <w:szCs w:val="22"/>
        </w:rPr>
        <w:t>leflunomide</w:t>
      </w:r>
      <w:r w:rsidR="00AE698D" w:rsidRPr="007D0AC0">
        <w:rPr>
          <w:rStyle w:val="A0"/>
          <w:rFonts w:ascii="Times New Roman" w:hAnsi="Times New Roman"/>
          <w:b w:val="0"/>
          <w:bCs w:val="0"/>
          <w:i w:val="0"/>
          <w:iCs w:val="0"/>
          <w:sz w:val="22"/>
          <w:szCs w:val="22"/>
        </w:rPr>
        <w:t xml:space="preserve"> </w:t>
      </w:r>
      <w:r w:rsidR="00AE698D">
        <w:rPr>
          <w:rStyle w:val="A0"/>
          <w:rFonts w:ascii="Times New Roman" w:hAnsi="Times New Roman"/>
          <w:b w:val="0"/>
          <w:bCs w:val="0"/>
          <w:i w:val="0"/>
          <w:iCs w:val="0"/>
          <w:sz w:val="22"/>
          <w:szCs w:val="22"/>
        </w:rPr>
        <w:t>(</w:t>
      </w:r>
      <w:r w:rsidRPr="007D0AC0">
        <w:rPr>
          <w:rFonts w:eastAsia="TimesNewRoman"/>
          <w:sz w:val="22"/>
          <w:szCs w:val="22"/>
        </w:rPr>
        <w:t>LEF</w:t>
      </w:r>
      <w:r w:rsidR="00AE698D">
        <w:rPr>
          <w:rFonts w:eastAsia="TimesNewRoman"/>
          <w:sz w:val="22"/>
          <w:szCs w:val="22"/>
        </w:rPr>
        <w:t>)</w:t>
      </w:r>
      <w:r w:rsidRPr="007D0AC0">
        <w:rPr>
          <w:rFonts w:eastAsia="TimesNewRoman"/>
          <w:sz w:val="22"/>
          <w:szCs w:val="22"/>
        </w:rPr>
        <w:t>, or biologics was prohibited.</w:t>
      </w:r>
      <w:r w:rsidR="00E13397" w:rsidRPr="007D0AC0">
        <w:rPr>
          <w:rFonts w:eastAsia="TimesNewRoman"/>
          <w:sz w:val="22"/>
          <w:szCs w:val="22"/>
        </w:rPr>
        <w:t xml:space="preserve">  Patients with each subtype of PsA were enrolled, including symmetric polyarthritis (61.3%), asymmetric oligoarthritis (30%), distal interphalangeal (DIP) joint arthritis (6.6%), arthritis mutilans (</w:t>
      </w:r>
      <w:r w:rsidR="00366DB7">
        <w:rPr>
          <w:rFonts w:eastAsia="TimesNewRoman"/>
          <w:sz w:val="22"/>
          <w:szCs w:val="22"/>
        </w:rPr>
        <w:t>0</w:t>
      </w:r>
      <w:r w:rsidR="00E13397" w:rsidRPr="007D0AC0">
        <w:rPr>
          <w:rFonts w:eastAsia="TimesNewRoman"/>
          <w:sz w:val="22"/>
          <w:szCs w:val="22"/>
        </w:rPr>
        <w:t xml:space="preserve">.8%), and predominant spondylitis (1.3%).  </w:t>
      </w:r>
      <w:r w:rsidR="00B5649F" w:rsidRPr="007D0AC0">
        <w:rPr>
          <w:rFonts w:eastAsia="TimesNewRoman"/>
          <w:sz w:val="22"/>
          <w:szCs w:val="22"/>
        </w:rPr>
        <w:t xml:space="preserve">Patients with pre-existing enthesitis (65%) and pre-existing dactylitis (50%) were enrolled. </w:t>
      </w:r>
      <w:r w:rsidR="00B5649F">
        <w:rPr>
          <w:rFonts w:eastAsia="TimesNewRoman"/>
          <w:sz w:val="22"/>
          <w:szCs w:val="22"/>
        </w:rPr>
        <w:t xml:space="preserve"> </w:t>
      </w:r>
      <w:r w:rsidR="00E13397" w:rsidRPr="007D0AC0">
        <w:rPr>
          <w:rFonts w:eastAsia="TimesNewRoman"/>
          <w:sz w:val="22"/>
          <w:szCs w:val="22"/>
        </w:rPr>
        <w:t xml:space="preserve">The median duration of PsA disease was 1.1 years.  </w:t>
      </w:r>
    </w:p>
    <w:p w:rsidR="0093322C" w:rsidRDefault="0093322C" w:rsidP="008C441C">
      <w:pPr>
        <w:autoSpaceDE w:val="0"/>
        <w:autoSpaceDN w:val="0"/>
        <w:adjustRightInd w:val="0"/>
        <w:rPr>
          <w:rFonts w:eastAsia="TimesNewRoman"/>
          <w:sz w:val="22"/>
          <w:szCs w:val="22"/>
        </w:rPr>
      </w:pPr>
    </w:p>
    <w:p w:rsidR="00E13397" w:rsidRPr="007D0AC0" w:rsidRDefault="00E13397" w:rsidP="006717B8">
      <w:pPr>
        <w:pStyle w:val="Pa8"/>
        <w:spacing w:line="240" w:lineRule="auto"/>
      </w:pPr>
      <w:r w:rsidRPr="00570D99">
        <w:rPr>
          <w:rFonts w:ascii="Times New Roman" w:eastAsia="TimesNewRoman" w:hAnsi="Times New Roman"/>
          <w:sz w:val="22"/>
          <w:szCs w:val="22"/>
        </w:rPr>
        <w:t>Patients received concomitant therapy including low dose oral corticosteroids (7.2%) and NSAIDs (73.1%)</w:t>
      </w:r>
      <w:r w:rsidR="008D2FE2" w:rsidRPr="00570D99">
        <w:rPr>
          <w:rStyle w:val="A0"/>
          <w:rFonts w:ascii="Times New Roman" w:hAnsi="Times New Roman"/>
          <w:b w:val="0"/>
          <w:bCs w:val="0"/>
          <w:i w:val="0"/>
          <w:iCs w:val="0"/>
          <w:sz w:val="22"/>
          <w:szCs w:val="22"/>
        </w:rPr>
        <w:t>;</w:t>
      </w:r>
      <w:r w:rsidR="008D2FE2" w:rsidRPr="00570D99">
        <w:rPr>
          <w:rFonts w:ascii="Times New Roman" w:hAnsi="Times New Roman"/>
          <w:sz w:val="22"/>
          <w:szCs w:val="22"/>
        </w:rPr>
        <w:t xml:space="preserve"> </w:t>
      </w:r>
      <w:r w:rsidR="00C03FF4" w:rsidRPr="00570D99">
        <w:rPr>
          <w:rFonts w:ascii="Times New Roman" w:hAnsi="Times New Roman"/>
          <w:sz w:val="22"/>
          <w:szCs w:val="22"/>
        </w:rPr>
        <w:t>the combination of apremilast with small molecule or biologic DMARDs was not studied.</w:t>
      </w:r>
    </w:p>
    <w:p w:rsidR="003C54E7" w:rsidRDefault="003C54E7" w:rsidP="008C441C">
      <w:pPr>
        <w:autoSpaceDE w:val="0"/>
        <w:autoSpaceDN w:val="0"/>
        <w:adjustRightInd w:val="0"/>
        <w:rPr>
          <w:rFonts w:eastAsia="TimesNewRoman"/>
          <w:sz w:val="22"/>
          <w:szCs w:val="22"/>
        </w:rPr>
      </w:pPr>
    </w:p>
    <w:p w:rsidR="005B7788" w:rsidRPr="005B7788" w:rsidRDefault="00970009" w:rsidP="005B7788">
      <w:pPr>
        <w:outlineLvl w:val="0"/>
        <w:rPr>
          <w:rStyle w:val="A0"/>
          <w:rFonts w:ascii="Times New Roman" w:hAnsi="Times New Roman"/>
          <w:bCs w:val="0"/>
          <w:i w:val="0"/>
          <w:iCs w:val="0"/>
          <w:color w:val="auto"/>
          <w:sz w:val="22"/>
          <w:szCs w:val="22"/>
          <w:lang w:val="en-US"/>
        </w:rPr>
      </w:pPr>
      <w:r w:rsidRPr="00060744">
        <w:rPr>
          <w:sz w:val="22"/>
          <w:szCs w:val="22"/>
        </w:rPr>
        <w:t xml:space="preserve">The primary endpoint was the percentage of patients achieving American College of Rheumatology (ACR) 20 response at Week 16.  </w:t>
      </w:r>
      <w:r w:rsidRPr="00060744">
        <w:rPr>
          <w:bCs/>
          <w:sz w:val="22"/>
          <w:szCs w:val="22"/>
        </w:rPr>
        <w:t>Patients whose tender and swollen joint counts had not improved by at least 20% were considered non-responders at Week 16.  Placebo non-responders were re-randomi</w:t>
      </w:r>
      <w:r>
        <w:rPr>
          <w:bCs/>
          <w:sz w:val="22"/>
          <w:szCs w:val="22"/>
        </w:rPr>
        <w:t>s</w:t>
      </w:r>
      <w:r w:rsidRPr="00060744">
        <w:rPr>
          <w:bCs/>
          <w:sz w:val="22"/>
          <w:szCs w:val="22"/>
        </w:rPr>
        <w:t>ed 1:1 in a blinded fashion to either Otezla 20 mg twice daily or 30 mg twice daily.  Otezla patients remained on their initial treatment.  At Week 24, all remaining placebo patients were re-randomi</w:t>
      </w:r>
      <w:r>
        <w:rPr>
          <w:bCs/>
          <w:sz w:val="22"/>
          <w:szCs w:val="22"/>
        </w:rPr>
        <w:t>s</w:t>
      </w:r>
      <w:r w:rsidRPr="00060744">
        <w:rPr>
          <w:bCs/>
          <w:sz w:val="22"/>
          <w:szCs w:val="22"/>
        </w:rPr>
        <w:t xml:space="preserve">ed to either Otezla 20 mg twice daily or Otezla 30 mg twice daily.  </w:t>
      </w:r>
      <w:r w:rsidRPr="00060744">
        <w:rPr>
          <w:rStyle w:val="A0"/>
          <w:rFonts w:ascii="Times New Roman" w:hAnsi="Times New Roman"/>
          <w:b w:val="0"/>
          <w:bCs w:val="0"/>
          <w:i w:val="0"/>
          <w:iCs w:val="0"/>
          <w:color w:val="auto"/>
          <w:sz w:val="22"/>
          <w:szCs w:val="22"/>
        </w:rPr>
        <w:t>At the end of 52 weeks, patients could enter a long-term open-label extension study for a total duration of up to 5 years.</w:t>
      </w:r>
      <w:r w:rsidR="00E93A87">
        <w:rPr>
          <w:rStyle w:val="A0"/>
          <w:rFonts w:ascii="Times New Roman" w:hAnsi="Times New Roman"/>
          <w:b w:val="0"/>
          <w:bCs w:val="0"/>
          <w:i w:val="0"/>
          <w:iCs w:val="0"/>
          <w:color w:val="auto"/>
          <w:sz w:val="22"/>
          <w:szCs w:val="22"/>
        </w:rPr>
        <w:t xml:space="preserve"> </w:t>
      </w:r>
      <w:r w:rsidR="001A572A">
        <w:rPr>
          <w:rStyle w:val="A0"/>
          <w:rFonts w:ascii="Times New Roman" w:hAnsi="Times New Roman"/>
          <w:b w:val="0"/>
          <w:bCs w:val="0"/>
          <w:i w:val="0"/>
          <w:iCs w:val="0"/>
          <w:color w:val="auto"/>
          <w:sz w:val="22"/>
          <w:szCs w:val="22"/>
        </w:rPr>
        <w:t xml:space="preserve"> </w:t>
      </w:r>
      <w:r w:rsidR="005B7788">
        <w:rPr>
          <w:bCs/>
          <w:sz w:val="22"/>
          <w:szCs w:val="22"/>
        </w:rPr>
        <w:t>This study</w:t>
      </w:r>
      <w:r w:rsidR="005B7788" w:rsidRPr="005B7788">
        <w:rPr>
          <w:bCs/>
          <w:sz w:val="22"/>
          <w:szCs w:val="22"/>
        </w:rPr>
        <w:t xml:space="preserve"> did not investigate the effects of Otezla on structural progression.</w:t>
      </w:r>
    </w:p>
    <w:p w:rsidR="005B7788" w:rsidRPr="007D0AC0" w:rsidRDefault="005B7788" w:rsidP="008C441C">
      <w:pPr>
        <w:autoSpaceDE w:val="0"/>
        <w:autoSpaceDN w:val="0"/>
        <w:adjustRightInd w:val="0"/>
        <w:rPr>
          <w:rFonts w:eastAsia="TimesNewRoman"/>
          <w:sz w:val="22"/>
          <w:szCs w:val="22"/>
        </w:rPr>
      </w:pPr>
    </w:p>
    <w:p w:rsidR="003C54E7" w:rsidRDefault="003C54E7" w:rsidP="008C441C">
      <w:pPr>
        <w:autoSpaceDE w:val="0"/>
        <w:autoSpaceDN w:val="0"/>
        <w:adjustRightInd w:val="0"/>
        <w:rPr>
          <w:rFonts w:eastAsia="TimesNewRoman"/>
        </w:rPr>
      </w:pPr>
    </w:p>
    <w:p w:rsidR="00A621FA" w:rsidRPr="000A46C8" w:rsidRDefault="000A46C8" w:rsidP="001C3B1A">
      <w:pPr>
        <w:autoSpaceDE w:val="0"/>
        <w:autoSpaceDN w:val="0"/>
        <w:adjustRightInd w:val="0"/>
        <w:rPr>
          <w:b/>
          <w:sz w:val="22"/>
          <w:szCs w:val="22"/>
        </w:rPr>
      </w:pPr>
      <w:r w:rsidRPr="000A46C8">
        <w:rPr>
          <w:rStyle w:val="A0"/>
          <w:rFonts w:ascii="Times New Roman" w:hAnsi="Times New Roman"/>
          <w:bCs w:val="0"/>
          <w:i w:val="0"/>
          <w:iCs w:val="0"/>
          <w:sz w:val="22"/>
          <w:szCs w:val="22"/>
        </w:rPr>
        <w:t>Clinical Responses</w:t>
      </w:r>
      <w:r w:rsidR="00A621FA" w:rsidRPr="000A46C8">
        <w:rPr>
          <w:b/>
          <w:sz w:val="22"/>
          <w:szCs w:val="22"/>
        </w:rPr>
        <w:t>:</w:t>
      </w:r>
    </w:p>
    <w:p w:rsidR="00B6774D" w:rsidRDefault="00EF04EA" w:rsidP="002A6C0B">
      <w:pPr>
        <w:pStyle w:val="Pa8"/>
        <w:spacing w:before="120" w:line="240" w:lineRule="auto"/>
        <w:rPr>
          <w:rStyle w:val="A0"/>
          <w:rFonts w:ascii="Times New Roman" w:hAnsi="Times New Roman"/>
          <w:b w:val="0"/>
          <w:bCs w:val="0"/>
          <w:i w:val="0"/>
          <w:iCs w:val="0"/>
          <w:sz w:val="22"/>
          <w:szCs w:val="22"/>
        </w:rPr>
      </w:pPr>
      <w:r w:rsidRPr="000D401B">
        <w:rPr>
          <w:rStyle w:val="A0"/>
          <w:rFonts w:ascii="Times New Roman" w:hAnsi="Times New Roman"/>
          <w:b w:val="0"/>
          <w:bCs w:val="0"/>
          <w:i w:val="0"/>
          <w:iCs w:val="0"/>
          <w:sz w:val="22"/>
          <w:szCs w:val="22"/>
        </w:rPr>
        <w:t>The percent of patients achieving ACR 20/50/70 responses</w:t>
      </w:r>
      <w:r w:rsidR="006437B2" w:rsidRPr="000D401B">
        <w:rPr>
          <w:rStyle w:val="A0"/>
          <w:rFonts w:ascii="Times New Roman" w:hAnsi="Times New Roman"/>
          <w:b w:val="0"/>
          <w:bCs w:val="0"/>
          <w:i w:val="0"/>
          <w:iCs w:val="0"/>
          <w:sz w:val="22"/>
          <w:szCs w:val="22"/>
        </w:rPr>
        <w:t xml:space="preserve"> at Week 16 </w:t>
      </w:r>
      <w:r w:rsidRPr="000D401B">
        <w:rPr>
          <w:rStyle w:val="A0"/>
          <w:rFonts w:ascii="Times New Roman" w:hAnsi="Times New Roman"/>
          <w:b w:val="0"/>
          <w:bCs w:val="0"/>
          <w:i w:val="0"/>
          <w:iCs w:val="0"/>
          <w:sz w:val="22"/>
          <w:szCs w:val="22"/>
        </w:rPr>
        <w:t xml:space="preserve">in Study PALACE 4 is presented below in </w:t>
      </w:r>
      <w:r w:rsidRPr="000A72AF">
        <w:rPr>
          <w:rStyle w:val="A0"/>
          <w:rFonts w:ascii="Times New Roman" w:hAnsi="Times New Roman"/>
          <w:bCs w:val="0"/>
          <w:i w:val="0"/>
          <w:iCs w:val="0"/>
          <w:sz w:val="22"/>
          <w:szCs w:val="22"/>
        </w:rPr>
        <w:t xml:space="preserve">Table </w:t>
      </w:r>
      <w:r w:rsidR="006109CA" w:rsidRPr="000A72AF">
        <w:rPr>
          <w:rStyle w:val="A0"/>
          <w:rFonts w:ascii="Times New Roman" w:hAnsi="Times New Roman"/>
          <w:bCs w:val="0"/>
          <w:i w:val="0"/>
          <w:iCs w:val="0"/>
          <w:sz w:val="22"/>
          <w:szCs w:val="22"/>
        </w:rPr>
        <w:t>2</w:t>
      </w:r>
      <w:r w:rsidRPr="000D401B">
        <w:rPr>
          <w:rStyle w:val="A0"/>
          <w:rFonts w:ascii="Times New Roman" w:hAnsi="Times New Roman"/>
          <w:b w:val="0"/>
          <w:bCs w:val="0"/>
          <w:i w:val="0"/>
          <w:iCs w:val="0"/>
          <w:sz w:val="22"/>
          <w:szCs w:val="22"/>
        </w:rPr>
        <w:t xml:space="preserve">.  </w:t>
      </w:r>
      <w:r w:rsidR="006109CA" w:rsidRPr="000D401B">
        <w:rPr>
          <w:rStyle w:val="A0"/>
          <w:rFonts w:ascii="Times New Roman" w:hAnsi="Times New Roman"/>
          <w:b w:val="0"/>
          <w:bCs w:val="0"/>
          <w:i w:val="0"/>
          <w:iCs w:val="0"/>
          <w:sz w:val="22"/>
          <w:szCs w:val="22"/>
        </w:rPr>
        <w:t>Otezla</w:t>
      </w:r>
      <w:r w:rsidRPr="000D401B">
        <w:rPr>
          <w:rStyle w:val="A0"/>
          <w:rFonts w:ascii="Times New Roman" w:hAnsi="Times New Roman"/>
          <w:b w:val="0"/>
          <w:bCs w:val="0"/>
          <w:i w:val="0"/>
          <w:iCs w:val="0"/>
          <w:sz w:val="22"/>
          <w:szCs w:val="22"/>
        </w:rPr>
        <w:t>, compared with placebo, resulted in</w:t>
      </w:r>
      <w:r w:rsidRPr="00531EF0">
        <w:rPr>
          <w:rStyle w:val="A0"/>
          <w:rFonts w:ascii="Times New Roman" w:hAnsi="Times New Roman"/>
          <w:b w:val="0"/>
          <w:bCs w:val="0"/>
          <w:i w:val="0"/>
          <w:iCs w:val="0"/>
          <w:sz w:val="22"/>
          <w:szCs w:val="22"/>
        </w:rPr>
        <w:t xml:space="preserve"> </w:t>
      </w:r>
      <w:r w:rsidR="00B97F58" w:rsidRPr="00531EF0">
        <w:rPr>
          <w:rStyle w:val="A0"/>
          <w:rFonts w:ascii="Times New Roman" w:hAnsi="Times New Roman"/>
          <w:b w:val="0"/>
          <w:bCs w:val="0"/>
          <w:i w:val="0"/>
          <w:iCs w:val="0"/>
          <w:sz w:val="22"/>
          <w:szCs w:val="22"/>
        </w:rPr>
        <w:t>significantly</w:t>
      </w:r>
      <w:r w:rsidR="00531EF0">
        <w:rPr>
          <w:rStyle w:val="A0"/>
          <w:rFonts w:ascii="Times New Roman" w:hAnsi="Times New Roman"/>
          <w:b w:val="0"/>
          <w:bCs w:val="0"/>
          <w:i w:val="0"/>
          <w:iCs w:val="0"/>
          <w:sz w:val="22"/>
          <w:szCs w:val="22"/>
        </w:rPr>
        <w:t xml:space="preserve"> </w:t>
      </w:r>
      <w:r w:rsidRPr="000D401B">
        <w:rPr>
          <w:rStyle w:val="A0"/>
          <w:rFonts w:ascii="Times New Roman" w:hAnsi="Times New Roman"/>
          <w:b w:val="0"/>
          <w:bCs w:val="0"/>
          <w:i w:val="0"/>
          <w:iCs w:val="0"/>
          <w:sz w:val="22"/>
          <w:szCs w:val="22"/>
        </w:rPr>
        <w:t xml:space="preserve">greater improvement in signs and symptoms of psoriatic arthritis, as demonstrated by the proportion of patients with ACR 20 </w:t>
      </w:r>
      <w:r w:rsidR="00AA618D" w:rsidRPr="000D401B">
        <w:rPr>
          <w:rStyle w:val="A0"/>
          <w:rFonts w:ascii="Times New Roman" w:hAnsi="Times New Roman"/>
          <w:b w:val="0"/>
          <w:bCs w:val="0"/>
          <w:i w:val="0"/>
          <w:iCs w:val="0"/>
          <w:sz w:val="22"/>
          <w:szCs w:val="22"/>
        </w:rPr>
        <w:t>response</w:t>
      </w:r>
      <w:r w:rsidRPr="000D401B">
        <w:rPr>
          <w:rStyle w:val="A0"/>
          <w:rFonts w:ascii="Times New Roman" w:hAnsi="Times New Roman"/>
          <w:b w:val="0"/>
          <w:bCs w:val="0"/>
          <w:i w:val="0"/>
          <w:iCs w:val="0"/>
          <w:sz w:val="22"/>
          <w:szCs w:val="22"/>
        </w:rPr>
        <w:t xml:space="preserve"> at Week 16.  </w:t>
      </w:r>
      <w:r w:rsidR="00514C74">
        <w:rPr>
          <w:rStyle w:val="A0"/>
          <w:rFonts w:ascii="Times New Roman" w:hAnsi="Times New Roman"/>
          <w:b w:val="0"/>
          <w:bCs w:val="0"/>
          <w:i w:val="0"/>
          <w:iCs w:val="0"/>
          <w:sz w:val="22"/>
          <w:szCs w:val="22"/>
        </w:rPr>
        <w:t>Improvement in ACR 50/</w:t>
      </w:r>
      <w:r w:rsidR="00B5649F" w:rsidRPr="00B5649F">
        <w:rPr>
          <w:rStyle w:val="A0"/>
          <w:rFonts w:ascii="Times New Roman" w:hAnsi="Times New Roman"/>
          <w:b w:val="0"/>
          <w:bCs w:val="0"/>
          <w:i w:val="0"/>
          <w:iCs w:val="0"/>
          <w:sz w:val="22"/>
          <w:szCs w:val="22"/>
        </w:rPr>
        <w:t xml:space="preserve">70 responses were also demonstrated at Week 16. </w:t>
      </w:r>
      <w:r w:rsidR="00B5649F">
        <w:rPr>
          <w:rStyle w:val="A0"/>
          <w:rFonts w:ascii="Times New Roman" w:hAnsi="Times New Roman"/>
          <w:b w:val="0"/>
          <w:bCs w:val="0"/>
          <w:i w:val="0"/>
          <w:iCs w:val="0"/>
          <w:sz w:val="22"/>
          <w:szCs w:val="22"/>
        </w:rPr>
        <w:t xml:space="preserve"> </w:t>
      </w:r>
      <w:r w:rsidRPr="000D401B">
        <w:rPr>
          <w:rStyle w:val="A0"/>
          <w:rFonts w:ascii="Times New Roman" w:hAnsi="Times New Roman"/>
          <w:b w:val="0"/>
          <w:bCs w:val="0"/>
          <w:i w:val="0"/>
          <w:iCs w:val="0"/>
          <w:sz w:val="22"/>
          <w:szCs w:val="22"/>
        </w:rPr>
        <w:t>ACR 20/50/70 res</w:t>
      </w:r>
      <w:r w:rsidRPr="00EF04EA">
        <w:rPr>
          <w:rStyle w:val="A0"/>
          <w:rFonts w:ascii="Times New Roman" w:hAnsi="Times New Roman"/>
          <w:b w:val="0"/>
          <w:bCs w:val="0"/>
          <w:i w:val="0"/>
          <w:iCs w:val="0"/>
          <w:sz w:val="22"/>
          <w:szCs w:val="22"/>
        </w:rPr>
        <w:t xml:space="preserve">ponses were maintained at Week 24.  </w:t>
      </w:r>
    </w:p>
    <w:p w:rsidR="003C3DD7" w:rsidRDefault="003C3DD7" w:rsidP="002A6C0B">
      <w:pPr>
        <w:pStyle w:val="Pa8"/>
        <w:spacing w:before="120" w:line="240" w:lineRule="auto"/>
        <w:rPr>
          <w:rStyle w:val="A0"/>
          <w:rFonts w:ascii="Times New Roman" w:hAnsi="Times New Roman"/>
          <w:b w:val="0"/>
          <w:bCs w:val="0"/>
          <w:i w:val="0"/>
          <w:iCs w:val="0"/>
          <w:sz w:val="22"/>
          <w:szCs w:val="22"/>
        </w:rPr>
      </w:pPr>
    </w:p>
    <w:p w:rsidR="00974136" w:rsidRPr="008B00F3" w:rsidRDefault="00AC0A67" w:rsidP="00A57292">
      <w:pPr>
        <w:pStyle w:val="Pa8"/>
        <w:pageBreakBefore/>
        <w:spacing w:after="120"/>
        <w:ind w:left="1440" w:hanging="1440"/>
        <w:rPr>
          <w:rFonts w:ascii="Times New Roman" w:hAnsi="Times New Roman"/>
          <w:b/>
          <w:bCs/>
          <w:color w:val="211D1E"/>
          <w:sz w:val="22"/>
          <w:szCs w:val="22"/>
          <w:lang w:eastAsia="ja-JP"/>
        </w:rPr>
      </w:pPr>
      <w:r w:rsidRPr="008B00F3">
        <w:rPr>
          <w:rFonts w:ascii="Times New Roman" w:hAnsi="Times New Roman"/>
          <w:b/>
          <w:bCs/>
          <w:color w:val="211D1E"/>
          <w:sz w:val="22"/>
          <w:szCs w:val="22"/>
          <w:lang w:eastAsia="ja-JP"/>
        </w:rPr>
        <w:lastRenderedPageBreak/>
        <w:t>Table 2</w:t>
      </w:r>
      <w:r w:rsidRPr="008B00F3">
        <w:rPr>
          <w:rFonts w:ascii="Times New Roman" w:hAnsi="Times New Roman"/>
          <w:b/>
          <w:bCs/>
          <w:color w:val="211D1E"/>
          <w:sz w:val="22"/>
          <w:szCs w:val="22"/>
          <w:lang w:eastAsia="ja-JP"/>
        </w:rPr>
        <w:tab/>
      </w:r>
      <w:r w:rsidR="008B00F3" w:rsidRPr="008B00F3">
        <w:rPr>
          <w:rFonts w:ascii="Times New Roman" w:hAnsi="Times New Roman"/>
          <w:b/>
          <w:bCs/>
          <w:color w:val="211D1E"/>
          <w:sz w:val="22"/>
          <w:szCs w:val="22"/>
          <w:lang w:eastAsia="ja-JP"/>
        </w:rPr>
        <w:t>Proportion of Patients with ACR R</w:t>
      </w:r>
      <w:r w:rsidR="006437B2">
        <w:rPr>
          <w:rFonts w:ascii="Times New Roman" w:hAnsi="Times New Roman"/>
          <w:b/>
          <w:bCs/>
          <w:color w:val="211D1E"/>
          <w:sz w:val="22"/>
          <w:szCs w:val="22"/>
          <w:lang w:eastAsia="ja-JP"/>
        </w:rPr>
        <w:t xml:space="preserve">esponses at Week16 </w:t>
      </w:r>
      <w:r w:rsidR="008B00F3" w:rsidRPr="008B00F3">
        <w:rPr>
          <w:rFonts w:ascii="Times New Roman" w:hAnsi="Times New Roman"/>
          <w:b/>
          <w:bCs/>
          <w:color w:val="211D1E"/>
          <w:sz w:val="22"/>
          <w:szCs w:val="22"/>
          <w:lang w:eastAsia="ja-JP"/>
        </w:rPr>
        <w:t>in Study PALACE 4</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567"/>
        <w:gridCol w:w="3685"/>
      </w:tblGrid>
      <w:tr w:rsidR="00AD5EBC" w:rsidRPr="00FA450A" w:rsidTr="006139D7">
        <w:trPr>
          <w:trHeight w:val="340"/>
        </w:trPr>
        <w:tc>
          <w:tcPr>
            <w:tcW w:w="9322" w:type="dxa"/>
            <w:gridSpan w:val="3"/>
          </w:tcPr>
          <w:p w:rsidR="00AD5EBC" w:rsidRPr="006139D7" w:rsidRDefault="00AD5EBC" w:rsidP="006139D7">
            <w:pPr>
              <w:autoSpaceDE w:val="0"/>
              <w:autoSpaceDN w:val="0"/>
              <w:adjustRightInd w:val="0"/>
              <w:spacing w:before="60" w:after="60"/>
              <w:ind w:left="-87" w:right="-111"/>
              <w:jc w:val="center"/>
              <w:rPr>
                <w:b/>
                <w:color w:val="211D1E"/>
                <w:sz w:val="22"/>
                <w:szCs w:val="22"/>
                <w:lang w:eastAsia="ja-JP"/>
              </w:rPr>
            </w:pPr>
            <w:r w:rsidRPr="006139D7">
              <w:rPr>
                <w:b/>
                <w:color w:val="211D1E"/>
                <w:sz w:val="22"/>
                <w:szCs w:val="22"/>
                <w:lang w:eastAsia="ja-JP"/>
              </w:rPr>
              <w:t>PALACE 4</w:t>
            </w:r>
          </w:p>
        </w:tc>
      </w:tr>
      <w:tr w:rsidR="006F5B7C" w:rsidRPr="00FA450A" w:rsidTr="003E0D3D">
        <w:trPr>
          <w:trHeight w:val="234"/>
        </w:trPr>
        <w:tc>
          <w:tcPr>
            <w:tcW w:w="2070" w:type="dxa"/>
          </w:tcPr>
          <w:p w:rsidR="006F5B7C" w:rsidRPr="00FA450A" w:rsidRDefault="006F5B7C" w:rsidP="00C27022">
            <w:pPr>
              <w:autoSpaceDE w:val="0"/>
              <w:autoSpaceDN w:val="0"/>
              <w:adjustRightInd w:val="0"/>
              <w:spacing w:after="120"/>
              <w:jc w:val="center"/>
              <w:rPr>
                <w:szCs w:val="22"/>
                <w:lang w:eastAsia="ja-JP"/>
              </w:rPr>
            </w:pPr>
          </w:p>
        </w:tc>
        <w:tc>
          <w:tcPr>
            <w:tcW w:w="3567" w:type="dxa"/>
          </w:tcPr>
          <w:p w:rsidR="006F5B7C" w:rsidRPr="00B6327D" w:rsidRDefault="006F5B7C" w:rsidP="00C27022">
            <w:pPr>
              <w:autoSpaceDE w:val="0"/>
              <w:autoSpaceDN w:val="0"/>
              <w:adjustRightInd w:val="0"/>
              <w:spacing w:after="120"/>
              <w:jc w:val="center"/>
              <w:rPr>
                <w:b/>
                <w:color w:val="211D1E"/>
                <w:sz w:val="22"/>
                <w:szCs w:val="22"/>
                <w:lang w:eastAsia="ja-JP"/>
              </w:rPr>
            </w:pPr>
            <w:r w:rsidRPr="00B6327D">
              <w:rPr>
                <w:b/>
                <w:color w:val="211D1E"/>
                <w:sz w:val="22"/>
                <w:szCs w:val="22"/>
                <w:u w:val="single"/>
                <w:lang w:eastAsia="ja-JP"/>
              </w:rPr>
              <w:t xml:space="preserve">Placebo </w:t>
            </w:r>
          </w:p>
        </w:tc>
        <w:tc>
          <w:tcPr>
            <w:tcW w:w="3685" w:type="dxa"/>
          </w:tcPr>
          <w:p w:rsidR="006F5B7C" w:rsidRPr="00B6327D" w:rsidRDefault="006F5B7C" w:rsidP="00FB6D30">
            <w:pPr>
              <w:autoSpaceDE w:val="0"/>
              <w:autoSpaceDN w:val="0"/>
              <w:adjustRightInd w:val="0"/>
              <w:spacing w:after="120"/>
              <w:ind w:left="-87" w:right="-111"/>
              <w:jc w:val="center"/>
              <w:rPr>
                <w:b/>
                <w:color w:val="211D1E"/>
                <w:sz w:val="22"/>
                <w:szCs w:val="22"/>
                <w:lang w:eastAsia="ja-JP"/>
              </w:rPr>
            </w:pPr>
            <w:r w:rsidRPr="00B6327D">
              <w:rPr>
                <w:b/>
                <w:color w:val="211D1E"/>
                <w:sz w:val="22"/>
                <w:szCs w:val="22"/>
                <w:u w:val="single"/>
                <w:lang w:eastAsia="ja-JP"/>
              </w:rPr>
              <w:t>Otezla 30 mg twice daily</w:t>
            </w:r>
          </w:p>
        </w:tc>
      </w:tr>
      <w:tr w:rsidR="006F5B7C" w:rsidRPr="006139D7" w:rsidTr="006139D7">
        <w:trPr>
          <w:trHeight w:val="340"/>
        </w:trPr>
        <w:tc>
          <w:tcPr>
            <w:tcW w:w="2070" w:type="dxa"/>
            <w:vAlign w:val="center"/>
          </w:tcPr>
          <w:p w:rsidR="006F5B7C" w:rsidRPr="006139D7" w:rsidRDefault="006F5B7C" w:rsidP="006139D7">
            <w:pPr>
              <w:autoSpaceDE w:val="0"/>
              <w:autoSpaceDN w:val="0"/>
              <w:adjustRightInd w:val="0"/>
              <w:spacing w:before="40" w:after="40"/>
              <w:rPr>
                <w:b/>
                <w:color w:val="211D1E"/>
                <w:sz w:val="20"/>
                <w:szCs w:val="20"/>
                <w:lang w:eastAsia="ja-JP"/>
              </w:rPr>
            </w:pPr>
            <w:r w:rsidRPr="006139D7">
              <w:rPr>
                <w:b/>
                <w:color w:val="211D1E"/>
                <w:sz w:val="20"/>
                <w:szCs w:val="20"/>
                <w:lang w:eastAsia="ja-JP"/>
              </w:rPr>
              <w:t>N</w:t>
            </w:r>
            <w:r w:rsidRPr="006139D7">
              <w:rPr>
                <w:b/>
                <w:color w:val="211D1E"/>
                <w:sz w:val="20"/>
                <w:szCs w:val="20"/>
                <w:vertAlign w:val="superscript"/>
                <w:lang w:eastAsia="ja-JP"/>
              </w:rPr>
              <w:t>a</w:t>
            </w:r>
          </w:p>
        </w:tc>
        <w:tc>
          <w:tcPr>
            <w:tcW w:w="3567" w:type="dxa"/>
          </w:tcPr>
          <w:p w:rsidR="006F5B7C" w:rsidRPr="006139D7" w:rsidRDefault="006F5B7C" w:rsidP="006139D7">
            <w:pPr>
              <w:autoSpaceDE w:val="0"/>
              <w:autoSpaceDN w:val="0"/>
              <w:adjustRightInd w:val="0"/>
              <w:spacing w:before="40" w:after="40"/>
              <w:jc w:val="center"/>
              <w:rPr>
                <w:color w:val="211D1E"/>
                <w:sz w:val="20"/>
                <w:szCs w:val="20"/>
                <w:lang w:eastAsia="ja-JP"/>
              </w:rPr>
            </w:pPr>
            <w:r w:rsidRPr="006139D7">
              <w:rPr>
                <w:color w:val="211D1E"/>
                <w:sz w:val="20"/>
                <w:szCs w:val="20"/>
                <w:lang w:eastAsia="ja-JP"/>
              </w:rPr>
              <w:t>176</w:t>
            </w:r>
          </w:p>
        </w:tc>
        <w:tc>
          <w:tcPr>
            <w:tcW w:w="3685" w:type="dxa"/>
          </w:tcPr>
          <w:p w:rsidR="006F5B7C" w:rsidRPr="006139D7" w:rsidRDefault="006F5B7C" w:rsidP="006139D7">
            <w:pPr>
              <w:autoSpaceDE w:val="0"/>
              <w:autoSpaceDN w:val="0"/>
              <w:adjustRightInd w:val="0"/>
              <w:spacing w:before="40" w:after="40"/>
              <w:jc w:val="center"/>
              <w:rPr>
                <w:color w:val="211D1E"/>
                <w:sz w:val="20"/>
                <w:szCs w:val="20"/>
                <w:lang w:eastAsia="ja-JP"/>
              </w:rPr>
            </w:pPr>
            <w:r w:rsidRPr="006139D7">
              <w:rPr>
                <w:color w:val="211D1E"/>
                <w:sz w:val="20"/>
                <w:szCs w:val="20"/>
                <w:lang w:eastAsia="ja-JP"/>
              </w:rPr>
              <w:t>176</w:t>
            </w:r>
          </w:p>
        </w:tc>
      </w:tr>
      <w:tr w:rsidR="006F5B7C" w:rsidRPr="006139D7" w:rsidTr="006139D7">
        <w:trPr>
          <w:trHeight w:val="340"/>
        </w:trPr>
        <w:tc>
          <w:tcPr>
            <w:tcW w:w="2070" w:type="dxa"/>
            <w:vAlign w:val="center"/>
          </w:tcPr>
          <w:p w:rsidR="006F5B7C" w:rsidRPr="006139D7" w:rsidRDefault="006F5B7C" w:rsidP="006139D7">
            <w:pPr>
              <w:autoSpaceDE w:val="0"/>
              <w:autoSpaceDN w:val="0"/>
              <w:adjustRightInd w:val="0"/>
              <w:spacing w:before="40" w:after="40"/>
              <w:rPr>
                <w:b/>
                <w:color w:val="211D1E"/>
                <w:sz w:val="20"/>
                <w:szCs w:val="20"/>
                <w:lang w:eastAsia="ja-JP"/>
              </w:rPr>
            </w:pPr>
            <w:r w:rsidRPr="006139D7">
              <w:rPr>
                <w:b/>
                <w:color w:val="211D1E"/>
                <w:sz w:val="20"/>
                <w:szCs w:val="20"/>
                <w:lang w:eastAsia="ja-JP"/>
              </w:rPr>
              <w:t>ACR 20</w:t>
            </w:r>
          </w:p>
        </w:tc>
        <w:tc>
          <w:tcPr>
            <w:tcW w:w="3567" w:type="dxa"/>
          </w:tcPr>
          <w:p w:rsidR="006F5B7C" w:rsidRPr="006139D7" w:rsidRDefault="006F5B7C" w:rsidP="006139D7">
            <w:pPr>
              <w:autoSpaceDE w:val="0"/>
              <w:autoSpaceDN w:val="0"/>
              <w:adjustRightInd w:val="0"/>
              <w:spacing w:before="40" w:after="40"/>
              <w:rPr>
                <w:color w:val="211D1E"/>
                <w:sz w:val="20"/>
                <w:szCs w:val="20"/>
                <w:lang w:eastAsia="ja-JP"/>
              </w:rPr>
            </w:pPr>
          </w:p>
        </w:tc>
        <w:tc>
          <w:tcPr>
            <w:tcW w:w="3685" w:type="dxa"/>
          </w:tcPr>
          <w:p w:rsidR="006F5B7C" w:rsidRPr="006139D7" w:rsidRDefault="006F5B7C" w:rsidP="006139D7">
            <w:pPr>
              <w:autoSpaceDE w:val="0"/>
              <w:autoSpaceDN w:val="0"/>
              <w:adjustRightInd w:val="0"/>
              <w:spacing w:before="40" w:after="40"/>
              <w:rPr>
                <w:color w:val="211D1E"/>
                <w:sz w:val="20"/>
                <w:szCs w:val="20"/>
                <w:lang w:eastAsia="ja-JP"/>
              </w:rPr>
            </w:pPr>
          </w:p>
        </w:tc>
      </w:tr>
      <w:tr w:rsidR="006F5B7C" w:rsidRPr="006139D7" w:rsidTr="006139D7">
        <w:trPr>
          <w:trHeight w:val="340"/>
        </w:trPr>
        <w:tc>
          <w:tcPr>
            <w:tcW w:w="2070" w:type="dxa"/>
            <w:vAlign w:val="center"/>
          </w:tcPr>
          <w:p w:rsidR="006F5B7C" w:rsidRPr="006139D7" w:rsidRDefault="006F5B7C" w:rsidP="006139D7">
            <w:pPr>
              <w:autoSpaceDE w:val="0"/>
              <w:autoSpaceDN w:val="0"/>
              <w:adjustRightInd w:val="0"/>
              <w:spacing w:before="40" w:after="40"/>
              <w:ind w:left="252"/>
              <w:rPr>
                <w:b/>
                <w:color w:val="211D1E"/>
                <w:sz w:val="20"/>
                <w:szCs w:val="20"/>
                <w:lang w:eastAsia="ja-JP"/>
              </w:rPr>
            </w:pPr>
            <w:r w:rsidRPr="006139D7">
              <w:rPr>
                <w:b/>
                <w:color w:val="211D1E"/>
                <w:sz w:val="20"/>
                <w:szCs w:val="20"/>
                <w:lang w:eastAsia="ja-JP"/>
              </w:rPr>
              <w:t>Week 16</w:t>
            </w:r>
          </w:p>
        </w:tc>
        <w:tc>
          <w:tcPr>
            <w:tcW w:w="3567" w:type="dxa"/>
            <w:vAlign w:val="center"/>
          </w:tcPr>
          <w:p w:rsidR="006F5B7C" w:rsidRPr="006139D7" w:rsidRDefault="006F5B7C" w:rsidP="006139D7">
            <w:pPr>
              <w:autoSpaceDE w:val="0"/>
              <w:autoSpaceDN w:val="0"/>
              <w:adjustRightInd w:val="0"/>
              <w:spacing w:before="40" w:after="40"/>
              <w:jc w:val="center"/>
              <w:rPr>
                <w:color w:val="211D1E"/>
                <w:sz w:val="20"/>
                <w:szCs w:val="20"/>
                <w:lang w:eastAsia="ja-JP"/>
              </w:rPr>
            </w:pPr>
            <w:r w:rsidRPr="006139D7">
              <w:rPr>
                <w:color w:val="211D1E"/>
                <w:sz w:val="20"/>
                <w:szCs w:val="20"/>
                <w:lang w:eastAsia="ja-JP"/>
              </w:rPr>
              <w:t>16%</w:t>
            </w:r>
          </w:p>
        </w:tc>
        <w:tc>
          <w:tcPr>
            <w:tcW w:w="3685" w:type="dxa"/>
            <w:vAlign w:val="center"/>
          </w:tcPr>
          <w:p w:rsidR="006F5B7C" w:rsidRPr="006139D7" w:rsidRDefault="006F5B7C" w:rsidP="006139D7">
            <w:pPr>
              <w:autoSpaceDE w:val="0"/>
              <w:autoSpaceDN w:val="0"/>
              <w:adjustRightInd w:val="0"/>
              <w:spacing w:before="40" w:after="40"/>
              <w:jc w:val="center"/>
              <w:rPr>
                <w:color w:val="211D1E"/>
                <w:sz w:val="20"/>
                <w:szCs w:val="20"/>
                <w:lang w:eastAsia="ja-JP"/>
              </w:rPr>
            </w:pPr>
            <w:r w:rsidRPr="006139D7">
              <w:rPr>
                <w:color w:val="211D1E"/>
                <w:sz w:val="20"/>
                <w:szCs w:val="20"/>
                <w:lang w:eastAsia="ja-JP"/>
              </w:rPr>
              <w:t>31%</w:t>
            </w:r>
            <w:r w:rsidR="00D15469" w:rsidRPr="006139D7">
              <w:rPr>
                <w:color w:val="211D1E"/>
                <w:sz w:val="20"/>
                <w:szCs w:val="20"/>
                <w:vertAlign w:val="superscript"/>
                <w:lang w:eastAsia="ja-JP"/>
              </w:rPr>
              <w:t>**</w:t>
            </w:r>
          </w:p>
        </w:tc>
      </w:tr>
      <w:tr w:rsidR="006F5B7C" w:rsidRPr="006139D7" w:rsidTr="006139D7">
        <w:trPr>
          <w:trHeight w:val="340"/>
        </w:trPr>
        <w:tc>
          <w:tcPr>
            <w:tcW w:w="2070" w:type="dxa"/>
            <w:vAlign w:val="center"/>
          </w:tcPr>
          <w:p w:rsidR="006F5B7C" w:rsidRPr="006139D7" w:rsidRDefault="006F5B7C" w:rsidP="006139D7">
            <w:pPr>
              <w:autoSpaceDE w:val="0"/>
              <w:autoSpaceDN w:val="0"/>
              <w:adjustRightInd w:val="0"/>
              <w:spacing w:before="40" w:after="40"/>
              <w:rPr>
                <w:b/>
                <w:color w:val="211D1E"/>
                <w:sz w:val="20"/>
                <w:szCs w:val="20"/>
                <w:lang w:eastAsia="ja-JP"/>
              </w:rPr>
            </w:pPr>
            <w:r w:rsidRPr="006139D7">
              <w:rPr>
                <w:b/>
                <w:color w:val="211D1E"/>
                <w:sz w:val="20"/>
                <w:szCs w:val="20"/>
                <w:lang w:eastAsia="ja-JP"/>
              </w:rPr>
              <w:t>ACR 50</w:t>
            </w:r>
          </w:p>
        </w:tc>
        <w:tc>
          <w:tcPr>
            <w:tcW w:w="3567" w:type="dxa"/>
          </w:tcPr>
          <w:p w:rsidR="006F5B7C" w:rsidRPr="006139D7" w:rsidRDefault="006F5B7C" w:rsidP="006139D7">
            <w:pPr>
              <w:autoSpaceDE w:val="0"/>
              <w:autoSpaceDN w:val="0"/>
              <w:adjustRightInd w:val="0"/>
              <w:spacing w:before="40" w:after="40"/>
              <w:jc w:val="center"/>
              <w:rPr>
                <w:color w:val="211D1E"/>
                <w:sz w:val="20"/>
                <w:szCs w:val="20"/>
                <w:lang w:eastAsia="ja-JP"/>
              </w:rPr>
            </w:pPr>
          </w:p>
        </w:tc>
        <w:tc>
          <w:tcPr>
            <w:tcW w:w="3685" w:type="dxa"/>
          </w:tcPr>
          <w:p w:rsidR="006F5B7C" w:rsidRPr="006139D7" w:rsidRDefault="006F5B7C" w:rsidP="006139D7">
            <w:pPr>
              <w:autoSpaceDE w:val="0"/>
              <w:autoSpaceDN w:val="0"/>
              <w:adjustRightInd w:val="0"/>
              <w:spacing w:before="40" w:after="40"/>
              <w:jc w:val="center"/>
              <w:rPr>
                <w:color w:val="211D1E"/>
                <w:sz w:val="20"/>
                <w:szCs w:val="20"/>
                <w:lang w:eastAsia="ja-JP"/>
              </w:rPr>
            </w:pPr>
          </w:p>
        </w:tc>
      </w:tr>
      <w:tr w:rsidR="006F5B7C" w:rsidRPr="006139D7" w:rsidTr="006139D7">
        <w:trPr>
          <w:trHeight w:val="340"/>
        </w:trPr>
        <w:tc>
          <w:tcPr>
            <w:tcW w:w="2070" w:type="dxa"/>
            <w:vAlign w:val="center"/>
          </w:tcPr>
          <w:p w:rsidR="006F5B7C" w:rsidRPr="006139D7" w:rsidRDefault="006F5B7C" w:rsidP="006139D7">
            <w:pPr>
              <w:autoSpaceDE w:val="0"/>
              <w:autoSpaceDN w:val="0"/>
              <w:adjustRightInd w:val="0"/>
              <w:spacing w:before="40" w:after="40"/>
              <w:ind w:left="252"/>
              <w:rPr>
                <w:b/>
                <w:color w:val="211D1E"/>
                <w:sz w:val="20"/>
                <w:szCs w:val="20"/>
                <w:lang w:eastAsia="ja-JP"/>
              </w:rPr>
            </w:pPr>
            <w:r w:rsidRPr="006139D7">
              <w:rPr>
                <w:b/>
                <w:color w:val="211D1E"/>
                <w:sz w:val="20"/>
                <w:szCs w:val="20"/>
                <w:lang w:eastAsia="ja-JP"/>
              </w:rPr>
              <w:t>Week 16</w:t>
            </w:r>
          </w:p>
        </w:tc>
        <w:tc>
          <w:tcPr>
            <w:tcW w:w="3567" w:type="dxa"/>
            <w:vAlign w:val="center"/>
          </w:tcPr>
          <w:p w:rsidR="006F5B7C" w:rsidRPr="006139D7" w:rsidRDefault="006F5B7C" w:rsidP="006139D7">
            <w:pPr>
              <w:autoSpaceDE w:val="0"/>
              <w:autoSpaceDN w:val="0"/>
              <w:adjustRightInd w:val="0"/>
              <w:spacing w:before="40" w:after="40"/>
              <w:jc w:val="center"/>
              <w:rPr>
                <w:color w:val="211D1E"/>
                <w:sz w:val="20"/>
                <w:szCs w:val="20"/>
                <w:lang w:eastAsia="ja-JP"/>
              </w:rPr>
            </w:pPr>
            <w:r w:rsidRPr="006139D7">
              <w:rPr>
                <w:color w:val="211D1E"/>
                <w:sz w:val="20"/>
                <w:szCs w:val="20"/>
                <w:lang w:eastAsia="ja-JP"/>
              </w:rPr>
              <w:t>5%</w:t>
            </w:r>
          </w:p>
        </w:tc>
        <w:tc>
          <w:tcPr>
            <w:tcW w:w="3685" w:type="dxa"/>
            <w:vAlign w:val="center"/>
          </w:tcPr>
          <w:p w:rsidR="006F5B7C" w:rsidRPr="006139D7" w:rsidRDefault="006F5B7C" w:rsidP="006139D7">
            <w:pPr>
              <w:autoSpaceDE w:val="0"/>
              <w:autoSpaceDN w:val="0"/>
              <w:adjustRightInd w:val="0"/>
              <w:spacing w:before="40" w:after="40"/>
              <w:jc w:val="center"/>
              <w:rPr>
                <w:color w:val="211D1E"/>
                <w:sz w:val="20"/>
                <w:szCs w:val="20"/>
                <w:lang w:eastAsia="ja-JP"/>
              </w:rPr>
            </w:pPr>
            <w:r w:rsidRPr="006139D7">
              <w:rPr>
                <w:color w:val="211D1E"/>
                <w:sz w:val="20"/>
                <w:szCs w:val="20"/>
                <w:lang w:eastAsia="ja-JP"/>
              </w:rPr>
              <w:t>11%</w:t>
            </w:r>
            <w:r w:rsidR="006E51F4" w:rsidRPr="006139D7">
              <w:rPr>
                <w:color w:val="211D1E"/>
                <w:sz w:val="20"/>
                <w:szCs w:val="20"/>
                <w:vertAlign w:val="superscript"/>
                <w:lang w:eastAsia="ja-JP"/>
              </w:rPr>
              <w:t>*</w:t>
            </w:r>
          </w:p>
        </w:tc>
      </w:tr>
      <w:tr w:rsidR="006F5B7C" w:rsidRPr="006139D7" w:rsidTr="006139D7">
        <w:trPr>
          <w:trHeight w:val="340"/>
        </w:trPr>
        <w:tc>
          <w:tcPr>
            <w:tcW w:w="2070" w:type="dxa"/>
            <w:vAlign w:val="center"/>
          </w:tcPr>
          <w:p w:rsidR="006F5B7C" w:rsidRPr="006139D7" w:rsidRDefault="006F5B7C" w:rsidP="006139D7">
            <w:pPr>
              <w:autoSpaceDE w:val="0"/>
              <w:autoSpaceDN w:val="0"/>
              <w:adjustRightInd w:val="0"/>
              <w:spacing w:before="40" w:after="40"/>
              <w:rPr>
                <w:b/>
                <w:color w:val="211D1E"/>
                <w:sz w:val="20"/>
                <w:szCs w:val="20"/>
                <w:lang w:eastAsia="ja-JP"/>
              </w:rPr>
            </w:pPr>
            <w:r w:rsidRPr="006139D7">
              <w:rPr>
                <w:b/>
                <w:color w:val="211D1E"/>
                <w:sz w:val="20"/>
                <w:szCs w:val="20"/>
                <w:lang w:eastAsia="ja-JP"/>
              </w:rPr>
              <w:t>ACR 70</w:t>
            </w:r>
          </w:p>
        </w:tc>
        <w:tc>
          <w:tcPr>
            <w:tcW w:w="3567" w:type="dxa"/>
          </w:tcPr>
          <w:p w:rsidR="006F5B7C" w:rsidRPr="006139D7" w:rsidRDefault="006F5B7C" w:rsidP="006139D7">
            <w:pPr>
              <w:autoSpaceDE w:val="0"/>
              <w:autoSpaceDN w:val="0"/>
              <w:adjustRightInd w:val="0"/>
              <w:spacing w:before="40" w:after="40"/>
              <w:jc w:val="center"/>
              <w:rPr>
                <w:color w:val="211D1E"/>
                <w:sz w:val="20"/>
                <w:szCs w:val="20"/>
                <w:lang w:eastAsia="ja-JP"/>
              </w:rPr>
            </w:pPr>
          </w:p>
        </w:tc>
        <w:tc>
          <w:tcPr>
            <w:tcW w:w="3685" w:type="dxa"/>
          </w:tcPr>
          <w:p w:rsidR="006F5B7C" w:rsidRPr="006139D7" w:rsidRDefault="006F5B7C" w:rsidP="006139D7">
            <w:pPr>
              <w:autoSpaceDE w:val="0"/>
              <w:autoSpaceDN w:val="0"/>
              <w:adjustRightInd w:val="0"/>
              <w:spacing w:before="40" w:after="40"/>
              <w:jc w:val="center"/>
              <w:rPr>
                <w:color w:val="211D1E"/>
                <w:sz w:val="20"/>
                <w:szCs w:val="20"/>
                <w:lang w:eastAsia="ja-JP"/>
              </w:rPr>
            </w:pPr>
          </w:p>
        </w:tc>
      </w:tr>
      <w:tr w:rsidR="006F5B7C" w:rsidRPr="006139D7" w:rsidTr="006139D7">
        <w:trPr>
          <w:trHeight w:val="340"/>
        </w:trPr>
        <w:tc>
          <w:tcPr>
            <w:tcW w:w="2070" w:type="dxa"/>
            <w:vAlign w:val="center"/>
          </w:tcPr>
          <w:p w:rsidR="006F5B7C" w:rsidRPr="006139D7" w:rsidRDefault="006F5B7C" w:rsidP="006139D7">
            <w:pPr>
              <w:autoSpaceDE w:val="0"/>
              <w:autoSpaceDN w:val="0"/>
              <w:adjustRightInd w:val="0"/>
              <w:spacing w:before="40" w:after="40"/>
              <w:ind w:left="252"/>
              <w:rPr>
                <w:b/>
                <w:color w:val="211D1E"/>
                <w:sz w:val="20"/>
                <w:szCs w:val="20"/>
                <w:lang w:eastAsia="ja-JP"/>
              </w:rPr>
            </w:pPr>
            <w:r w:rsidRPr="006139D7">
              <w:rPr>
                <w:b/>
                <w:color w:val="211D1E"/>
                <w:sz w:val="20"/>
                <w:szCs w:val="20"/>
                <w:lang w:eastAsia="ja-JP"/>
              </w:rPr>
              <w:t>Week 16</w:t>
            </w:r>
          </w:p>
        </w:tc>
        <w:tc>
          <w:tcPr>
            <w:tcW w:w="3567" w:type="dxa"/>
            <w:vAlign w:val="center"/>
          </w:tcPr>
          <w:p w:rsidR="006F5B7C" w:rsidRPr="006139D7" w:rsidRDefault="006F5B7C" w:rsidP="006139D7">
            <w:pPr>
              <w:autoSpaceDE w:val="0"/>
              <w:autoSpaceDN w:val="0"/>
              <w:adjustRightInd w:val="0"/>
              <w:spacing w:before="40" w:after="40"/>
              <w:jc w:val="center"/>
              <w:rPr>
                <w:color w:val="211D1E"/>
                <w:sz w:val="20"/>
                <w:szCs w:val="20"/>
                <w:lang w:eastAsia="ja-JP"/>
              </w:rPr>
            </w:pPr>
            <w:r w:rsidRPr="006139D7">
              <w:rPr>
                <w:color w:val="211D1E"/>
                <w:sz w:val="20"/>
                <w:szCs w:val="20"/>
                <w:lang w:eastAsia="ja-JP"/>
              </w:rPr>
              <w:t>1%</w:t>
            </w:r>
          </w:p>
        </w:tc>
        <w:tc>
          <w:tcPr>
            <w:tcW w:w="3685" w:type="dxa"/>
            <w:vAlign w:val="center"/>
          </w:tcPr>
          <w:p w:rsidR="006F5B7C" w:rsidRPr="006139D7" w:rsidRDefault="006F5B7C" w:rsidP="006139D7">
            <w:pPr>
              <w:autoSpaceDE w:val="0"/>
              <w:autoSpaceDN w:val="0"/>
              <w:adjustRightInd w:val="0"/>
              <w:spacing w:before="40" w:after="40"/>
              <w:jc w:val="center"/>
              <w:rPr>
                <w:color w:val="211D1E"/>
                <w:sz w:val="20"/>
                <w:szCs w:val="20"/>
                <w:lang w:eastAsia="ja-JP"/>
              </w:rPr>
            </w:pPr>
            <w:r w:rsidRPr="006139D7">
              <w:rPr>
                <w:color w:val="211D1E"/>
                <w:sz w:val="20"/>
                <w:szCs w:val="20"/>
                <w:lang w:eastAsia="ja-JP"/>
              </w:rPr>
              <w:t>4%</w:t>
            </w:r>
          </w:p>
        </w:tc>
      </w:tr>
    </w:tbl>
    <w:p w:rsidR="0050776B" w:rsidRPr="000A72AF" w:rsidRDefault="0050776B" w:rsidP="000A72AF">
      <w:pPr>
        <w:pStyle w:val="Pa8"/>
        <w:spacing w:line="240" w:lineRule="auto"/>
        <w:jc w:val="both"/>
        <w:rPr>
          <w:rFonts w:ascii="Times New Roman" w:hAnsi="Times New Roman"/>
          <w:sz w:val="18"/>
          <w:szCs w:val="18"/>
          <w:lang w:eastAsia="ja-JP"/>
        </w:rPr>
      </w:pPr>
      <w:proofErr w:type="gramStart"/>
      <w:r w:rsidRPr="000A72AF">
        <w:rPr>
          <w:rFonts w:ascii="Times New Roman" w:hAnsi="Times New Roman"/>
          <w:sz w:val="18"/>
          <w:szCs w:val="18"/>
          <w:vertAlign w:val="superscript"/>
          <w:lang w:eastAsia="ja-JP"/>
        </w:rPr>
        <w:t>a</w:t>
      </w:r>
      <w:r w:rsidRPr="000A72AF">
        <w:rPr>
          <w:rFonts w:ascii="Times New Roman" w:hAnsi="Times New Roman"/>
          <w:sz w:val="18"/>
          <w:szCs w:val="18"/>
          <w:lang w:eastAsia="ja-JP"/>
        </w:rPr>
        <w:t>N</w:t>
      </w:r>
      <w:proofErr w:type="gramEnd"/>
      <w:r w:rsidRPr="000A72AF">
        <w:rPr>
          <w:rFonts w:ascii="Times New Roman" w:hAnsi="Times New Roman"/>
          <w:sz w:val="18"/>
          <w:szCs w:val="18"/>
          <w:lang w:eastAsia="ja-JP"/>
        </w:rPr>
        <w:t xml:space="preserve"> is number of randomi</w:t>
      </w:r>
      <w:r w:rsidR="000A72AF" w:rsidRPr="000A72AF">
        <w:rPr>
          <w:rFonts w:ascii="Times New Roman" w:hAnsi="Times New Roman"/>
          <w:sz w:val="18"/>
          <w:szCs w:val="18"/>
          <w:lang w:eastAsia="ja-JP"/>
        </w:rPr>
        <w:t>s</w:t>
      </w:r>
      <w:r w:rsidRPr="000A72AF">
        <w:rPr>
          <w:rFonts w:ascii="Times New Roman" w:hAnsi="Times New Roman"/>
          <w:sz w:val="18"/>
          <w:szCs w:val="18"/>
          <w:lang w:eastAsia="ja-JP"/>
        </w:rPr>
        <w:t xml:space="preserve">ed </w:t>
      </w:r>
      <w:r w:rsidR="00041E7F">
        <w:rPr>
          <w:rFonts w:ascii="Times New Roman" w:hAnsi="Times New Roman"/>
          <w:sz w:val="18"/>
          <w:szCs w:val="18"/>
          <w:lang w:eastAsia="ja-JP"/>
        </w:rPr>
        <w:t xml:space="preserve">and treated </w:t>
      </w:r>
      <w:r w:rsidRPr="000A72AF">
        <w:rPr>
          <w:rFonts w:ascii="Times New Roman" w:hAnsi="Times New Roman"/>
          <w:sz w:val="18"/>
          <w:szCs w:val="18"/>
          <w:lang w:eastAsia="ja-JP"/>
        </w:rPr>
        <w:t>patients</w:t>
      </w:r>
    </w:p>
    <w:p w:rsidR="00D15469" w:rsidRPr="000A72AF" w:rsidRDefault="00D15469" w:rsidP="00D15469">
      <w:pPr>
        <w:pStyle w:val="C-BodyText"/>
        <w:spacing w:before="0" w:after="0" w:line="240" w:lineRule="auto"/>
        <w:rPr>
          <w:color w:val="211D1E"/>
          <w:sz w:val="18"/>
          <w:szCs w:val="18"/>
          <w:lang w:eastAsia="ja-JP"/>
        </w:rPr>
      </w:pPr>
      <w:proofErr w:type="gramStart"/>
      <w:r>
        <w:rPr>
          <w:color w:val="211D1E"/>
          <w:sz w:val="18"/>
          <w:szCs w:val="18"/>
          <w:vertAlign w:val="superscript"/>
          <w:lang w:eastAsia="ja-JP"/>
        </w:rPr>
        <w:t>*</w:t>
      </w:r>
      <w:r w:rsidRPr="000A72AF">
        <w:rPr>
          <w:color w:val="211D1E"/>
          <w:sz w:val="18"/>
          <w:szCs w:val="18"/>
          <w:lang w:eastAsia="ja-JP"/>
        </w:rPr>
        <w:t xml:space="preserve">p </w:t>
      </w:r>
      <w:r w:rsidR="00FA6D41">
        <w:rPr>
          <w:color w:val="211D1E"/>
          <w:sz w:val="18"/>
          <w:szCs w:val="18"/>
          <w:lang w:eastAsia="ja-JP"/>
        </w:rPr>
        <w:t>≤</w:t>
      </w:r>
      <w:r w:rsidRPr="000A72AF">
        <w:rPr>
          <w:color w:val="211D1E"/>
          <w:sz w:val="18"/>
          <w:szCs w:val="18"/>
          <w:lang w:eastAsia="ja-JP"/>
        </w:rPr>
        <w:t xml:space="preserve"> 0.05 for Otezla vs. placebo.</w:t>
      </w:r>
      <w:proofErr w:type="gramEnd"/>
      <w:r w:rsidRPr="000A72AF">
        <w:rPr>
          <w:color w:val="211D1E"/>
          <w:sz w:val="18"/>
          <w:szCs w:val="18"/>
          <w:lang w:eastAsia="ja-JP"/>
        </w:rPr>
        <w:t xml:space="preserve"> </w:t>
      </w:r>
    </w:p>
    <w:p w:rsidR="00187702" w:rsidRPr="000A72AF" w:rsidRDefault="00D15469" w:rsidP="000A72AF">
      <w:pPr>
        <w:pStyle w:val="C-BodyText"/>
        <w:spacing w:before="0" w:after="0" w:line="240" w:lineRule="auto"/>
        <w:rPr>
          <w:color w:val="211D1E"/>
          <w:sz w:val="18"/>
          <w:szCs w:val="18"/>
          <w:lang w:eastAsia="ja-JP"/>
        </w:rPr>
      </w:pPr>
      <w:proofErr w:type="gramStart"/>
      <w:r>
        <w:rPr>
          <w:color w:val="211D1E"/>
          <w:sz w:val="18"/>
          <w:szCs w:val="18"/>
          <w:vertAlign w:val="superscript"/>
          <w:lang w:eastAsia="ja-JP"/>
        </w:rPr>
        <w:t>**</w:t>
      </w:r>
      <w:r w:rsidR="00187702" w:rsidRPr="000A72AF">
        <w:rPr>
          <w:color w:val="211D1E"/>
          <w:sz w:val="18"/>
          <w:szCs w:val="18"/>
          <w:lang w:eastAsia="ja-JP"/>
        </w:rPr>
        <w:t xml:space="preserve">p </w:t>
      </w:r>
      <w:r w:rsidR="00FA6D41">
        <w:rPr>
          <w:color w:val="211D1E"/>
          <w:sz w:val="18"/>
          <w:szCs w:val="18"/>
          <w:lang w:eastAsia="ja-JP"/>
        </w:rPr>
        <w:t>≤</w:t>
      </w:r>
      <w:r w:rsidR="00187702" w:rsidRPr="000A72AF">
        <w:rPr>
          <w:color w:val="211D1E"/>
          <w:sz w:val="18"/>
          <w:szCs w:val="18"/>
          <w:lang w:eastAsia="ja-JP"/>
        </w:rPr>
        <w:t>0.0</w:t>
      </w:r>
      <w:r w:rsidR="00FA6D41">
        <w:rPr>
          <w:color w:val="211D1E"/>
          <w:sz w:val="18"/>
          <w:szCs w:val="18"/>
          <w:lang w:eastAsia="ja-JP"/>
        </w:rPr>
        <w:t>0</w:t>
      </w:r>
      <w:r w:rsidR="00187702" w:rsidRPr="000A72AF">
        <w:rPr>
          <w:color w:val="211D1E"/>
          <w:sz w:val="18"/>
          <w:szCs w:val="18"/>
          <w:lang w:eastAsia="ja-JP"/>
        </w:rPr>
        <w:t xml:space="preserve">1 for </w:t>
      </w:r>
      <w:r w:rsidR="000A72AF" w:rsidRPr="000A72AF">
        <w:rPr>
          <w:color w:val="211D1E"/>
          <w:sz w:val="18"/>
          <w:szCs w:val="18"/>
          <w:lang w:eastAsia="ja-JP"/>
        </w:rPr>
        <w:t>Otezla</w:t>
      </w:r>
      <w:r w:rsidR="00187702" w:rsidRPr="000A72AF">
        <w:rPr>
          <w:color w:val="211D1E"/>
          <w:sz w:val="18"/>
          <w:szCs w:val="18"/>
          <w:lang w:eastAsia="ja-JP"/>
        </w:rPr>
        <w:t xml:space="preserve"> vs. placebo.</w:t>
      </w:r>
      <w:proofErr w:type="gramEnd"/>
    </w:p>
    <w:p w:rsidR="0050776B" w:rsidRPr="0021059D" w:rsidRDefault="0050776B" w:rsidP="00455343">
      <w:pPr>
        <w:pStyle w:val="Pa8"/>
        <w:jc w:val="both"/>
        <w:rPr>
          <w:rStyle w:val="A0"/>
          <w:rFonts w:ascii="Times New Roman" w:hAnsi="Times New Roman"/>
          <w:b w:val="0"/>
          <w:bCs w:val="0"/>
          <w:i w:val="0"/>
          <w:iCs w:val="0"/>
          <w:sz w:val="16"/>
          <w:szCs w:val="16"/>
          <w:lang w:eastAsia="ja-JP"/>
        </w:rPr>
      </w:pPr>
    </w:p>
    <w:p w:rsidR="00A76C14" w:rsidRDefault="00A76C14" w:rsidP="008801B8">
      <w:pPr>
        <w:autoSpaceDE w:val="0"/>
        <w:autoSpaceDN w:val="0"/>
        <w:adjustRightInd w:val="0"/>
        <w:rPr>
          <w:noProof/>
          <w:sz w:val="22"/>
          <w:szCs w:val="22"/>
          <w:lang w:val="en-US"/>
        </w:rPr>
      </w:pPr>
    </w:p>
    <w:p w:rsidR="00C01294" w:rsidRDefault="00C01294" w:rsidP="008801B8">
      <w:pPr>
        <w:autoSpaceDE w:val="0"/>
        <w:autoSpaceDN w:val="0"/>
        <w:adjustRightInd w:val="0"/>
        <w:rPr>
          <w:b/>
          <w:noProof/>
          <w:sz w:val="22"/>
          <w:szCs w:val="22"/>
          <w:lang w:val="en-US"/>
        </w:rPr>
      </w:pPr>
      <w:r w:rsidRPr="00C01294">
        <w:rPr>
          <w:b/>
          <w:noProof/>
          <w:sz w:val="22"/>
          <w:szCs w:val="22"/>
          <w:lang w:val="en-US"/>
        </w:rPr>
        <w:t>ACR 20/50/70 Response Through Week 52</w:t>
      </w:r>
    </w:p>
    <w:p w:rsidR="00356824" w:rsidRDefault="00356824" w:rsidP="008801B8">
      <w:pPr>
        <w:autoSpaceDE w:val="0"/>
        <w:autoSpaceDN w:val="0"/>
        <w:adjustRightInd w:val="0"/>
        <w:rPr>
          <w:b/>
          <w:noProof/>
          <w:sz w:val="22"/>
          <w:szCs w:val="22"/>
          <w:lang w:val="en-US"/>
        </w:rPr>
      </w:pPr>
    </w:p>
    <w:p w:rsidR="00543D5A" w:rsidRPr="00395FD8" w:rsidRDefault="00543D5A" w:rsidP="00543D5A">
      <w:pPr>
        <w:numPr>
          <w:ilvl w:val="12"/>
          <w:numId w:val="0"/>
        </w:numPr>
        <w:ind w:right="-2"/>
        <w:rPr>
          <w:iCs/>
          <w:noProof/>
          <w:sz w:val="22"/>
          <w:szCs w:val="22"/>
        </w:rPr>
      </w:pPr>
      <w:r w:rsidRPr="00395FD8">
        <w:rPr>
          <w:iCs/>
          <w:noProof/>
          <w:sz w:val="22"/>
          <w:szCs w:val="22"/>
        </w:rPr>
        <w:t>Among 176 patients initially randomized to apremilast 30 mg twice daily, 138 (78%) patients were still on this treatment at Week 52.  In these patients,  ACR 20/50/70 responses at week 52 were 57%, 25%, and 11% respectively (</w:t>
      </w:r>
      <w:r w:rsidRPr="00395FD8">
        <w:rPr>
          <w:b/>
          <w:iCs/>
          <w:noProof/>
          <w:sz w:val="22"/>
          <w:szCs w:val="22"/>
        </w:rPr>
        <w:t>Figure 2</w:t>
      </w:r>
      <w:r w:rsidRPr="00395FD8">
        <w:rPr>
          <w:iCs/>
          <w:noProof/>
          <w:sz w:val="22"/>
          <w:szCs w:val="22"/>
        </w:rPr>
        <w:t xml:space="preserve">). </w:t>
      </w:r>
    </w:p>
    <w:p w:rsidR="00543D5A" w:rsidRDefault="00543D5A" w:rsidP="008801B8">
      <w:pPr>
        <w:autoSpaceDE w:val="0"/>
        <w:autoSpaceDN w:val="0"/>
        <w:adjustRightInd w:val="0"/>
        <w:rPr>
          <w:b/>
          <w:noProof/>
          <w:sz w:val="22"/>
          <w:szCs w:val="22"/>
          <w:lang w:val="en-US"/>
        </w:rPr>
      </w:pPr>
    </w:p>
    <w:p w:rsidR="00CD6086" w:rsidRDefault="00CD6086" w:rsidP="00CD6086">
      <w:pPr>
        <w:autoSpaceDE w:val="0"/>
        <w:autoSpaceDN w:val="0"/>
        <w:adjustRightInd w:val="0"/>
        <w:spacing w:before="120"/>
        <w:ind w:left="1440" w:hanging="1440"/>
        <w:rPr>
          <w:b/>
          <w:bCs/>
          <w:color w:val="201D1E"/>
          <w:sz w:val="22"/>
          <w:szCs w:val="22"/>
          <w:lang w:val="en-AU" w:eastAsia="en-AU"/>
        </w:rPr>
      </w:pPr>
      <w:r w:rsidRPr="000A72AF">
        <w:rPr>
          <w:b/>
          <w:sz w:val="22"/>
          <w:szCs w:val="22"/>
          <w:lang w:val="en-US"/>
        </w:rPr>
        <w:t xml:space="preserve">Figure </w:t>
      </w:r>
      <w:r>
        <w:rPr>
          <w:b/>
          <w:sz w:val="22"/>
          <w:szCs w:val="22"/>
          <w:lang w:val="en-US"/>
        </w:rPr>
        <w:t>2</w:t>
      </w:r>
      <w:r w:rsidRPr="002A6C0B">
        <w:rPr>
          <w:sz w:val="22"/>
          <w:szCs w:val="22"/>
          <w:lang w:val="en-US"/>
        </w:rPr>
        <w:tab/>
      </w:r>
      <w:r w:rsidRPr="002A6C0B">
        <w:rPr>
          <w:b/>
          <w:sz w:val="22"/>
          <w:szCs w:val="22"/>
          <w:lang w:val="en-US"/>
        </w:rPr>
        <w:t xml:space="preserve">Proportion of ACR 20/50/70 Responders Through Week 52 in </w:t>
      </w:r>
      <w:r>
        <w:rPr>
          <w:b/>
          <w:sz w:val="22"/>
          <w:szCs w:val="22"/>
          <w:lang w:val="en-US"/>
        </w:rPr>
        <w:t>Study PALACE 4 (</w:t>
      </w:r>
      <w:r w:rsidRPr="00356824">
        <w:rPr>
          <w:b/>
          <w:bCs/>
          <w:color w:val="201D1E"/>
          <w:sz w:val="22"/>
          <w:szCs w:val="22"/>
          <w:lang w:val="en-AU" w:eastAsia="en-AU"/>
        </w:rPr>
        <w:t xml:space="preserve">Data as Observed) </w:t>
      </w:r>
    </w:p>
    <w:p w:rsidR="007A5CF3" w:rsidRPr="00DD3F29" w:rsidRDefault="007A5CF3" w:rsidP="00CD6086">
      <w:pPr>
        <w:autoSpaceDE w:val="0"/>
        <w:autoSpaceDN w:val="0"/>
        <w:adjustRightInd w:val="0"/>
        <w:spacing w:before="120"/>
        <w:ind w:left="1440" w:hanging="1440"/>
      </w:pPr>
    </w:p>
    <w:p w:rsidR="00DD3F29" w:rsidRDefault="003C3DD7" w:rsidP="00DD3F29">
      <w:pPr>
        <w:pStyle w:val="C-BodyText"/>
        <w:spacing w:before="0" w:after="0" w:line="240" w:lineRule="auto"/>
        <w:ind w:left="144" w:hanging="144"/>
        <w:rPr>
          <w:sz w:val="18"/>
          <w:szCs w:val="18"/>
        </w:rPr>
      </w:pPr>
      <w:bookmarkStart w:id="1" w:name="_GoBack"/>
      <w:r>
        <w:rPr>
          <w:noProof/>
          <w:szCs w:val="24"/>
          <w:lang w:val="en-AU" w:eastAsia="en-AU"/>
        </w:rPr>
        <w:drawing>
          <wp:inline distT="0" distB="0" distL="0" distR="0">
            <wp:extent cx="5074844" cy="2932132"/>
            <wp:effectExtent l="0" t="0" r="0" b="0"/>
            <wp:docPr id="4" name="Picture 4"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075374" cy="2932438"/>
                    </a:xfrm>
                    <a:prstGeom prst="rect">
                      <a:avLst/>
                    </a:prstGeom>
                    <a:noFill/>
                    <a:ln w="9525">
                      <a:noFill/>
                      <a:miter lim="800000"/>
                      <a:headEnd/>
                      <a:tailEnd/>
                    </a:ln>
                  </pic:spPr>
                </pic:pic>
              </a:graphicData>
            </a:graphic>
          </wp:inline>
        </w:drawing>
      </w:r>
      <w:bookmarkEnd w:id="1"/>
    </w:p>
    <w:p w:rsidR="009164B2" w:rsidRPr="006139D7" w:rsidRDefault="009164B2" w:rsidP="009164B2">
      <w:pPr>
        <w:autoSpaceDE w:val="0"/>
        <w:autoSpaceDN w:val="0"/>
        <w:rPr>
          <w:iCs/>
          <w:noProof/>
          <w:sz w:val="18"/>
          <w:szCs w:val="18"/>
        </w:rPr>
      </w:pPr>
      <w:r w:rsidRPr="006139D7">
        <w:rPr>
          <w:noProof/>
          <w:sz w:val="18"/>
          <w:szCs w:val="18"/>
        </w:rPr>
        <w:t xml:space="preserve">Note: </w:t>
      </w:r>
      <w:r w:rsidRPr="006139D7">
        <w:rPr>
          <w:iCs/>
          <w:noProof/>
          <w:sz w:val="18"/>
          <w:szCs w:val="18"/>
        </w:rPr>
        <w:t>n/m is the number of responders/number of subjects with sufficient data for definitive determination of response status at each time point, which includes subjects who discontinued early between the preceding time point and the time point in question.</w:t>
      </w:r>
    </w:p>
    <w:p w:rsidR="00356824" w:rsidRDefault="00356824" w:rsidP="008801B8">
      <w:pPr>
        <w:autoSpaceDE w:val="0"/>
        <w:autoSpaceDN w:val="0"/>
        <w:adjustRightInd w:val="0"/>
        <w:rPr>
          <w:b/>
          <w:noProof/>
          <w:sz w:val="22"/>
          <w:szCs w:val="22"/>
          <w:lang w:val="en-US"/>
        </w:rPr>
      </w:pPr>
    </w:p>
    <w:p w:rsidR="00356824" w:rsidRPr="00C01294" w:rsidRDefault="00356824" w:rsidP="008801B8">
      <w:pPr>
        <w:autoSpaceDE w:val="0"/>
        <w:autoSpaceDN w:val="0"/>
        <w:adjustRightInd w:val="0"/>
        <w:rPr>
          <w:b/>
          <w:noProof/>
          <w:sz w:val="22"/>
          <w:szCs w:val="22"/>
          <w:lang w:val="en-US"/>
        </w:rPr>
      </w:pPr>
    </w:p>
    <w:p w:rsidR="00356824" w:rsidRPr="00356824" w:rsidRDefault="00A76C14" w:rsidP="00356824">
      <w:pPr>
        <w:pStyle w:val="Default"/>
        <w:rPr>
          <w:rFonts w:eastAsia="Times New Roman"/>
          <w:sz w:val="23"/>
          <w:szCs w:val="23"/>
          <w:lang w:eastAsia="en-AU"/>
        </w:rPr>
      </w:pPr>
      <w:r w:rsidRPr="007D0AC0">
        <w:rPr>
          <w:rStyle w:val="A0"/>
          <w:rFonts w:ascii="Times New Roman" w:hAnsi="Times New Roman"/>
          <w:b w:val="0"/>
          <w:bCs w:val="0"/>
          <w:i w:val="0"/>
          <w:iCs w:val="0"/>
          <w:sz w:val="22"/>
          <w:szCs w:val="22"/>
        </w:rPr>
        <w:t xml:space="preserve">Treatment with </w:t>
      </w:r>
      <w:r w:rsidR="00D470D4">
        <w:rPr>
          <w:rStyle w:val="A0"/>
          <w:rFonts w:ascii="Times New Roman" w:hAnsi="Times New Roman"/>
          <w:b w:val="0"/>
          <w:bCs w:val="0"/>
          <w:i w:val="0"/>
          <w:iCs w:val="0"/>
          <w:sz w:val="22"/>
          <w:szCs w:val="22"/>
        </w:rPr>
        <w:t>Otezla</w:t>
      </w:r>
      <w:r w:rsidRPr="007D0AC0">
        <w:rPr>
          <w:rStyle w:val="A0"/>
          <w:rFonts w:ascii="Times New Roman" w:hAnsi="Times New Roman"/>
          <w:b w:val="0"/>
          <w:bCs w:val="0"/>
          <w:i w:val="0"/>
          <w:iCs w:val="0"/>
          <w:sz w:val="22"/>
          <w:szCs w:val="22"/>
        </w:rPr>
        <w:t xml:space="preserve"> 30 mg twice daily resulted in greater improvement for each ACR component</w:t>
      </w:r>
      <w:r w:rsidR="00E44ADB" w:rsidRPr="007D0AC0">
        <w:rPr>
          <w:rStyle w:val="A0"/>
          <w:rFonts w:ascii="Times New Roman" w:hAnsi="Times New Roman"/>
          <w:b w:val="0"/>
          <w:bCs w:val="0"/>
          <w:i w:val="0"/>
          <w:iCs w:val="0"/>
          <w:sz w:val="22"/>
          <w:szCs w:val="22"/>
        </w:rPr>
        <w:t xml:space="preserve"> </w:t>
      </w:r>
      <w:r w:rsidR="00E44ADB" w:rsidRPr="007D0AC0">
        <w:rPr>
          <w:noProof/>
          <w:sz w:val="22"/>
          <w:szCs w:val="22"/>
          <w:lang w:val="en-US"/>
        </w:rPr>
        <w:t xml:space="preserve">[number of swollen and tender joints, physician and patient assessment of disease activity and patient assessment of pain, </w:t>
      </w:r>
      <w:r w:rsidR="00E44ADB" w:rsidRPr="007D0AC0">
        <w:rPr>
          <w:iCs/>
          <w:noProof/>
          <w:sz w:val="22"/>
          <w:szCs w:val="22"/>
          <w:lang w:val="en-US"/>
        </w:rPr>
        <w:t xml:space="preserve">HAQ-DI </w:t>
      </w:r>
      <w:r w:rsidR="00E44ADB" w:rsidRPr="007D0AC0">
        <w:rPr>
          <w:noProof/>
          <w:sz w:val="22"/>
          <w:szCs w:val="22"/>
          <w:lang w:val="en-US"/>
        </w:rPr>
        <w:t>score and CRP value]</w:t>
      </w:r>
      <w:r w:rsidRPr="007D0AC0">
        <w:rPr>
          <w:rStyle w:val="A0"/>
          <w:rFonts w:ascii="Times New Roman" w:hAnsi="Times New Roman"/>
          <w:b w:val="0"/>
          <w:bCs w:val="0"/>
          <w:i w:val="0"/>
          <w:iCs w:val="0"/>
          <w:sz w:val="22"/>
          <w:szCs w:val="22"/>
        </w:rPr>
        <w:t>, compared to placebo at Weeks 16 and 24</w:t>
      </w:r>
      <w:r w:rsidR="00E44ADB" w:rsidRPr="007D0AC0">
        <w:rPr>
          <w:rStyle w:val="A0"/>
          <w:rFonts w:ascii="Times New Roman" w:hAnsi="Times New Roman"/>
          <w:b w:val="0"/>
          <w:bCs w:val="0"/>
          <w:i w:val="0"/>
          <w:iCs w:val="0"/>
          <w:sz w:val="22"/>
          <w:szCs w:val="22"/>
        </w:rPr>
        <w:t xml:space="preserve"> </w:t>
      </w:r>
      <w:r w:rsidRPr="007D0AC0">
        <w:rPr>
          <w:rStyle w:val="A0"/>
          <w:rFonts w:ascii="Times New Roman" w:hAnsi="Times New Roman"/>
          <w:b w:val="0"/>
          <w:bCs w:val="0"/>
          <w:i w:val="0"/>
          <w:iCs w:val="0"/>
          <w:sz w:val="22"/>
          <w:szCs w:val="22"/>
        </w:rPr>
        <w:t xml:space="preserve">in Study </w:t>
      </w:r>
      <w:r w:rsidRPr="007D0AC0">
        <w:rPr>
          <w:rStyle w:val="A0"/>
          <w:rFonts w:ascii="Times New Roman" w:hAnsi="Times New Roman"/>
          <w:b w:val="0"/>
          <w:bCs w:val="0"/>
          <w:i w:val="0"/>
          <w:iCs w:val="0"/>
          <w:sz w:val="22"/>
          <w:szCs w:val="22"/>
        </w:rPr>
        <w:lastRenderedPageBreak/>
        <w:t>PALACE 4</w:t>
      </w:r>
      <w:r w:rsidR="00E44ADB" w:rsidRPr="007D0AC0">
        <w:rPr>
          <w:rStyle w:val="A0"/>
          <w:rFonts w:ascii="Times New Roman" w:hAnsi="Times New Roman"/>
          <w:b w:val="0"/>
          <w:bCs w:val="0"/>
          <w:i w:val="0"/>
          <w:iCs w:val="0"/>
          <w:sz w:val="22"/>
          <w:szCs w:val="22"/>
        </w:rPr>
        <w:t xml:space="preserve">.  </w:t>
      </w:r>
      <w:r w:rsidR="00356824" w:rsidRPr="00E25C50">
        <w:rPr>
          <w:rFonts w:eastAsia="Times New Roman"/>
          <w:color w:val="211E1F"/>
          <w:sz w:val="22"/>
          <w:szCs w:val="22"/>
          <w:lang w:eastAsia="en-AU"/>
        </w:rPr>
        <w:t xml:space="preserve">Among patients who were continuously treated with </w:t>
      </w:r>
      <w:r w:rsidR="00CE42AE" w:rsidRPr="00E25C50">
        <w:rPr>
          <w:rFonts w:eastAsia="Times New Roman"/>
          <w:color w:val="211E1F"/>
          <w:sz w:val="22"/>
          <w:szCs w:val="22"/>
          <w:lang w:eastAsia="en-AU"/>
        </w:rPr>
        <w:t>Otezla</w:t>
      </w:r>
      <w:r w:rsidR="00356824" w:rsidRPr="00E25C50">
        <w:rPr>
          <w:rFonts w:eastAsia="Times New Roman"/>
          <w:color w:val="211E1F"/>
          <w:sz w:val="22"/>
          <w:szCs w:val="22"/>
          <w:lang w:eastAsia="en-AU"/>
        </w:rPr>
        <w:t xml:space="preserve">, </w:t>
      </w:r>
      <w:r w:rsidR="009164B2" w:rsidRPr="00E25C50">
        <w:rPr>
          <w:rFonts w:eastAsia="Times New Roman"/>
          <w:color w:val="211E1F"/>
          <w:sz w:val="22"/>
          <w:szCs w:val="22"/>
          <w:lang w:eastAsia="en-AU"/>
        </w:rPr>
        <w:t xml:space="preserve">sustained </w:t>
      </w:r>
      <w:r w:rsidR="00356824" w:rsidRPr="00E25C50">
        <w:rPr>
          <w:rFonts w:eastAsia="Times New Roman"/>
          <w:color w:val="211E1F"/>
          <w:sz w:val="22"/>
          <w:szCs w:val="22"/>
          <w:lang w:eastAsia="en-AU"/>
        </w:rPr>
        <w:t>improvements in individual ACR components were observed at Week 52.</w:t>
      </w:r>
      <w:r w:rsidR="00356824" w:rsidRPr="00356824">
        <w:rPr>
          <w:rFonts w:eastAsia="Times New Roman"/>
          <w:color w:val="211E1F"/>
          <w:sz w:val="23"/>
          <w:szCs w:val="23"/>
          <w:lang w:eastAsia="en-AU"/>
        </w:rPr>
        <w:t xml:space="preserve"> </w:t>
      </w:r>
    </w:p>
    <w:p w:rsidR="00E44ADB" w:rsidRPr="00FE4701" w:rsidRDefault="00E44ADB" w:rsidP="008801B8">
      <w:pPr>
        <w:autoSpaceDE w:val="0"/>
        <w:autoSpaceDN w:val="0"/>
        <w:adjustRightInd w:val="0"/>
        <w:rPr>
          <w:rStyle w:val="A0"/>
          <w:rFonts w:ascii="Times New Roman" w:hAnsi="Times New Roman"/>
          <w:b w:val="0"/>
          <w:bCs w:val="0"/>
          <w:i w:val="0"/>
          <w:iCs w:val="0"/>
          <w:strike/>
          <w:sz w:val="22"/>
          <w:szCs w:val="22"/>
          <w:lang w:val="en-US"/>
        </w:rPr>
      </w:pPr>
    </w:p>
    <w:p w:rsidR="00CE42AE" w:rsidRDefault="008F6411" w:rsidP="00CE42AE">
      <w:pPr>
        <w:pStyle w:val="Default"/>
        <w:rPr>
          <w:rFonts w:eastAsia="Times New Roman"/>
          <w:color w:val="211E1F"/>
          <w:sz w:val="22"/>
          <w:szCs w:val="22"/>
          <w:lang w:eastAsia="en-AU"/>
        </w:rPr>
      </w:pPr>
      <w:r w:rsidRPr="00324AD1">
        <w:rPr>
          <w:rStyle w:val="A0"/>
          <w:rFonts w:ascii="Times New Roman" w:hAnsi="Times New Roman"/>
          <w:b w:val="0"/>
          <w:bCs w:val="0"/>
          <w:i w:val="0"/>
          <w:iCs w:val="0"/>
          <w:sz w:val="22"/>
          <w:szCs w:val="22"/>
        </w:rPr>
        <w:t xml:space="preserve">The proportion of patients achieving a modified PsARC was significantly greater in </w:t>
      </w:r>
      <w:r w:rsidR="00405DCB" w:rsidRPr="00324AD1">
        <w:rPr>
          <w:rStyle w:val="A0"/>
          <w:rFonts w:ascii="Times New Roman" w:hAnsi="Times New Roman"/>
          <w:b w:val="0"/>
          <w:bCs w:val="0"/>
          <w:i w:val="0"/>
          <w:iCs w:val="0"/>
          <w:sz w:val="22"/>
          <w:szCs w:val="22"/>
        </w:rPr>
        <w:t>the</w:t>
      </w:r>
      <w:r w:rsidR="00405DCB">
        <w:rPr>
          <w:rStyle w:val="A0"/>
          <w:rFonts w:ascii="Times New Roman" w:hAnsi="Times New Roman"/>
          <w:b w:val="0"/>
          <w:bCs w:val="0"/>
          <w:i w:val="0"/>
          <w:iCs w:val="0"/>
          <w:sz w:val="22"/>
          <w:szCs w:val="22"/>
        </w:rPr>
        <w:t xml:space="preserve"> Otezla</w:t>
      </w:r>
      <w:r w:rsidRPr="00324AD1">
        <w:rPr>
          <w:rStyle w:val="A0"/>
          <w:rFonts w:ascii="Times New Roman" w:hAnsi="Times New Roman"/>
          <w:b w:val="0"/>
          <w:bCs w:val="0"/>
          <w:i w:val="0"/>
          <w:iCs w:val="0"/>
          <w:sz w:val="22"/>
          <w:szCs w:val="22"/>
        </w:rPr>
        <w:t xml:space="preserve"> </w:t>
      </w:r>
      <w:r w:rsidR="000A72AF">
        <w:rPr>
          <w:rStyle w:val="A0"/>
          <w:rFonts w:ascii="Times New Roman" w:hAnsi="Times New Roman"/>
          <w:b w:val="0"/>
          <w:bCs w:val="0"/>
          <w:i w:val="0"/>
          <w:iCs w:val="0"/>
          <w:sz w:val="22"/>
          <w:szCs w:val="22"/>
        </w:rPr>
        <w:t xml:space="preserve">30 mg twice daily </w:t>
      </w:r>
      <w:r w:rsidRPr="00324AD1">
        <w:rPr>
          <w:rStyle w:val="A0"/>
          <w:rFonts w:ascii="Times New Roman" w:hAnsi="Times New Roman"/>
          <w:b w:val="0"/>
          <w:bCs w:val="0"/>
          <w:i w:val="0"/>
          <w:iCs w:val="0"/>
          <w:sz w:val="22"/>
          <w:szCs w:val="22"/>
        </w:rPr>
        <w:t>group compared w</w:t>
      </w:r>
      <w:r w:rsidR="000B47C6">
        <w:rPr>
          <w:rStyle w:val="A0"/>
          <w:rFonts w:ascii="Times New Roman" w:hAnsi="Times New Roman"/>
          <w:b w:val="0"/>
          <w:bCs w:val="0"/>
          <w:i w:val="0"/>
          <w:iCs w:val="0"/>
          <w:sz w:val="22"/>
          <w:szCs w:val="22"/>
        </w:rPr>
        <w:t>ith placebo at Week 16 (45.5% and</w:t>
      </w:r>
      <w:r w:rsidRPr="00324AD1">
        <w:rPr>
          <w:rStyle w:val="A0"/>
          <w:rFonts w:ascii="Times New Roman" w:hAnsi="Times New Roman"/>
          <w:b w:val="0"/>
          <w:bCs w:val="0"/>
          <w:i w:val="0"/>
          <w:iCs w:val="0"/>
          <w:sz w:val="22"/>
          <w:szCs w:val="22"/>
        </w:rPr>
        <w:t xml:space="preserve"> 24.4% respectively</w:t>
      </w:r>
      <w:r w:rsidR="00B9415B">
        <w:rPr>
          <w:rStyle w:val="A0"/>
          <w:rFonts w:ascii="Times New Roman" w:hAnsi="Times New Roman"/>
          <w:b w:val="0"/>
          <w:bCs w:val="0"/>
          <w:i w:val="0"/>
          <w:iCs w:val="0"/>
          <w:sz w:val="22"/>
          <w:szCs w:val="22"/>
        </w:rPr>
        <w:t xml:space="preserve">; </w:t>
      </w:r>
      <w:r w:rsidR="00E03254" w:rsidRPr="00324AD1">
        <w:rPr>
          <w:color w:val="211D1E"/>
          <w:sz w:val="22"/>
          <w:szCs w:val="22"/>
          <w:lang w:eastAsia="ja-JP"/>
        </w:rPr>
        <w:t>p &lt; 0.001</w:t>
      </w:r>
      <w:r w:rsidRPr="00324AD1">
        <w:rPr>
          <w:rStyle w:val="A0"/>
          <w:rFonts w:ascii="Times New Roman" w:hAnsi="Times New Roman"/>
          <w:b w:val="0"/>
          <w:bCs w:val="0"/>
          <w:i w:val="0"/>
          <w:iCs w:val="0"/>
          <w:sz w:val="22"/>
          <w:szCs w:val="22"/>
        </w:rPr>
        <w:t>)</w:t>
      </w:r>
      <w:r w:rsidR="000A72AF">
        <w:rPr>
          <w:rStyle w:val="A0"/>
          <w:rFonts w:ascii="Times New Roman" w:hAnsi="Times New Roman"/>
          <w:b w:val="0"/>
          <w:bCs w:val="0"/>
          <w:i w:val="0"/>
          <w:iCs w:val="0"/>
          <w:sz w:val="22"/>
          <w:szCs w:val="22"/>
        </w:rPr>
        <w:t xml:space="preserve"> in Study PALACE 4</w:t>
      </w:r>
      <w:r w:rsidR="006B29A6">
        <w:rPr>
          <w:rStyle w:val="A0"/>
          <w:rFonts w:ascii="Times New Roman" w:hAnsi="Times New Roman"/>
          <w:b w:val="0"/>
          <w:bCs w:val="0"/>
          <w:i w:val="0"/>
          <w:iCs w:val="0"/>
          <w:sz w:val="22"/>
          <w:szCs w:val="22"/>
        </w:rPr>
        <w:t xml:space="preserve">.  </w:t>
      </w:r>
      <w:r w:rsidR="00CD3CCB" w:rsidRPr="00E03ADC">
        <w:rPr>
          <w:rStyle w:val="A0"/>
          <w:rFonts w:ascii="Times New Roman" w:hAnsi="Times New Roman"/>
          <w:b w:val="0"/>
          <w:bCs w:val="0"/>
          <w:i w:val="0"/>
          <w:iCs w:val="0"/>
          <w:sz w:val="22"/>
          <w:szCs w:val="22"/>
        </w:rPr>
        <w:t>The response was maintained at Week 24</w:t>
      </w:r>
      <w:r w:rsidR="000A72AF">
        <w:rPr>
          <w:rStyle w:val="A0"/>
          <w:rFonts w:ascii="Times New Roman" w:hAnsi="Times New Roman"/>
          <w:b w:val="0"/>
          <w:bCs w:val="0"/>
          <w:i w:val="0"/>
          <w:iCs w:val="0"/>
          <w:sz w:val="22"/>
          <w:szCs w:val="22"/>
        </w:rPr>
        <w:t>.</w:t>
      </w:r>
      <w:r w:rsidR="00CE42AE">
        <w:rPr>
          <w:rFonts w:eastAsia="Times New Roman"/>
          <w:color w:val="211E1F"/>
          <w:sz w:val="23"/>
          <w:szCs w:val="23"/>
          <w:lang w:eastAsia="en-AU"/>
        </w:rPr>
        <w:t xml:space="preserve"> </w:t>
      </w:r>
      <w:r w:rsidR="00543D5A">
        <w:rPr>
          <w:rFonts w:eastAsia="Times New Roman"/>
          <w:color w:val="211E1F"/>
          <w:sz w:val="23"/>
          <w:szCs w:val="23"/>
          <w:lang w:eastAsia="en-AU"/>
        </w:rPr>
        <w:t xml:space="preserve"> </w:t>
      </w:r>
      <w:r w:rsidR="00CE42AE" w:rsidRPr="00E25C50">
        <w:rPr>
          <w:rFonts w:eastAsia="Times New Roman"/>
          <w:color w:val="211E1F"/>
          <w:sz w:val="22"/>
          <w:szCs w:val="22"/>
          <w:lang w:eastAsia="en-AU"/>
        </w:rPr>
        <w:t xml:space="preserve">Among patients who were continuously treated with Otezla, the modified PsARC response was 75.9% at Week 52. </w:t>
      </w:r>
    </w:p>
    <w:p w:rsidR="00713B24" w:rsidRDefault="00713B24" w:rsidP="00CE42AE">
      <w:pPr>
        <w:pStyle w:val="Default"/>
        <w:rPr>
          <w:rFonts w:eastAsia="Times New Roman"/>
          <w:sz w:val="22"/>
          <w:szCs w:val="22"/>
          <w:lang w:eastAsia="en-AU"/>
        </w:rPr>
      </w:pPr>
    </w:p>
    <w:p w:rsidR="00CE42AE" w:rsidRPr="00E25C50" w:rsidRDefault="00E75D8A" w:rsidP="00CE42AE">
      <w:pPr>
        <w:pStyle w:val="Default"/>
        <w:rPr>
          <w:rFonts w:eastAsia="Times New Roman"/>
          <w:sz w:val="22"/>
          <w:szCs w:val="22"/>
          <w:lang w:eastAsia="en-AU"/>
        </w:rPr>
      </w:pPr>
      <w:r w:rsidRPr="007D0AC0">
        <w:rPr>
          <w:rStyle w:val="A0"/>
          <w:rFonts w:ascii="Times New Roman" w:hAnsi="Times New Roman"/>
          <w:b w:val="0"/>
          <w:bCs w:val="0"/>
          <w:i w:val="0"/>
          <w:iCs w:val="0"/>
          <w:sz w:val="22"/>
          <w:szCs w:val="22"/>
        </w:rPr>
        <w:t xml:space="preserve">In patients with pre-existing enthesitis or dactylitis, treatment with </w:t>
      </w:r>
      <w:r w:rsidR="00A21426">
        <w:rPr>
          <w:rStyle w:val="A0"/>
          <w:rFonts w:ascii="Times New Roman" w:hAnsi="Times New Roman"/>
          <w:b w:val="0"/>
          <w:bCs w:val="0"/>
          <w:i w:val="0"/>
          <w:iCs w:val="0"/>
          <w:sz w:val="22"/>
          <w:szCs w:val="22"/>
        </w:rPr>
        <w:t>Otezla</w:t>
      </w:r>
      <w:r w:rsidRPr="007D0AC0">
        <w:rPr>
          <w:rStyle w:val="A0"/>
          <w:rFonts w:ascii="Times New Roman" w:hAnsi="Times New Roman"/>
          <w:b w:val="0"/>
          <w:bCs w:val="0"/>
          <w:i w:val="0"/>
          <w:iCs w:val="0"/>
          <w:sz w:val="22"/>
          <w:szCs w:val="22"/>
        </w:rPr>
        <w:t xml:space="preserve"> </w:t>
      </w:r>
      <w:r w:rsidR="000A72AF">
        <w:rPr>
          <w:rStyle w:val="A0"/>
          <w:rFonts w:ascii="Times New Roman" w:hAnsi="Times New Roman"/>
          <w:b w:val="0"/>
          <w:bCs w:val="0"/>
          <w:i w:val="0"/>
          <w:iCs w:val="0"/>
          <w:sz w:val="22"/>
          <w:szCs w:val="22"/>
        </w:rPr>
        <w:t xml:space="preserve">30 mg twice daily </w:t>
      </w:r>
      <w:r w:rsidRPr="007D0AC0">
        <w:rPr>
          <w:rStyle w:val="A0"/>
          <w:rFonts w:ascii="Times New Roman" w:hAnsi="Times New Roman"/>
          <w:b w:val="0"/>
          <w:bCs w:val="0"/>
          <w:i w:val="0"/>
          <w:iCs w:val="0"/>
          <w:sz w:val="22"/>
          <w:szCs w:val="22"/>
        </w:rPr>
        <w:t>resulted in improvement in enthesitis and</w:t>
      </w:r>
      <w:r w:rsidRPr="00405DCB">
        <w:rPr>
          <w:rStyle w:val="A0"/>
          <w:rFonts w:ascii="Times New Roman" w:hAnsi="Times New Roman"/>
          <w:b w:val="0"/>
          <w:bCs w:val="0"/>
          <w:i w:val="0"/>
          <w:iCs w:val="0"/>
          <w:sz w:val="22"/>
          <w:szCs w:val="22"/>
          <w:lang w:val="en-GB"/>
        </w:rPr>
        <w:t xml:space="preserve"> dactylitis</w:t>
      </w:r>
      <w:r w:rsidRPr="007D0AC0">
        <w:rPr>
          <w:rStyle w:val="A0"/>
          <w:rFonts w:ascii="Times New Roman" w:hAnsi="Times New Roman"/>
          <w:b w:val="0"/>
          <w:bCs w:val="0"/>
          <w:i w:val="0"/>
          <w:iCs w:val="0"/>
          <w:sz w:val="22"/>
          <w:szCs w:val="22"/>
        </w:rPr>
        <w:t xml:space="preserve">, compared to placebo at Week 16.  </w:t>
      </w:r>
      <w:r w:rsidR="00CD3CCB" w:rsidRPr="00E03ADC">
        <w:rPr>
          <w:rStyle w:val="A0"/>
          <w:rFonts w:ascii="Times New Roman" w:hAnsi="Times New Roman"/>
          <w:b w:val="0"/>
          <w:bCs w:val="0"/>
          <w:i w:val="0"/>
          <w:iCs w:val="0"/>
          <w:sz w:val="22"/>
          <w:szCs w:val="22"/>
        </w:rPr>
        <w:t>The responses were maintained at Week 24</w:t>
      </w:r>
      <w:r w:rsidR="00CD3CCB" w:rsidRPr="00E25C50">
        <w:rPr>
          <w:rStyle w:val="A0"/>
          <w:rFonts w:ascii="Times New Roman" w:hAnsi="Times New Roman"/>
          <w:b w:val="0"/>
          <w:bCs w:val="0"/>
          <w:i w:val="0"/>
          <w:iCs w:val="0"/>
          <w:sz w:val="22"/>
          <w:szCs w:val="22"/>
        </w:rPr>
        <w:t>.</w:t>
      </w:r>
      <w:r w:rsidR="001E2D1E">
        <w:rPr>
          <w:rStyle w:val="A0"/>
          <w:rFonts w:ascii="Times New Roman" w:hAnsi="Times New Roman"/>
          <w:b w:val="0"/>
          <w:bCs w:val="0"/>
          <w:i w:val="0"/>
          <w:iCs w:val="0"/>
          <w:sz w:val="22"/>
          <w:szCs w:val="22"/>
        </w:rPr>
        <w:t xml:space="preserve">  </w:t>
      </w:r>
      <w:r w:rsidR="00CE42AE" w:rsidRPr="00E25C50">
        <w:rPr>
          <w:rFonts w:eastAsia="Times New Roman"/>
          <w:color w:val="211E1F"/>
          <w:sz w:val="22"/>
          <w:szCs w:val="22"/>
          <w:lang w:eastAsia="en-AU"/>
        </w:rPr>
        <w:t>Among patients who were continuously treated with Otezla,</w:t>
      </w:r>
      <w:r w:rsidR="00A5548D" w:rsidRPr="00E25C50">
        <w:rPr>
          <w:rFonts w:eastAsia="Times New Roman"/>
          <w:color w:val="211E1F"/>
          <w:sz w:val="22"/>
          <w:szCs w:val="22"/>
          <w:lang w:eastAsia="en-AU"/>
        </w:rPr>
        <w:t xml:space="preserve"> </w:t>
      </w:r>
      <w:r w:rsidR="009164B2" w:rsidRPr="00E25C50">
        <w:rPr>
          <w:rFonts w:eastAsia="Times New Roman"/>
          <w:color w:val="211E1F"/>
          <w:sz w:val="22"/>
          <w:szCs w:val="22"/>
          <w:lang w:eastAsia="en-AU"/>
        </w:rPr>
        <w:t xml:space="preserve">sustained </w:t>
      </w:r>
      <w:r w:rsidR="00CE42AE" w:rsidRPr="00E25C50">
        <w:rPr>
          <w:rFonts w:eastAsia="Times New Roman"/>
          <w:color w:val="211E1F"/>
          <w:sz w:val="22"/>
          <w:szCs w:val="22"/>
          <w:lang w:eastAsia="en-AU"/>
        </w:rPr>
        <w:t xml:space="preserve">improvement in enthesitis and dactylitis was observed through Week 52. </w:t>
      </w:r>
    </w:p>
    <w:p w:rsidR="002572E2" w:rsidRDefault="002572E2" w:rsidP="006E2E50">
      <w:pPr>
        <w:pStyle w:val="C-BodyText"/>
        <w:spacing w:before="0" w:after="0" w:line="240" w:lineRule="auto"/>
        <w:rPr>
          <w:color w:val="221E1F"/>
          <w:sz w:val="22"/>
          <w:szCs w:val="22"/>
        </w:rPr>
      </w:pPr>
    </w:p>
    <w:p w:rsidR="002A69B5" w:rsidRPr="006E2E50" w:rsidRDefault="002A69B5" w:rsidP="006E2E50">
      <w:pPr>
        <w:pStyle w:val="C-BodyText"/>
        <w:spacing w:before="0" w:after="0" w:line="240" w:lineRule="auto"/>
        <w:rPr>
          <w:color w:val="221E1F"/>
          <w:sz w:val="22"/>
          <w:szCs w:val="22"/>
        </w:rPr>
      </w:pPr>
    </w:p>
    <w:p w:rsidR="00366DB7" w:rsidRDefault="00E75D8A" w:rsidP="002A6C0B">
      <w:pPr>
        <w:numPr>
          <w:ilvl w:val="12"/>
          <w:numId w:val="0"/>
        </w:numPr>
        <w:ind w:right="-2"/>
        <w:rPr>
          <w:b/>
          <w:sz w:val="22"/>
          <w:szCs w:val="22"/>
        </w:rPr>
      </w:pPr>
      <w:r w:rsidRPr="003F0D9B">
        <w:rPr>
          <w:b/>
          <w:sz w:val="22"/>
          <w:szCs w:val="22"/>
        </w:rPr>
        <w:t xml:space="preserve">Physical </w:t>
      </w:r>
      <w:r w:rsidR="006B72DC">
        <w:rPr>
          <w:b/>
          <w:sz w:val="22"/>
          <w:szCs w:val="22"/>
        </w:rPr>
        <w:t>f</w:t>
      </w:r>
      <w:r w:rsidRPr="003F0D9B">
        <w:rPr>
          <w:b/>
          <w:sz w:val="22"/>
          <w:szCs w:val="22"/>
        </w:rPr>
        <w:t xml:space="preserve">unction </w:t>
      </w:r>
      <w:r w:rsidR="006B72DC">
        <w:rPr>
          <w:b/>
          <w:sz w:val="22"/>
          <w:szCs w:val="22"/>
        </w:rPr>
        <w:t>r</w:t>
      </w:r>
      <w:r w:rsidRPr="003F0D9B">
        <w:rPr>
          <w:b/>
          <w:sz w:val="22"/>
          <w:szCs w:val="22"/>
        </w:rPr>
        <w:t>esponse</w:t>
      </w:r>
      <w:r w:rsidR="00366DB7">
        <w:rPr>
          <w:b/>
          <w:sz w:val="22"/>
          <w:szCs w:val="22"/>
        </w:rPr>
        <w:t xml:space="preserve"> and health-related quality of life</w:t>
      </w:r>
    </w:p>
    <w:p w:rsidR="00CE42AE" w:rsidRPr="00E25C50" w:rsidRDefault="006B29A6" w:rsidP="007A5CF3">
      <w:pPr>
        <w:pStyle w:val="Default"/>
        <w:spacing w:before="120"/>
        <w:rPr>
          <w:rFonts w:eastAsia="Times New Roman"/>
          <w:sz w:val="22"/>
          <w:szCs w:val="22"/>
          <w:lang w:eastAsia="en-AU"/>
        </w:rPr>
      </w:pPr>
      <w:r>
        <w:rPr>
          <w:sz w:val="22"/>
          <w:szCs w:val="22"/>
        </w:rPr>
        <w:t xml:space="preserve">Patients treated with </w:t>
      </w:r>
      <w:r w:rsidR="00E63946">
        <w:rPr>
          <w:sz w:val="22"/>
          <w:szCs w:val="22"/>
        </w:rPr>
        <w:t>Otezla</w:t>
      </w:r>
      <w:r w:rsidR="00D76E65" w:rsidRPr="000F71ED">
        <w:rPr>
          <w:sz w:val="22"/>
          <w:szCs w:val="22"/>
        </w:rPr>
        <w:t xml:space="preserve"> 30 mg twice daily demonstrated a significantly greater improvement </w:t>
      </w:r>
      <w:r w:rsidR="00B51D98">
        <w:rPr>
          <w:sz w:val="22"/>
          <w:szCs w:val="22"/>
        </w:rPr>
        <w:t xml:space="preserve">in physical function </w:t>
      </w:r>
      <w:r w:rsidR="00D76E65" w:rsidRPr="000F71ED">
        <w:rPr>
          <w:sz w:val="22"/>
          <w:szCs w:val="22"/>
        </w:rPr>
        <w:t xml:space="preserve">compared to placebo </w:t>
      </w:r>
      <w:r w:rsidR="002A69B5">
        <w:rPr>
          <w:sz w:val="22"/>
          <w:szCs w:val="22"/>
        </w:rPr>
        <w:t>treated patients</w:t>
      </w:r>
      <w:r w:rsidR="00AC5A19">
        <w:rPr>
          <w:sz w:val="22"/>
          <w:szCs w:val="22"/>
        </w:rPr>
        <w:t>,</w:t>
      </w:r>
      <w:r w:rsidR="002A69B5">
        <w:rPr>
          <w:sz w:val="22"/>
          <w:szCs w:val="22"/>
        </w:rPr>
        <w:t xml:space="preserve"> </w:t>
      </w:r>
      <w:r w:rsidR="006368B6">
        <w:rPr>
          <w:sz w:val="22"/>
          <w:szCs w:val="22"/>
        </w:rPr>
        <w:t xml:space="preserve">as shown </w:t>
      </w:r>
      <w:r w:rsidR="00D76E65" w:rsidRPr="000F71ED">
        <w:rPr>
          <w:sz w:val="22"/>
          <w:szCs w:val="22"/>
        </w:rPr>
        <w:t xml:space="preserve">in the mean change from Baseline in HAQ-DI score </w:t>
      </w:r>
      <w:r w:rsidR="00366DB7">
        <w:rPr>
          <w:sz w:val="22"/>
          <w:szCs w:val="22"/>
        </w:rPr>
        <w:t xml:space="preserve">at </w:t>
      </w:r>
      <w:r w:rsidR="00D76E65" w:rsidRPr="000F71ED">
        <w:rPr>
          <w:sz w:val="22"/>
          <w:szCs w:val="22"/>
        </w:rPr>
        <w:t xml:space="preserve">Week 16 (-0.205 </w:t>
      </w:r>
      <w:r w:rsidR="00E63946">
        <w:rPr>
          <w:sz w:val="22"/>
          <w:szCs w:val="22"/>
        </w:rPr>
        <w:t>and</w:t>
      </w:r>
      <w:r w:rsidR="00D76E65" w:rsidRPr="000F71ED">
        <w:rPr>
          <w:sz w:val="22"/>
          <w:szCs w:val="22"/>
        </w:rPr>
        <w:t xml:space="preserve"> -0.012, respectively</w:t>
      </w:r>
      <w:r w:rsidR="007C1A26" w:rsidRPr="000F71ED">
        <w:rPr>
          <w:sz w:val="22"/>
          <w:szCs w:val="22"/>
        </w:rPr>
        <w:t xml:space="preserve">; </w:t>
      </w:r>
      <w:r w:rsidR="007C1A26" w:rsidRPr="000F71ED">
        <w:rPr>
          <w:color w:val="211D1E"/>
          <w:sz w:val="22"/>
          <w:szCs w:val="22"/>
          <w:lang w:eastAsia="ja-JP"/>
        </w:rPr>
        <w:t>p &lt; 0.001</w:t>
      </w:r>
      <w:r w:rsidR="00D76E65" w:rsidRPr="000F71ED">
        <w:rPr>
          <w:sz w:val="22"/>
          <w:szCs w:val="22"/>
        </w:rPr>
        <w:t xml:space="preserve">) </w:t>
      </w:r>
      <w:r w:rsidR="00366DB7">
        <w:rPr>
          <w:sz w:val="22"/>
          <w:szCs w:val="22"/>
        </w:rPr>
        <w:t>and Week 24 (-0.207 vs.</w:t>
      </w:r>
      <w:r w:rsidR="001E2D1E">
        <w:rPr>
          <w:sz w:val="22"/>
          <w:szCs w:val="22"/>
        </w:rPr>
        <w:t xml:space="preserve"> </w:t>
      </w:r>
      <w:r w:rsidR="001E2D1E">
        <w:rPr>
          <w:sz w:val="22"/>
          <w:szCs w:val="22"/>
        </w:rPr>
        <w:noBreakHyphen/>
      </w:r>
      <w:r w:rsidR="00366DB7">
        <w:rPr>
          <w:sz w:val="22"/>
          <w:szCs w:val="22"/>
        </w:rPr>
        <w:t xml:space="preserve">0.012, respectively; p &lt; 0.001) </w:t>
      </w:r>
      <w:r w:rsidR="00D76E65" w:rsidRPr="000F71ED">
        <w:rPr>
          <w:sz w:val="22"/>
          <w:szCs w:val="22"/>
        </w:rPr>
        <w:t xml:space="preserve">in Study PALACE 4.  </w:t>
      </w:r>
      <w:r w:rsidR="00CE42AE" w:rsidRPr="00E25C50">
        <w:rPr>
          <w:rFonts w:eastAsia="Times New Roman"/>
          <w:sz w:val="22"/>
          <w:szCs w:val="22"/>
          <w:lang w:eastAsia="en-AU"/>
        </w:rPr>
        <w:t xml:space="preserve">Among patients who were continuously treated with Otezla, the mean change from baseline in HAQ-DI score was -0.392 at Week 52.  </w:t>
      </w:r>
      <w:r w:rsidR="00D76E65" w:rsidRPr="00E25C50">
        <w:rPr>
          <w:sz w:val="22"/>
          <w:szCs w:val="22"/>
        </w:rPr>
        <w:t>In</w:t>
      </w:r>
      <w:r w:rsidR="00D76E65" w:rsidRPr="000F71ED">
        <w:rPr>
          <w:sz w:val="22"/>
          <w:szCs w:val="22"/>
        </w:rPr>
        <w:t xml:space="preserve"> addition, there was a greater proportion of HAQ-DI responders who showed improvement (≥ 0.3 improvement</w:t>
      </w:r>
      <w:r w:rsidR="00E77532" w:rsidRPr="000F71ED">
        <w:rPr>
          <w:sz w:val="22"/>
          <w:szCs w:val="22"/>
        </w:rPr>
        <w:t xml:space="preserve"> </w:t>
      </w:r>
      <w:r w:rsidR="00D76E65" w:rsidRPr="000F71ED">
        <w:rPr>
          <w:sz w:val="22"/>
          <w:szCs w:val="22"/>
        </w:rPr>
        <w:t xml:space="preserve">from baseline) at Week 16 for the </w:t>
      </w:r>
      <w:r w:rsidR="000815F7" w:rsidRPr="000F71ED">
        <w:rPr>
          <w:sz w:val="22"/>
          <w:szCs w:val="22"/>
        </w:rPr>
        <w:t>Otezla</w:t>
      </w:r>
      <w:r w:rsidR="00D76E65" w:rsidRPr="000F71ED">
        <w:rPr>
          <w:sz w:val="22"/>
          <w:szCs w:val="22"/>
        </w:rPr>
        <w:t xml:space="preserve"> 30 mg twice daily group compared</w:t>
      </w:r>
      <w:r w:rsidR="00DD71C1">
        <w:rPr>
          <w:sz w:val="22"/>
          <w:szCs w:val="22"/>
        </w:rPr>
        <w:t xml:space="preserve"> to the placebo group (34.7% and</w:t>
      </w:r>
      <w:r w:rsidR="00D76E65" w:rsidRPr="000F71ED">
        <w:rPr>
          <w:sz w:val="22"/>
          <w:szCs w:val="22"/>
        </w:rPr>
        <w:t xml:space="preserve"> 19.3%, respectively</w:t>
      </w:r>
      <w:r w:rsidR="00CD3CCB" w:rsidRPr="00E03ADC">
        <w:rPr>
          <w:sz w:val="22"/>
          <w:szCs w:val="22"/>
        </w:rPr>
        <w:t>).  The response was maintained at Week 24.</w:t>
      </w:r>
      <w:r w:rsidR="00A74255" w:rsidRPr="00A74255">
        <w:rPr>
          <w:sz w:val="22"/>
          <w:szCs w:val="22"/>
        </w:rPr>
        <w:t xml:space="preserve"> </w:t>
      </w:r>
      <w:r w:rsidR="00E03ADC">
        <w:rPr>
          <w:sz w:val="22"/>
          <w:szCs w:val="22"/>
        </w:rPr>
        <w:t xml:space="preserve"> </w:t>
      </w:r>
      <w:r w:rsidR="00CE42AE" w:rsidRPr="00E25C50">
        <w:rPr>
          <w:rFonts w:eastAsia="Times New Roman"/>
          <w:sz w:val="22"/>
          <w:szCs w:val="22"/>
          <w:lang w:eastAsia="en-AU"/>
        </w:rPr>
        <w:t xml:space="preserve">Among patients who were continuously treated with Otezla, the proportion of HAQ-DI responders was 48.9% at Week 52. </w:t>
      </w:r>
    </w:p>
    <w:p w:rsidR="00797270" w:rsidRDefault="00797270" w:rsidP="002A6C0B">
      <w:pPr>
        <w:pStyle w:val="Pa8"/>
        <w:spacing w:before="120" w:line="240" w:lineRule="auto"/>
        <w:rPr>
          <w:rFonts w:ascii="Times New Roman" w:hAnsi="Times New Roman"/>
          <w:sz w:val="22"/>
          <w:szCs w:val="22"/>
        </w:rPr>
      </w:pPr>
    </w:p>
    <w:p w:rsidR="00E77532" w:rsidRPr="000F71ED" w:rsidRDefault="00E77532" w:rsidP="007404E4">
      <w:pPr>
        <w:pStyle w:val="Pa8"/>
        <w:spacing w:line="240" w:lineRule="auto"/>
        <w:rPr>
          <w:rFonts w:ascii="Times New Roman" w:hAnsi="Times New Roman"/>
          <w:sz w:val="22"/>
          <w:szCs w:val="22"/>
        </w:rPr>
      </w:pPr>
    </w:p>
    <w:p w:rsidR="00CE42AE" w:rsidRPr="00B6520C" w:rsidRDefault="00B9415B" w:rsidP="00CE42AE">
      <w:pPr>
        <w:pStyle w:val="Default"/>
        <w:rPr>
          <w:rFonts w:eastAsia="Times New Roman"/>
          <w:sz w:val="22"/>
          <w:szCs w:val="22"/>
          <w:lang w:val="en-GB" w:eastAsia="en-AU"/>
        </w:rPr>
      </w:pPr>
      <w:r w:rsidRPr="00791C4E">
        <w:rPr>
          <w:rStyle w:val="A0"/>
          <w:rFonts w:ascii="Times New Roman" w:hAnsi="Times New Roman"/>
          <w:b w:val="0"/>
          <w:bCs w:val="0"/>
          <w:i w:val="0"/>
          <w:iCs w:val="0"/>
          <w:sz w:val="22"/>
          <w:szCs w:val="22"/>
        </w:rPr>
        <w:t xml:space="preserve">Treatment with Otezla 30 mg twice daily demonstrated a significantly greater improvement, compared to placebo, in the mean change from Baseline in the SF-36v2 PF at Week 16 (3.19 </w:t>
      </w:r>
      <w:r w:rsidR="00C70C8A" w:rsidRPr="00791C4E">
        <w:rPr>
          <w:rStyle w:val="A0"/>
          <w:rFonts w:ascii="Times New Roman" w:hAnsi="Times New Roman"/>
          <w:b w:val="0"/>
          <w:bCs w:val="0"/>
          <w:i w:val="0"/>
          <w:iCs w:val="0"/>
          <w:sz w:val="22"/>
          <w:szCs w:val="22"/>
        </w:rPr>
        <w:t>and</w:t>
      </w:r>
      <w:r w:rsidRPr="00791C4E">
        <w:rPr>
          <w:rStyle w:val="A0"/>
          <w:rFonts w:ascii="Times New Roman" w:hAnsi="Times New Roman"/>
          <w:b w:val="0"/>
          <w:bCs w:val="0"/>
          <w:i w:val="0"/>
          <w:iCs w:val="0"/>
          <w:sz w:val="22"/>
          <w:szCs w:val="22"/>
        </w:rPr>
        <w:t xml:space="preserve"> 0.01 respectively; </w:t>
      </w:r>
      <w:r w:rsidR="00411140" w:rsidRPr="00791C4E">
        <w:rPr>
          <w:color w:val="211D1E"/>
          <w:sz w:val="22"/>
          <w:szCs w:val="22"/>
          <w:lang w:eastAsia="ja-JP"/>
        </w:rPr>
        <w:t>p &lt; 0.001</w:t>
      </w:r>
      <w:r w:rsidR="00467A50" w:rsidRPr="00791C4E">
        <w:rPr>
          <w:rStyle w:val="A0"/>
          <w:rFonts w:ascii="Times New Roman" w:hAnsi="Times New Roman"/>
          <w:b w:val="0"/>
          <w:bCs w:val="0"/>
          <w:i w:val="0"/>
          <w:iCs w:val="0"/>
          <w:sz w:val="22"/>
          <w:szCs w:val="22"/>
        </w:rPr>
        <w:t xml:space="preserve">) </w:t>
      </w:r>
      <w:r w:rsidR="006B29A6" w:rsidRPr="00791C4E">
        <w:rPr>
          <w:rStyle w:val="A0"/>
          <w:rFonts w:ascii="Times New Roman" w:hAnsi="Times New Roman"/>
          <w:b w:val="0"/>
          <w:bCs w:val="0"/>
          <w:i w:val="0"/>
          <w:iCs w:val="0"/>
          <w:sz w:val="22"/>
          <w:szCs w:val="22"/>
        </w:rPr>
        <w:t xml:space="preserve">in Study PALACE 4.  </w:t>
      </w:r>
      <w:r w:rsidR="00773186" w:rsidRPr="00791C4E">
        <w:rPr>
          <w:rStyle w:val="A0"/>
          <w:rFonts w:ascii="Times New Roman" w:hAnsi="Times New Roman"/>
          <w:b w:val="0"/>
          <w:bCs w:val="0"/>
          <w:i w:val="0"/>
          <w:iCs w:val="0"/>
          <w:sz w:val="22"/>
          <w:szCs w:val="22"/>
        </w:rPr>
        <w:t>In addition</w:t>
      </w:r>
      <w:r w:rsidR="00313387" w:rsidRPr="00791C4E">
        <w:rPr>
          <w:rStyle w:val="A0"/>
          <w:rFonts w:ascii="Times New Roman" w:hAnsi="Times New Roman"/>
          <w:b w:val="0"/>
          <w:bCs w:val="0"/>
          <w:i w:val="0"/>
          <w:iCs w:val="0"/>
          <w:sz w:val="22"/>
          <w:szCs w:val="22"/>
        </w:rPr>
        <w:t>,</w:t>
      </w:r>
      <w:r w:rsidR="00467A50" w:rsidRPr="00791C4E">
        <w:rPr>
          <w:rStyle w:val="A0"/>
          <w:rFonts w:ascii="Times New Roman" w:hAnsi="Times New Roman"/>
          <w:b w:val="0"/>
          <w:bCs w:val="0"/>
          <w:i w:val="0"/>
          <w:iCs w:val="0"/>
          <w:sz w:val="22"/>
          <w:szCs w:val="22"/>
        </w:rPr>
        <w:t xml:space="preserve"> </w:t>
      </w:r>
      <w:r w:rsidR="00313387" w:rsidRPr="00791C4E">
        <w:rPr>
          <w:rStyle w:val="A0"/>
          <w:rFonts w:ascii="Times New Roman" w:hAnsi="Times New Roman"/>
          <w:b w:val="0"/>
          <w:bCs w:val="0"/>
          <w:i w:val="0"/>
          <w:iCs w:val="0"/>
          <w:sz w:val="22"/>
          <w:szCs w:val="22"/>
        </w:rPr>
        <w:t>t</w:t>
      </w:r>
      <w:r w:rsidR="00467A50" w:rsidRPr="00791C4E">
        <w:rPr>
          <w:rStyle w:val="A0"/>
          <w:rFonts w:ascii="Times New Roman" w:hAnsi="Times New Roman"/>
          <w:b w:val="0"/>
          <w:bCs w:val="0"/>
          <w:i w:val="0"/>
          <w:iCs w:val="0"/>
          <w:sz w:val="22"/>
          <w:szCs w:val="22"/>
        </w:rPr>
        <w:t xml:space="preserve">reatment with </w:t>
      </w:r>
      <w:r w:rsidR="000F71ED" w:rsidRPr="00791C4E">
        <w:rPr>
          <w:rStyle w:val="A0"/>
          <w:rFonts w:ascii="Times New Roman" w:hAnsi="Times New Roman"/>
          <w:b w:val="0"/>
          <w:bCs w:val="0"/>
          <w:i w:val="0"/>
          <w:iCs w:val="0"/>
          <w:sz w:val="22"/>
          <w:szCs w:val="22"/>
        </w:rPr>
        <w:t>Otezla</w:t>
      </w:r>
      <w:r w:rsidR="00467A50" w:rsidRPr="00791C4E">
        <w:rPr>
          <w:rStyle w:val="A0"/>
          <w:rFonts w:ascii="Times New Roman" w:hAnsi="Times New Roman"/>
          <w:b w:val="0"/>
          <w:bCs w:val="0"/>
          <w:i w:val="0"/>
          <w:iCs w:val="0"/>
          <w:sz w:val="22"/>
          <w:szCs w:val="22"/>
        </w:rPr>
        <w:t xml:space="preserve"> 30 mg twice daily demonstrated a greater improvement, compared to placebo</w:t>
      </w:r>
      <w:r w:rsidR="00C70C8A" w:rsidRPr="00791C4E">
        <w:rPr>
          <w:rStyle w:val="A0"/>
          <w:rFonts w:ascii="Times New Roman" w:hAnsi="Times New Roman"/>
          <w:b w:val="0"/>
          <w:bCs w:val="0"/>
          <w:i w:val="0"/>
          <w:iCs w:val="0"/>
          <w:sz w:val="22"/>
          <w:szCs w:val="22"/>
        </w:rPr>
        <w:t xml:space="preserve"> in </w:t>
      </w:r>
      <w:r w:rsidR="006B29A6" w:rsidRPr="00791C4E">
        <w:rPr>
          <w:rStyle w:val="A0"/>
          <w:rFonts w:ascii="Times New Roman" w:hAnsi="Times New Roman"/>
          <w:b w:val="0"/>
          <w:bCs w:val="0"/>
          <w:i w:val="0"/>
          <w:iCs w:val="0"/>
          <w:sz w:val="22"/>
          <w:szCs w:val="22"/>
        </w:rPr>
        <w:t xml:space="preserve">the mean change from Baseline in the </w:t>
      </w:r>
      <w:r w:rsidR="00C70C8A" w:rsidRPr="00791C4E">
        <w:rPr>
          <w:rStyle w:val="A0"/>
          <w:rFonts w:ascii="Times New Roman" w:hAnsi="Times New Roman"/>
          <w:b w:val="0"/>
          <w:bCs w:val="0"/>
          <w:i w:val="0"/>
          <w:iCs w:val="0"/>
          <w:sz w:val="22"/>
          <w:szCs w:val="22"/>
        </w:rPr>
        <w:t xml:space="preserve">PCS at </w:t>
      </w:r>
      <w:r w:rsidR="006B29A6" w:rsidRPr="00791C4E">
        <w:rPr>
          <w:rStyle w:val="A0"/>
          <w:rFonts w:ascii="Times New Roman" w:hAnsi="Times New Roman"/>
          <w:b w:val="0"/>
          <w:bCs w:val="0"/>
          <w:i w:val="0"/>
          <w:iCs w:val="0"/>
          <w:sz w:val="22"/>
          <w:szCs w:val="22"/>
        </w:rPr>
        <w:t>W</w:t>
      </w:r>
      <w:r w:rsidR="00C70C8A" w:rsidRPr="00791C4E">
        <w:rPr>
          <w:rStyle w:val="A0"/>
          <w:rFonts w:ascii="Times New Roman" w:hAnsi="Times New Roman"/>
          <w:b w:val="0"/>
          <w:bCs w:val="0"/>
          <w:i w:val="0"/>
          <w:iCs w:val="0"/>
          <w:sz w:val="22"/>
          <w:szCs w:val="22"/>
        </w:rPr>
        <w:t>eek 16 (4.20 and</w:t>
      </w:r>
      <w:r w:rsidRPr="00791C4E">
        <w:rPr>
          <w:rStyle w:val="A0"/>
          <w:rFonts w:ascii="Times New Roman" w:hAnsi="Times New Roman"/>
          <w:b w:val="0"/>
          <w:bCs w:val="0"/>
          <w:i w:val="0"/>
          <w:iCs w:val="0"/>
          <w:sz w:val="22"/>
          <w:szCs w:val="22"/>
        </w:rPr>
        <w:t xml:space="preserve"> 0.93 respectively; </w:t>
      </w:r>
      <w:r w:rsidR="000F71ED" w:rsidRPr="00791C4E">
        <w:rPr>
          <w:color w:val="211D1E"/>
          <w:sz w:val="22"/>
          <w:szCs w:val="22"/>
          <w:lang w:eastAsia="ja-JP"/>
        </w:rPr>
        <w:t>p &lt; 0.001</w:t>
      </w:r>
      <w:r w:rsidR="00C70C8A" w:rsidRPr="00791C4E">
        <w:rPr>
          <w:rStyle w:val="A0"/>
          <w:rFonts w:ascii="Times New Roman" w:hAnsi="Times New Roman"/>
          <w:b w:val="0"/>
          <w:bCs w:val="0"/>
          <w:i w:val="0"/>
          <w:iCs w:val="0"/>
          <w:sz w:val="22"/>
          <w:szCs w:val="22"/>
        </w:rPr>
        <w:t>)</w:t>
      </w:r>
      <w:r w:rsidR="00773186" w:rsidRPr="00791C4E">
        <w:rPr>
          <w:rStyle w:val="A0"/>
          <w:rFonts w:ascii="Times New Roman" w:hAnsi="Times New Roman"/>
          <w:b w:val="0"/>
          <w:bCs w:val="0"/>
          <w:i w:val="0"/>
          <w:iCs w:val="0"/>
          <w:sz w:val="22"/>
          <w:szCs w:val="22"/>
        </w:rPr>
        <w:t xml:space="preserve">.  </w:t>
      </w:r>
      <w:r w:rsidR="00CD3CCB" w:rsidRPr="00E03ADC">
        <w:rPr>
          <w:rStyle w:val="A0"/>
          <w:rFonts w:ascii="Times New Roman" w:hAnsi="Times New Roman"/>
          <w:b w:val="0"/>
          <w:bCs w:val="0"/>
          <w:i w:val="0"/>
          <w:iCs w:val="0"/>
          <w:sz w:val="22"/>
          <w:szCs w:val="22"/>
        </w:rPr>
        <w:t>The responses were maintained</w:t>
      </w:r>
      <w:r w:rsidR="00773186" w:rsidRPr="00B6520C">
        <w:rPr>
          <w:rStyle w:val="A0"/>
          <w:rFonts w:ascii="Times New Roman" w:hAnsi="Times New Roman"/>
          <w:b w:val="0"/>
          <w:bCs w:val="0"/>
          <w:i w:val="0"/>
          <w:iCs w:val="0"/>
          <w:sz w:val="22"/>
          <w:szCs w:val="22"/>
        </w:rPr>
        <w:t xml:space="preserve"> </w:t>
      </w:r>
      <w:r w:rsidR="00CD3CCB" w:rsidRPr="00E03ADC">
        <w:rPr>
          <w:rStyle w:val="A0"/>
          <w:rFonts w:ascii="Times New Roman" w:hAnsi="Times New Roman"/>
          <w:b w:val="0"/>
          <w:bCs w:val="0"/>
          <w:i w:val="0"/>
          <w:iCs w:val="0"/>
          <w:sz w:val="22"/>
          <w:szCs w:val="22"/>
        </w:rPr>
        <w:t>at Week 24</w:t>
      </w:r>
      <w:r w:rsidR="00773186" w:rsidRPr="00791C4E">
        <w:rPr>
          <w:rStyle w:val="A0"/>
          <w:rFonts w:ascii="Times New Roman" w:hAnsi="Times New Roman"/>
          <w:b w:val="0"/>
          <w:bCs w:val="0"/>
          <w:i w:val="0"/>
          <w:iCs w:val="0"/>
          <w:sz w:val="22"/>
          <w:szCs w:val="22"/>
        </w:rPr>
        <w:t>.</w:t>
      </w:r>
      <w:r w:rsidR="00CE42AE" w:rsidRPr="00791C4E">
        <w:rPr>
          <w:rFonts w:eastAsia="Times New Roman"/>
          <w:color w:val="211E1F"/>
          <w:sz w:val="22"/>
          <w:szCs w:val="22"/>
          <w:lang w:eastAsia="en-AU"/>
        </w:rPr>
        <w:t xml:space="preserve"> </w:t>
      </w:r>
      <w:r w:rsidR="00AC5A19">
        <w:rPr>
          <w:rFonts w:eastAsia="Times New Roman"/>
          <w:color w:val="211E1F"/>
          <w:sz w:val="22"/>
          <w:szCs w:val="22"/>
          <w:lang w:eastAsia="en-AU"/>
        </w:rPr>
        <w:t xml:space="preserve"> </w:t>
      </w:r>
      <w:r w:rsidR="00CE42AE" w:rsidRPr="00791C4E">
        <w:rPr>
          <w:rFonts w:eastAsia="Times New Roman"/>
          <w:color w:val="211E1F"/>
          <w:sz w:val="22"/>
          <w:szCs w:val="22"/>
          <w:lang w:eastAsia="en-AU"/>
        </w:rPr>
        <w:t xml:space="preserve">Among patients who were continuously treated with Otezla, the mean change from baseline in SF-36v2 </w:t>
      </w:r>
      <w:r w:rsidR="00CD6086">
        <w:rPr>
          <w:rFonts w:eastAsia="Times New Roman"/>
          <w:color w:val="211E1F"/>
          <w:sz w:val="22"/>
          <w:szCs w:val="22"/>
          <w:lang w:eastAsia="en-AU"/>
        </w:rPr>
        <w:t xml:space="preserve">PF and </w:t>
      </w:r>
      <w:r w:rsidR="00CD6086" w:rsidRPr="00791C4E">
        <w:rPr>
          <w:rFonts w:eastAsia="Times New Roman"/>
          <w:color w:val="211E1F"/>
          <w:sz w:val="22"/>
          <w:szCs w:val="22"/>
          <w:lang w:eastAsia="en-AU"/>
        </w:rPr>
        <w:t>PCS score</w:t>
      </w:r>
      <w:r w:rsidR="00CD6086">
        <w:rPr>
          <w:rFonts w:eastAsia="Times New Roman"/>
          <w:color w:val="211E1F"/>
          <w:sz w:val="22"/>
          <w:szCs w:val="22"/>
          <w:lang w:eastAsia="en-AU"/>
        </w:rPr>
        <w:t>s of 6.41 and</w:t>
      </w:r>
      <w:r w:rsidR="00CD6086" w:rsidRPr="00791C4E">
        <w:rPr>
          <w:rFonts w:eastAsia="Times New Roman"/>
          <w:color w:val="211E1F"/>
          <w:sz w:val="22"/>
          <w:szCs w:val="22"/>
          <w:lang w:eastAsia="en-AU"/>
        </w:rPr>
        <w:t xml:space="preserve"> 6.67</w:t>
      </w:r>
      <w:r w:rsidR="00CD6086">
        <w:rPr>
          <w:rFonts w:eastAsia="Times New Roman"/>
          <w:color w:val="211E1F"/>
          <w:sz w:val="22"/>
          <w:szCs w:val="22"/>
          <w:lang w:eastAsia="en-AU"/>
        </w:rPr>
        <w:t>, respectively, were observed</w:t>
      </w:r>
      <w:r w:rsidR="00CD6086" w:rsidRPr="00791C4E">
        <w:rPr>
          <w:rFonts w:eastAsia="Times New Roman"/>
          <w:color w:val="211E1F"/>
          <w:sz w:val="22"/>
          <w:szCs w:val="22"/>
          <w:lang w:eastAsia="en-AU"/>
        </w:rPr>
        <w:t xml:space="preserve"> </w:t>
      </w:r>
      <w:r w:rsidR="00CE42AE" w:rsidRPr="00791C4E">
        <w:rPr>
          <w:rFonts w:eastAsia="Times New Roman"/>
          <w:color w:val="211E1F"/>
          <w:sz w:val="22"/>
          <w:szCs w:val="22"/>
          <w:lang w:eastAsia="en-AU"/>
        </w:rPr>
        <w:t xml:space="preserve">at Week 52. </w:t>
      </w:r>
    </w:p>
    <w:p w:rsidR="00F54AF1" w:rsidRPr="00791C4E" w:rsidRDefault="00F54AF1" w:rsidP="00CE42AE">
      <w:pPr>
        <w:pStyle w:val="Default"/>
        <w:rPr>
          <w:rStyle w:val="A0"/>
          <w:rFonts w:ascii="Times New Roman" w:hAnsi="Times New Roman"/>
          <w:b w:val="0"/>
          <w:bCs w:val="0"/>
          <w:i w:val="0"/>
          <w:iCs w:val="0"/>
          <w:sz w:val="22"/>
          <w:szCs w:val="22"/>
        </w:rPr>
      </w:pPr>
    </w:p>
    <w:p w:rsidR="00791C4E" w:rsidRPr="00791C4E" w:rsidRDefault="00661593" w:rsidP="00791C4E">
      <w:pPr>
        <w:pStyle w:val="Default"/>
        <w:rPr>
          <w:rFonts w:eastAsia="Times New Roman"/>
          <w:sz w:val="23"/>
          <w:szCs w:val="23"/>
          <w:lang w:eastAsia="en-AU"/>
        </w:rPr>
      </w:pPr>
      <w:r w:rsidRPr="00791C4E">
        <w:rPr>
          <w:rStyle w:val="A0"/>
          <w:rFonts w:ascii="Times New Roman" w:hAnsi="Times New Roman"/>
          <w:b w:val="0"/>
          <w:bCs w:val="0"/>
          <w:i w:val="0"/>
          <w:iCs w:val="0"/>
          <w:sz w:val="22"/>
          <w:szCs w:val="22"/>
        </w:rPr>
        <w:t xml:space="preserve">There </w:t>
      </w:r>
      <w:r w:rsidR="00405DCB" w:rsidRPr="00791C4E">
        <w:rPr>
          <w:rStyle w:val="A0"/>
          <w:rFonts w:ascii="Times New Roman" w:hAnsi="Times New Roman"/>
          <w:b w:val="0"/>
          <w:bCs w:val="0"/>
          <w:i w:val="0"/>
          <w:iCs w:val="0"/>
          <w:sz w:val="22"/>
          <w:szCs w:val="22"/>
        </w:rPr>
        <w:t>was</w:t>
      </w:r>
      <w:r w:rsidRPr="00791C4E">
        <w:rPr>
          <w:rStyle w:val="A0"/>
          <w:rFonts w:ascii="Times New Roman" w:hAnsi="Times New Roman"/>
          <w:b w:val="0"/>
          <w:bCs w:val="0"/>
          <w:i w:val="0"/>
          <w:iCs w:val="0"/>
          <w:sz w:val="22"/>
          <w:szCs w:val="22"/>
        </w:rPr>
        <w:t xml:space="preserve"> no worsening observed in the mean change from Baseline in the </w:t>
      </w:r>
      <w:r w:rsidR="00791C4E" w:rsidRPr="00791C4E">
        <w:rPr>
          <w:rFonts w:eastAsia="Times New Roman"/>
          <w:sz w:val="22"/>
          <w:szCs w:val="22"/>
          <w:lang w:eastAsia="en-AU"/>
        </w:rPr>
        <w:t xml:space="preserve">SF-36v2 </w:t>
      </w:r>
      <w:r w:rsidRPr="00791C4E">
        <w:rPr>
          <w:rStyle w:val="A0"/>
          <w:rFonts w:ascii="Times New Roman" w:hAnsi="Times New Roman"/>
          <w:b w:val="0"/>
          <w:bCs w:val="0"/>
          <w:i w:val="0"/>
          <w:iCs w:val="0"/>
          <w:sz w:val="22"/>
          <w:szCs w:val="22"/>
        </w:rPr>
        <w:t>MCS</w:t>
      </w:r>
      <w:r w:rsidR="006B72DC" w:rsidRPr="00791C4E">
        <w:rPr>
          <w:rStyle w:val="A0"/>
          <w:rFonts w:ascii="Times New Roman" w:hAnsi="Times New Roman"/>
          <w:b w:val="0"/>
          <w:bCs w:val="0"/>
          <w:i w:val="0"/>
          <w:iCs w:val="0"/>
          <w:sz w:val="22"/>
          <w:szCs w:val="22"/>
        </w:rPr>
        <w:t xml:space="preserve"> at Week 16 and </w:t>
      </w:r>
      <w:r w:rsidR="00E81108" w:rsidRPr="00791C4E">
        <w:rPr>
          <w:rStyle w:val="A0"/>
          <w:rFonts w:ascii="Times New Roman" w:hAnsi="Times New Roman"/>
          <w:b w:val="0"/>
          <w:bCs w:val="0"/>
          <w:i w:val="0"/>
          <w:iCs w:val="0"/>
          <w:sz w:val="22"/>
          <w:szCs w:val="22"/>
        </w:rPr>
        <w:t>Week </w:t>
      </w:r>
      <w:r w:rsidR="006B72DC" w:rsidRPr="00791C4E">
        <w:rPr>
          <w:rStyle w:val="A0"/>
          <w:rFonts w:ascii="Times New Roman" w:hAnsi="Times New Roman"/>
          <w:b w:val="0"/>
          <w:bCs w:val="0"/>
          <w:i w:val="0"/>
          <w:iCs w:val="0"/>
          <w:sz w:val="22"/>
          <w:szCs w:val="22"/>
        </w:rPr>
        <w:t>24</w:t>
      </w:r>
      <w:r w:rsidR="00791C4E" w:rsidRPr="00791C4E">
        <w:rPr>
          <w:rStyle w:val="A0"/>
          <w:rFonts w:ascii="Times New Roman" w:hAnsi="Times New Roman"/>
          <w:b w:val="0"/>
          <w:bCs w:val="0"/>
          <w:i w:val="0"/>
          <w:iCs w:val="0"/>
          <w:sz w:val="22"/>
          <w:szCs w:val="22"/>
        </w:rPr>
        <w:t xml:space="preserve"> </w:t>
      </w:r>
      <w:r w:rsidR="00791C4E" w:rsidRPr="00791C4E">
        <w:rPr>
          <w:rFonts w:eastAsia="Times New Roman"/>
          <w:sz w:val="22"/>
          <w:szCs w:val="22"/>
          <w:lang w:eastAsia="en-AU"/>
        </w:rPr>
        <w:t xml:space="preserve">in Study PALACE 4. </w:t>
      </w:r>
      <w:r w:rsidR="00AC5A19">
        <w:rPr>
          <w:rFonts w:eastAsia="Times New Roman"/>
          <w:sz w:val="22"/>
          <w:szCs w:val="22"/>
          <w:lang w:eastAsia="en-AU"/>
        </w:rPr>
        <w:t xml:space="preserve"> </w:t>
      </w:r>
      <w:r w:rsidR="00791C4E" w:rsidRPr="00791C4E">
        <w:rPr>
          <w:rFonts w:eastAsia="Times New Roman"/>
          <w:color w:val="211E1F"/>
          <w:sz w:val="22"/>
          <w:szCs w:val="22"/>
          <w:lang w:eastAsia="en-AU"/>
        </w:rPr>
        <w:t xml:space="preserve">Among patients who were continuously treated with </w:t>
      </w:r>
      <w:r w:rsidR="00791C4E">
        <w:rPr>
          <w:rFonts w:eastAsia="Times New Roman"/>
          <w:color w:val="211E1F"/>
          <w:sz w:val="22"/>
          <w:szCs w:val="22"/>
          <w:lang w:eastAsia="en-AU"/>
        </w:rPr>
        <w:t>Otezla</w:t>
      </w:r>
      <w:r w:rsidR="00791C4E" w:rsidRPr="00791C4E">
        <w:rPr>
          <w:rFonts w:eastAsia="Times New Roman"/>
          <w:color w:val="211E1F"/>
          <w:sz w:val="22"/>
          <w:szCs w:val="22"/>
          <w:lang w:eastAsia="en-AU"/>
        </w:rPr>
        <w:t xml:space="preserve"> 30 mg twice daily, the mean change from baseline in the SF-36v2 MCS score was 2.19</w:t>
      </w:r>
      <w:r w:rsidR="00791C4E" w:rsidRPr="00791C4E">
        <w:rPr>
          <w:rFonts w:eastAsia="Times New Roman"/>
          <w:color w:val="211E1F"/>
          <w:sz w:val="23"/>
          <w:szCs w:val="23"/>
          <w:lang w:eastAsia="en-AU"/>
        </w:rPr>
        <w:t xml:space="preserve"> at Week 52. </w:t>
      </w:r>
    </w:p>
    <w:p w:rsidR="001E3A2C" w:rsidRPr="00791C4E" w:rsidRDefault="001E3A2C" w:rsidP="00791C4E">
      <w:pPr>
        <w:pStyle w:val="Default"/>
        <w:rPr>
          <w:rStyle w:val="A0"/>
          <w:rFonts w:ascii="Times New Roman" w:hAnsi="Times New Roman"/>
          <w:b w:val="0"/>
          <w:bCs w:val="0"/>
          <w:i w:val="0"/>
          <w:iCs w:val="0"/>
          <w:strike/>
          <w:sz w:val="22"/>
          <w:szCs w:val="22"/>
        </w:rPr>
      </w:pPr>
    </w:p>
    <w:p w:rsidR="00791C4E" w:rsidRPr="00E25C50" w:rsidRDefault="00B339E6" w:rsidP="00791C4E">
      <w:pPr>
        <w:pStyle w:val="Default"/>
        <w:rPr>
          <w:rFonts w:eastAsia="Times New Roman"/>
          <w:sz w:val="22"/>
          <w:szCs w:val="22"/>
          <w:lang w:eastAsia="en-AU"/>
        </w:rPr>
      </w:pPr>
      <w:r w:rsidRPr="005F101C">
        <w:rPr>
          <w:rStyle w:val="A0"/>
          <w:rFonts w:ascii="Times New Roman" w:hAnsi="Times New Roman"/>
          <w:b w:val="0"/>
          <w:bCs w:val="0"/>
          <w:i w:val="0"/>
          <w:iCs w:val="0"/>
          <w:sz w:val="22"/>
          <w:szCs w:val="22"/>
        </w:rPr>
        <w:t xml:space="preserve">There was </w:t>
      </w:r>
      <w:r w:rsidR="006B29A6">
        <w:rPr>
          <w:rStyle w:val="A0"/>
          <w:rFonts w:ascii="Times New Roman" w:hAnsi="Times New Roman"/>
          <w:b w:val="0"/>
          <w:bCs w:val="0"/>
          <w:i w:val="0"/>
          <w:iCs w:val="0"/>
          <w:sz w:val="22"/>
          <w:szCs w:val="22"/>
        </w:rPr>
        <w:t>greater</w:t>
      </w:r>
      <w:r w:rsidR="006B29A6" w:rsidRPr="005F101C">
        <w:rPr>
          <w:rStyle w:val="A0"/>
          <w:rFonts w:ascii="Times New Roman" w:hAnsi="Times New Roman"/>
          <w:b w:val="0"/>
          <w:bCs w:val="0"/>
          <w:i w:val="0"/>
          <w:iCs w:val="0"/>
          <w:sz w:val="22"/>
          <w:szCs w:val="22"/>
        </w:rPr>
        <w:t xml:space="preserve"> </w:t>
      </w:r>
      <w:r w:rsidRPr="005F101C">
        <w:rPr>
          <w:rStyle w:val="A0"/>
          <w:rFonts w:ascii="Times New Roman" w:hAnsi="Times New Roman"/>
          <w:b w:val="0"/>
          <w:bCs w:val="0"/>
          <w:i w:val="0"/>
          <w:iCs w:val="0"/>
          <w:sz w:val="22"/>
          <w:szCs w:val="22"/>
        </w:rPr>
        <w:t xml:space="preserve">improvement in Functional Assessment of Chronic Illness Therapy – Fatigue (FACIT-fatigue) scores in the </w:t>
      </w:r>
      <w:r w:rsidR="0089147F" w:rsidRPr="005F101C">
        <w:rPr>
          <w:rStyle w:val="A0"/>
          <w:rFonts w:ascii="Times New Roman" w:hAnsi="Times New Roman"/>
          <w:b w:val="0"/>
          <w:bCs w:val="0"/>
          <w:i w:val="0"/>
          <w:iCs w:val="0"/>
          <w:sz w:val="22"/>
          <w:szCs w:val="22"/>
        </w:rPr>
        <w:t>Otezla</w:t>
      </w:r>
      <w:r w:rsidRPr="005F101C">
        <w:rPr>
          <w:rStyle w:val="A0"/>
          <w:rFonts w:ascii="Times New Roman" w:hAnsi="Times New Roman"/>
          <w:b w:val="0"/>
          <w:bCs w:val="0"/>
          <w:i w:val="0"/>
          <w:iCs w:val="0"/>
          <w:sz w:val="22"/>
          <w:szCs w:val="22"/>
        </w:rPr>
        <w:t xml:space="preserve"> group when compared with placebo at Week </w:t>
      </w:r>
      <w:r w:rsidR="00B76254">
        <w:rPr>
          <w:rStyle w:val="A0"/>
          <w:rFonts w:ascii="Times New Roman" w:hAnsi="Times New Roman"/>
          <w:b w:val="0"/>
          <w:bCs w:val="0"/>
          <w:i w:val="0"/>
          <w:iCs w:val="0"/>
          <w:sz w:val="22"/>
          <w:szCs w:val="22"/>
        </w:rPr>
        <w:t>16 (2.62 and</w:t>
      </w:r>
      <w:r w:rsidRPr="005F101C">
        <w:rPr>
          <w:rStyle w:val="A0"/>
          <w:rFonts w:ascii="Times New Roman" w:hAnsi="Times New Roman"/>
          <w:b w:val="0"/>
          <w:bCs w:val="0"/>
          <w:i w:val="0"/>
          <w:iCs w:val="0"/>
          <w:sz w:val="22"/>
          <w:szCs w:val="22"/>
        </w:rPr>
        <w:t xml:space="preserve"> 0.07</w:t>
      </w:r>
      <w:r w:rsidR="0089147F" w:rsidRPr="005F101C">
        <w:rPr>
          <w:rStyle w:val="A0"/>
          <w:rFonts w:ascii="Times New Roman" w:hAnsi="Times New Roman"/>
          <w:b w:val="0"/>
          <w:bCs w:val="0"/>
          <w:i w:val="0"/>
          <w:iCs w:val="0"/>
          <w:sz w:val="22"/>
          <w:szCs w:val="22"/>
        </w:rPr>
        <w:t xml:space="preserve"> respectively; </w:t>
      </w:r>
      <w:r w:rsidR="0089147F" w:rsidRPr="005F101C">
        <w:rPr>
          <w:color w:val="211D1E"/>
          <w:sz w:val="22"/>
          <w:szCs w:val="22"/>
          <w:lang w:eastAsia="ja-JP"/>
        </w:rPr>
        <w:t>p &lt; 0.01</w:t>
      </w:r>
      <w:r w:rsidR="0089147F" w:rsidRPr="005F101C">
        <w:rPr>
          <w:rStyle w:val="A0"/>
          <w:rFonts w:ascii="Times New Roman" w:hAnsi="Times New Roman"/>
          <w:b w:val="0"/>
          <w:bCs w:val="0"/>
          <w:i w:val="0"/>
          <w:iCs w:val="0"/>
          <w:sz w:val="22"/>
          <w:szCs w:val="22"/>
        </w:rPr>
        <w:t>)</w:t>
      </w:r>
      <w:r w:rsidRPr="005F101C">
        <w:rPr>
          <w:rStyle w:val="A0"/>
          <w:rFonts w:ascii="Times New Roman" w:hAnsi="Times New Roman"/>
          <w:b w:val="0"/>
          <w:bCs w:val="0"/>
          <w:i w:val="0"/>
          <w:iCs w:val="0"/>
          <w:sz w:val="22"/>
          <w:szCs w:val="22"/>
        </w:rPr>
        <w:t xml:space="preserve"> in Study PALACE 4. </w:t>
      </w:r>
      <w:r w:rsidR="00773186">
        <w:rPr>
          <w:rStyle w:val="A0"/>
          <w:rFonts w:ascii="Times New Roman" w:hAnsi="Times New Roman"/>
          <w:b w:val="0"/>
          <w:bCs w:val="0"/>
          <w:i w:val="0"/>
          <w:iCs w:val="0"/>
          <w:sz w:val="22"/>
          <w:szCs w:val="22"/>
        </w:rPr>
        <w:t xml:space="preserve"> </w:t>
      </w:r>
      <w:r w:rsidR="00CD3CCB" w:rsidRPr="00E03ADC">
        <w:rPr>
          <w:rStyle w:val="A0"/>
          <w:rFonts w:ascii="Times New Roman" w:hAnsi="Times New Roman"/>
          <w:b w:val="0"/>
          <w:bCs w:val="0"/>
          <w:i w:val="0"/>
          <w:iCs w:val="0"/>
          <w:sz w:val="22"/>
          <w:szCs w:val="22"/>
        </w:rPr>
        <w:t>The response was maintained at Week 24</w:t>
      </w:r>
      <w:r w:rsidR="00CD3CCB" w:rsidRPr="00E25C50">
        <w:rPr>
          <w:rStyle w:val="A0"/>
          <w:rFonts w:ascii="Times New Roman" w:hAnsi="Times New Roman"/>
          <w:b w:val="0"/>
          <w:bCs w:val="0"/>
          <w:i w:val="0"/>
          <w:iCs w:val="0"/>
          <w:sz w:val="22"/>
          <w:szCs w:val="22"/>
        </w:rPr>
        <w:t>.</w:t>
      </w:r>
      <w:r w:rsidR="00791C4E" w:rsidRPr="00E25C50">
        <w:rPr>
          <w:rFonts w:eastAsia="Times New Roman"/>
          <w:sz w:val="22"/>
          <w:szCs w:val="22"/>
          <w:lang w:eastAsia="en-AU"/>
        </w:rPr>
        <w:t xml:space="preserve">  </w:t>
      </w:r>
      <w:r w:rsidR="00791C4E" w:rsidRPr="00E25C50">
        <w:rPr>
          <w:rFonts w:eastAsia="Times New Roman"/>
          <w:color w:val="211E1F"/>
          <w:sz w:val="22"/>
          <w:szCs w:val="22"/>
          <w:lang w:eastAsia="en-AU"/>
        </w:rPr>
        <w:t xml:space="preserve">Among patients who were continuously treated with Otezla, the mean change from baseline in the FACIT-fatigue score was 5.89 at Week 52. </w:t>
      </w:r>
    </w:p>
    <w:p w:rsidR="00B339E6" w:rsidRPr="005F101C" w:rsidRDefault="00B339E6" w:rsidP="003F0D9B">
      <w:pPr>
        <w:pStyle w:val="C-BodyText"/>
        <w:spacing w:before="0" w:after="0" w:line="240" w:lineRule="auto"/>
        <w:rPr>
          <w:rStyle w:val="A0"/>
          <w:rFonts w:ascii="Times New Roman" w:hAnsi="Times New Roman"/>
          <w:b w:val="0"/>
          <w:bCs w:val="0"/>
          <w:i w:val="0"/>
          <w:iCs w:val="0"/>
          <w:sz w:val="22"/>
          <w:szCs w:val="22"/>
        </w:rPr>
      </w:pPr>
    </w:p>
    <w:p w:rsidR="00896AF4" w:rsidRPr="00661593" w:rsidRDefault="00896AF4" w:rsidP="003F0D9B">
      <w:pPr>
        <w:pStyle w:val="C-BodyText"/>
        <w:spacing w:before="0" w:after="0" w:line="240" w:lineRule="auto"/>
        <w:rPr>
          <w:rStyle w:val="A0"/>
          <w:rFonts w:ascii="Times New Roman" w:hAnsi="Times New Roman"/>
          <w:b w:val="0"/>
          <w:bCs w:val="0"/>
          <w:i w:val="0"/>
          <w:iCs w:val="0"/>
          <w:sz w:val="22"/>
          <w:szCs w:val="22"/>
        </w:rPr>
      </w:pPr>
    </w:p>
    <w:p w:rsidR="00661593" w:rsidRPr="003F0D9B" w:rsidRDefault="00FD1E04" w:rsidP="003F0D9B">
      <w:pPr>
        <w:pStyle w:val="Pa8"/>
        <w:jc w:val="both"/>
        <w:rPr>
          <w:rStyle w:val="A0"/>
          <w:rFonts w:ascii="Times New Roman" w:hAnsi="Times New Roman"/>
          <w:bCs w:val="0"/>
          <w:i w:val="0"/>
          <w:iCs w:val="0"/>
          <w:sz w:val="22"/>
          <w:szCs w:val="22"/>
        </w:rPr>
      </w:pPr>
      <w:r w:rsidRPr="003F0D9B">
        <w:rPr>
          <w:rStyle w:val="A0"/>
          <w:rFonts w:ascii="Times New Roman" w:hAnsi="Times New Roman"/>
          <w:bCs w:val="0"/>
          <w:i w:val="0"/>
          <w:iCs w:val="0"/>
          <w:sz w:val="22"/>
          <w:szCs w:val="22"/>
        </w:rPr>
        <w:t>PASI-75 Response</w:t>
      </w:r>
    </w:p>
    <w:p w:rsidR="00791C4E" w:rsidRPr="00E25C50" w:rsidRDefault="00BB54B6" w:rsidP="007A5CF3">
      <w:pPr>
        <w:pStyle w:val="Default"/>
        <w:spacing w:before="120"/>
        <w:rPr>
          <w:rFonts w:eastAsia="Times New Roman"/>
          <w:sz w:val="22"/>
          <w:szCs w:val="22"/>
          <w:lang w:eastAsia="en-AU"/>
        </w:rPr>
      </w:pPr>
      <w:r w:rsidRPr="00DE6003">
        <w:rPr>
          <w:sz w:val="22"/>
          <w:szCs w:val="22"/>
        </w:rPr>
        <w:t>Treatment with</w:t>
      </w:r>
      <w:r w:rsidRPr="00405DCB">
        <w:rPr>
          <w:sz w:val="22"/>
          <w:szCs w:val="22"/>
          <w:lang w:val="en-GB"/>
        </w:rPr>
        <w:t xml:space="preserve"> </w:t>
      </w:r>
      <w:r w:rsidR="00185ADD" w:rsidRPr="00405DCB">
        <w:rPr>
          <w:sz w:val="22"/>
          <w:szCs w:val="22"/>
          <w:lang w:val="en-GB"/>
        </w:rPr>
        <w:t>Otezla</w:t>
      </w:r>
      <w:r w:rsidRPr="00DE6003">
        <w:rPr>
          <w:sz w:val="22"/>
          <w:szCs w:val="22"/>
        </w:rPr>
        <w:t xml:space="preserve"> 30 mg twice daily resulted in improvement in the skin manifestations of psoriasis.  Patients with psoriasis involvement of at least 3% BSA were evaluated using the</w:t>
      </w:r>
      <w:r w:rsidR="0010647E" w:rsidRPr="00DE6003">
        <w:rPr>
          <w:sz w:val="22"/>
          <w:szCs w:val="22"/>
        </w:rPr>
        <w:t xml:space="preserve"> P</w:t>
      </w:r>
      <w:r w:rsidRPr="00DE6003">
        <w:rPr>
          <w:sz w:val="22"/>
          <w:szCs w:val="22"/>
        </w:rPr>
        <w:t xml:space="preserve">ASI-75 response.  At Week 16, there was a greater proportion of patients achieving a PASI-75 in the </w:t>
      </w:r>
      <w:r w:rsidR="00B76254">
        <w:rPr>
          <w:sz w:val="22"/>
          <w:szCs w:val="22"/>
        </w:rPr>
        <w:t>Otezla</w:t>
      </w:r>
      <w:r w:rsidR="001E2D1E">
        <w:rPr>
          <w:sz w:val="22"/>
          <w:szCs w:val="22"/>
        </w:rPr>
        <w:t xml:space="preserve"> 30 </w:t>
      </w:r>
      <w:r w:rsidRPr="00DE6003">
        <w:rPr>
          <w:sz w:val="22"/>
          <w:szCs w:val="22"/>
        </w:rPr>
        <w:t>mg twice daily group compared</w:t>
      </w:r>
      <w:r w:rsidR="00B76254">
        <w:rPr>
          <w:sz w:val="22"/>
          <w:szCs w:val="22"/>
        </w:rPr>
        <w:t xml:space="preserve"> to the placebo group (26.6% and 10.8%</w:t>
      </w:r>
      <w:r w:rsidRPr="00DE6003">
        <w:rPr>
          <w:sz w:val="22"/>
          <w:szCs w:val="22"/>
        </w:rPr>
        <w:t xml:space="preserve"> respectively</w:t>
      </w:r>
      <w:r w:rsidR="00262D40" w:rsidRPr="00DE6003">
        <w:rPr>
          <w:sz w:val="22"/>
          <w:szCs w:val="22"/>
        </w:rPr>
        <w:t xml:space="preserve">; </w:t>
      </w:r>
      <w:r w:rsidR="00262D40" w:rsidRPr="00DE6003">
        <w:rPr>
          <w:color w:val="211D1E"/>
          <w:sz w:val="22"/>
          <w:szCs w:val="22"/>
          <w:lang w:eastAsia="ja-JP"/>
        </w:rPr>
        <w:t>p &lt; 0.01</w:t>
      </w:r>
      <w:r w:rsidRPr="00DE6003">
        <w:rPr>
          <w:sz w:val="22"/>
          <w:szCs w:val="22"/>
        </w:rPr>
        <w:t>)</w:t>
      </w:r>
      <w:r w:rsidR="00791C4E">
        <w:rPr>
          <w:sz w:val="22"/>
          <w:szCs w:val="22"/>
        </w:rPr>
        <w:t xml:space="preserve"> in </w:t>
      </w:r>
      <w:r w:rsidR="00132087">
        <w:rPr>
          <w:sz w:val="22"/>
          <w:szCs w:val="22"/>
        </w:rPr>
        <w:t>S</w:t>
      </w:r>
      <w:r w:rsidR="00791C4E">
        <w:rPr>
          <w:sz w:val="22"/>
          <w:szCs w:val="22"/>
        </w:rPr>
        <w:t>tudy PALACE 4</w:t>
      </w:r>
      <w:r w:rsidRPr="00DE6003">
        <w:rPr>
          <w:sz w:val="22"/>
          <w:szCs w:val="22"/>
        </w:rPr>
        <w:t xml:space="preserve">.  </w:t>
      </w:r>
      <w:r w:rsidR="00CD3CCB" w:rsidRPr="00E03ADC">
        <w:rPr>
          <w:rStyle w:val="A0"/>
          <w:rFonts w:ascii="Times New Roman" w:hAnsi="Times New Roman"/>
          <w:b w:val="0"/>
          <w:bCs w:val="0"/>
          <w:i w:val="0"/>
          <w:iCs w:val="0"/>
          <w:sz w:val="22"/>
          <w:szCs w:val="22"/>
        </w:rPr>
        <w:t>The response was maintained at Week 24.</w:t>
      </w:r>
      <w:r w:rsidR="00791C4E">
        <w:rPr>
          <w:rFonts w:eastAsia="Times New Roman"/>
          <w:sz w:val="23"/>
          <w:szCs w:val="23"/>
          <w:lang w:eastAsia="en-AU"/>
        </w:rPr>
        <w:t xml:space="preserve"> </w:t>
      </w:r>
      <w:r w:rsidR="00E03ADC">
        <w:rPr>
          <w:rFonts w:eastAsia="Times New Roman"/>
          <w:sz w:val="23"/>
          <w:szCs w:val="23"/>
          <w:lang w:eastAsia="en-AU"/>
        </w:rPr>
        <w:t xml:space="preserve"> </w:t>
      </w:r>
      <w:r w:rsidR="00791C4E" w:rsidRPr="00E25C50">
        <w:rPr>
          <w:rFonts w:eastAsia="Times New Roman"/>
          <w:sz w:val="22"/>
          <w:szCs w:val="22"/>
          <w:lang w:eastAsia="en-AU"/>
        </w:rPr>
        <w:t xml:space="preserve">Among patients who were continuously treated with Otezla, the PASI-75 response was 31.9% at Week 52. </w:t>
      </w:r>
    </w:p>
    <w:p w:rsidR="00BB54B6" w:rsidRPr="00E25C50" w:rsidRDefault="00BB54B6" w:rsidP="007B7515">
      <w:pPr>
        <w:pStyle w:val="C-BodyText"/>
        <w:spacing w:before="0" w:after="0" w:line="240" w:lineRule="auto"/>
        <w:rPr>
          <w:rStyle w:val="A0"/>
          <w:rFonts w:ascii="Times New Roman" w:hAnsi="Times New Roman"/>
          <w:b w:val="0"/>
          <w:bCs w:val="0"/>
          <w:i w:val="0"/>
          <w:iCs w:val="0"/>
          <w:sz w:val="22"/>
          <w:szCs w:val="22"/>
        </w:rPr>
      </w:pPr>
    </w:p>
    <w:p w:rsidR="00FD1E04" w:rsidRPr="00F54AF1" w:rsidRDefault="00FD1E04" w:rsidP="00AC6FC2">
      <w:pPr>
        <w:pStyle w:val="Pa8"/>
        <w:jc w:val="both"/>
        <w:rPr>
          <w:rStyle w:val="A0"/>
          <w:rFonts w:ascii="Times New Roman" w:hAnsi="Times New Roman"/>
          <w:b w:val="0"/>
          <w:bCs w:val="0"/>
          <w:i w:val="0"/>
          <w:iCs w:val="0"/>
          <w:sz w:val="22"/>
          <w:szCs w:val="22"/>
        </w:rPr>
      </w:pPr>
    </w:p>
    <w:p w:rsidR="00EC36C1" w:rsidRDefault="00EF3C08" w:rsidP="00C6422F">
      <w:pPr>
        <w:pStyle w:val="ListParagraph"/>
        <w:keepNext/>
        <w:numPr>
          <w:ilvl w:val="0"/>
          <w:numId w:val="8"/>
        </w:numPr>
        <w:tabs>
          <w:tab w:val="num" w:pos="360"/>
        </w:tabs>
        <w:rPr>
          <w:b/>
          <w:sz w:val="22"/>
          <w:szCs w:val="22"/>
          <w:lang w:val="en-AU"/>
        </w:rPr>
      </w:pPr>
      <w:r w:rsidRPr="003F0D9B">
        <w:rPr>
          <w:b/>
          <w:sz w:val="22"/>
          <w:szCs w:val="22"/>
          <w:lang w:val="en-AU"/>
        </w:rPr>
        <w:t>Clinical Trial</w:t>
      </w:r>
      <w:r w:rsidR="00974136" w:rsidRPr="003F0D9B">
        <w:rPr>
          <w:b/>
          <w:sz w:val="22"/>
          <w:szCs w:val="22"/>
          <w:lang w:val="en-AU"/>
        </w:rPr>
        <w:t xml:space="preserve"> experience in </w:t>
      </w:r>
      <w:r w:rsidR="004C7DAB" w:rsidRPr="003F0D9B">
        <w:rPr>
          <w:b/>
          <w:sz w:val="22"/>
          <w:szCs w:val="22"/>
          <w:lang w:val="en-AU"/>
        </w:rPr>
        <w:t>Psoriasis</w:t>
      </w:r>
      <w:r w:rsidRPr="003F0D9B">
        <w:rPr>
          <w:b/>
          <w:sz w:val="22"/>
          <w:szCs w:val="22"/>
          <w:lang w:val="en-AU"/>
        </w:rPr>
        <w:t xml:space="preserve"> </w:t>
      </w:r>
      <w:r w:rsidR="00BE1F9C" w:rsidRPr="003F0D9B">
        <w:rPr>
          <w:b/>
          <w:sz w:val="22"/>
          <w:szCs w:val="22"/>
          <w:lang w:val="en-AU"/>
        </w:rPr>
        <w:t>patients</w:t>
      </w:r>
    </w:p>
    <w:p w:rsidR="00587811" w:rsidRPr="00587811" w:rsidRDefault="004423E8" w:rsidP="00587811">
      <w:pPr>
        <w:numPr>
          <w:ilvl w:val="12"/>
          <w:numId w:val="0"/>
        </w:numPr>
        <w:spacing w:before="120"/>
        <w:ind w:right="-2"/>
        <w:rPr>
          <w:iCs/>
          <w:noProof/>
          <w:sz w:val="22"/>
          <w:szCs w:val="22"/>
          <w:lang w:val="en-US"/>
        </w:rPr>
      </w:pPr>
      <w:r w:rsidRPr="004423E8">
        <w:rPr>
          <w:iCs/>
          <w:noProof/>
          <w:sz w:val="22"/>
          <w:szCs w:val="22"/>
          <w:lang w:val="en-US"/>
        </w:rPr>
        <w:t xml:space="preserve">The safety and efficacy of Otezla were evaluated in two </w:t>
      </w:r>
      <w:r w:rsidRPr="00773186">
        <w:rPr>
          <w:iCs/>
          <w:noProof/>
          <w:sz w:val="22"/>
          <w:szCs w:val="22"/>
          <w:lang w:val="en-US"/>
        </w:rPr>
        <w:t>multi</w:t>
      </w:r>
      <w:r w:rsidR="00BC7E76" w:rsidRPr="00773186">
        <w:rPr>
          <w:iCs/>
          <w:noProof/>
          <w:sz w:val="22"/>
          <w:szCs w:val="22"/>
          <w:lang w:val="en-US"/>
        </w:rPr>
        <w:t>-centre</w:t>
      </w:r>
      <w:r w:rsidRPr="00773186">
        <w:rPr>
          <w:iCs/>
          <w:noProof/>
          <w:sz w:val="22"/>
          <w:szCs w:val="22"/>
          <w:lang w:val="en-US"/>
        </w:rPr>
        <w:t>,</w:t>
      </w:r>
      <w:r w:rsidRPr="004423E8">
        <w:rPr>
          <w:iCs/>
          <w:noProof/>
          <w:sz w:val="22"/>
          <w:szCs w:val="22"/>
          <w:lang w:val="en-US"/>
        </w:rPr>
        <w:t xml:space="preserve"> randomi</w:t>
      </w:r>
      <w:r w:rsidR="00296A54">
        <w:rPr>
          <w:iCs/>
          <w:noProof/>
          <w:sz w:val="22"/>
          <w:szCs w:val="22"/>
          <w:lang w:val="en-US"/>
        </w:rPr>
        <w:t>s</w:t>
      </w:r>
      <w:r w:rsidRPr="004423E8">
        <w:rPr>
          <w:iCs/>
          <w:noProof/>
          <w:sz w:val="22"/>
          <w:szCs w:val="22"/>
          <w:lang w:val="en-US"/>
        </w:rPr>
        <w:t xml:space="preserve">ed, double-blind, placebo-controlled studies (Studies ESTEEM 1 and ESTEEM 2) which enrolled a total of 1257 patients </w:t>
      </w:r>
      <w:r w:rsidR="006D1A2D">
        <w:rPr>
          <w:iCs/>
          <w:noProof/>
          <w:sz w:val="22"/>
          <w:szCs w:val="22"/>
          <w:lang w:val="en-US"/>
        </w:rPr>
        <w:t xml:space="preserve">18 years of age and older </w:t>
      </w:r>
      <w:r w:rsidRPr="004423E8">
        <w:rPr>
          <w:iCs/>
          <w:noProof/>
          <w:sz w:val="22"/>
          <w:szCs w:val="22"/>
          <w:lang w:val="en-US"/>
        </w:rPr>
        <w:t>with moderate to severe plaque psoriasis who had a BSA</w:t>
      </w:r>
      <w:r w:rsidR="00C62305">
        <w:rPr>
          <w:iCs/>
          <w:noProof/>
          <w:sz w:val="22"/>
          <w:szCs w:val="22"/>
          <w:lang w:val="en-US"/>
        </w:rPr>
        <w:t xml:space="preserve"> involvement of ≥ </w:t>
      </w:r>
      <w:r w:rsidRPr="004423E8">
        <w:rPr>
          <w:iCs/>
          <w:noProof/>
          <w:sz w:val="22"/>
          <w:szCs w:val="22"/>
          <w:lang w:val="en-US"/>
        </w:rPr>
        <w:t>10%, Psoriasis Area and Severity Index (PASI) score ≥ 12, static Physician Global Assessment (sPGA) of ≥ 3 (moderate or severe), and who were candidates for phototherapy or systemic therapy.</w:t>
      </w:r>
      <w:r w:rsidR="009A18E9">
        <w:rPr>
          <w:iCs/>
          <w:noProof/>
          <w:sz w:val="22"/>
          <w:szCs w:val="22"/>
          <w:lang w:val="en-US"/>
        </w:rPr>
        <w:t xml:space="preserve">  </w:t>
      </w:r>
      <w:r w:rsidR="009A18E9" w:rsidRPr="009A18E9">
        <w:rPr>
          <w:iCs/>
          <w:noProof/>
          <w:sz w:val="22"/>
          <w:szCs w:val="22"/>
          <w:lang w:val="en-US"/>
        </w:rPr>
        <w:t>The studies did not include an active comparator arm.</w:t>
      </w:r>
    </w:p>
    <w:p w:rsidR="00587811" w:rsidRPr="006725C2" w:rsidRDefault="00587811" w:rsidP="00587811">
      <w:pPr>
        <w:numPr>
          <w:ilvl w:val="12"/>
          <w:numId w:val="0"/>
        </w:numPr>
        <w:ind w:right="-2"/>
        <w:rPr>
          <w:iCs/>
          <w:noProof/>
          <w:szCs w:val="22"/>
          <w:lang w:val="en-US"/>
        </w:rPr>
      </w:pPr>
    </w:p>
    <w:p w:rsidR="00587811" w:rsidRPr="00587811" w:rsidRDefault="004423E8" w:rsidP="00AC6FC2">
      <w:pPr>
        <w:numPr>
          <w:ilvl w:val="12"/>
          <w:numId w:val="0"/>
        </w:numPr>
        <w:ind w:right="-2"/>
        <w:rPr>
          <w:iCs/>
          <w:noProof/>
          <w:sz w:val="22"/>
          <w:szCs w:val="22"/>
          <w:lang w:val="en-US"/>
        </w:rPr>
      </w:pPr>
      <w:r w:rsidRPr="004423E8">
        <w:rPr>
          <w:iCs/>
          <w:noProof/>
          <w:sz w:val="22"/>
          <w:szCs w:val="22"/>
          <w:lang w:val="en-US"/>
        </w:rPr>
        <w:t xml:space="preserve">These studies had a similar design through Week 32. </w:t>
      </w:r>
      <w:r w:rsidR="000A6C62">
        <w:rPr>
          <w:iCs/>
          <w:noProof/>
          <w:sz w:val="22"/>
          <w:szCs w:val="22"/>
          <w:lang w:val="en-US"/>
        </w:rPr>
        <w:t xml:space="preserve"> </w:t>
      </w:r>
      <w:r w:rsidRPr="004423E8">
        <w:rPr>
          <w:iCs/>
          <w:noProof/>
          <w:sz w:val="22"/>
          <w:szCs w:val="22"/>
          <w:lang w:val="en-US"/>
        </w:rPr>
        <w:t>In both</w:t>
      </w:r>
      <w:r w:rsidR="00296A54">
        <w:rPr>
          <w:iCs/>
          <w:noProof/>
          <w:sz w:val="22"/>
          <w:szCs w:val="22"/>
          <w:lang w:val="en-US"/>
        </w:rPr>
        <w:t xml:space="preserve"> studies, patients were randomis</w:t>
      </w:r>
      <w:r w:rsidRPr="004423E8">
        <w:rPr>
          <w:iCs/>
          <w:noProof/>
          <w:sz w:val="22"/>
          <w:szCs w:val="22"/>
          <w:lang w:val="en-US"/>
        </w:rPr>
        <w:t xml:space="preserve">ed 2:1 to </w:t>
      </w:r>
      <w:r w:rsidR="00DC6FE3">
        <w:rPr>
          <w:iCs/>
          <w:noProof/>
          <w:sz w:val="22"/>
          <w:szCs w:val="22"/>
          <w:lang w:val="en-US"/>
        </w:rPr>
        <w:t>Otezla</w:t>
      </w:r>
      <w:r w:rsidRPr="004423E8">
        <w:rPr>
          <w:iCs/>
          <w:noProof/>
          <w:sz w:val="22"/>
          <w:szCs w:val="22"/>
          <w:lang w:val="en-US"/>
        </w:rPr>
        <w:t xml:space="preserve"> 30 mg </w:t>
      </w:r>
      <w:r w:rsidR="00FB6D30">
        <w:rPr>
          <w:iCs/>
          <w:noProof/>
          <w:sz w:val="22"/>
          <w:szCs w:val="22"/>
          <w:lang w:val="en-US"/>
        </w:rPr>
        <w:t>twice daily</w:t>
      </w:r>
      <w:r w:rsidR="00FB6D30" w:rsidRPr="004423E8">
        <w:rPr>
          <w:iCs/>
          <w:noProof/>
          <w:sz w:val="22"/>
          <w:szCs w:val="22"/>
          <w:lang w:val="en-US"/>
        </w:rPr>
        <w:t xml:space="preserve"> </w:t>
      </w:r>
      <w:r w:rsidRPr="004423E8">
        <w:rPr>
          <w:iCs/>
          <w:noProof/>
          <w:sz w:val="22"/>
          <w:szCs w:val="22"/>
          <w:lang w:val="en-US"/>
        </w:rPr>
        <w:t xml:space="preserve">or placebo for 16 weeks (placebo-controlled phase) and from Weeks 16-32, all patients received </w:t>
      </w:r>
      <w:r w:rsidR="00DC6FE3">
        <w:rPr>
          <w:iCs/>
          <w:noProof/>
          <w:sz w:val="22"/>
          <w:szCs w:val="22"/>
          <w:lang w:val="en-US"/>
        </w:rPr>
        <w:t>Otezla</w:t>
      </w:r>
      <w:r w:rsidRPr="004423E8">
        <w:rPr>
          <w:iCs/>
          <w:noProof/>
          <w:sz w:val="22"/>
          <w:szCs w:val="22"/>
          <w:lang w:val="en-US"/>
        </w:rPr>
        <w:t xml:space="preserve"> 30 mg </w:t>
      </w:r>
      <w:r w:rsidR="00866D05">
        <w:rPr>
          <w:iCs/>
          <w:noProof/>
          <w:sz w:val="22"/>
          <w:szCs w:val="22"/>
          <w:lang w:val="en-US"/>
        </w:rPr>
        <w:t>twice daily</w:t>
      </w:r>
      <w:r w:rsidR="00866D05" w:rsidRPr="004423E8">
        <w:rPr>
          <w:iCs/>
          <w:noProof/>
          <w:sz w:val="22"/>
          <w:szCs w:val="22"/>
          <w:lang w:val="en-US"/>
        </w:rPr>
        <w:t xml:space="preserve"> </w:t>
      </w:r>
      <w:r w:rsidRPr="004423E8">
        <w:rPr>
          <w:iCs/>
          <w:noProof/>
          <w:sz w:val="22"/>
          <w:szCs w:val="22"/>
          <w:lang w:val="en-US"/>
        </w:rPr>
        <w:t xml:space="preserve">(maintenance phase). </w:t>
      </w:r>
      <w:r w:rsidR="000A6C62">
        <w:rPr>
          <w:iCs/>
          <w:noProof/>
          <w:sz w:val="22"/>
          <w:szCs w:val="22"/>
          <w:lang w:val="en-US"/>
        </w:rPr>
        <w:t xml:space="preserve"> </w:t>
      </w:r>
      <w:r w:rsidR="00296A54">
        <w:rPr>
          <w:iCs/>
          <w:noProof/>
          <w:sz w:val="22"/>
          <w:szCs w:val="22"/>
          <w:lang w:val="en-US"/>
        </w:rPr>
        <w:t>During the Randomis</w:t>
      </w:r>
      <w:r w:rsidRPr="004423E8">
        <w:rPr>
          <w:iCs/>
          <w:noProof/>
          <w:sz w:val="22"/>
          <w:szCs w:val="22"/>
          <w:lang w:val="en-US"/>
        </w:rPr>
        <w:t>ed Treatment Withdrawal Phase (Weeks 32-5</w:t>
      </w:r>
      <w:r w:rsidR="00296A54">
        <w:rPr>
          <w:iCs/>
          <w:noProof/>
          <w:sz w:val="22"/>
          <w:szCs w:val="22"/>
          <w:lang w:val="en-US"/>
        </w:rPr>
        <w:t>2), patients originally randomis</w:t>
      </w:r>
      <w:r w:rsidRPr="004423E8">
        <w:rPr>
          <w:iCs/>
          <w:noProof/>
          <w:sz w:val="22"/>
          <w:szCs w:val="22"/>
          <w:lang w:val="en-US"/>
        </w:rPr>
        <w:t xml:space="preserve">ed to </w:t>
      </w:r>
      <w:r w:rsidR="00DC6FE3">
        <w:rPr>
          <w:iCs/>
          <w:noProof/>
          <w:sz w:val="22"/>
          <w:szCs w:val="22"/>
          <w:lang w:val="en-US"/>
        </w:rPr>
        <w:t>Otezla</w:t>
      </w:r>
      <w:r w:rsidRPr="004423E8">
        <w:rPr>
          <w:iCs/>
          <w:noProof/>
          <w:sz w:val="22"/>
          <w:szCs w:val="22"/>
          <w:lang w:val="en-US"/>
        </w:rPr>
        <w:t xml:space="preserve"> who achieved at least a 75% reduction in their PASI score (PASI-75) (ESTEEM 1) or a 50% reduction in their PASI score (PASI</w:t>
      </w:r>
      <w:r w:rsidR="00296A54">
        <w:rPr>
          <w:iCs/>
          <w:noProof/>
          <w:sz w:val="22"/>
          <w:szCs w:val="22"/>
          <w:lang w:val="en-US"/>
        </w:rPr>
        <w:t>-50) (ESTEEM 2) were re-randomis</w:t>
      </w:r>
      <w:r w:rsidRPr="004423E8">
        <w:rPr>
          <w:iCs/>
          <w:noProof/>
          <w:sz w:val="22"/>
          <w:szCs w:val="22"/>
          <w:lang w:val="en-US"/>
        </w:rPr>
        <w:t xml:space="preserve">ed at week 32 to either placebo or </w:t>
      </w:r>
      <w:r w:rsidR="00DC6FE3">
        <w:rPr>
          <w:iCs/>
          <w:noProof/>
          <w:sz w:val="22"/>
          <w:szCs w:val="22"/>
          <w:lang w:val="en-US"/>
        </w:rPr>
        <w:t>Otezla</w:t>
      </w:r>
      <w:r w:rsidRPr="004423E8">
        <w:rPr>
          <w:iCs/>
          <w:noProof/>
          <w:sz w:val="22"/>
          <w:szCs w:val="22"/>
          <w:lang w:val="en-US"/>
        </w:rPr>
        <w:t xml:space="preserve"> 30 mg </w:t>
      </w:r>
      <w:r w:rsidR="00866D05">
        <w:rPr>
          <w:iCs/>
          <w:noProof/>
          <w:sz w:val="22"/>
          <w:szCs w:val="22"/>
          <w:lang w:val="en-US"/>
        </w:rPr>
        <w:t>twice daily</w:t>
      </w:r>
      <w:r w:rsidRPr="004423E8">
        <w:rPr>
          <w:iCs/>
          <w:noProof/>
          <w:sz w:val="22"/>
          <w:szCs w:val="22"/>
          <w:lang w:val="en-US"/>
        </w:rPr>
        <w:t xml:space="preserve">. </w:t>
      </w:r>
      <w:r w:rsidR="00163F09">
        <w:rPr>
          <w:iCs/>
          <w:noProof/>
          <w:sz w:val="22"/>
          <w:szCs w:val="22"/>
          <w:lang w:val="en-US"/>
        </w:rPr>
        <w:t xml:space="preserve"> </w:t>
      </w:r>
      <w:r w:rsidR="00296A54">
        <w:rPr>
          <w:iCs/>
          <w:noProof/>
          <w:sz w:val="22"/>
          <w:szCs w:val="22"/>
          <w:lang w:val="en-US"/>
        </w:rPr>
        <w:t>Patients who were re-randomis</w:t>
      </w:r>
      <w:r w:rsidRPr="004423E8">
        <w:rPr>
          <w:iCs/>
          <w:noProof/>
          <w:sz w:val="22"/>
          <w:szCs w:val="22"/>
          <w:lang w:val="en-US"/>
        </w:rPr>
        <w:t xml:space="preserve">ed to placebo and who lost PASI-75 response (ESTEEM 1) or lost 50% of the PASI improvement at Week 32 compared to Baseline (ESTEEM 2) were retreated with </w:t>
      </w:r>
      <w:r w:rsidR="004B1F4C">
        <w:rPr>
          <w:iCs/>
          <w:noProof/>
          <w:sz w:val="22"/>
          <w:szCs w:val="22"/>
          <w:lang w:val="en-US"/>
        </w:rPr>
        <w:t>Otezla</w:t>
      </w:r>
      <w:r w:rsidRPr="004423E8">
        <w:rPr>
          <w:iCs/>
          <w:noProof/>
          <w:sz w:val="22"/>
          <w:szCs w:val="22"/>
          <w:lang w:val="en-US"/>
        </w:rPr>
        <w:t xml:space="preserve"> 30 mg </w:t>
      </w:r>
      <w:r w:rsidR="00866D05">
        <w:rPr>
          <w:iCs/>
          <w:noProof/>
          <w:sz w:val="22"/>
          <w:szCs w:val="22"/>
          <w:lang w:val="en-US"/>
        </w:rPr>
        <w:t>twice daily</w:t>
      </w:r>
      <w:r w:rsidRPr="004423E8">
        <w:rPr>
          <w:iCs/>
          <w:noProof/>
          <w:sz w:val="22"/>
          <w:szCs w:val="22"/>
          <w:lang w:val="en-US"/>
        </w:rPr>
        <w:t>.</w:t>
      </w:r>
      <w:r w:rsidR="00DE2EA7">
        <w:rPr>
          <w:iCs/>
          <w:noProof/>
          <w:sz w:val="22"/>
          <w:szCs w:val="22"/>
          <w:lang w:val="en-US"/>
        </w:rPr>
        <w:t xml:space="preserve"> </w:t>
      </w:r>
      <w:r w:rsidRPr="004423E8">
        <w:rPr>
          <w:iCs/>
          <w:noProof/>
          <w:sz w:val="22"/>
          <w:szCs w:val="22"/>
          <w:lang w:val="en-US"/>
        </w:rPr>
        <w:t xml:space="preserve"> Patients who did not achieve the designated PASI response by Week 32</w:t>
      </w:r>
      <w:r w:rsidR="00296A54">
        <w:rPr>
          <w:iCs/>
          <w:noProof/>
          <w:sz w:val="22"/>
          <w:szCs w:val="22"/>
          <w:lang w:val="en-US"/>
        </w:rPr>
        <w:t>, or who were initially randomis</w:t>
      </w:r>
      <w:r w:rsidRPr="004423E8">
        <w:rPr>
          <w:iCs/>
          <w:noProof/>
          <w:sz w:val="22"/>
          <w:szCs w:val="22"/>
          <w:lang w:val="en-US"/>
        </w:rPr>
        <w:t xml:space="preserve">ed to placebo, remained on </w:t>
      </w:r>
      <w:r w:rsidR="004B1F4C">
        <w:rPr>
          <w:iCs/>
          <w:noProof/>
          <w:sz w:val="22"/>
          <w:szCs w:val="22"/>
          <w:lang w:val="en-US"/>
        </w:rPr>
        <w:t>Otezla</w:t>
      </w:r>
      <w:r w:rsidRPr="004423E8">
        <w:rPr>
          <w:iCs/>
          <w:noProof/>
          <w:sz w:val="22"/>
          <w:szCs w:val="22"/>
          <w:lang w:val="en-US"/>
        </w:rPr>
        <w:t xml:space="preserve"> until Week 52.</w:t>
      </w:r>
    </w:p>
    <w:p w:rsidR="00587811" w:rsidRPr="00587811" w:rsidRDefault="00587811" w:rsidP="00AC6FC2">
      <w:pPr>
        <w:numPr>
          <w:ilvl w:val="12"/>
          <w:numId w:val="0"/>
        </w:numPr>
        <w:ind w:right="-2"/>
        <w:rPr>
          <w:iCs/>
          <w:noProof/>
          <w:sz w:val="22"/>
          <w:szCs w:val="22"/>
          <w:lang w:val="en-US"/>
        </w:rPr>
      </w:pPr>
    </w:p>
    <w:p w:rsidR="00227F59" w:rsidRPr="00227F59" w:rsidRDefault="004423E8" w:rsidP="00106C18">
      <w:pPr>
        <w:pStyle w:val="C-BodyText"/>
        <w:spacing w:before="0" w:after="0" w:line="240" w:lineRule="auto"/>
        <w:jc w:val="both"/>
        <w:rPr>
          <w:sz w:val="22"/>
          <w:szCs w:val="22"/>
        </w:rPr>
      </w:pPr>
      <w:r w:rsidRPr="00227F59">
        <w:rPr>
          <w:iCs/>
          <w:noProof/>
          <w:sz w:val="22"/>
          <w:szCs w:val="22"/>
        </w:rPr>
        <w:t xml:space="preserve">In both studies, the primary endpoint was the proportion of patients who achieved PASI-75 at Week 16. </w:t>
      </w:r>
      <w:r w:rsidR="00163F09" w:rsidRPr="00227F59">
        <w:rPr>
          <w:iCs/>
          <w:noProof/>
          <w:sz w:val="22"/>
          <w:szCs w:val="22"/>
        </w:rPr>
        <w:t xml:space="preserve"> </w:t>
      </w:r>
      <w:r w:rsidRPr="00227F59">
        <w:rPr>
          <w:iCs/>
          <w:noProof/>
          <w:sz w:val="22"/>
          <w:szCs w:val="22"/>
        </w:rPr>
        <w:t>The major secondary endpoint was the proportion of patients who achieved a sPGA score of clear (0) or almost clear (1) at Week 16.</w:t>
      </w:r>
      <w:r w:rsidR="00227F59" w:rsidRPr="00227F59">
        <w:rPr>
          <w:iCs/>
          <w:noProof/>
          <w:sz w:val="22"/>
          <w:szCs w:val="22"/>
        </w:rPr>
        <w:t xml:space="preserve">  </w:t>
      </w:r>
      <w:r w:rsidR="00227F59" w:rsidRPr="00227F59">
        <w:rPr>
          <w:sz w:val="22"/>
          <w:szCs w:val="22"/>
        </w:rPr>
        <w:t>Other endpoints included BSA, Pruritus VAS, nail disease (NAPSI), scalp involvement (ScPGA), and quality of life measures (DLQI and SF-36 MCS).</w:t>
      </w:r>
    </w:p>
    <w:p w:rsidR="00587811" w:rsidRPr="00587811" w:rsidRDefault="00587811" w:rsidP="00AC6FC2">
      <w:pPr>
        <w:numPr>
          <w:ilvl w:val="12"/>
          <w:numId w:val="0"/>
        </w:numPr>
        <w:ind w:right="-2"/>
        <w:rPr>
          <w:iCs/>
          <w:noProof/>
          <w:sz w:val="22"/>
          <w:szCs w:val="22"/>
          <w:lang w:val="en-US"/>
        </w:rPr>
      </w:pPr>
    </w:p>
    <w:p w:rsidR="00FA616D" w:rsidRPr="00FA616D" w:rsidRDefault="00FA616D" w:rsidP="00106C18">
      <w:pPr>
        <w:pStyle w:val="C-BodyText"/>
        <w:spacing w:before="0" w:after="0" w:line="240" w:lineRule="auto"/>
        <w:rPr>
          <w:sz w:val="22"/>
          <w:szCs w:val="22"/>
        </w:rPr>
      </w:pPr>
      <w:r w:rsidRPr="00FA616D">
        <w:rPr>
          <w:sz w:val="22"/>
          <w:szCs w:val="22"/>
        </w:rPr>
        <w:t>Across both studies, patients ranged in age from 18 to 83 years, with an overall median age of 45.8 years.  The mean baseline BSA involvement was 25.19% (median 21.0%), the mean Baseline PASI score was 19.07 (median 16.80), and the proportion of patients with sPGA score of 3 (moderate) and 4 (severe) at Baseline were 70.0% and 29.8%, respectively.  Approximately 30% of all patients had received prior phototherapy and 54% had received prior conventional systemic and/or biologic therapy for the treatment of psoriasis (including treatment failures), with 37% receiving prior conventional systemic therapy and 30% receiving prior biologic therapy.  Approximately one-third of patients had not received prior phototherapy, conventional systemic or biologic therapy.  A total of 18% of patients had a history of psoriatic arthritis.</w:t>
      </w:r>
    </w:p>
    <w:p w:rsidR="00587811" w:rsidRDefault="00587811" w:rsidP="002A6C0B">
      <w:pPr>
        <w:numPr>
          <w:ilvl w:val="12"/>
          <w:numId w:val="0"/>
        </w:numPr>
        <w:ind w:right="-2"/>
        <w:rPr>
          <w:iCs/>
          <w:noProof/>
          <w:sz w:val="22"/>
          <w:szCs w:val="22"/>
          <w:lang w:val="en-US"/>
        </w:rPr>
      </w:pPr>
    </w:p>
    <w:p w:rsidR="00896AF4" w:rsidRDefault="00896AF4" w:rsidP="002A6C0B">
      <w:pPr>
        <w:numPr>
          <w:ilvl w:val="12"/>
          <w:numId w:val="0"/>
        </w:numPr>
        <w:ind w:right="-2"/>
        <w:rPr>
          <w:iCs/>
          <w:noProof/>
          <w:sz w:val="22"/>
          <w:szCs w:val="22"/>
          <w:lang w:val="en-US"/>
        </w:rPr>
      </w:pPr>
    </w:p>
    <w:p w:rsidR="00FA616D" w:rsidRPr="006B1BA7" w:rsidRDefault="00FA616D" w:rsidP="002A6C0B">
      <w:pPr>
        <w:numPr>
          <w:ilvl w:val="12"/>
          <w:numId w:val="0"/>
        </w:numPr>
        <w:ind w:right="-2"/>
        <w:rPr>
          <w:b/>
          <w:sz w:val="22"/>
          <w:szCs w:val="22"/>
        </w:rPr>
      </w:pPr>
      <w:r w:rsidRPr="006B1BA7">
        <w:rPr>
          <w:b/>
          <w:sz w:val="22"/>
          <w:szCs w:val="22"/>
        </w:rPr>
        <w:t>Clinical Response</w:t>
      </w:r>
    </w:p>
    <w:p w:rsidR="00103B9D" w:rsidRDefault="00103B9D" w:rsidP="002A6C0B">
      <w:pPr>
        <w:pStyle w:val="C-BodyText"/>
        <w:spacing w:after="0" w:line="240" w:lineRule="auto"/>
        <w:rPr>
          <w:sz w:val="22"/>
          <w:szCs w:val="22"/>
        </w:rPr>
      </w:pPr>
      <w:r w:rsidRPr="00103B9D">
        <w:rPr>
          <w:sz w:val="22"/>
          <w:szCs w:val="22"/>
        </w:rPr>
        <w:t xml:space="preserve">The proportion of patients achieving PASI-50, -75 and -90 responses, and sPGA score of clear or almost clear, are presented in </w:t>
      </w:r>
      <w:r w:rsidRPr="00773186">
        <w:rPr>
          <w:b/>
          <w:sz w:val="22"/>
          <w:szCs w:val="22"/>
        </w:rPr>
        <w:t xml:space="preserve">Table </w:t>
      </w:r>
      <w:r w:rsidR="0097381F" w:rsidRPr="00773186">
        <w:rPr>
          <w:b/>
          <w:sz w:val="22"/>
          <w:szCs w:val="22"/>
        </w:rPr>
        <w:t>3</w:t>
      </w:r>
      <w:r w:rsidRPr="00103B9D">
        <w:rPr>
          <w:sz w:val="22"/>
          <w:szCs w:val="22"/>
        </w:rPr>
        <w:t xml:space="preserve"> bel</w:t>
      </w:r>
      <w:r w:rsidRPr="00CE7F10">
        <w:rPr>
          <w:sz w:val="22"/>
          <w:szCs w:val="22"/>
        </w:rPr>
        <w:t xml:space="preserve">ow.  </w:t>
      </w:r>
      <w:r w:rsidR="006D0511" w:rsidRPr="00CE7F10">
        <w:rPr>
          <w:sz w:val="22"/>
          <w:szCs w:val="22"/>
        </w:rPr>
        <w:t>Otezla</w:t>
      </w:r>
      <w:r w:rsidRPr="00CE7F10">
        <w:rPr>
          <w:sz w:val="22"/>
          <w:szCs w:val="22"/>
        </w:rPr>
        <w:t xml:space="preserve"> resulted in significant improvement</w:t>
      </w:r>
      <w:r w:rsidR="00313387">
        <w:rPr>
          <w:sz w:val="22"/>
          <w:szCs w:val="22"/>
        </w:rPr>
        <w:t>s</w:t>
      </w:r>
      <w:r w:rsidRPr="00CE7F10">
        <w:rPr>
          <w:sz w:val="22"/>
          <w:szCs w:val="22"/>
        </w:rPr>
        <w:t xml:space="preserve"> in moderate to severe plaque psoriasis as demonstrated by the proportion of patien</w:t>
      </w:r>
      <w:r w:rsidR="00773186">
        <w:rPr>
          <w:sz w:val="22"/>
          <w:szCs w:val="22"/>
        </w:rPr>
        <w:t>t with PASI-75 response at Week </w:t>
      </w:r>
      <w:r w:rsidRPr="00CE7F10">
        <w:rPr>
          <w:sz w:val="22"/>
          <w:szCs w:val="22"/>
        </w:rPr>
        <w:t>16 compared with placebo.  Clinical improvement measured by sPGA, PASI-50 and PASI-90 responses were also demonstrated at W</w:t>
      </w:r>
      <w:r w:rsidR="00773186">
        <w:rPr>
          <w:sz w:val="22"/>
          <w:szCs w:val="22"/>
        </w:rPr>
        <w:t>eek </w:t>
      </w:r>
      <w:r w:rsidRPr="00CE7F10">
        <w:rPr>
          <w:sz w:val="22"/>
          <w:szCs w:val="22"/>
        </w:rPr>
        <w:t xml:space="preserve">16.  In addition, </w:t>
      </w:r>
      <w:r w:rsidR="006D0511" w:rsidRPr="00CE7F10">
        <w:rPr>
          <w:sz w:val="22"/>
          <w:szCs w:val="22"/>
        </w:rPr>
        <w:t>Otezla</w:t>
      </w:r>
      <w:r w:rsidRPr="00CE7F10">
        <w:rPr>
          <w:sz w:val="22"/>
          <w:szCs w:val="22"/>
        </w:rPr>
        <w:t xml:space="preserve"> demonstrated a treatment benefit across multiple manifestations of psoriasis includin</w:t>
      </w:r>
      <w:r w:rsidRPr="00103B9D">
        <w:rPr>
          <w:sz w:val="22"/>
          <w:szCs w:val="22"/>
        </w:rPr>
        <w:t>g pruritus, nail disease, scalp involvement and quality of life measures.</w:t>
      </w:r>
    </w:p>
    <w:p w:rsidR="007A5CF3" w:rsidRPr="00103B9D" w:rsidRDefault="007A5CF3" w:rsidP="002A6C0B">
      <w:pPr>
        <w:pStyle w:val="C-BodyText"/>
        <w:spacing w:after="0" w:line="240" w:lineRule="auto"/>
        <w:rPr>
          <w:sz w:val="22"/>
          <w:szCs w:val="22"/>
        </w:rPr>
      </w:pPr>
    </w:p>
    <w:p w:rsidR="00587811" w:rsidRPr="00587811" w:rsidRDefault="009E6A6E" w:rsidP="00587811">
      <w:pPr>
        <w:numPr>
          <w:ilvl w:val="12"/>
          <w:numId w:val="0"/>
        </w:numPr>
        <w:spacing w:after="120"/>
        <w:ind w:left="1440" w:right="-2" w:hanging="1440"/>
        <w:rPr>
          <w:b/>
          <w:bCs/>
          <w:color w:val="211D1E"/>
          <w:sz w:val="22"/>
          <w:szCs w:val="22"/>
          <w:lang w:eastAsia="ja-JP"/>
        </w:rPr>
      </w:pPr>
      <w:proofErr w:type="gramStart"/>
      <w:r>
        <w:rPr>
          <w:b/>
          <w:bCs/>
          <w:color w:val="211D1E"/>
          <w:sz w:val="22"/>
          <w:szCs w:val="22"/>
          <w:lang w:eastAsia="ja-JP"/>
        </w:rPr>
        <w:t xml:space="preserve">Table </w:t>
      </w:r>
      <w:r w:rsidR="007F5D93">
        <w:rPr>
          <w:b/>
          <w:bCs/>
          <w:color w:val="211D1E"/>
          <w:sz w:val="22"/>
          <w:szCs w:val="22"/>
          <w:lang w:eastAsia="ja-JP"/>
        </w:rPr>
        <w:t>3</w:t>
      </w:r>
      <w:r w:rsidR="00587811" w:rsidRPr="00587811">
        <w:rPr>
          <w:b/>
          <w:bCs/>
          <w:color w:val="211D1E"/>
          <w:sz w:val="22"/>
          <w:szCs w:val="22"/>
          <w:lang w:eastAsia="ja-JP"/>
        </w:rPr>
        <w:t>.</w:t>
      </w:r>
      <w:proofErr w:type="gramEnd"/>
      <w:r w:rsidR="00587811" w:rsidRPr="00587811">
        <w:rPr>
          <w:b/>
          <w:bCs/>
          <w:color w:val="211D1E"/>
          <w:sz w:val="22"/>
          <w:szCs w:val="22"/>
          <w:lang w:eastAsia="ja-JP"/>
        </w:rPr>
        <w:tab/>
        <w:t>Clinical Response at Week 16 in Studies ESTEEM 1 and ESTEEM 2</w:t>
      </w:r>
      <w:r w:rsidR="00E02167">
        <w:rPr>
          <w:b/>
          <w:bCs/>
          <w:color w:val="211D1E"/>
          <w:sz w:val="22"/>
          <w:szCs w:val="22"/>
          <w:vertAlign w:val="superscript"/>
          <w:lang w:eastAsia="ja-JP"/>
        </w:rPr>
        <w:t>a</w:t>
      </w:r>
      <w:r w:rsidR="00587811" w:rsidRPr="00587811">
        <w:rPr>
          <w:b/>
          <w:bCs/>
          <w:color w:val="211D1E"/>
          <w:sz w:val="22"/>
          <w:szCs w:val="22"/>
          <w:lang w:eastAsia="ja-JP"/>
        </w:rPr>
        <w:t xml:space="preserv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235"/>
        <w:gridCol w:w="1701"/>
        <w:gridCol w:w="1701"/>
        <w:gridCol w:w="1701"/>
        <w:gridCol w:w="1701"/>
      </w:tblGrid>
      <w:tr w:rsidR="00587811" w:rsidRPr="00713B24" w:rsidTr="00713B24">
        <w:trPr>
          <w:trHeight w:val="340"/>
        </w:trPr>
        <w:tc>
          <w:tcPr>
            <w:tcW w:w="2235" w:type="dxa"/>
            <w:shd w:val="clear" w:color="auto" w:fill="FFFFFF"/>
            <w:vAlign w:val="bottom"/>
          </w:tcPr>
          <w:p w:rsidR="00587811" w:rsidRPr="00713B24" w:rsidRDefault="00587811" w:rsidP="00713B24">
            <w:pPr>
              <w:autoSpaceDE w:val="0"/>
              <w:autoSpaceDN w:val="0"/>
              <w:adjustRightInd w:val="0"/>
              <w:spacing w:before="60" w:after="60"/>
              <w:rPr>
                <w:color w:val="211D1E"/>
                <w:sz w:val="22"/>
                <w:szCs w:val="22"/>
                <w:u w:val="single"/>
                <w:lang w:eastAsia="ja-JP"/>
              </w:rPr>
            </w:pPr>
          </w:p>
        </w:tc>
        <w:tc>
          <w:tcPr>
            <w:tcW w:w="3402" w:type="dxa"/>
            <w:gridSpan w:val="2"/>
            <w:shd w:val="clear" w:color="auto" w:fill="FFFFFF"/>
          </w:tcPr>
          <w:p w:rsidR="00587811" w:rsidRPr="00713B24" w:rsidRDefault="00587811" w:rsidP="00713B24">
            <w:pPr>
              <w:autoSpaceDE w:val="0"/>
              <w:autoSpaceDN w:val="0"/>
              <w:adjustRightInd w:val="0"/>
              <w:spacing w:before="60" w:after="60"/>
              <w:jc w:val="center"/>
              <w:rPr>
                <w:b/>
                <w:color w:val="211D1E"/>
                <w:sz w:val="22"/>
                <w:szCs w:val="22"/>
                <w:lang w:eastAsia="ja-JP"/>
              </w:rPr>
            </w:pPr>
            <w:r w:rsidRPr="00713B24">
              <w:rPr>
                <w:b/>
                <w:color w:val="211D1E"/>
                <w:sz w:val="22"/>
                <w:szCs w:val="22"/>
                <w:lang w:eastAsia="ja-JP"/>
              </w:rPr>
              <w:t>ESTEEM 1</w:t>
            </w:r>
          </w:p>
        </w:tc>
        <w:tc>
          <w:tcPr>
            <w:tcW w:w="3402" w:type="dxa"/>
            <w:gridSpan w:val="2"/>
            <w:shd w:val="clear" w:color="auto" w:fill="FFFFFF"/>
          </w:tcPr>
          <w:p w:rsidR="00587811" w:rsidRPr="00713B24" w:rsidRDefault="00587811" w:rsidP="00713B24">
            <w:pPr>
              <w:autoSpaceDE w:val="0"/>
              <w:autoSpaceDN w:val="0"/>
              <w:adjustRightInd w:val="0"/>
              <w:spacing w:before="60" w:after="60"/>
              <w:jc w:val="center"/>
              <w:rPr>
                <w:b/>
                <w:color w:val="211D1E"/>
                <w:sz w:val="22"/>
                <w:szCs w:val="22"/>
                <w:lang w:eastAsia="ja-JP"/>
              </w:rPr>
            </w:pPr>
            <w:r w:rsidRPr="00713B24">
              <w:rPr>
                <w:b/>
                <w:color w:val="211D1E"/>
                <w:sz w:val="22"/>
                <w:szCs w:val="22"/>
                <w:lang w:eastAsia="ja-JP"/>
              </w:rPr>
              <w:t>ESTEEM 2</w:t>
            </w:r>
          </w:p>
        </w:tc>
      </w:tr>
      <w:tr w:rsidR="00587811" w:rsidRPr="00713B24" w:rsidTr="00713B24">
        <w:trPr>
          <w:trHeight w:val="340"/>
        </w:trPr>
        <w:tc>
          <w:tcPr>
            <w:tcW w:w="2235" w:type="dxa"/>
            <w:shd w:val="clear" w:color="auto" w:fill="FFFFFF"/>
          </w:tcPr>
          <w:p w:rsidR="00587811" w:rsidRPr="00713B24" w:rsidRDefault="00587811" w:rsidP="00713B24">
            <w:pPr>
              <w:autoSpaceDE w:val="0"/>
              <w:autoSpaceDN w:val="0"/>
              <w:adjustRightInd w:val="0"/>
              <w:spacing w:before="40" w:after="40"/>
              <w:rPr>
                <w:sz w:val="22"/>
                <w:szCs w:val="22"/>
                <w:lang w:eastAsia="ja-JP"/>
              </w:rPr>
            </w:pPr>
          </w:p>
        </w:tc>
        <w:tc>
          <w:tcPr>
            <w:tcW w:w="1701" w:type="dxa"/>
            <w:shd w:val="clear" w:color="auto" w:fill="FFFFFF"/>
          </w:tcPr>
          <w:p w:rsidR="00587811" w:rsidRPr="00713B24" w:rsidRDefault="00587811" w:rsidP="00713B24">
            <w:pPr>
              <w:autoSpaceDE w:val="0"/>
              <w:autoSpaceDN w:val="0"/>
              <w:adjustRightInd w:val="0"/>
              <w:spacing w:before="40" w:after="40"/>
              <w:jc w:val="center"/>
              <w:rPr>
                <w:b/>
                <w:color w:val="211D1E"/>
                <w:sz w:val="22"/>
                <w:szCs w:val="22"/>
                <w:u w:val="single"/>
                <w:lang w:eastAsia="ja-JP"/>
              </w:rPr>
            </w:pPr>
            <w:r w:rsidRPr="00713B24">
              <w:rPr>
                <w:b/>
                <w:color w:val="211D1E"/>
                <w:sz w:val="22"/>
                <w:szCs w:val="22"/>
                <w:u w:val="single"/>
                <w:lang w:eastAsia="ja-JP"/>
              </w:rPr>
              <w:t>Placebo</w:t>
            </w:r>
          </w:p>
        </w:tc>
        <w:tc>
          <w:tcPr>
            <w:tcW w:w="1701" w:type="dxa"/>
            <w:shd w:val="clear" w:color="auto" w:fill="FFFFFF"/>
          </w:tcPr>
          <w:p w:rsidR="00587811" w:rsidRPr="00713B24" w:rsidRDefault="008A2906" w:rsidP="00713B24">
            <w:pPr>
              <w:autoSpaceDE w:val="0"/>
              <w:autoSpaceDN w:val="0"/>
              <w:adjustRightInd w:val="0"/>
              <w:spacing w:before="40" w:after="40"/>
              <w:jc w:val="center"/>
              <w:rPr>
                <w:b/>
                <w:color w:val="211D1E"/>
                <w:sz w:val="22"/>
                <w:szCs w:val="22"/>
                <w:u w:val="single"/>
                <w:lang w:eastAsia="ja-JP"/>
              </w:rPr>
            </w:pPr>
            <w:r w:rsidRPr="00713B24">
              <w:rPr>
                <w:b/>
                <w:color w:val="211D1E"/>
                <w:sz w:val="22"/>
                <w:szCs w:val="22"/>
                <w:u w:val="single"/>
                <w:lang w:eastAsia="ja-JP"/>
              </w:rPr>
              <w:t xml:space="preserve">30 mg </w:t>
            </w:r>
            <w:r w:rsidR="00866D05" w:rsidRPr="00713B24">
              <w:rPr>
                <w:b/>
                <w:color w:val="211D1E"/>
                <w:sz w:val="22"/>
                <w:szCs w:val="22"/>
                <w:u w:val="single"/>
                <w:lang w:eastAsia="ja-JP"/>
              </w:rPr>
              <w:t xml:space="preserve">twice daily </w:t>
            </w:r>
            <w:r w:rsidRPr="00713B24">
              <w:rPr>
                <w:b/>
                <w:color w:val="211D1E"/>
                <w:sz w:val="22"/>
                <w:szCs w:val="22"/>
                <w:u w:val="single"/>
                <w:lang w:eastAsia="ja-JP"/>
              </w:rPr>
              <w:t>APR</w:t>
            </w:r>
            <w:r w:rsidRPr="00713B24">
              <w:rPr>
                <w:b/>
                <w:color w:val="211D1E"/>
                <w:sz w:val="22"/>
                <w:szCs w:val="22"/>
                <w:u w:val="single"/>
                <w:vertAlign w:val="superscript"/>
                <w:lang w:eastAsia="ja-JP"/>
              </w:rPr>
              <w:t>#</w:t>
            </w:r>
          </w:p>
        </w:tc>
        <w:tc>
          <w:tcPr>
            <w:tcW w:w="1701" w:type="dxa"/>
            <w:shd w:val="clear" w:color="auto" w:fill="FFFFFF"/>
          </w:tcPr>
          <w:p w:rsidR="00587811" w:rsidRPr="00713B24" w:rsidRDefault="00587811" w:rsidP="00713B24">
            <w:pPr>
              <w:autoSpaceDE w:val="0"/>
              <w:autoSpaceDN w:val="0"/>
              <w:adjustRightInd w:val="0"/>
              <w:spacing w:before="40" w:after="40"/>
              <w:jc w:val="center"/>
              <w:rPr>
                <w:b/>
                <w:color w:val="211D1E"/>
                <w:sz w:val="22"/>
                <w:szCs w:val="22"/>
                <w:u w:val="single"/>
                <w:lang w:eastAsia="ja-JP"/>
              </w:rPr>
            </w:pPr>
            <w:r w:rsidRPr="00713B24">
              <w:rPr>
                <w:b/>
                <w:color w:val="211D1E"/>
                <w:sz w:val="22"/>
                <w:szCs w:val="22"/>
                <w:u w:val="single"/>
                <w:lang w:eastAsia="ja-JP"/>
              </w:rPr>
              <w:t>Placebo</w:t>
            </w:r>
          </w:p>
        </w:tc>
        <w:tc>
          <w:tcPr>
            <w:tcW w:w="1701" w:type="dxa"/>
            <w:shd w:val="clear" w:color="auto" w:fill="FFFFFF"/>
          </w:tcPr>
          <w:p w:rsidR="00587811" w:rsidRPr="00713B24" w:rsidRDefault="00587811" w:rsidP="00713B24">
            <w:pPr>
              <w:autoSpaceDE w:val="0"/>
              <w:autoSpaceDN w:val="0"/>
              <w:adjustRightInd w:val="0"/>
              <w:spacing w:before="40" w:after="40"/>
              <w:jc w:val="center"/>
              <w:rPr>
                <w:b/>
                <w:color w:val="211D1E"/>
                <w:sz w:val="22"/>
                <w:szCs w:val="22"/>
                <w:u w:val="single"/>
                <w:lang w:eastAsia="ja-JP"/>
              </w:rPr>
            </w:pPr>
            <w:r w:rsidRPr="00713B24">
              <w:rPr>
                <w:b/>
                <w:color w:val="211D1E"/>
                <w:sz w:val="22"/>
                <w:szCs w:val="22"/>
                <w:u w:val="single"/>
                <w:lang w:eastAsia="ja-JP"/>
              </w:rPr>
              <w:t xml:space="preserve">30 mg </w:t>
            </w:r>
            <w:r w:rsidR="00866D05" w:rsidRPr="00713B24">
              <w:rPr>
                <w:b/>
                <w:color w:val="211D1E"/>
                <w:sz w:val="22"/>
                <w:szCs w:val="22"/>
                <w:u w:val="single"/>
                <w:lang w:eastAsia="ja-JP"/>
              </w:rPr>
              <w:t xml:space="preserve">twice daily </w:t>
            </w:r>
            <w:r w:rsidRPr="00713B24">
              <w:rPr>
                <w:b/>
                <w:color w:val="211D1E"/>
                <w:sz w:val="22"/>
                <w:szCs w:val="22"/>
                <w:u w:val="single"/>
                <w:lang w:eastAsia="ja-JP"/>
              </w:rPr>
              <w:t>APR</w:t>
            </w:r>
            <w:r w:rsidR="008A2906" w:rsidRPr="00713B24">
              <w:rPr>
                <w:b/>
                <w:color w:val="211D1E"/>
                <w:sz w:val="22"/>
                <w:szCs w:val="22"/>
                <w:u w:val="single"/>
                <w:vertAlign w:val="superscript"/>
                <w:lang w:eastAsia="ja-JP"/>
              </w:rPr>
              <w:t>#</w:t>
            </w:r>
          </w:p>
        </w:tc>
      </w:tr>
      <w:tr w:rsidR="00587811" w:rsidRPr="00713B24" w:rsidTr="00713B24">
        <w:trPr>
          <w:trHeight w:val="340"/>
        </w:trPr>
        <w:tc>
          <w:tcPr>
            <w:tcW w:w="2235" w:type="dxa"/>
            <w:shd w:val="clear" w:color="auto" w:fill="FFFFFF"/>
            <w:vAlign w:val="center"/>
          </w:tcPr>
          <w:p w:rsidR="00587811" w:rsidRPr="00713B24" w:rsidRDefault="00587811" w:rsidP="00713B24">
            <w:pPr>
              <w:autoSpaceDE w:val="0"/>
              <w:autoSpaceDN w:val="0"/>
              <w:adjustRightInd w:val="0"/>
              <w:spacing w:before="40" w:after="40"/>
              <w:rPr>
                <w:b/>
                <w:color w:val="211D1E"/>
                <w:sz w:val="22"/>
                <w:szCs w:val="22"/>
                <w:lang w:eastAsia="ja-JP"/>
              </w:rPr>
            </w:pPr>
            <w:r w:rsidRPr="00713B24">
              <w:rPr>
                <w:b/>
                <w:color w:val="211D1E"/>
                <w:sz w:val="22"/>
                <w:szCs w:val="22"/>
                <w:lang w:eastAsia="ja-JP"/>
              </w:rPr>
              <w:t>N</w:t>
            </w:r>
          </w:p>
        </w:tc>
        <w:tc>
          <w:tcPr>
            <w:tcW w:w="1701" w:type="dxa"/>
            <w:shd w:val="clear" w:color="auto" w:fill="FFFFFF"/>
            <w:vAlign w:val="center"/>
          </w:tcPr>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282</w:t>
            </w:r>
          </w:p>
        </w:tc>
        <w:tc>
          <w:tcPr>
            <w:tcW w:w="1701" w:type="dxa"/>
            <w:shd w:val="clear" w:color="auto" w:fill="FFFFFF"/>
            <w:vAlign w:val="center"/>
          </w:tcPr>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562</w:t>
            </w:r>
          </w:p>
        </w:tc>
        <w:tc>
          <w:tcPr>
            <w:tcW w:w="1701" w:type="dxa"/>
            <w:shd w:val="clear" w:color="auto" w:fill="FFFFFF"/>
            <w:vAlign w:val="center"/>
          </w:tcPr>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137</w:t>
            </w:r>
          </w:p>
        </w:tc>
        <w:tc>
          <w:tcPr>
            <w:tcW w:w="1701" w:type="dxa"/>
            <w:shd w:val="clear" w:color="auto" w:fill="FFFFFF"/>
            <w:vAlign w:val="center"/>
          </w:tcPr>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274</w:t>
            </w:r>
          </w:p>
        </w:tc>
      </w:tr>
      <w:tr w:rsidR="00587811" w:rsidRPr="00713B24" w:rsidTr="00713B24">
        <w:trPr>
          <w:trHeight w:val="340"/>
        </w:trPr>
        <w:tc>
          <w:tcPr>
            <w:tcW w:w="2235" w:type="dxa"/>
            <w:shd w:val="clear" w:color="auto" w:fill="FFFFFF"/>
            <w:vAlign w:val="center"/>
          </w:tcPr>
          <w:p w:rsidR="00587811" w:rsidRPr="00713B24" w:rsidRDefault="00587811" w:rsidP="00713B24">
            <w:pPr>
              <w:autoSpaceDE w:val="0"/>
              <w:autoSpaceDN w:val="0"/>
              <w:adjustRightInd w:val="0"/>
              <w:spacing w:before="40" w:after="40"/>
              <w:rPr>
                <w:b/>
                <w:color w:val="211D1E"/>
                <w:sz w:val="22"/>
                <w:szCs w:val="22"/>
                <w:lang w:eastAsia="ja-JP"/>
              </w:rPr>
            </w:pPr>
            <w:r w:rsidRPr="00713B24">
              <w:rPr>
                <w:b/>
                <w:color w:val="211D1E"/>
                <w:sz w:val="22"/>
                <w:szCs w:val="22"/>
                <w:lang w:eastAsia="ja-JP"/>
              </w:rPr>
              <w:t>PASI 75</w:t>
            </w:r>
            <w:r w:rsidR="00E02167" w:rsidRPr="00713B24">
              <w:rPr>
                <w:b/>
                <w:color w:val="211D1E"/>
                <w:sz w:val="22"/>
                <w:szCs w:val="22"/>
                <w:vertAlign w:val="superscript"/>
                <w:lang w:eastAsia="ja-JP"/>
              </w:rPr>
              <w:t>b</w:t>
            </w:r>
            <w:r w:rsidRPr="00713B24">
              <w:rPr>
                <w:b/>
                <w:color w:val="211D1E"/>
                <w:sz w:val="22"/>
                <w:szCs w:val="22"/>
                <w:lang w:eastAsia="ja-JP"/>
              </w:rPr>
              <w:t>, n (%)</w:t>
            </w:r>
          </w:p>
        </w:tc>
        <w:tc>
          <w:tcPr>
            <w:tcW w:w="1701" w:type="dxa"/>
            <w:shd w:val="clear" w:color="auto" w:fill="FFFFFF"/>
            <w:vAlign w:val="center"/>
          </w:tcPr>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15 (5.3)</w:t>
            </w:r>
          </w:p>
        </w:tc>
        <w:tc>
          <w:tcPr>
            <w:tcW w:w="1701" w:type="dxa"/>
            <w:shd w:val="clear" w:color="auto" w:fill="FFFFFF"/>
            <w:vAlign w:val="center"/>
          </w:tcPr>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186 (33.1)</w:t>
            </w:r>
          </w:p>
        </w:tc>
        <w:tc>
          <w:tcPr>
            <w:tcW w:w="1701" w:type="dxa"/>
            <w:shd w:val="clear" w:color="auto" w:fill="FFFFFF"/>
            <w:vAlign w:val="center"/>
          </w:tcPr>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8 (5.8)</w:t>
            </w:r>
          </w:p>
        </w:tc>
        <w:tc>
          <w:tcPr>
            <w:tcW w:w="1701" w:type="dxa"/>
            <w:shd w:val="clear" w:color="auto" w:fill="FFFFFF"/>
            <w:vAlign w:val="center"/>
          </w:tcPr>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79 (28.8)</w:t>
            </w:r>
          </w:p>
        </w:tc>
      </w:tr>
      <w:tr w:rsidR="00587811" w:rsidRPr="00713B24" w:rsidTr="00713B24">
        <w:trPr>
          <w:trHeight w:val="340"/>
        </w:trPr>
        <w:tc>
          <w:tcPr>
            <w:tcW w:w="2235" w:type="dxa"/>
            <w:shd w:val="clear" w:color="auto" w:fill="FFFFFF"/>
            <w:vAlign w:val="center"/>
          </w:tcPr>
          <w:p w:rsidR="00587811" w:rsidRPr="00713B24" w:rsidRDefault="00587811" w:rsidP="00713B24">
            <w:pPr>
              <w:autoSpaceDE w:val="0"/>
              <w:autoSpaceDN w:val="0"/>
              <w:adjustRightInd w:val="0"/>
              <w:spacing w:before="40" w:after="40"/>
              <w:rPr>
                <w:b/>
                <w:color w:val="211D1E"/>
                <w:sz w:val="22"/>
                <w:szCs w:val="22"/>
                <w:lang w:eastAsia="ja-JP"/>
              </w:rPr>
            </w:pPr>
            <w:r w:rsidRPr="00713B24">
              <w:rPr>
                <w:b/>
                <w:color w:val="211D1E"/>
                <w:sz w:val="22"/>
                <w:szCs w:val="22"/>
                <w:lang w:eastAsia="ja-JP"/>
              </w:rPr>
              <w:lastRenderedPageBreak/>
              <w:t>sPGA</w:t>
            </w:r>
            <w:r w:rsidR="00E02167" w:rsidRPr="00713B24">
              <w:rPr>
                <w:b/>
                <w:color w:val="211D1E"/>
                <w:sz w:val="22"/>
                <w:szCs w:val="22"/>
                <w:vertAlign w:val="superscript"/>
                <w:lang w:eastAsia="ja-JP"/>
              </w:rPr>
              <w:t>c</w:t>
            </w:r>
            <w:r w:rsidR="00C62305" w:rsidRPr="00713B24">
              <w:rPr>
                <w:b/>
                <w:color w:val="211D1E"/>
                <w:sz w:val="22"/>
                <w:szCs w:val="22"/>
                <w:lang w:eastAsia="ja-JP"/>
              </w:rPr>
              <w:t xml:space="preserve"> of Clear or </w:t>
            </w:r>
          </w:p>
          <w:p w:rsidR="00587811" w:rsidRPr="00713B24" w:rsidRDefault="00587811" w:rsidP="00713B24">
            <w:pPr>
              <w:autoSpaceDE w:val="0"/>
              <w:autoSpaceDN w:val="0"/>
              <w:adjustRightInd w:val="0"/>
              <w:spacing w:before="40" w:after="40"/>
              <w:rPr>
                <w:b/>
                <w:color w:val="211D1E"/>
                <w:sz w:val="22"/>
                <w:szCs w:val="22"/>
                <w:lang w:eastAsia="ja-JP"/>
              </w:rPr>
            </w:pPr>
            <w:r w:rsidRPr="00713B24">
              <w:rPr>
                <w:b/>
                <w:color w:val="211D1E"/>
                <w:sz w:val="22"/>
                <w:szCs w:val="22"/>
                <w:lang w:eastAsia="ja-JP"/>
              </w:rPr>
              <w:t>Almost Clear, n (%)</w:t>
            </w:r>
          </w:p>
        </w:tc>
        <w:tc>
          <w:tcPr>
            <w:tcW w:w="1701" w:type="dxa"/>
            <w:shd w:val="clear" w:color="auto" w:fill="FFFFFF"/>
            <w:vAlign w:val="center"/>
          </w:tcPr>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11 (3.9)</w:t>
            </w:r>
          </w:p>
        </w:tc>
        <w:tc>
          <w:tcPr>
            <w:tcW w:w="1701" w:type="dxa"/>
            <w:shd w:val="clear" w:color="auto" w:fill="FFFFFF"/>
            <w:vAlign w:val="center"/>
          </w:tcPr>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122 (21.7)</w:t>
            </w:r>
          </w:p>
        </w:tc>
        <w:tc>
          <w:tcPr>
            <w:tcW w:w="1701" w:type="dxa"/>
            <w:shd w:val="clear" w:color="auto" w:fill="FFFFFF"/>
            <w:vAlign w:val="center"/>
          </w:tcPr>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6 (4.4)</w:t>
            </w:r>
          </w:p>
        </w:tc>
        <w:tc>
          <w:tcPr>
            <w:tcW w:w="1701" w:type="dxa"/>
            <w:shd w:val="clear" w:color="auto" w:fill="FFFFFF"/>
            <w:vAlign w:val="center"/>
          </w:tcPr>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56 (20.4)</w:t>
            </w:r>
          </w:p>
        </w:tc>
      </w:tr>
      <w:tr w:rsidR="00587811" w:rsidRPr="00713B24" w:rsidTr="00713B24">
        <w:trPr>
          <w:trHeight w:val="340"/>
        </w:trPr>
        <w:tc>
          <w:tcPr>
            <w:tcW w:w="2235" w:type="dxa"/>
            <w:shd w:val="clear" w:color="auto" w:fill="FFFFFF"/>
            <w:vAlign w:val="center"/>
          </w:tcPr>
          <w:p w:rsidR="00587811" w:rsidRPr="00713B24" w:rsidRDefault="00587811" w:rsidP="00713B24">
            <w:pPr>
              <w:autoSpaceDE w:val="0"/>
              <w:autoSpaceDN w:val="0"/>
              <w:adjustRightInd w:val="0"/>
              <w:spacing w:before="40" w:after="40"/>
              <w:rPr>
                <w:b/>
                <w:color w:val="211D1E"/>
                <w:sz w:val="22"/>
                <w:szCs w:val="22"/>
                <w:lang w:eastAsia="ja-JP"/>
              </w:rPr>
            </w:pPr>
            <w:r w:rsidRPr="00713B24">
              <w:rPr>
                <w:b/>
                <w:color w:val="211D1E"/>
                <w:sz w:val="22"/>
                <w:szCs w:val="22"/>
                <w:lang w:eastAsia="ja-JP"/>
              </w:rPr>
              <w:t>PASI 50, n (%)</w:t>
            </w:r>
          </w:p>
        </w:tc>
        <w:tc>
          <w:tcPr>
            <w:tcW w:w="1701" w:type="dxa"/>
            <w:shd w:val="clear" w:color="auto" w:fill="FFFFFF"/>
            <w:vAlign w:val="center"/>
          </w:tcPr>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48 (17.0)</w:t>
            </w:r>
          </w:p>
        </w:tc>
        <w:tc>
          <w:tcPr>
            <w:tcW w:w="1701" w:type="dxa"/>
            <w:shd w:val="clear" w:color="auto" w:fill="FFFFFF"/>
            <w:vAlign w:val="center"/>
          </w:tcPr>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330 (58.7)</w:t>
            </w:r>
          </w:p>
        </w:tc>
        <w:tc>
          <w:tcPr>
            <w:tcW w:w="1701" w:type="dxa"/>
            <w:shd w:val="clear" w:color="auto" w:fill="FFFFFF"/>
            <w:vAlign w:val="center"/>
          </w:tcPr>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27 (19.7)</w:t>
            </w:r>
          </w:p>
        </w:tc>
        <w:tc>
          <w:tcPr>
            <w:tcW w:w="1701" w:type="dxa"/>
            <w:shd w:val="clear" w:color="auto" w:fill="FFFFFF"/>
            <w:vAlign w:val="center"/>
          </w:tcPr>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152 (55.5)</w:t>
            </w:r>
          </w:p>
        </w:tc>
      </w:tr>
      <w:tr w:rsidR="00587811" w:rsidRPr="00713B24" w:rsidTr="00713B24">
        <w:trPr>
          <w:trHeight w:val="340"/>
        </w:trPr>
        <w:tc>
          <w:tcPr>
            <w:tcW w:w="2235" w:type="dxa"/>
            <w:shd w:val="clear" w:color="auto" w:fill="FFFFFF"/>
            <w:vAlign w:val="center"/>
          </w:tcPr>
          <w:p w:rsidR="00587811" w:rsidRPr="00713B24" w:rsidRDefault="00587811" w:rsidP="00713B24">
            <w:pPr>
              <w:autoSpaceDE w:val="0"/>
              <w:autoSpaceDN w:val="0"/>
              <w:adjustRightInd w:val="0"/>
              <w:spacing w:before="40" w:after="40"/>
              <w:rPr>
                <w:b/>
                <w:color w:val="211D1E"/>
                <w:sz w:val="22"/>
                <w:szCs w:val="22"/>
                <w:lang w:eastAsia="ja-JP"/>
              </w:rPr>
            </w:pPr>
            <w:r w:rsidRPr="00713B24">
              <w:rPr>
                <w:b/>
                <w:color w:val="211D1E"/>
                <w:sz w:val="22"/>
                <w:szCs w:val="22"/>
                <w:lang w:eastAsia="ja-JP"/>
              </w:rPr>
              <w:t>PASI 90, n (%)</w:t>
            </w:r>
          </w:p>
        </w:tc>
        <w:tc>
          <w:tcPr>
            <w:tcW w:w="1701" w:type="dxa"/>
            <w:shd w:val="clear" w:color="auto" w:fill="FFFFFF"/>
            <w:vAlign w:val="center"/>
          </w:tcPr>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1 (0.4)</w:t>
            </w:r>
          </w:p>
        </w:tc>
        <w:tc>
          <w:tcPr>
            <w:tcW w:w="1701" w:type="dxa"/>
            <w:shd w:val="clear" w:color="auto" w:fill="FFFFFF"/>
            <w:vAlign w:val="center"/>
          </w:tcPr>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55 (9.8)</w:t>
            </w:r>
          </w:p>
        </w:tc>
        <w:tc>
          <w:tcPr>
            <w:tcW w:w="1701" w:type="dxa"/>
            <w:shd w:val="clear" w:color="auto" w:fill="FFFFFF"/>
            <w:vAlign w:val="center"/>
          </w:tcPr>
          <w:p w:rsidR="00587811" w:rsidRPr="00713B24" w:rsidRDefault="00561515"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2 (1.5)</w:t>
            </w:r>
          </w:p>
        </w:tc>
        <w:tc>
          <w:tcPr>
            <w:tcW w:w="1701" w:type="dxa"/>
            <w:shd w:val="clear" w:color="auto" w:fill="FFFFFF"/>
            <w:vAlign w:val="center"/>
          </w:tcPr>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24 (8.8)</w:t>
            </w:r>
          </w:p>
        </w:tc>
      </w:tr>
      <w:tr w:rsidR="00587811" w:rsidRPr="00713B24" w:rsidTr="00713B24">
        <w:trPr>
          <w:trHeight w:val="340"/>
        </w:trPr>
        <w:tc>
          <w:tcPr>
            <w:tcW w:w="2235" w:type="dxa"/>
            <w:shd w:val="clear" w:color="auto" w:fill="FFFFFF"/>
            <w:vAlign w:val="center"/>
          </w:tcPr>
          <w:p w:rsidR="00587811" w:rsidRPr="00713B24" w:rsidRDefault="00587811" w:rsidP="00713B24">
            <w:pPr>
              <w:autoSpaceDE w:val="0"/>
              <w:autoSpaceDN w:val="0"/>
              <w:adjustRightInd w:val="0"/>
              <w:spacing w:before="40" w:after="40"/>
              <w:rPr>
                <w:b/>
                <w:color w:val="211D1E"/>
                <w:sz w:val="22"/>
                <w:szCs w:val="22"/>
                <w:lang w:eastAsia="ja-JP"/>
              </w:rPr>
            </w:pPr>
            <w:r w:rsidRPr="00713B24">
              <w:rPr>
                <w:b/>
                <w:color w:val="211D1E"/>
                <w:sz w:val="22"/>
                <w:szCs w:val="22"/>
                <w:lang w:eastAsia="ja-JP"/>
              </w:rPr>
              <w:t>Percent Change BSA</w:t>
            </w:r>
            <w:r w:rsidRPr="00713B24">
              <w:rPr>
                <w:b/>
                <w:color w:val="211D1E"/>
                <w:sz w:val="22"/>
                <w:szCs w:val="22"/>
                <w:vertAlign w:val="superscript"/>
                <w:lang w:eastAsia="ja-JP"/>
              </w:rPr>
              <w:t>d</w:t>
            </w:r>
            <w:proofErr w:type="gramStart"/>
            <w:r w:rsidR="00774D30" w:rsidRPr="00713B24">
              <w:rPr>
                <w:b/>
                <w:color w:val="211D1E"/>
                <w:sz w:val="22"/>
                <w:szCs w:val="22"/>
                <w:vertAlign w:val="superscript"/>
                <w:lang w:eastAsia="ja-JP"/>
              </w:rPr>
              <w:t>,h</w:t>
            </w:r>
            <w:proofErr w:type="gramEnd"/>
            <w:r w:rsidRPr="00713B24">
              <w:rPr>
                <w:b/>
                <w:color w:val="211D1E"/>
                <w:sz w:val="22"/>
                <w:szCs w:val="22"/>
                <w:lang w:eastAsia="ja-JP"/>
              </w:rPr>
              <w:t xml:space="preserve"> (%)</w:t>
            </w:r>
          </w:p>
        </w:tc>
        <w:tc>
          <w:tcPr>
            <w:tcW w:w="1701" w:type="dxa"/>
            <w:shd w:val="clear" w:color="auto" w:fill="FFFFFF"/>
            <w:vAlign w:val="center"/>
          </w:tcPr>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- 6.9</w:t>
            </w:r>
          </w:p>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 38.95</w:t>
            </w:r>
          </w:p>
        </w:tc>
        <w:tc>
          <w:tcPr>
            <w:tcW w:w="1701" w:type="dxa"/>
            <w:shd w:val="clear" w:color="auto" w:fill="FFFFFF"/>
            <w:vAlign w:val="center"/>
          </w:tcPr>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- 47.8</w:t>
            </w:r>
          </w:p>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 38.48</w:t>
            </w:r>
          </w:p>
        </w:tc>
        <w:tc>
          <w:tcPr>
            <w:tcW w:w="1701" w:type="dxa"/>
            <w:shd w:val="clear" w:color="auto" w:fill="FFFFFF"/>
            <w:vAlign w:val="center"/>
          </w:tcPr>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- 6.1</w:t>
            </w:r>
          </w:p>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 47.57</w:t>
            </w:r>
          </w:p>
        </w:tc>
        <w:tc>
          <w:tcPr>
            <w:tcW w:w="1701" w:type="dxa"/>
            <w:shd w:val="clear" w:color="auto" w:fill="FFFFFF"/>
            <w:vAlign w:val="center"/>
          </w:tcPr>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-48.4</w:t>
            </w:r>
          </w:p>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 40.78</w:t>
            </w:r>
          </w:p>
        </w:tc>
      </w:tr>
      <w:tr w:rsidR="00587811" w:rsidRPr="00713B24" w:rsidTr="00713B24">
        <w:trPr>
          <w:trHeight w:val="340"/>
        </w:trPr>
        <w:tc>
          <w:tcPr>
            <w:tcW w:w="2235" w:type="dxa"/>
            <w:shd w:val="clear" w:color="auto" w:fill="FFFFFF"/>
            <w:vAlign w:val="center"/>
          </w:tcPr>
          <w:p w:rsidR="00587811" w:rsidRPr="00713B24" w:rsidRDefault="00587811" w:rsidP="00713B24">
            <w:pPr>
              <w:autoSpaceDE w:val="0"/>
              <w:autoSpaceDN w:val="0"/>
              <w:adjustRightInd w:val="0"/>
              <w:spacing w:before="40" w:after="40"/>
              <w:rPr>
                <w:b/>
                <w:color w:val="211D1E"/>
                <w:sz w:val="22"/>
                <w:szCs w:val="22"/>
                <w:lang w:eastAsia="ja-JP"/>
              </w:rPr>
            </w:pPr>
            <w:r w:rsidRPr="00713B24">
              <w:rPr>
                <w:b/>
                <w:color w:val="211D1E"/>
                <w:sz w:val="22"/>
                <w:szCs w:val="22"/>
                <w:lang w:eastAsia="ja-JP"/>
              </w:rPr>
              <w:t>Change in Pruritus VAS</w:t>
            </w:r>
            <w:r w:rsidRPr="00713B24">
              <w:rPr>
                <w:b/>
                <w:color w:val="211D1E"/>
                <w:sz w:val="22"/>
                <w:szCs w:val="22"/>
                <w:vertAlign w:val="superscript"/>
                <w:lang w:eastAsia="ja-JP"/>
              </w:rPr>
              <w:t>e</w:t>
            </w:r>
            <w:r w:rsidR="002E6C5C" w:rsidRPr="00713B24">
              <w:rPr>
                <w:b/>
                <w:color w:val="211D1E"/>
                <w:sz w:val="22"/>
                <w:szCs w:val="22"/>
                <w:vertAlign w:val="superscript"/>
                <w:lang w:eastAsia="ja-JP"/>
              </w:rPr>
              <w:t>,h</w:t>
            </w:r>
            <w:r w:rsidRPr="00713B24">
              <w:rPr>
                <w:b/>
                <w:color w:val="211D1E"/>
                <w:sz w:val="22"/>
                <w:szCs w:val="22"/>
                <w:lang w:eastAsia="ja-JP"/>
              </w:rPr>
              <w:t xml:space="preserve"> (mm)</w:t>
            </w:r>
          </w:p>
        </w:tc>
        <w:tc>
          <w:tcPr>
            <w:tcW w:w="1701" w:type="dxa"/>
            <w:shd w:val="clear" w:color="auto" w:fill="FFFFFF"/>
            <w:vAlign w:val="center"/>
          </w:tcPr>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- 7.3</w:t>
            </w:r>
          </w:p>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 27.08</w:t>
            </w:r>
          </w:p>
        </w:tc>
        <w:tc>
          <w:tcPr>
            <w:tcW w:w="1701" w:type="dxa"/>
            <w:shd w:val="clear" w:color="auto" w:fill="FFFFFF"/>
            <w:vAlign w:val="center"/>
          </w:tcPr>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- 31.5</w:t>
            </w:r>
          </w:p>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 32.43</w:t>
            </w:r>
          </w:p>
        </w:tc>
        <w:tc>
          <w:tcPr>
            <w:tcW w:w="1701" w:type="dxa"/>
            <w:shd w:val="clear" w:color="auto" w:fill="FFFFFF"/>
            <w:vAlign w:val="center"/>
          </w:tcPr>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- 12.2</w:t>
            </w:r>
          </w:p>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 30.94</w:t>
            </w:r>
          </w:p>
        </w:tc>
        <w:tc>
          <w:tcPr>
            <w:tcW w:w="1701" w:type="dxa"/>
            <w:shd w:val="clear" w:color="auto" w:fill="FFFFFF"/>
            <w:vAlign w:val="center"/>
          </w:tcPr>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- 33.5</w:t>
            </w:r>
          </w:p>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±35.46</w:t>
            </w:r>
          </w:p>
        </w:tc>
      </w:tr>
      <w:tr w:rsidR="00587811" w:rsidRPr="00713B24" w:rsidTr="00713B24">
        <w:trPr>
          <w:trHeight w:val="340"/>
        </w:trPr>
        <w:tc>
          <w:tcPr>
            <w:tcW w:w="2235" w:type="dxa"/>
            <w:shd w:val="clear" w:color="auto" w:fill="FFFFFF"/>
            <w:vAlign w:val="center"/>
          </w:tcPr>
          <w:p w:rsidR="00587811" w:rsidRPr="00713B24" w:rsidRDefault="00587811" w:rsidP="00713B24">
            <w:pPr>
              <w:autoSpaceDE w:val="0"/>
              <w:autoSpaceDN w:val="0"/>
              <w:adjustRightInd w:val="0"/>
              <w:spacing w:before="40" w:after="40"/>
              <w:rPr>
                <w:b/>
                <w:color w:val="211D1E"/>
                <w:sz w:val="22"/>
                <w:szCs w:val="22"/>
                <w:lang w:eastAsia="ja-JP"/>
              </w:rPr>
            </w:pPr>
            <w:r w:rsidRPr="00713B24">
              <w:rPr>
                <w:b/>
                <w:color w:val="211D1E"/>
                <w:sz w:val="22"/>
                <w:szCs w:val="22"/>
                <w:lang w:eastAsia="ja-JP"/>
              </w:rPr>
              <w:t>Change in DLQI</w:t>
            </w:r>
            <w:r w:rsidRPr="00713B24">
              <w:rPr>
                <w:b/>
                <w:color w:val="211D1E"/>
                <w:sz w:val="22"/>
                <w:szCs w:val="22"/>
                <w:vertAlign w:val="superscript"/>
                <w:lang w:eastAsia="ja-JP"/>
              </w:rPr>
              <w:t>f</w:t>
            </w:r>
            <w:r w:rsidR="002E6C5C" w:rsidRPr="00713B24">
              <w:rPr>
                <w:b/>
                <w:color w:val="211D1E"/>
                <w:sz w:val="22"/>
                <w:szCs w:val="22"/>
                <w:vertAlign w:val="superscript"/>
                <w:lang w:eastAsia="ja-JP"/>
              </w:rPr>
              <w:t>,h</w:t>
            </w:r>
          </w:p>
        </w:tc>
        <w:tc>
          <w:tcPr>
            <w:tcW w:w="1701" w:type="dxa"/>
            <w:shd w:val="clear" w:color="auto" w:fill="FFFFFF"/>
            <w:vAlign w:val="center"/>
          </w:tcPr>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- 2.1</w:t>
            </w:r>
          </w:p>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 5.69</w:t>
            </w:r>
          </w:p>
        </w:tc>
        <w:tc>
          <w:tcPr>
            <w:tcW w:w="1701" w:type="dxa"/>
            <w:shd w:val="clear" w:color="auto" w:fill="FFFFFF"/>
            <w:vAlign w:val="center"/>
          </w:tcPr>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- 6.6</w:t>
            </w:r>
          </w:p>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 6.66</w:t>
            </w:r>
          </w:p>
        </w:tc>
        <w:tc>
          <w:tcPr>
            <w:tcW w:w="1701" w:type="dxa"/>
            <w:shd w:val="clear" w:color="auto" w:fill="FFFFFF"/>
            <w:vAlign w:val="center"/>
          </w:tcPr>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-2.8</w:t>
            </w:r>
          </w:p>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 7.22</w:t>
            </w:r>
          </w:p>
        </w:tc>
        <w:tc>
          <w:tcPr>
            <w:tcW w:w="1701" w:type="dxa"/>
            <w:shd w:val="clear" w:color="auto" w:fill="FFFFFF"/>
            <w:vAlign w:val="center"/>
          </w:tcPr>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-6.7</w:t>
            </w:r>
          </w:p>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 6.95</w:t>
            </w:r>
          </w:p>
        </w:tc>
      </w:tr>
      <w:tr w:rsidR="00587811" w:rsidRPr="00713B24" w:rsidTr="00713B24">
        <w:trPr>
          <w:trHeight w:val="340"/>
        </w:trPr>
        <w:tc>
          <w:tcPr>
            <w:tcW w:w="2235" w:type="dxa"/>
            <w:shd w:val="clear" w:color="auto" w:fill="FFFFFF"/>
            <w:vAlign w:val="center"/>
          </w:tcPr>
          <w:p w:rsidR="00587811" w:rsidRPr="00713B24" w:rsidRDefault="00587811" w:rsidP="00713B24">
            <w:pPr>
              <w:autoSpaceDE w:val="0"/>
              <w:autoSpaceDN w:val="0"/>
              <w:adjustRightInd w:val="0"/>
              <w:spacing w:before="40" w:after="40"/>
              <w:rPr>
                <w:b/>
                <w:color w:val="211D1E"/>
                <w:sz w:val="22"/>
                <w:szCs w:val="22"/>
                <w:lang w:eastAsia="ja-JP"/>
              </w:rPr>
            </w:pPr>
            <w:r w:rsidRPr="00713B24">
              <w:rPr>
                <w:b/>
                <w:color w:val="211D1E"/>
                <w:sz w:val="22"/>
                <w:szCs w:val="22"/>
                <w:lang w:eastAsia="ja-JP"/>
              </w:rPr>
              <w:t>Change in SF-36 MCS</w:t>
            </w:r>
            <w:r w:rsidRPr="00713B24">
              <w:rPr>
                <w:b/>
                <w:color w:val="211D1E"/>
                <w:sz w:val="22"/>
                <w:szCs w:val="22"/>
                <w:vertAlign w:val="superscript"/>
                <w:lang w:eastAsia="ja-JP"/>
              </w:rPr>
              <w:t>g</w:t>
            </w:r>
            <w:r w:rsidR="00A01712" w:rsidRPr="00713B24">
              <w:rPr>
                <w:b/>
                <w:color w:val="211D1E"/>
                <w:sz w:val="22"/>
                <w:szCs w:val="22"/>
                <w:vertAlign w:val="superscript"/>
                <w:lang w:eastAsia="ja-JP"/>
              </w:rPr>
              <w:t>,h</w:t>
            </w:r>
          </w:p>
        </w:tc>
        <w:tc>
          <w:tcPr>
            <w:tcW w:w="1701" w:type="dxa"/>
            <w:shd w:val="clear" w:color="auto" w:fill="FFFFFF"/>
            <w:vAlign w:val="center"/>
          </w:tcPr>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- 1.02</w:t>
            </w:r>
          </w:p>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 9.161</w:t>
            </w:r>
          </w:p>
        </w:tc>
        <w:tc>
          <w:tcPr>
            <w:tcW w:w="1701" w:type="dxa"/>
            <w:shd w:val="clear" w:color="auto" w:fill="FFFFFF"/>
            <w:vAlign w:val="center"/>
          </w:tcPr>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2.39</w:t>
            </w:r>
          </w:p>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 9.504</w:t>
            </w:r>
          </w:p>
        </w:tc>
        <w:tc>
          <w:tcPr>
            <w:tcW w:w="1701" w:type="dxa"/>
            <w:shd w:val="clear" w:color="auto" w:fill="FFFFFF"/>
            <w:vAlign w:val="center"/>
          </w:tcPr>
          <w:p w:rsidR="00587811" w:rsidRPr="00713B24" w:rsidRDefault="00A01712"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0</w:t>
            </w:r>
            <w:r w:rsidR="009357FC" w:rsidRPr="00713B24">
              <w:rPr>
                <w:color w:val="211D1E"/>
                <w:sz w:val="22"/>
                <w:szCs w:val="22"/>
                <w:lang w:eastAsia="ja-JP"/>
              </w:rPr>
              <w:br/>
            </w:r>
            <w:r w:rsidR="00587811" w:rsidRPr="00713B24">
              <w:rPr>
                <w:color w:val="211D1E"/>
                <w:sz w:val="22"/>
                <w:szCs w:val="22"/>
                <w:lang w:eastAsia="ja-JP"/>
              </w:rPr>
              <w:t xml:space="preserve"> ±10.498</w:t>
            </w:r>
          </w:p>
        </w:tc>
        <w:tc>
          <w:tcPr>
            <w:tcW w:w="1701" w:type="dxa"/>
            <w:shd w:val="clear" w:color="auto" w:fill="FFFFFF"/>
            <w:vAlign w:val="center"/>
          </w:tcPr>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2.58</w:t>
            </w:r>
          </w:p>
          <w:p w:rsidR="00587811" w:rsidRPr="00713B24" w:rsidRDefault="00587811" w:rsidP="00713B24">
            <w:pPr>
              <w:autoSpaceDE w:val="0"/>
              <w:autoSpaceDN w:val="0"/>
              <w:adjustRightInd w:val="0"/>
              <w:spacing w:before="40" w:after="40"/>
              <w:jc w:val="center"/>
              <w:rPr>
                <w:color w:val="211D1E"/>
                <w:sz w:val="22"/>
                <w:szCs w:val="22"/>
                <w:lang w:eastAsia="ja-JP"/>
              </w:rPr>
            </w:pPr>
            <w:r w:rsidRPr="00713B24">
              <w:rPr>
                <w:color w:val="211D1E"/>
                <w:sz w:val="22"/>
                <w:szCs w:val="22"/>
                <w:lang w:eastAsia="ja-JP"/>
              </w:rPr>
              <w:t>± 10.129</w:t>
            </w:r>
          </w:p>
        </w:tc>
      </w:tr>
    </w:tbl>
    <w:p w:rsidR="00587811" w:rsidRPr="00894D19" w:rsidRDefault="008A2906" w:rsidP="00773186">
      <w:pPr>
        <w:rPr>
          <w:sz w:val="18"/>
          <w:szCs w:val="18"/>
        </w:rPr>
      </w:pPr>
      <w:r w:rsidRPr="00324226">
        <w:rPr>
          <w:b/>
          <w:color w:val="211D1E"/>
          <w:sz w:val="18"/>
          <w:szCs w:val="18"/>
          <w:u w:val="single"/>
          <w:vertAlign w:val="superscript"/>
          <w:lang w:eastAsia="ja-JP"/>
        </w:rPr>
        <w:t>#</w:t>
      </w:r>
      <w:r w:rsidR="00587C21" w:rsidRPr="00324226">
        <w:rPr>
          <w:sz w:val="18"/>
          <w:szCs w:val="18"/>
        </w:rPr>
        <w:t xml:space="preserve"> </w:t>
      </w:r>
      <w:proofErr w:type="gramStart"/>
      <w:r w:rsidR="00587C21" w:rsidRPr="00324226">
        <w:rPr>
          <w:sz w:val="18"/>
          <w:szCs w:val="18"/>
        </w:rPr>
        <w:t>p</w:t>
      </w:r>
      <w:proofErr w:type="gramEnd"/>
      <w:r w:rsidR="00587C21" w:rsidRPr="00324226">
        <w:rPr>
          <w:sz w:val="18"/>
          <w:szCs w:val="18"/>
        </w:rPr>
        <w:t xml:space="preserve">&lt; 0.0001 </w:t>
      </w:r>
      <w:r w:rsidRPr="00324226">
        <w:rPr>
          <w:color w:val="211D1E"/>
          <w:sz w:val="18"/>
          <w:szCs w:val="18"/>
          <w:lang w:eastAsia="ja-JP"/>
        </w:rPr>
        <w:t>for all comparisons vs. placebo, except for ESTEEM 2 PASI 90 and Change in SF-36 MCS where p = 0.0042 and p = 0.0078, respectivel</w:t>
      </w:r>
      <w:r w:rsidRPr="00894D19">
        <w:rPr>
          <w:sz w:val="18"/>
          <w:szCs w:val="18"/>
          <w:lang w:eastAsia="ja-JP"/>
        </w:rPr>
        <w:t>y.</w:t>
      </w:r>
    </w:p>
    <w:p w:rsidR="00E02167" w:rsidRDefault="00587811" w:rsidP="00773186">
      <w:pPr>
        <w:numPr>
          <w:ilvl w:val="12"/>
          <w:numId w:val="0"/>
        </w:numPr>
        <w:ind w:right="-2"/>
        <w:rPr>
          <w:iCs/>
          <w:noProof/>
          <w:sz w:val="18"/>
          <w:szCs w:val="18"/>
          <w:lang w:val="en-US"/>
        </w:rPr>
      </w:pPr>
      <w:r w:rsidRPr="00324226">
        <w:rPr>
          <w:iCs/>
          <w:noProof/>
          <w:sz w:val="18"/>
          <w:szCs w:val="18"/>
          <w:vertAlign w:val="superscript"/>
          <w:lang w:val="en-US"/>
        </w:rPr>
        <w:t>a</w:t>
      </w:r>
      <w:r w:rsidRPr="00324226">
        <w:rPr>
          <w:iCs/>
          <w:noProof/>
          <w:sz w:val="18"/>
          <w:szCs w:val="18"/>
          <w:lang w:val="en-US"/>
        </w:rPr>
        <w:t xml:space="preserve"> </w:t>
      </w:r>
      <w:r w:rsidR="00E02167" w:rsidRPr="00E02167">
        <w:rPr>
          <w:iCs/>
          <w:noProof/>
          <w:sz w:val="18"/>
          <w:szCs w:val="18"/>
          <w:lang w:val="en-US"/>
        </w:rPr>
        <w:t>Full Analysis Set</w:t>
      </w:r>
      <w:r w:rsidR="00E02167">
        <w:rPr>
          <w:iCs/>
          <w:noProof/>
          <w:sz w:val="18"/>
          <w:szCs w:val="18"/>
          <w:lang w:val="en-US"/>
        </w:rPr>
        <w:t>,</w:t>
      </w:r>
      <w:r w:rsidR="00E02167" w:rsidRPr="00E02167">
        <w:rPr>
          <w:iCs/>
          <w:noProof/>
          <w:sz w:val="18"/>
          <w:szCs w:val="18"/>
          <w:lang w:val="en-US"/>
        </w:rPr>
        <w:t xml:space="preserve"> </w:t>
      </w:r>
      <w:r w:rsidR="00ED5278">
        <w:rPr>
          <w:sz w:val="18"/>
          <w:szCs w:val="18"/>
          <w:lang w:val="en-AU" w:eastAsia="en-AU"/>
        </w:rPr>
        <w:t>L</w:t>
      </w:r>
      <w:r w:rsidR="00E02167" w:rsidRPr="00E02167">
        <w:rPr>
          <w:sz w:val="18"/>
          <w:szCs w:val="18"/>
          <w:lang w:val="en-AU" w:eastAsia="en-AU"/>
        </w:rPr>
        <w:t xml:space="preserve">ast </w:t>
      </w:r>
      <w:r w:rsidR="00ED5278">
        <w:rPr>
          <w:sz w:val="18"/>
          <w:szCs w:val="18"/>
          <w:lang w:val="en-AU" w:eastAsia="en-AU"/>
        </w:rPr>
        <w:t>O</w:t>
      </w:r>
      <w:r w:rsidR="00E02167" w:rsidRPr="00E02167">
        <w:rPr>
          <w:sz w:val="18"/>
          <w:szCs w:val="18"/>
          <w:lang w:val="en-AU" w:eastAsia="en-AU"/>
        </w:rPr>
        <w:t xml:space="preserve">bservation </w:t>
      </w:r>
      <w:r w:rsidR="00ED5278">
        <w:rPr>
          <w:sz w:val="18"/>
          <w:szCs w:val="18"/>
          <w:lang w:val="en-AU" w:eastAsia="en-AU"/>
        </w:rPr>
        <w:t>C</w:t>
      </w:r>
      <w:r w:rsidR="00E02167" w:rsidRPr="00E02167">
        <w:rPr>
          <w:sz w:val="18"/>
          <w:szCs w:val="18"/>
          <w:lang w:val="en-AU" w:eastAsia="en-AU"/>
        </w:rPr>
        <w:t xml:space="preserve">arried </w:t>
      </w:r>
      <w:r w:rsidR="00ED5278">
        <w:rPr>
          <w:sz w:val="18"/>
          <w:szCs w:val="18"/>
          <w:lang w:val="en-AU" w:eastAsia="en-AU"/>
        </w:rPr>
        <w:t>F</w:t>
      </w:r>
      <w:r w:rsidR="00E02167" w:rsidRPr="00E02167">
        <w:rPr>
          <w:sz w:val="18"/>
          <w:szCs w:val="18"/>
          <w:lang w:val="en-AU" w:eastAsia="en-AU"/>
        </w:rPr>
        <w:t>orward</w:t>
      </w:r>
    </w:p>
    <w:p w:rsidR="00587811" w:rsidRPr="00324226" w:rsidRDefault="00E02167" w:rsidP="00773186">
      <w:pPr>
        <w:numPr>
          <w:ilvl w:val="12"/>
          <w:numId w:val="0"/>
        </w:numPr>
        <w:ind w:right="-2"/>
        <w:rPr>
          <w:iCs/>
          <w:noProof/>
          <w:sz w:val="18"/>
          <w:szCs w:val="18"/>
          <w:lang w:val="en-US"/>
        </w:rPr>
      </w:pPr>
      <w:r w:rsidRPr="00E02167">
        <w:rPr>
          <w:iCs/>
          <w:noProof/>
          <w:sz w:val="18"/>
          <w:szCs w:val="18"/>
          <w:vertAlign w:val="superscript"/>
          <w:lang w:val="en-US"/>
        </w:rPr>
        <w:t>b</w:t>
      </w:r>
      <w:r>
        <w:rPr>
          <w:iCs/>
          <w:noProof/>
          <w:sz w:val="18"/>
          <w:szCs w:val="18"/>
          <w:lang w:val="en-US"/>
        </w:rPr>
        <w:t xml:space="preserve"> </w:t>
      </w:r>
      <w:r w:rsidR="00587811" w:rsidRPr="00324226">
        <w:rPr>
          <w:iCs/>
          <w:noProof/>
          <w:sz w:val="18"/>
          <w:szCs w:val="18"/>
          <w:lang w:val="en-US"/>
        </w:rPr>
        <w:t>PASI = Psoriasis Area and Severity Index</w:t>
      </w:r>
    </w:p>
    <w:p w:rsidR="00587811" w:rsidRPr="00324226" w:rsidRDefault="00E02167" w:rsidP="00773186">
      <w:pPr>
        <w:numPr>
          <w:ilvl w:val="12"/>
          <w:numId w:val="0"/>
        </w:numPr>
        <w:ind w:right="-2"/>
        <w:rPr>
          <w:iCs/>
          <w:noProof/>
          <w:sz w:val="18"/>
          <w:szCs w:val="18"/>
          <w:lang w:val="en-US"/>
        </w:rPr>
      </w:pPr>
      <w:r>
        <w:rPr>
          <w:iCs/>
          <w:noProof/>
          <w:sz w:val="18"/>
          <w:szCs w:val="18"/>
          <w:vertAlign w:val="superscript"/>
          <w:lang w:val="en-US"/>
        </w:rPr>
        <w:t>c</w:t>
      </w:r>
      <w:r w:rsidR="00587811" w:rsidRPr="00324226">
        <w:rPr>
          <w:iCs/>
          <w:noProof/>
          <w:sz w:val="18"/>
          <w:szCs w:val="18"/>
          <w:lang w:val="en-US"/>
        </w:rPr>
        <w:t xml:space="preserve"> sPGA = Static Physician Global Assessment</w:t>
      </w:r>
    </w:p>
    <w:p w:rsidR="00587811" w:rsidRPr="00324226" w:rsidRDefault="00587811" w:rsidP="00773186">
      <w:pPr>
        <w:numPr>
          <w:ilvl w:val="12"/>
          <w:numId w:val="0"/>
        </w:numPr>
        <w:ind w:right="-2"/>
        <w:rPr>
          <w:iCs/>
          <w:noProof/>
          <w:sz w:val="18"/>
          <w:szCs w:val="18"/>
          <w:lang w:val="en-US"/>
        </w:rPr>
      </w:pPr>
      <w:r w:rsidRPr="00324226">
        <w:rPr>
          <w:iCs/>
          <w:noProof/>
          <w:sz w:val="18"/>
          <w:szCs w:val="18"/>
          <w:vertAlign w:val="superscript"/>
          <w:lang w:val="en-US"/>
        </w:rPr>
        <w:t>d</w:t>
      </w:r>
      <w:r w:rsidRPr="00324226">
        <w:rPr>
          <w:iCs/>
          <w:noProof/>
          <w:sz w:val="18"/>
          <w:szCs w:val="18"/>
          <w:lang w:val="en-US"/>
        </w:rPr>
        <w:t xml:space="preserve"> BSA = Body Surface Area </w:t>
      </w:r>
    </w:p>
    <w:p w:rsidR="00587811" w:rsidRPr="00324226" w:rsidRDefault="00587811" w:rsidP="00773186">
      <w:pPr>
        <w:numPr>
          <w:ilvl w:val="12"/>
          <w:numId w:val="0"/>
        </w:numPr>
        <w:ind w:right="-2"/>
        <w:rPr>
          <w:iCs/>
          <w:noProof/>
          <w:sz w:val="18"/>
          <w:szCs w:val="18"/>
          <w:lang w:val="en-US"/>
        </w:rPr>
      </w:pPr>
      <w:r w:rsidRPr="00324226">
        <w:rPr>
          <w:iCs/>
          <w:noProof/>
          <w:sz w:val="18"/>
          <w:szCs w:val="18"/>
          <w:vertAlign w:val="superscript"/>
          <w:lang w:val="en-US"/>
        </w:rPr>
        <w:t>e</w:t>
      </w:r>
      <w:r w:rsidRPr="00324226">
        <w:rPr>
          <w:iCs/>
          <w:noProof/>
          <w:sz w:val="18"/>
          <w:szCs w:val="18"/>
          <w:lang w:val="en-US"/>
        </w:rPr>
        <w:t xml:space="preserve"> VAS = Visual Analog Scale; 0 = best, 100 = worst</w:t>
      </w:r>
    </w:p>
    <w:p w:rsidR="00587811" w:rsidRPr="00324226" w:rsidRDefault="00587811" w:rsidP="00773186">
      <w:pPr>
        <w:numPr>
          <w:ilvl w:val="12"/>
          <w:numId w:val="0"/>
        </w:numPr>
        <w:ind w:right="-2"/>
        <w:rPr>
          <w:iCs/>
          <w:noProof/>
          <w:sz w:val="18"/>
          <w:szCs w:val="18"/>
          <w:lang w:val="en-US"/>
        </w:rPr>
      </w:pPr>
      <w:r w:rsidRPr="00324226">
        <w:rPr>
          <w:iCs/>
          <w:noProof/>
          <w:sz w:val="18"/>
          <w:szCs w:val="18"/>
          <w:vertAlign w:val="superscript"/>
          <w:lang w:val="en-US"/>
        </w:rPr>
        <w:t>f</w:t>
      </w:r>
      <w:r w:rsidRPr="00324226">
        <w:rPr>
          <w:iCs/>
          <w:noProof/>
          <w:sz w:val="18"/>
          <w:szCs w:val="18"/>
          <w:lang w:val="en-US"/>
        </w:rPr>
        <w:t xml:space="preserve"> DLQI = Dermatology Life Quality Index; 0 = best, 30 = worst</w:t>
      </w:r>
    </w:p>
    <w:p w:rsidR="00587811" w:rsidRPr="00324226" w:rsidRDefault="00587811" w:rsidP="00773186">
      <w:pPr>
        <w:numPr>
          <w:ilvl w:val="12"/>
          <w:numId w:val="0"/>
        </w:numPr>
        <w:ind w:right="-2"/>
        <w:rPr>
          <w:iCs/>
          <w:noProof/>
          <w:sz w:val="18"/>
          <w:szCs w:val="18"/>
          <w:lang w:val="en-US"/>
        </w:rPr>
      </w:pPr>
      <w:r w:rsidRPr="00324226">
        <w:rPr>
          <w:iCs/>
          <w:noProof/>
          <w:sz w:val="18"/>
          <w:szCs w:val="18"/>
          <w:vertAlign w:val="superscript"/>
          <w:lang w:val="en-US"/>
        </w:rPr>
        <w:t>g</w:t>
      </w:r>
      <w:r w:rsidRPr="00324226">
        <w:rPr>
          <w:iCs/>
          <w:noProof/>
          <w:sz w:val="18"/>
          <w:szCs w:val="18"/>
          <w:lang w:val="en-US"/>
        </w:rPr>
        <w:t xml:space="preserve"> SF-36 MCS = Medical Outcome Study Short Form 36-Item Health Survey, Mental Component Summary</w:t>
      </w:r>
    </w:p>
    <w:p w:rsidR="00C32485" w:rsidRPr="00324226" w:rsidRDefault="00C32485" w:rsidP="00773186">
      <w:pPr>
        <w:pStyle w:val="C-BodyText"/>
        <w:spacing w:before="0" w:after="0" w:line="240" w:lineRule="auto"/>
        <w:rPr>
          <w:b/>
          <w:sz w:val="18"/>
          <w:szCs w:val="18"/>
        </w:rPr>
      </w:pPr>
      <w:proofErr w:type="gramStart"/>
      <w:r w:rsidRPr="00324226">
        <w:rPr>
          <w:color w:val="211D1E"/>
          <w:sz w:val="18"/>
          <w:szCs w:val="18"/>
          <w:vertAlign w:val="superscript"/>
          <w:lang w:eastAsia="ja-JP"/>
        </w:rPr>
        <w:t>h</w:t>
      </w:r>
      <w:proofErr w:type="gramEnd"/>
      <w:r w:rsidRPr="00324226">
        <w:rPr>
          <w:color w:val="211D1E"/>
          <w:sz w:val="18"/>
          <w:szCs w:val="18"/>
          <w:lang w:eastAsia="ja-JP"/>
        </w:rPr>
        <w:t xml:space="preserve"> mean +/- standard deviation</w:t>
      </w:r>
    </w:p>
    <w:p w:rsidR="00587811" w:rsidRPr="00587811" w:rsidRDefault="00587811" w:rsidP="00672ED0">
      <w:pPr>
        <w:rPr>
          <w:sz w:val="22"/>
          <w:szCs w:val="22"/>
          <w:lang w:val="en-US"/>
        </w:rPr>
      </w:pPr>
    </w:p>
    <w:p w:rsidR="001E2D1E" w:rsidRDefault="00D95DC3">
      <w:pPr>
        <w:rPr>
          <w:sz w:val="22"/>
          <w:szCs w:val="22"/>
        </w:rPr>
      </w:pPr>
      <w:r w:rsidRPr="00450A5A">
        <w:rPr>
          <w:sz w:val="22"/>
          <w:szCs w:val="22"/>
        </w:rPr>
        <w:t xml:space="preserve">The clinical benefit of </w:t>
      </w:r>
      <w:r w:rsidR="006D0511">
        <w:rPr>
          <w:sz w:val="22"/>
          <w:szCs w:val="22"/>
        </w:rPr>
        <w:t>Otezla</w:t>
      </w:r>
      <w:r w:rsidRPr="00450A5A">
        <w:rPr>
          <w:sz w:val="22"/>
          <w:szCs w:val="22"/>
        </w:rPr>
        <w:t xml:space="preserve"> was demonstrated across multiple subgroups defined by baseline demographics, baseline clinical disease characteristics (including psoriasis disease duration and patients with a history of psoriatic arthritis), prior psoriasis medication usage and response to prior psoriasis treatments.  Similar response rates were observed across all weight ranges.</w:t>
      </w:r>
    </w:p>
    <w:p w:rsidR="00773186" w:rsidRDefault="00773186" w:rsidP="00E46E06">
      <w:pPr>
        <w:numPr>
          <w:ilvl w:val="12"/>
          <w:numId w:val="0"/>
        </w:numPr>
        <w:ind w:right="-2"/>
        <w:rPr>
          <w:i/>
          <w:iCs/>
          <w:noProof/>
          <w:sz w:val="22"/>
          <w:szCs w:val="22"/>
        </w:rPr>
      </w:pPr>
    </w:p>
    <w:p w:rsidR="00D95DC3" w:rsidRPr="00904FBC" w:rsidRDefault="00D5178B" w:rsidP="00E81108">
      <w:pPr>
        <w:pStyle w:val="ListParagraph"/>
        <w:tabs>
          <w:tab w:val="left" w:pos="0"/>
        </w:tabs>
        <w:ind w:left="0"/>
        <w:rPr>
          <w:sz w:val="22"/>
          <w:szCs w:val="22"/>
        </w:rPr>
      </w:pPr>
      <w:r>
        <w:rPr>
          <w:sz w:val="22"/>
          <w:szCs w:val="22"/>
        </w:rPr>
        <w:t>S</w:t>
      </w:r>
      <w:r w:rsidR="00D95DC3" w:rsidRPr="00FA3987">
        <w:rPr>
          <w:sz w:val="22"/>
          <w:szCs w:val="22"/>
        </w:rPr>
        <w:t>ignificantly</w:t>
      </w:r>
      <w:r w:rsidR="00D95DC3" w:rsidRPr="00450A5A">
        <w:rPr>
          <w:sz w:val="22"/>
          <w:szCs w:val="22"/>
        </w:rPr>
        <w:t xml:space="preserve"> greater improvements compared to placebo in </w:t>
      </w:r>
      <w:r>
        <w:rPr>
          <w:sz w:val="22"/>
          <w:szCs w:val="22"/>
        </w:rPr>
        <w:t xml:space="preserve">mean % change in </w:t>
      </w:r>
      <w:r w:rsidR="00D95DC3" w:rsidRPr="00450A5A">
        <w:rPr>
          <w:sz w:val="22"/>
          <w:szCs w:val="22"/>
        </w:rPr>
        <w:t>PASI</w:t>
      </w:r>
      <w:r>
        <w:rPr>
          <w:sz w:val="22"/>
          <w:szCs w:val="22"/>
        </w:rPr>
        <w:t xml:space="preserve"> from baseline</w:t>
      </w:r>
      <w:r w:rsidR="00D95DC3" w:rsidRPr="00450A5A">
        <w:rPr>
          <w:sz w:val="22"/>
          <w:szCs w:val="22"/>
        </w:rPr>
        <w:t>, skin discomfort</w:t>
      </w:r>
      <w:r>
        <w:rPr>
          <w:sz w:val="22"/>
          <w:szCs w:val="22"/>
        </w:rPr>
        <w:t>/pain</w:t>
      </w:r>
      <w:r w:rsidR="00D95DC3" w:rsidRPr="00450A5A">
        <w:rPr>
          <w:sz w:val="22"/>
          <w:szCs w:val="22"/>
        </w:rPr>
        <w:t xml:space="preserve"> and pruritus </w:t>
      </w:r>
      <w:r>
        <w:rPr>
          <w:sz w:val="22"/>
          <w:szCs w:val="22"/>
        </w:rPr>
        <w:t xml:space="preserve">were observed </w:t>
      </w:r>
      <w:r w:rsidR="003F1AED">
        <w:rPr>
          <w:sz w:val="22"/>
          <w:szCs w:val="22"/>
        </w:rPr>
        <w:t>at</w:t>
      </w:r>
      <w:r w:rsidR="00D95DC3" w:rsidRPr="00450A5A">
        <w:rPr>
          <w:sz w:val="22"/>
          <w:szCs w:val="22"/>
        </w:rPr>
        <w:t xml:space="preserve"> Week 2.  In general, PASI </w:t>
      </w:r>
      <w:r w:rsidR="00D95DC3" w:rsidRPr="00904FBC">
        <w:rPr>
          <w:sz w:val="22"/>
          <w:szCs w:val="22"/>
        </w:rPr>
        <w:t>responses were achieved by Week 16 and were sustained through Week 32.</w:t>
      </w:r>
    </w:p>
    <w:p w:rsidR="00904FBC" w:rsidRPr="00904FBC" w:rsidRDefault="00904FBC" w:rsidP="00904FBC">
      <w:pPr>
        <w:pStyle w:val="ListParagraph"/>
        <w:tabs>
          <w:tab w:val="left" w:pos="0"/>
        </w:tabs>
        <w:ind w:left="0"/>
        <w:rPr>
          <w:sz w:val="22"/>
          <w:szCs w:val="22"/>
        </w:rPr>
      </w:pPr>
    </w:p>
    <w:p w:rsidR="00E02167" w:rsidRDefault="00E02167" w:rsidP="00E81108">
      <w:pPr>
        <w:numPr>
          <w:ilvl w:val="12"/>
          <w:numId w:val="0"/>
        </w:numPr>
        <w:rPr>
          <w:iCs/>
          <w:noProof/>
          <w:sz w:val="22"/>
          <w:szCs w:val="22"/>
        </w:rPr>
      </w:pPr>
      <w:r w:rsidRPr="00E02167">
        <w:rPr>
          <w:iCs/>
          <w:noProof/>
          <w:sz w:val="22"/>
          <w:szCs w:val="22"/>
        </w:rPr>
        <w:t xml:space="preserve">During the Randomized Treatment Withdrawal Phase (Weeks 32 – 52) in Study ESTEEM 1, the mean percent improvement in PASI from Baseline remained stable (81-88%) for patients re-randomized to </w:t>
      </w:r>
      <w:r w:rsidR="00C52EF8">
        <w:rPr>
          <w:iCs/>
          <w:noProof/>
          <w:sz w:val="22"/>
          <w:szCs w:val="22"/>
        </w:rPr>
        <w:t>Otezla</w:t>
      </w:r>
      <w:r w:rsidRPr="00E02167">
        <w:rPr>
          <w:iCs/>
          <w:noProof/>
          <w:sz w:val="22"/>
          <w:szCs w:val="22"/>
        </w:rPr>
        <w:t xml:space="preserve"> at Week 32.  Approximately 61% of these patients had a PASI-75 response at Week 52.  Of the patients re-randomized to placebo at Week 32, 11.7% achieved PASI-75 response at Week 52.  Patients who were re-randomized to placebo lost PASI-75 response faster than patients re-randomized to </w:t>
      </w:r>
      <w:r w:rsidR="00C52EF8">
        <w:rPr>
          <w:iCs/>
          <w:noProof/>
          <w:sz w:val="22"/>
          <w:szCs w:val="22"/>
        </w:rPr>
        <w:t>Otezla</w:t>
      </w:r>
      <w:r w:rsidRPr="00E02167">
        <w:rPr>
          <w:iCs/>
          <w:noProof/>
          <w:sz w:val="22"/>
          <w:szCs w:val="22"/>
        </w:rPr>
        <w:t xml:space="preserve">.  The median time to first loss of PASI-75 response for patients re-randomized to placebo and </w:t>
      </w:r>
      <w:r w:rsidR="00C52EF8">
        <w:rPr>
          <w:iCs/>
          <w:noProof/>
          <w:sz w:val="22"/>
          <w:szCs w:val="22"/>
        </w:rPr>
        <w:t>Otezla</w:t>
      </w:r>
      <w:r w:rsidRPr="00E02167">
        <w:rPr>
          <w:iCs/>
          <w:noProof/>
          <w:sz w:val="22"/>
          <w:szCs w:val="22"/>
        </w:rPr>
        <w:t xml:space="preserve"> at Week 32 was 5.1 and 17.7 weeks, respectively</w:t>
      </w:r>
      <w:r w:rsidR="001E2D1E">
        <w:rPr>
          <w:iCs/>
          <w:noProof/>
          <w:sz w:val="22"/>
          <w:szCs w:val="22"/>
        </w:rPr>
        <w:t>.</w:t>
      </w:r>
    </w:p>
    <w:p w:rsidR="00E81108" w:rsidRDefault="00E81108" w:rsidP="00E81108">
      <w:pPr>
        <w:numPr>
          <w:ilvl w:val="12"/>
          <w:numId w:val="0"/>
        </w:numPr>
        <w:rPr>
          <w:iCs/>
          <w:noProof/>
          <w:sz w:val="22"/>
          <w:szCs w:val="22"/>
        </w:rPr>
      </w:pPr>
    </w:p>
    <w:p w:rsidR="00E02167" w:rsidRDefault="00E02167" w:rsidP="00E81108">
      <w:pPr>
        <w:numPr>
          <w:ilvl w:val="12"/>
          <w:numId w:val="0"/>
        </w:numPr>
        <w:rPr>
          <w:iCs/>
          <w:noProof/>
          <w:sz w:val="22"/>
          <w:szCs w:val="22"/>
        </w:rPr>
      </w:pPr>
      <w:r w:rsidRPr="00E02167">
        <w:rPr>
          <w:iCs/>
          <w:noProof/>
          <w:sz w:val="22"/>
          <w:szCs w:val="22"/>
        </w:rPr>
        <w:t xml:space="preserve">In Study ESTEEM 2, 80.3% of patients re-randomized to </w:t>
      </w:r>
      <w:r w:rsidR="00C52EF8">
        <w:rPr>
          <w:iCs/>
          <w:noProof/>
          <w:sz w:val="22"/>
          <w:szCs w:val="22"/>
        </w:rPr>
        <w:t>Otezla</w:t>
      </w:r>
      <w:r w:rsidRPr="00E02167">
        <w:rPr>
          <w:iCs/>
          <w:noProof/>
          <w:sz w:val="22"/>
          <w:szCs w:val="22"/>
        </w:rPr>
        <w:t xml:space="preserve"> at Week 32 had a PASI-50 response at Week 52.  Of the patients with at least a PASI-50 response who were re-randomized to placebo at Week 32, 24.2% were PASI-50 responders at Week 52.  Patients who were re-randomized to placebo lost 50% of their Week 32 PASI response significantly faster than patients re-randomized to </w:t>
      </w:r>
      <w:r w:rsidR="00C52EF8">
        <w:rPr>
          <w:iCs/>
          <w:noProof/>
          <w:sz w:val="22"/>
          <w:szCs w:val="22"/>
        </w:rPr>
        <w:t>Otezla</w:t>
      </w:r>
      <w:r w:rsidRPr="00E02167">
        <w:rPr>
          <w:iCs/>
          <w:noProof/>
          <w:sz w:val="22"/>
          <w:szCs w:val="22"/>
        </w:rPr>
        <w:t xml:space="preserve">.  The median time to first loss of PASI-50 response for patients re-randomized to placebo and </w:t>
      </w:r>
      <w:r w:rsidR="00C52EF8">
        <w:rPr>
          <w:iCs/>
          <w:noProof/>
          <w:sz w:val="22"/>
          <w:szCs w:val="22"/>
        </w:rPr>
        <w:t>Otezla</w:t>
      </w:r>
      <w:r w:rsidRPr="00E02167">
        <w:rPr>
          <w:iCs/>
          <w:noProof/>
          <w:sz w:val="22"/>
          <w:szCs w:val="22"/>
        </w:rPr>
        <w:t xml:space="preserve"> at Week 32 was 12.4 and 21.9 weeks, respectively.</w:t>
      </w:r>
    </w:p>
    <w:p w:rsidR="000C7C0D" w:rsidRPr="00450A5A" w:rsidRDefault="000C7C0D" w:rsidP="00E81108">
      <w:pPr>
        <w:numPr>
          <w:ilvl w:val="12"/>
          <w:numId w:val="0"/>
        </w:numPr>
        <w:rPr>
          <w:iCs/>
          <w:noProof/>
          <w:sz w:val="22"/>
          <w:szCs w:val="22"/>
        </w:rPr>
      </w:pPr>
    </w:p>
    <w:p w:rsidR="000C7C0D" w:rsidRPr="00FB6D30" w:rsidRDefault="00296A54" w:rsidP="00E81108">
      <w:pPr>
        <w:pStyle w:val="C-BodyText"/>
        <w:spacing w:before="0" w:after="0" w:line="240" w:lineRule="auto"/>
        <w:rPr>
          <w:sz w:val="22"/>
          <w:szCs w:val="22"/>
        </w:rPr>
      </w:pPr>
      <w:r>
        <w:rPr>
          <w:sz w:val="22"/>
          <w:szCs w:val="22"/>
        </w:rPr>
        <w:t>After</w:t>
      </w:r>
      <w:r w:rsidRPr="00405DCB">
        <w:rPr>
          <w:sz w:val="22"/>
          <w:szCs w:val="22"/>
          <w:lang w:val="en-GB"/>
        </w:rPr>
        <w:t xml:space="preserve"> randomis</w:t>
      </w:r>
      <w:r w:rsidR="000C7C0D" w:rsidRPr="00405DCB">
        <w:rPr>
          <w:sz w:val="22"/>
          <w:szCs w:val="22"/>
          <w:lang w:val="en-GB"/>
        </w:rPr>
        <w:t>ed</w:t>
      </w:r>
      <w:r w:rsidR="000C7C0D" w:rsidRPr="00450A5A">
        <w:rPr>
          <w:sz w:val="22"/>
          <w:szCs w:val="22"/>
        </w:rPr>
        <w:t xml:space="preserve"> withdrawal from therapy at Week 32, approximately 70% of patients in Study ESTEEM 1, and 65.6% </w:t>
      </w:r>
      <w:r w:rsidR="000C7C0D" w:rsidRPr="00FB6D30">
        <w:rPr>
          <w:sz w:val="22"/>
          <w:szCs w:val="22"/>
        </w:rPr>
        <w:t xml:space="preserve">of patients in Study ESTEEM 2, regained PASI-75 (Study ESTEEM 1) or PASI-50 (Study ESTEEM 2) responses after re-initiation of </w:t>
      </w:r>
      <w:r w:rsidR="006D0511" w:rsidRPr="00FB6D30">
        <w:rPr>
          <w:sz w:val="22"/>
          <w:szCs w:val="22"/>
        </w:rPr>
        <w:t>Otezla</w:t>
      </w:r>
      <w:r w:rsidR="000C7C0D" w:rsidRPr="00FB6D30">
        <w:rPr>
          <w:sz w:val="22"/>
          <w:szCs w:val="22"/>
        </w:rPr>
        <w:t xml:space="preserve"> treatment.  The duration of re-treatment was variable, and ranged from 3.4 to 22.1 weeks in Study ESTEEM 1 and from 2.6 to 18.3 weeks in Study ESTEEM 2. </w:t>
      </w:r>
    </w:p>
    <w:p w:rsidR="000C7C0D" w:rsidRPr="00450A5A" w:rsidRDefault="000C7C0D" w:rsidP="00450A5A">
      <w:pPr>
        <w:numPr>
          <w:ilvl w:val="12"/>
          <w:numId w:val="0"/>
        </w:numPr>
        <w:ind w:right="-2"/>
        <w:rPr>
          <w:iCs/>
          <w:noProof/>
          <w:sz w:val="22"/>
          <w:szCs w:val="22"/>
          <w:lang w:val="en-US"/>
        </w:rPr>
      </w:pPr>
    </w:p>
    <w:p w:rsidR="000C7C0D" w:rsidRPr="00324226" w:rsidRDefault="000C7C0D" w:rsidP="00F80F51">
      <w:pPr>
        <w:rPr>
          <w:i/>
          <w:sz w:val="22"/>
          <w:szCs w:val="22"/>
        </w:rPr>
      </w:pPr>
      <w:r w:rsidRPr="00450A5A">
        <w:rPr>
          <w:i/>
          <w:sz w:val="22"/>
          <w:szCs w:val="22"/>
        </w:rPr>
        <w:lastRenderedPageBreak/>
        <w:t>Nail Psoriasis</w:t>
      </w:r>
    </w:p>
    <w:p w:rsidR="000C7C0D" w:rsidRPr="00450A5A" w:rsidRDefault="000C7C0D" w:rsidP="00C62305">
      <w:pPr>
        <w:autoSpaceDE w:val="0"/>
        <w:autoSpaceDN w:val="0"/>
        <w:adjustRightInd w:val="0"/>
        <w:spacing w:before="120"/>
        <w:rPr>
          <w:sz w:val="22"/>
          <w:szCs w:val="22"/>
        </w:rPr>
      </w:pPr>
      <w:r w:rsidRPr="00450A5A">
        <w:rPr>
          <w:sz w:val="22"/>
          <w:szCs w:val="22"/>
          <w:lang w:eastAsia="ja-JP"/>
        </w:rPr>
        <w:t>In Study ESTEE</w:t>
      </w:r>
      <w:r w:rsidRPr="008611EE">
        <w:rPr>
          <w:sz w:val="22"/>
          <w:szCs w:val="22"/>
          <w:lang w:eastAsia="ja-JP"/>
        </w:rPr>
        <w:t>M 1, significant im</w:t>
      </w:r>
      <w:r w:rsidRPr="00450A5A">
        <w:rPr>
          <w:sz w:val="22"/>
          <w:szCs w:val="22"/>
          <w:lang w:eastAsia="ja-JP"/>
        </w:rPr>
        <w:t xml:space="preserve">provements (reductions) in nail psoriasis, as measured by the mean percent change in Nail Psoriasis Severity Index (NAPSI) from Baseline, were detected in patients receiving </w:t>
      </w:r>
      <w:r w:rsidR="00135A02">
        <w:rPr>
          <w:sz w:val="22"/>
          <w:szCs w:val="22"/>
          <w:lang w:eastAsia="ja-JP"/>
        </w:rPr>
        <w:t>Otezla</w:t>
      </w:r>
      <w:r w:rsidRPr="00450A5A">
        <w:rPr>
          <w:sz w:val="22"/>
          <w:szCs w:val="22"/>
          <w:lang w:eastAsia="ja-JP"/>
        </w:rPr>
        <w:t xml:space="preserve"> compared with placebo-treated patients at Week 16 (</w:t>
      </w:r>
      <w:r w:rsidR="00135A02">
        <w:rPr>
          <w:sz w:val="22"/>
          <w:szCs w:val="22"/>
          <w:lang w:eastAsia="ja-JP"/>
        </w:rPr>
        <w:t>Otezla</w:t>
      </w:r>
      <w:r w:rsidRPr="00450A5A">
        <w:rPr>
          <w:sz w:val="22"/>
          <w:szCs w:val="22"/>
          <w:lang w:eastAsia="ja-JP"/>
        </w:rPr>
        <w:t xml:space="preserve"> 30 mg </w:t>
      </w:r>
      <w:r w:rsidR="00866D05">
        <w:rPr>
          <w:sz w:val="22"/>
          <w:szCs w:val="22"/>
          <w:lang w:eastAsia="ja-JP"/>
        </w:rPr>
        <w:t>twice daily</w:t>
      </w:r>
      <w:r w:rsidRPr="00450A5A">
        <w:rPr>
          <w:sz w:val="22"/>
          <w:szCs w:val="22"/>
          <w:lang w:eastAsia="ja-JP"/>
        </w:rPr>
        <w:t>: -22.5%; placebo: +6.5%; p &lt; 0.0001).</w:t>
      </w:r>
      <w:r w:rsidR="00E81108">
        <w:rPr>
          <w:sz w:val="22"/>
          <w:szCs w:val="22"/>
          <w:lang w:eastAsia="ja-JP"/>
        </w:rPr>
        <w:t xml:space="preserve"> </w:t>
      </w:r>
      <w:r w:rsidRPr="00450A5A">
        <w:rPr>
          <w:sz w:val="22"/>
          <w:szCs w:val="22"/>
          <w:lang w:eastAsia="ja-JP"/>
        </w:rPr>
        <w:t xml:space="preserve"> Similar improvements were observed in Study ESTEEM 2 (</w:t>
      </w:r>
      <w:r w:rsidR="00135A02">
        <w:rPr>
          <w:sz w:val="22"/>
          <w:szCs w:val="22"/>
          <w:lang w:eastAsia="ja-JP"/>
        </w:rPr>
        <w:t>Otezla</w:t>
      </w:r>
      <w:r w:rsidRPr="00450A5A">
        <w:rPr>
          <w:sz w:val="22"/>
          <w:szCs w:val="22"/>
          <w:lang w:eastAsia="ja-JP"/>
        </w:rPr>
        <w:t xml:space="preserve"> 30 mg </w:t>
      </w:r>
      <w:r w:rsidR="00866D05">
        <w:rPr>
          <w:sz w:val="22"/>
          <w:szCs w:val="22"/>
          <w:lang w:eastAsia="ja-JP"/>
        </w:rPr>
        <w:t>twice daily</w:t>
      </w:r>
      <w:r w:rsidRPr="00450A5A">
        <w:rPr>
          <w:sz w:val="22"/>
          <w:szCs w:val="22"/>
          <w:lang w:eastAsia="ja-JP"/>
        </w:rPr>
        <w:t xml:space="preserve">: -29.0%; placebo: -7.1%, p = 0.0052).  Further improvements in nail psoriasis were observed in patients continuously treated with </w:t>
      </w:r>
      <w:r w:rsidR="00135A02">
        <w:rPr>
          <w:sz w:val="22"/>
          <w:szCs w:val="22"/>
          <w:lang w:eastAsia="ja-JP"/>
        </w:rPr>
        <w:t>Otezla</w:t>
      </w:r>
      <w:r w:rsidRPr="00450A5A">
        <w:rPr>
          <w:sz w:val="22"/>
          <w:szCs w:val="22"/>
          <w:lang w:eastAsia="ja-JP"/>
        </w:rPr>
        <w:t>, with mean percent changes from Baseline in NAPSI at Week 32 of -43.6% in Study ESTEEM 1 and -60.0% in Study ESTEEM 2.</w:t>
      </w:r>
    </w:p>
    <w:p w:rsidR="009F3195" w:rsidRDefault="009F3195" w:rsidP="00E46E06">
      <w:pPr>
        <w:rPr>
          <w:i/>
          <w:sz w:val="22"/>
          <w:szCs w:val="22"/>
        </w:rPr>
      </w:pPr>
    </w:p>
    <w:p w:rsidR="000C7C0D" w:rsidRPr="00450A5A" w:rsidRDefault="000C7C0D" w:rsidP="00E46E06">
      <w:pPr>
        <w:rPr>
          <w:i/>
          <w:sz w:val="22"/>
          <w:szCs w:val="22"/>
        </w:rPr>
      </w:pPr>
      <w:r w:rsidRPr="00450A5A">
        <w:rPr>
          <w:i/>
          <w:sz w:val="22"/>
          <w:szCs w:val="22"/>
        </w:rPr>
        <w:t>Scalp Psoriasis</w:t>
      </w:r>
    </w:p>
    <w:p w:rsidR="00BE5173" w:rsidRDefault="000C7C0D" w:rsidP="00E81108">
      <w:pPr>
        <w:pStyle w:val="C-BodyText"/>
        <w:spacing w:after="0" w:line="240" w:lineRule="auto"/>
        <w:rPr>
          <w:bCs/>
          <w:sz w:val="22"/>
          <w:szCs w:val="22"/>
        </w:rPr>
      </w:pPr>
      <w:r w:rsidRPr="00450A5A">
        <w:rPr>
          <w:sz w:val="22"/>
          <w:szCs w:val="22"/>
        </w:rPr>
        <w:t xml:space="preserve">In Study ESTEEM </w:t>
      </w:r>
      <w:r w:rsidRPr="008611EE">
        <w:rPr>
          <w:sz w:val="22"/>
          <w:szCs w:val="22"/>
        </w:rPr>
        <w:t>1, significant improvements in scalp psoriasis of at least moderate severity (≥ 3), measured by the proportion of patients ac</w:t>
      </w:r>
      <w:r w:rsidRPr="00450A5A">
        <w:rPr>
          <w:sz w:val="22"/>
          <w:szCs w:val="22"/>
        </w:rPr>
        <w:t>hieving Scalp Psoriasis Physician’s Global Assessment (ScPGA) of clear (0) or minimal (1) at Week 16, were detected in patients receiving</w:t>
      </w:r>
      <w:r w:rsidRPr="00405DCB">
        <w:rPr>
          <w:sz w:val="22"/>
          <w:szCs w:val="22"/>
          <w:lang w:val="en-GB"/>
        </w:rPr>
        <w:t xml:space="preserve"> </w:t>
      </w:r>
      <w:r w:rsidR="00135A02" w:rsidRPr="00405DCB">
        <w:rPr>
          <w:sz w:val="22"/>
          <w:szCs w:val="22"/>
          <w:lang w:val="en-GB"/>
        </w:rPr>
        <w:t>Otezla</w:t>
      </w:r>
      <w:r w:rsidR="00135A02">
        <w:rPr>
          <w:sz w:val="22"/>
          <w:szCs w:val="22"/>
        </w:rPr>
        <w:t xml:space="preserve"> </w:t>
      </w:r>
      <w:r w:rsidRPr="00450A5A">
        <w:rPr>
          <w:sz w:val="22"/>
          <w:szCs w:val="22"/>
        </w:rPr>
        <w:t xml:space="preserve">compared with placebo-treated patients (46.5% </w:t>
      </w:r>
      <w:r w:rsidR="004D7E31">
        <w:rPr>
          <w:sz w:val="22"/>
          <w:szCs w:val="22"/>
        </w:rPr>
        <w:t>and</w:t>
      </w:r>
      <w:r w:rsidRPr="00450A5A">
        <w:rPr>
          <w:sz w:val="22"/>
          <w:szCs w:val="22"/>
        </w:rPr>
        <w:t xml:space="preserve"> 17.5%, respectively, p &lt; 0.0001).</w:t>
      </w:r>
      <w:r w:rsidR="00135A02">
        <w:rPr>
          <w:sz w:val="22"/>
          <w:szCs w:val="22"/>
        </w:rPr>
        <w:t xml:space="preserve"> </w:t>
      </w:r>
      <w:r w:rsidRPr="00450A5A">
        <w:rPr>
          <w:sz w:val="22"/>
          <w:szCs w:val="22"/>
        </w:rPr>
        <w:t xml:space="preserve"> </w:t>
      </w:r>
      <w:r w:rsidRPr="00450A5A">
        <w:rPr>
          <w:bCs/>
          <w:sz w:val="22"/>
          <w:szCs w:val="22"/>
        </w:rPr>
        <w:t xml:space="preserve">Similar results were observed in Study ESTEEM 2 (APR 30 </w:t>
      </w:r>
      <w:r w:rsidR="00866D05">
        <w:rPr>
          <w:bCs/>
          <w:sz w:val="22"/>
          <w:szCs w:val="22"/>
        </w:rPr>
        <w:t>twice daily</w:t>
      </w:r>
      <w:r w:rsidR="00866D05" w:rsidRPr="00450A5A">
        <w:rPr>
          <w:bCs/>
          <w:sz w:val="22"/>
          <w:szCs w:val="22"/>
        </w:rPr>
        <w:t xml:space="preserve"> </w:t>
      </w:r>
      <w:r w:rsidRPr="00450A5A">
        <w:rPr>
          <w:bCs/>
          <w:sz w:val="22"/>
          <w:szCs w:val="22"/>
        </w:rPr>
        <w:t>40.9%; placebo 17.2%, p &lt; 0.0001).</w:t>
      </w:r>
    </w:p>
    <w:p w:rsidR="00BE5173" w:rsidRDefault="00BE5173" w:rsidP="00E46E06">
      <w:pPr>
        <w:pStyle w:val="C-BodyText"/>
        <w:spacing w:before="0" w:after="0" w:line="240" w:lineRule="auto"/>
        <w:rPr>
          <w:bCs/>
          <w:sz w:val="22"/>
          <w:szCs w:val="22"/>
        </w:rPr>
      </w:pPr>
    </w:p>
    <w:p w:rsidR="000C7C0D" w:rsidRPr="00450A5A" w:rsidRDefault="000C7C0D" w:rsidP="00450A5A">
      <w:pPr>
        <w:rPr>
          <w:i/>
          <w:sz w:val="22"/>
          <w:szCs w:val="22"/>
        </w:rPr>
      </w:pPr>
      <w:r w:rsidRPr="00450A5A">
        <w:rPr>
          <w:i/>
          <w:sz w:val="22"/>
          <w:szCs w:val="22"/>
        </w:rPr>
        <w:t>Quality of Life</w:t>
      </w:r>
    </w:p>
    <w:p w:rsidR="00587811" w:rsidRPr="00450A5A" w:rsidRDefault="000C7C0D" w:rsidP="00C62305">
      <w:pPr>
        <w:pStyle w:val="C-BodyText"/>
        <w:spacing w:after="0" w:line="240" w:lineRule="auto"/>
        <w:rPr>
          <w:bCs/>
          <w:sz w:val="22"/>
          <w:szCs w:val="22"/>
        </w:rPr>
      </w:pPr>
      <w:r w:rsidRPr="00450A5A">
        <w:rPr>
          <w:bCs/>
          <w:sz w:val="22"/>
          <w:szCs w:val="22"/>
        </w:rPr>
        <w:t>In Studies ESTEEM 1 an</w:t>
      </w:r>
      <w:r w:rsidRPr="008611EE">
        <w:rPr>
          <w:bCs/>
          <w:sz w:val="22"/>
          <w:szCs w:val="22"/>
        </w:rPr>
        <w:t>d 2, significant imp</w:t>
      </w:r>
      <w:r w:rsidRPr="00450A5A">
        <w:rPr>
          <w:bCs/>
          <w:sz w:val="22"/>
          <w:szCs w:val="22"/>
        </w:rPr>
        <w:t>rovements in quality of life as measured by the Dermatology Life Quality Index (DLQI) and the SF-36v2</w:t>
      </w:r>
      <w:r w:rsidR="001E2D1E">
        <w:rPr>
          <w:bCs/>
          <w:sz w:val="22"/>
          <w:szCs w:val="22"/>
        </w:rPr>
        <w:t xml:space="preserve"> </w:t>
      </w:r>
      <w:r w:rsidRPr="00450A5A">
        <w:rPr>
          <w:bCs/>
          <w:sz w:val="22"/>
          <w:szCs w:val="22"/>
        </w:rPr>
        <w:t xml:space="preserve">MCS were demonstrated in patients receiving </w:t>
      </w:r>
      <w:r w:rsidR="00135A02">
        <w:rPr>
          <w:bCs/>
          <w:sz w:val="22"/>
          <w:szCs w:val="22"/>
        </w:rPr>
        <w:t xml:space="preserve">Otezla </w:t>
      </w:r>
      <w:r w:rsidRPr="00450A5A">
        <w:rPr>
          <w:bCs/>
          <w:sz w:val="22"/>
          <w:szCs w:val="22"/>
        </w:rPr>
        <w:t>compared with placebo-treated patients.</w:t>
      </w:r>
      <w:r w:rsidR="00F80F51">
        <w:rPr>
          <w:bCs/>
          <w:sz w:val="22"/>
          <w:szCs w:val="22"/>
        </w:rPr>
        <w:t xml:space="preserve">  </w:t>
      </w:r>
      <w:r w:rsidRPr="00450A5A">
        <w:rPr>
          <w:bCs/>
          <w:sz w:val="22"/>
          <w:szCs w:val="22"/>
        </w:rPr>
        <w:t xml:space="preserve">In addition, in Study ESTEEM </w:t>
      </w:r>
      <w:r w:rsidRPr="008611EE">
        <w:rPr>
          <w:bCs/>
          <w:sz w:val="22"/>
          <w:szCs w:val="22"/>
        </w:rPr>
        <w:t>1, significant im</w:t>
      </w:r>
      <w:r w:rsidRPr="00450A5A">
        <w:rPr>
          <w:bCs/>
          <w:sz w:val="22"/>
          <w:szCs w:val="22"/>
        </w:rPr>
        <w:t xml:space="preserve">provement in the Work Limitations Questionnaire (WLQ-25) Index was achieved in patients receiving </w:t>
      </w:r>
      <w:r w:rsidR="00135A02">
        <w:rPr>
          <w:bCs/>
          <w:sz w:val="22"/>
          <w:szCs w:val="22"/>
        </w:rPr>
        <w:t>Otezla</w:t>
      </w:r>
      <w:r w:rsidRPr="00450A5A">
        <w:rPr>
          <w:bCs/>
          <w:sz w:val="22"/>
          <w:szCs w:val="22"/>
        </w:rPr>
        <w:t xml:space="preserve"> compared with placebo.</w:t>
      </w:r>
    </w:p>
    <w:p w:rsidR="00450A5A" w:rsidRDefault="00450A5A" w:rsidP="00E46E06">
      <w:pPr>
        <w:rPr>
          <w:sz w:val="18"/>
          <w:szCs w:val="18"/>
        </w:rPr>
      </w:pPr>
    </w:p>
    <w:p w:rsidR="000F356E" w:rsidRDefault="000F356E">
      <w:pPr>
        <w:rPr>
          <w:sz w:val="18"/>
          <w:szCs w:val="18"/>
        </w:rPr>
      </w:pPr>
      <w:r>
        <w:rPr>
          <w:sz w:val="18"/>
          <w:szCs w:val="18"/>
        </w:rPr>
        <w:br w:type="page"/>
      </w:r>
    </w:p>
    <w:p w:rsidR="00EC36C1" w:rsidRDefault="00366258" w:rsidP="007D6A4A">
      <w:pPr>
        <w:pStyle w:val="ListParagraph"/>
        <w:keepNext/>
        <w:numPr>
          <w:ilvl w:val="0"/>
          <w:numId w:val="2"/>
        </w:numPr>
        <w:tabs>
          <w:tab w:val="left" w:pos="720"/>
        </w:tabs>
        <w:ind w:left="709" w:hanging="709"/>
        <w:jc w:val="both"/>
        <w:rPr>
          <w:b/>
          <w:sz w:val="28"/>
          <w:szCs w:val="28"/>
          <w:lang w:val="en-AU"/>
        </w:rPr>
      </w:pPr>
      <w:r w:rsidRPr="00366258">
        <w:rPr>
          <w:b/>
          <w:bCs/>
          <w:sz w:val="28"/>
          <w:szCs w:val="28"/>
          <w:lang w:val="en-AU"/>
        </w:rPr>
        <w:lastRenderedPageBreak/>
        <w:t>Indications</w:t>
      </w:r>
    </w:p>
    <w:p w:rsidR="00283BAA" w:rsidRDefault="00366258" w:rsidP="00366258">
      <w:pPr>
        <w:spacing w:before="120"/>
        <w:rPr>
          <w:sz w:val="22"/>
          <w:szCs w:val="22"/>
          <w:lang w:val="en-AU"/>
        </w:rPr>
      </w:pPr>
      <w:r>
        <w:rPr>
          <w:sz w:val="22"/>
          <w:szCs w:val="22"/>
          <w:lang w:val="en-AU"/>
        </w:rPr>
        <w:t>Otezla</w:t>
      </w:r>
      <w:r w:rsidRPr="003F29C0">
        <w:rPr>
          <w:sz w:val="22"/>
          <w:szCs w:val="22"/>
          <w:lang w:val="en-AU"/>
        </w:rPr>
        <w:t xml:space="preserve"> is indicated for</w:t>
      </w:r>
      <w:r w:rsidR="00283BAA">
        <w:rPr>
          <w:sz w:val="22"/>
          <w:szCs w:val="22"/>
          <w:lang w:val="en-AU"/>
        </w:rPr>
        <w:t>:</w:t>
      </w:r>
    </w:p>
    <w:p w:rsidR="00126D8B" w:rsidRPr="00795957" w:rsidRDefault="00283BAA">
      <w:pPr>
        <w:pStyle w:val="ListParagraph"/>
        <w:numPr>
          <w:ilvl w:val="0"/>
          <w:numId w:val="11"/>
        </w:numPr>
        <w:spacing w:before="120"/>
        <w:rPr>
          <w:sz w:val="22"/>
          <w:szCs w:val="22"/>
          <w:lang w:val="en-AU"/>
        </w:rPr>
      </w:pPr>
      <w:r w:rsidRPr="00795957">
        <w:rPr>
          <w:sz w:val="22"/>
          <w:szCs w:val="22"/>
          <w:lang w:val="en-AU"/>
        </w:rPr>
        <w:t>T</w:t>
      </w:r>
      <w:r w:rsidR="00366258" w:rsidRPr="00795957">
        <w:rPr>
          <w:sz w:val="22"/>
          <w:szCs w:val="22"/>
          <w:lang w:val="en-AU"/>
        </w:rPr>
        <w:t xml:space="preserve">he treatment of </w:t>
      </w:r>
      <w:r w:rsidRPr="00795957">
        <w:rPr>
          <w:sz w:val="22"/>
          <w:szCs w:val="22"/>
          <w:lang w:val="en-AU"/>
        </w:rPr>
        <w:t xml:space="preserve">signs and symptoms of </w:t>
      </w:r>
      <w:r w:rsidR="00366258" w:rsidRPr="00795957">
        <w:rPr>
          <w:sz w:val="22"/>
          <w:szCs w:val="22"/>
          <w:lang w:val="en-AU"/>
        </w:rPr>
        <w:t>active psoriatic arthritis in adult patients</w:t>
      </w:r>
      <w:r w:rsidR="001442BD" w:rsidRPr="00795957">
        <w:rPr>
          <w:sz w:val="22"/>
          <w:szCs w:val="22"/>
          <w:lang w:val="en-AU"/>
        </w:rPr>
        <w:t>.</w:t>
      </w:r>
    </w:p>
    <w:p w:rsidR="00126D8B" w:rsidRPr="00795957" w:rsidRDefault="00283BAA">
      <w:pPr>
        <w:pStyle w:val="ListParagraph"/>
        <w:numPr>
          <w:ilvl w:val="0"/>
          <w:numId w:val="11"/>
        </w:numPr>
        <w:spacing w:before="120"/>
        <w:rPr>
          <w:sz w:val="22"/>
          <w:szCs w:val="22"/>
          <w:lang w:val="en-AU"/>
        </w:rPr>
      </w:pPr>
      <w:r w:rsidRPr="00795957">
        <w:rPr>
          <w:sz w:val="22"/>
          <w:szCs w:val="22"/>
          <w:lang w:val="en-AU"/>
        </w:rPr>
        <w:t>T</w:t>
      </w:r>
      <w:r w:rsidR="00366258" w:rsidRPr="00795957">
        <w:rPr>
          <w:sz w:val="22"/>
          <w:szCs w:val="22"/>
          <w:lang w:val="en-AU"/>
        </w:rPr>
        <w:t>he treatment of adult patients with moderate to severe plaque psoriasis who are candidates for phototherapy or systemic therapy.</w:t>
      </w:r>
    </w:p>
    <w:p w:rsidR="00366258" w:rsidRPr="00795957" w:rsidRDefault="00366258" w:rsidP="00366258"/>
    <w:p w:rsidR="00366258" w:rsidRPr="00795957" w:rsidRDefault="00366258" w:rsidP="00366258"/>
    <w:p w:rsidR="00EC36C1" w:rsidRDefault="00DD67D7" w:rsidP="007D6A4A">
      <w:pPr>
        <w:pStyle w:val="ListParagraph"/>
        <w:keepNext/>
        <w:numPr>
          <w:ilvl w:val="0"/>
          <w:numId w:val="2"/>
        </w:numPr>
        <w:tabs>
          <w:tab w:val="left" w:pos="720"/>
        </w:tabs>
        <w:ind w:left="709" w:hanging="709"/>
        <w:jc w:val="both"/>
        <w:rPr>
          <w:b/>
          <w:sz w:val="28"/>
          <w:szCs w:val="28"/>
          <w:lang w:val="en-AU"/>
        </w:rPr>
      </w:pPr>
      <w:r w:rsidRPr="003F29C0">
        <w:rPr>
          <w:b/>
          <w:sz w:val="28"/>
          <w:szCs w:val="28"/>
          <w:lang w:val="en-AU"/>
        </w:rPr>
        <w:t>Contraindications</w:t>
      </w:r>
    </w:p>
    <w:p w:rsidR="000F356E" w:rsidRDefault="00546286" w:rsidP="00783B84">
      <w:pPr>
        <w:spacing w:before="120"/>
        <w:rPr>
          <w:sz w:val="22"/>
          <w:szCs w:val="22"/>
        </w:rPr>
      </w:pPr>
      <w:r>
        <w:rPr>
          <w:sz w:val="22"/>
          <w:szCs w:val="22"/>
        </w:rPr>
        <w:t>Otezla is contraindicated</w:t>
      </w:r>
      <w:r w:rsidR="000F356E">
        <w:rPr>
          <w:sz w:val="22"/>
          <w:szCs w:val="22"/>
        </w:rPr>
        <w:t>:</w:t>
      </w:r>
    </w:p>
    <w:p w:rsidR="00126D8B" w:rsidRDefault="000F356E">
      <w:pPr>
        <w:pStyle w:val="ListParagraph"/>
        <w:numPr>
          <w:ilvl w:val="0"/>
          <w:numId w:val="12"/>
        </w:numPr>
        <w:spacing w:before="120"/>
        <w:rPr>
          <w:sz w:val="22"/>
          <w:szCs w:val="22"/>
        </w:rPr>
      </w:pPr>
      <w:r w:rsidRPr="000F356E">
        <w:rPr>
          <w:sz w:val="22"/>
          <w:szCs w:val="22"/>
        </w:rPr>
        <w:t>I</w:t>
      </w:r>
      <w:r w:rsidR="002E5D74" w:rsidRPr="000F356E">
        <w:rPr>
          <w:sz w:val="22"/>
          <w:szCs w:val="22"/>
        </w:rPr>
        <w:t>n patients with known hypersensitivity to the active substance or to any of the excipients</w:t>
      </w:r>
      <w:r w:rsidR="001442BD">
        <w:rPr>
          <w:sz w:val="22"/>
          <w:szCs w:val="22"/>
        </w:rPr>
        <w:t>.</w:t>
      </w:r>
    </w:p>
    <w:p w:rsidR="00126D8B" w:rsidRDefault="000F356E">
      <w:pPr>
        <w:pStyle w:val="ListParagraph"/>
        <w:numPr>
          <w:ilvl w:val="0"/>
          <w:numId w:val="12"/>
        </w:numPr>
        <w:spacing w:before="120"/>
        <w:rPr>
          <w:sz w:val="22"/>
          <w:szCs w:val="22"/>
          <w:lang w:val="en-AU"/>
        </w:rPr>
      </w:pPr>
      <w:r w:rsidRPr="000F356E">
        <w:rPr>
          <w:sz w:val="22"/>
          <w:szCs w:val="22"/>
        </w:rPr>
        <w:t>D</w:t>
      </w:r>
      <w:r w:rsidR="00546286" w:rsidRPr="000F356E">
        <w:rPr>
          <w:sz w:val="22"/>
          <w:szCs w:val="22"/>
        </w:rPr>
        <w:t>uring pregnancy and in nursing women.</w:t>
      </w:r>
    </w:p>
    <w:p w:rsidR="00DD67D7" w:rsidRPr="003F29C0" w:rsidRDefault="00DD67D7" w:rsidP="004475F5">
      <w:pPr>
        <w:jc w:val="both"/>
        <w:rPr>
          <w:sz w:val="22"/>
          <w:szCs w:val="22"/>
          <w:lang w:val="en-AU"/>
        </w:rPr>
      </w:pPr>
    </w:p>
    <w:p w:rsidR="00D70000" w:rsidRPr="003F29C0" w:rsidRDefault="00D70000" w:rsidP="004475F5">
      <w:pPr>
        <w:jc w:val="both"/>
        <w:rPr>
          <w:sz w:val="22"/>
          <w:szCs w:val="22"/>
          <w:lang w:val="en-AU"/>
        </w:rPr>
      </w:pPr>
    </w:p>
    <w:p w:rsidR="00EC36C1" w:rsidRDefault="004475F5" w:rsidP="007D6A4A">
      <w:pPr>
        <w:pStyle w:val="ListParagraph"/>
        <w:keepNext/>
        <w:numPr>
          <w:ilvl w:val="0"/>
          <w:numId w:val="2"/>
        </w:numPr>
        <w:tabs>
          <w:tab w:val="left" w:pos="720"/>
        </w:tabs>
        <w:ind w:left="709" w:hanging="709"/>
        <w:jc w:val="both"/>
        <w:rPr>
          <w:sz w:val="28"/>
          <w:szCs w:val="28"/>
          <w:lang w:val="en-AU"/>
        </w:rPr>
      </w:pPr>
      <w:r w:rsidRPr="003F29C0">
        <w:rPr>
          <w:b/>
          <w:sz w:val="28"/>
          <w:szCs w:val="28"/>
          <w:lang w:val="en-AU"/>
        </w:rPr>
        <w:t>P</w:t>
      </w:r>
      <w:r w:rsidR="00DD67D7" w:rsidRPr="003F29C0">
        <w:rPr>
          <w:b/>
          <w:sz w:val="28"/>
          <w:szCs w:val="28"/>
          <w:lang w:val="en-AU"/>
        </w:rPr>
        <w:t>recautions</w:t>
      </w:r>
    </w:p>
    <w:p w:rsidR="00EC36C1" w:rsidRDefault="004A08A9" w:rsidP="00E80957">
      <w:pPr>
        <w:pStyle w:val="C-Bullet"/>
        <w:keepNext/>
        <w:numPr>
          <w:ilvl w:val="0"/>
          <w:numId w:val="9"/>
        </w:numPr>
        <w:tabs>
          <w:tab w:val="clear" w:pos="720"/>
          <w:tab w:val="num" w:pos="360"/>
        </w:tabs>
        <w:spacing w:after="0" w:line="240" w:lineRule="auto"/>
        <w:ind w:left="426" w:hanging="426"/>
        <w:jc w:val="both"/>
        <w:rPr>
          <w:b/>
          <w:szCs w:val="24"/>
          <w:lang w:val="en-AU"/>
        </w:rPr>
      </w:pPr>
      <w:r w:rsidRPr="003F29C0">
        <w:rPr>
          <w:b/>
          <w:szCs w:val="24"/>
          <w:lang w:val="en-AU"/>
        </w:rPr>
        <w:t xml:space="preserve">Effects on </w:t>
      </w:r>
      <w:r w:rsidR="006E4EEA" w:rsidRPr="003F29C0">
        <w:rPr>
          <w:b/>
          <w:szCs w:val="24"/>
          <w:lang w:val="en-AU"/>
        </w:rPr>
        <w:t>f</w:t>
      </w:r>
      <w:r w:rsidRPr="003F29C0">
        <w:rPr>
          <w:b/>
          <w:szCs w:val="24"/>
          <w:lang w:val="en-AU"/>
        </w:rPr>
        <w:t>ertility</w:t>
      </w:r>
    </w:p>
    <w:p w:rsidR="00886318" w:rsidRDefault="00886318" w:rsidP="00E46E06">
      <w:pPr>
        <w:pStyle w:val="C-BodyText"/>
        <w:tabs>
          <w:tab w:val="left" w:pos="11520"/>
        </w:tabs>
        <w:spacing w:line="240" w:lineRule="auto"/>
        <w:rPr>
          <w:sz w:val="22"/>
          <w:szCs w:val="22"/>
        </w:rPr>
      </w:pPr>
      <w:r>
        <w:rPr>
          <w:sz w:val="22"/>
          <w:szCs w:val="22"/>
        </w:rPr>
        <w:t>No fertility data is available in humans.</w:t>
      </w:r>
    </w:p>
    <w:p w:rsidR="00886318" w:rsidRDefault="00CF1380" w:rsidP="00E46E06">
      <w:pPr>
        <w:pStyle w:val="C-BodyText"/>
        <w:tabs>
          <w:tab w:val="left" w:pos="11520"/>
        </w:tabs>
        <w:spacing w:line="240" w:lineRule="auto"/>
        <w:rPr>
          <w:sz w:val="22"/>
          <w:szCs w:val="22"/>
        </w:rPr>
      </w:pPr>
      <w:r w:rsidRPr="00783B84">
        <w:rPr>
          <w:sz w:val="22"/>
          <w:szCs w:val="22"/>
        </w:rPr>
        <w:t>In a male mouse fertility study, apremilast at oral dosages of 1, 10, 25, and 50</w:t>
      </w:r>
      <w:r w:rsidR="009B6510">
        <w:rPr>
          <w:sz w:val="22"/>
          <w:szCs w:val="22"/>
        </w:rPr>
        <w:t> </w:t>
      </w:r>
      <w:r w:rsidRPr="00783B84">
        <w:rPr>
          <w:sz w:val="22"/>
          <w:szCs w:val="22"/>
        </w:rPr>
        <w:t>mg/kg/day produced no effects on male fertility; the no observed adverse effect level (NOAEL) for male fertility was greater than 50</w:t>
      </w:r>
      <w:r w:rsidR="009B6510">
        <w:rPr>
          <w:sz w:val="22"/>
          <w:szCs w:val="22"/>
        </w:rPr>
        <w:t> </w:t>
      </w:r>
      <w:r w:rsidRPr="00783B84">
        <w:rPr>
          <w:sz w:val="22"/>
          <w:szCs w:val="22"/>
        </w:rPr>
        <w:t>mg/kg/day (3-fold clinical exposure</w:t>
      </w:r>
      <w:r w:rsidRPr="00783B84">
        <w:rPr>
          <w:rFonts w:eastAsia="MS Mincho"/>
          <w:color w:val="000000"/>
          <w:sz w:val="22"/>
          <w:szCs w:val="22"/>
          <w:lang w:eastAsia="ja-JP"/>
        </w:rPr>
        <w:t>)</w:t>
      </w:r>
      <w:r w:rsidR="009B6510">
        <w:rPr>
          <w:sz w:val="22"/>
          <w:szCs w:val="22"/>
        </w:rPr>
        <w:t xml:space="preserve">. </w:t>
      </w:r>
      <w:r w:rsidRPr="00783B84">
        <w:rPr>
          <w:sz w:val="22"/>
          <w:szCs w:val="22"/>
        </w:rPr>
        <w:t xml:space="preserve"> </w:t>
      </w:r>
    </w:p>
    <w:p w:rsidR="001E2D1E" w:rsidRDefault="00CF1380">
      <w:pPr>
        <w:pStyle w:val="C-BodyText"/>
        <w:tabs>
          <w:tab w:val="left" w:pos="11520"/>
        </w:tabs>
        <w:spacing w:after="0" w:line="240" w:lineRule="auto"/>
        <w:rPr>
          <w:sz w:val="22"/>
          <w:szCs w:val="22"/>
        </w:rPr>
      </w:pPr>
      <w:r w:rsidRPr="00783B84">
        <w:rPr>
          <w:color w:val="000000"/>
          <w:sz w:val="22"/>
          <w:szCs w:val="22"/>
        </w:rPr>
        <w:t>In a combined female mouse fertility and embryo-f</w:t>
      </w:r>
      <w:r w:rsidR="00FB6D30">
        <w:rPr>
          <w:color w:val="000000"/>
          <w:sz w:val="22"/>
          <w:szCs w:val="22"/>
        </w:rPr>
        <w:t>o</w:t>
      </w:r>
      <w:r w:rsidRPr="00783B84">
        <w:rPr>
          <w:color w:val="000000"/>
          <w:sz w:val="22"/>
          <w:szCs w:val="22"/>
        </w:rPr>
        <w:t>etal developmental toxicity study with oral dosages of 10, 20, 40, and 80</w:t>
      </w:r>
      <w:r w:rsidR="009B6510">
        <w:rPr>
          <w:color w:val="000000"/>
          <w:sz w:val="22"/>
          <w:szCs w:val="22"/>
        </w:rPr>
        <w:t> </w:t>
      </w:r>
      <w:r w:rsidRPr="00783B84">
        <w:rPr>
          <w:color w:val="000000"/>
          <w:sz w:val="22"/>
          <w:szCs w:val="22"/>
        </w:rPr>
        <w:t xml:space="preserve">mg/kg/day, a prolongation of </w:t>
      </w:r>
      <w:r w:rsidR="00FB6D30">
        <w:rPr>
          <w:color w:val="000000"/>
          <w:sz w:val="22"/>
          <w:szCs w:val="22"/>
        </w:rPr>
        <w:t>o</w:t>
      </w:r>
      <w:r w:rsidRPr="00783B84">
        <w:rPr>
          <w:color w:val="000000"/>
          <w:sz w:val="22"/>
          <w:szCs w:val="22"/>
        </w:rPr>
        <w:t>estrous cycles and increased time to mating were observed at 20 mg/kg/day and above; despite this, all mice mated and pregnancy rates were unaffected.  The no observed effect level (NO</w:t>
      </w:r>
      <w:r w:rsidR="009B6510">
        <w:rPr>
          <w:color w:val="000000"/>
          <w:sz w:val="22"/>
          <w:szCs w:val="22"/>
        </w:rPr>
        <w:t>EL) for female fertility was 10 </w:t>
      </w:r>
      <w:r w:rsidRPr="00783B84">
        <w:rPr>
          <w:color w:val="000000"/>
          <w:sz w:val="22"/>
          <w:szCs w:val="22"/>
        </w:rPr>
        <w:t xml:space="preserve">mg/kg/day </w:t>
      </w:r>
      <w:r w:rsidRPr="00783B84">
        <w:rPr>
          <w:sz w:val="22"/>
          <w:szCs w:val="22"/>
        </w:rPr>
        <w:t xml:space="preserve">(1.0-fold </w:t>
      </w:r>
      <w:r w:rsidRPr="00783B84">
        <w:rPr>
          <w:rFonts w:eastAsia="MS Mincho"/>
          <w:color w:val="000000"/>
          <w:sz w:val="22"/>
          <w:szCs w:val="22"/>
          <w:lang w:eastAsia="ja-JP"/>
        </w:rPr>
        <w:t>clinical exposure)</w:t>
      </w:r>
      <w:r w:rsidRPr="00783B84">
        <w:rPr>
          <w:color w:val="000000"/>
          <w:sz w:val="22"/>
          <w:szCs w:val="22"/>
        </w:rPr>
        <w:t>.</w:t>
      </w:r>
    </w:p>
    <w:p w:rsidR="00C6142D" w:rsidRPr="003F29C0" w:rsidRDefault="00C6142D" w:rsidP="00E46E06">
      <w:pPr>
        <w:rPr>
          <w:sz w:val="22"/>
          <w:szCs w:val="22"/>
          <w:lang w:val="en-AU"/>
        </w:rPr>
      </w:pPr>
    </w:p>
    <w:p w:rsidR="00312F9C" w:rsidRPr="003F29C0" w:rsidRDefault="00312F9C" w:rsidP="00C6142D">
      <w:pPr>
        <w:rPr>
          <w:sz w:val="22"/>
          <w:szCs w:val="22"/>
          <w:lang w:val="en-AU"/>
        </w:rPr>
      </w:pPr>
    </w:p>
    <w:p w:rsidR="00EC36C1" w:rsidRDefault="001E264E" w:rsidP="00E80957">
      <w:pPr>
        <w:pStyle w:val="BodyText2"/>
        <w:keepNext/>
        <w:numPr>
          <w:ilvl w:val="0"/>
          <w:numId w:val="9"/>
        </w:numPr>
        <w:tabs>
          <w:tab w:val="clear" w:pos="567"/>
          <w:tab w:val="num" w:pos="360"/>
        </w:tabs>
        <w:spacing w:line="240" w:lineRule="auto"/>
        <w:ind w:left="426" w:hanging="426"/>
        <w:jc w:val="both"/>
        <w:rPr>
          <w:iCs/>
          <w:sz w:val="24"/>
          <w:szCs w:val="24"/>
          <w:lang w:val="en-AU"/>
        </w:rPr>
      </w:pPr>
      <w:r w:rsidRPr="003F29C0">
        <w:rPr>
          <w:iCs/>
          <w:sz w:val="24"/>
          <w:szCs w:val="24"/>
          <w:lang w:val="en-AU"/>
        </w:rPr>
        <w:t xml:space="preserve">Use in </w:t>
      </w:r>
      <w:r w:rsidR="006E4EEA" w:rsidRPr="003F29C0">
        <w:rPr>
          <w:iCs/>
          <w:sz w:val="24"/>
          <w:szCs w:val="24"/>
          <w:lang w:val="en-AU"/>
        </w:rPr>
        <w:t>p</w:t>
      </w:r>
      <w:r w:rsidR="004475F5" w:rsidRPr="003F29C0">
        <w:rPr>
          <w:iCs/>
          <w:sz w:val="24"/>
          <w:szCs w:val="24"/>
          <w:lang w:val="en-AU"/>
        </w:rPr>
        <w:t>regnancy (</w:t>
      </w:r>
      <w:r w:rsidR="00B33653" w:rsidRPr="003F29C0">
        <w:rPr>
          <w:iCs/>
          <w:sz w:val="24"/>
          <w:szCs w:val="24"/>
          <w:lang w:val="en-AU"/>
        </w:rPr>
        <w:t xml:space="preserve">Pregnancy </w:t>
      </w:r>
      <w:r w:rsidR="004475F5" w:rsidRPr="003F29C0">
        <w:rPr>
          <w:iCs/>
          <w:sz w:val="24"/>
          <w:szCs w:val="24"/>
          <w:lang w:val="en-AU"/>
        </w:rPr>
        <w:t xml:space="preserve">Category </w:t>
      </w:r>
      <w:r w:rsidR="00FA3B78" w:rsidRPr="003F29C0">
        <w:rPr>
          <w:iCs/>
          <w:sz w:val="24"/>
          <w:szCs w:val="24"/>
          <w:lang w:val="en-AU"/>
        </w:rPr>
        <w:t>B3</w:t>
      </w:r>
      <w:r w:rsidR="004475F5" w:rsidRPr="003F29C0">
        <w:rPr>
          <w:iCs/>
          <w:sz w:val="24"/>
          <w:szCs w:val="24"/>
          <w:lang w:val="en-AU"/>
        </w:rPr>
        <w:t>)</w:t>
      </w:r>
    </w:p>
    <w:p w:rsidR="00FA3B78" w:rsidRPr="003F29C0" w:rsidRDefault="00FA3B78" w:rsidP="00E46E06">
      <w:pPr>
        <w:pStyle w:val="C-BodyText"/>
        <w:spacing w:line="240" w:lineRule="auto"/>
        <w:rPr>
          <w:sz w:val="22"/>
          <w:szCs w:val="22"/>
          <w:lang w:val="en-AU"/>
        </w:rPr>
      </w:pPr>
      <w:r w:rsidRPr="003F29C0">
        <w:rPr>
          <w:sz w:val="22"/>
          <w:szCs w:val="22"/>
          <w:lang w:val="en-AU"/>
        </w:rPr>
        <w:t xml:space="preserve">There are no adequate and well controlled studies of </w:t>
      </w:r>
      <w:r w:rsidR="004B1F4C">
        <w:rPr>
          <w:sz w:val="22"/>
          <w:szCs w:val="22"/>
          <w:lang w:val="en-AU"/>
        </w:rPr>
        <w:t>Otezla</w:t>
      </w:r>
      <w:r w:rsidR="004B1F4C" w:rsidRPr="003F29C0">
        <w:rPr>
          <w:sz w:val="22"/>
          <w:szCs w:val="22"/>
          <w:lang w:val="en-AU"/>
        </w:rPr>
        <w:t xml:space="preserve"> </w:t>
      </w:r>
      <w:r w:rsidRPr="003F29C0">
        <w:rPr>
          <w:sz w:val="22"/>
          <w:szCs w:val="22"/>
          <w:lang w:val="en-AU"/>
        </w:rPr>
        <w:t xml:space="preserve">in pregnant women. </w:t>
      </w:r>
    </w:p>
    <w:p w:rsidR="00546286" w:rsidRPr="007A5CF3" w:rsidRDefault="00546286" w:rsidP="00546286">
      <w:pPr>
        <w:pStyle w:val="ListParagraph"/>
        <w:ind w:left="0"/>
        <w:jc w:val="both"/>
        <w:rPr>
          <w:bCs/>
          <w:iCs/>
          <w:sz w:val="22"/>
          <w:szCs w:val="22"/>
        </w:rPr>
      </w:pPr>
      <w:r w:rsidRPr="007A5CF3">
        <w:rPr>
          <w:bCs/>
          <w:iCs/>
          <w:sz w:val="22"/>
          <w:szCs w:val="22"/>
        </w:rPr>
        <w:t>Otezla is contraindicated in pregnant women, and should not be used in women attempting to become pregnant.</w:t>
      </w:r>
    </w:p>
    <w:p w:rsidR="00FA3B78" w:rsidRPr="00886318" w:rsidRDefault="00FA3B78" w:rsidP="00E81108">
      <w:pPr>
        <w:pStyle w:val="C-BodyText"/>
        <w:spacing w:after="0" w:line="240" w:lineRule="auto"/>
        <w:rPr>
          <w:sz w:val="22"/>
          <w:szCs w:val="22"/>
          <w:lang w:val="en-AU"/>
        </w:rPr>
      </w:pPr>
      <w:r w:rsidRPr="00886318">
        <w:rPr>
          <w:sz w:val="22"/>
          <w:szCs w:val="22"/>
          <w:lang w:val="en-AU"/>
        </w:rPr>
        <w:t xml:space="preserve">Apremilast was not teratogenic in mice or monkeys.  </w:t>
      </w:r>
      <w:proofErr w:type="gramStart"/>
      <w:r w:rsidR="00886318" w:rsidRPr="00405DCB">
        <w:rPr>
          <w:sz w:val="22"/>
          <w:szCs w:val="22"/>
          <w:lang w:val="en-GB"/>
        </w:rPr>
        <w:t>Other effects of apremilast on pregnancy included embryof</w:t>
      </w:r>
      <w:r w:rsidR="00FA44D3">
        <w:rPr>
          <w:sz w:val="22"/>
          <w:szCs w:val="22"/>
          <w:lang w:val="en-GB"/>
        </w:rPr>
        <w:t>o</w:t>
      </w:r>
      <w:r w:rsidR="00886318" w:rsidRPr="00405DCB">
        <w:rPr>
          <w:sz w:val="22"/>
          <w:szCs w:val="22"/>
          <w:lang w:val="en-GB"/>
        </w:rPr>
        <w:t xml:space="preserve">etal loss in mice and monkeys, and reduced </w:t>
      </w:r>
      <w:r w:rsidR="00405DCB" w:rsidRPr="00405DCB">
        <w:rPr>
          <w:sz w:val="22"/>
          <w:szCs w:val="22"/>
          <w:lang w:val="en-GB"/>
        </w:rPr>
        <w:t>foetal</w:t>
      </w:r>
      <w:r w:rsidR="00886318" w:rsidRPr="00405DCB">
        <w:rPr>
          <w:sz w:val="22"/>
          <w:szCs w:val="22"/>
          <w:lang w:val="en-GB"/>
        </w:rPr>
        <w:t xml:space="preserve"> weights and delayed ossification in mice at doses higher than the currently recommended highest human dose.</w:t>
      </w:r>
      <w:proofErr w:type="gramEnd"/>
      <w:r w:rsidR="00886318" w:rsidRPr="00405DCB">
        <w:rPr>
          <w:sz w:val="22"/>
          <w:szCs w:val="22"/>
          <w:lang w:val="en-GB"/>
        </w:rPr>
        <w:t xml:space="preserve">  </w:t>
      </w:r>
      <w:r w:rsidR="00886318" w:rsidRPr="00886318">
        <w:rPr>
          <w:sz w:val="22"/>
          <w:szCs w:val="22"/>
        </w:rPr>
        <w:t>No such effects were observed when exposure in animals was at 1.3-fold the clinical exposure.</w:t>
      </w:r>
    </w:p>
    <w:p w:rsidR="00CF1380" w:rsidRDefault="00CF1380" w:rsidP="00E46E06">
      <w:pPr>
        <w:pStyle w:val="C-BodyText"/>
        <w:spacing w:before="0" w:after="0" w:line="240" w:lineRule="auto"/>
        <w:rPr>
          <w:sz w:val="22"/>
          <w:szCs w:val="22"/>
          <w:lang w:val="en-AU"/>
        </w:rPr>
      </w:pPr>
    </w:p>
    <w:p w:rsidR="00970C4B" w:rsidRPr="00970C4B" w:rsidRDefault="00970C4B" w:rsidP="00587C69">
      <w:pPr>
        <w:pStyle w:val="C-BodyText"/>
        <w:spacing w:before="0" w:after="0" w:line="240" w:lineRule="auto"/>
        <w:rPr>
          <w:color w:val="000000"/>
          <w:sz w:val="22"/>
          <w:szCs w:val="22"/>
        </w:rPr>
      </w:pPr>
      <w:r w:rsidRPr="00970C4B">
        <w:rPr>
          <w:color w:val="000000"/>
          <w:sz w:val="22"/>
          <w:szCs w:val="22"/>
        </w:rPr>
        <w:t xml:space="preserve">In a combined female </w:t>
      </w:r>
      <w:r w:rsidR="00773186">
        <w:rPr>
          <w:color w:val="000000"/>
          <w:sz w:val="22"/>
          <w:szCs w:val="22"/>
        </w:rPr>
        <w:t>mouse fertility and embryo</w:t>
      </w:r>
      <w:r w:rsidRPr="00970C4B">
        <w:rPr>
          <w:color w:val="000000"/>
          <w:sz w:val="22"/>
          <w:szCs w:val="22"/>
        </w:rPr>
        <w:t>f</w:t>
      </w:r>
      <w:r w:rsidR="00773186">
        <w:rPr>
          <w:color w:val="000000"/>
          <w:sz w:val="22"/>
          <w:szCs w:val="22"/>
        </w:rPr>
        <w:t>o</w:t>
      </w:r>
      <w:r w:rsidRPr="00970C4B">
        <w:rPr>
          <w:color w:val="000000"/>
          <w:sz w:val="22"/>
          <w:szCs w:val="22"/>
        </w:rPr>
        <w:t>etal developmental toxicity study,</w:t>
      </w:r>
      <w:r w:rsidRPr="00970C4B">
        <w:rPr>
          <w:sz w:val="22"/>
          <w:szCs w:val="22"/>
        </w:rPr>
        <w:t xml:space="preserve"> </w:t>
      </w:r>
      <w:r w:rsidRPr="00970C4B">
        <w:rPr>
          <w:color w:val="000000"/>
          <w:sz w:val="22"/>
          <w:szCs w:val="22"/>
        </w:rPr>
        <w:t xml:space="preserve">the maternal and developmental NOEL observed was 10 mg/kg/day </w:t>
      </w:r>
      <w:r w:rsidRPr="00970C4B">
        <w:rPr>
          <w:sz w:val="22"/>
          <w:szCs w:val="22"/>
        </w:rPr>
        <w:t xml:space="preserve">(1.3-fold </w:t>
      </w:r>
      <w:r w:rsidRPr="00970C4B">
        <w:rPr>
          <w:rFonts w:eastAsia="MS Mincho"/>
          <w:color w:val="000000"/>
          <w:sz w:val="22"/>
          <w:szCs w:val="22"/>
          <w:lang w:eastAsia="ja-JP"/>
        </w:rPr>
        <w:t>clinical exposure)</w:t>
      </w:r>
      <w:r w:rsidRPr="00970C4B">
        <w:rPr>
          <w:color w:val="000000"/>
          <w:sz w:val="22"/>
          <w:szCs w:val="22"/>
        </w:rPr>
        <w:t>.  No treatment-related developmental malformations were observed up to the highest dosage of 80 mg/kg/day (4.0-fold clinical exposure).</w:t>
      </w:r>
    </w:p>
    <w:p w:rsidR="00970C4B" w:rsidRPr="00970C4B" w:rsidRDefault="00970C4B" w:rsidP="00E46E06">
      <w:pPr>
        <w:pStyle w:val="C-BodyText"/>
        <w:spacing w:before="0" w:after="0" w:line="240" w:lineRule="auto"/>
        <w:rPr>
          <w:sz w:val="22"/>
          <w:szCs w:val="22"/>
        </w:rPr>
      </w:pPr>
    </w:p>
    <w:p w:rsidR="00CF1380" w:rsidRDefault="00773186" w:rsidP="00E46E06">
      <w:pPr>
        <w:pStyle w:val="C-BodyText"/>
        <w:spacing w:before="0" w:after="0" w:line="240" w:lineRule="auto"/>
        <w:rPr>
          <w:sz w:val="22"/>
          <w:szCs w:val="22"/>
        </w:rPr>
      </w:pPr>
      <w:r>
        <w:rPr>
          <w:sz w:val="22"/>
          <w:szCs w:val="22"/>
        </w:rPr>
        <w:t>In a monkey embryo</w:t>
      </w:r>
      <w:r w:rsidR="00970C4B" w:rsidRPr="00970C4B">
        <w:rPr>
          <w:sz w:val="22"/>
          <w:szCs w:val="22"/>
        </w:rPr>
        <w:t>f</w:t>
      </w:r>
      <w:r>
        <w:rPr>
          <w:sz w:val="22"/>
          <w:szCs w:val="22"/>
        </w:rPr>
        <w:t>o</w:t>
      </w:r>
      <w:r w:rsidR="00970C4B" w:rsidRPr="00970C4B">
        <w:rPr>
          <w:sz w:val="22"/>
          <w:szCs w:val="22"/>
        </w:rPr>
        <w:t xml:space="preserve">etal developmental toxicity study, oral dosages of 20, 50, 200, and 1000 mg/kg/day resulted in a dose-related increase in prenatal loss (abortions) at dosages of 50 mg/kg/day and above; no test article-related effect in prenatal loss was observed at 20 mg/kg/day (1.4-fold </w:t>
      </w:r>
      <w:r w:rsidR="00970C4B" w:rsidRPr="00970C4B">
        <w:rPr>
          <w:rFonts w:eastAsia="MS Mincho"/>
          <w:color w:val="000000"/>
          <w:sz w:val="22"/>
          <w:szCs w:val="22"/>
          <w:lang w:eastAsia="ja-JP"/>
        </w:rPr>
        <w:t>clinical exposure)</w:t>
      </w:r>
      <w:r w:rsidR="00970C4B" w:rsidRPr="00970C4B">
        <w:rPr>
          <w:sz w:val="22"/>
          <w:szCs w:val="22"/>
        </w:rPr>
        <w:t>.  No treatment-related f</w:t>
      </w:r>
      <w:r>
        <w:rPr>
          <w:sz w:val="22"/>
          <w:szCs w:val="22"/>
        </w:rPr>
        <w:t>o</w:t>
      </w:r>
      <w:r w:rsidR="00970C4B" w:rsidRPr="00970C4B">
        <w:rPr>
          <w:sz w:val="22"/>
          <w:szCs w:val="22"/>
        </w:rPr>
        <w:t xml:space="preserve">etal developmental effects or malformations were observed in the monkey up to the highest dosage of 1000 mg/kg/day in the study (3.5-fold </w:t>
      </w:r>
      <w:r w:rsidR="00970C4B" w:rsidRPr="00970C4B">
        <w:rPr>
          <w:rFonts w:eastAsia="MS Mincho"/>
          <w:color w:val="000000"/>
          <w:sz w:val="22"/>
          <w:szCs w:val="22"/>
          <w:lang w:eastAsia="ja-JP"/>
        </w:rPr>
        <w:t>clinical exposure</w:t>
      </w:r>
      <w:r w:rsidR="00970C4B" w:rsidRPr="00970C4B">
        <w:rPr>
          <w:sz w:val="22"/>
          <w:szCs w:val="22"/>
        </w:rPr>
        <w:t>).</w:t>
      </w:r>
    </w:p>
    <w:p w:rsidR="001E512F" w:rsidRDefault="001E512F" w:rsidP="00E46E06">
      <w:pPr>
        <w:pStyle w:val="C-BodyText"/>
        <w:spacing w:before="0" w:after="0" w:line="240" w:lineRule="auto"/>
        <w:rPr>
          <w:sz w:val="22"/>
          <w:szCs w:val="22"/>
        </w:rPr>
      </w:pPr>
    </w:p>
    <w:p w:rsidR="006F239F" w:rsidRPr="007A5CF3" w:rsidRDefault="001E512F" w:rsidP="007A5CF3">
      <w:pPr>
        <w:pStyle w:val="C-BodyText"/>
        <w:spacing w:before="0" w:after="0" w:line="240" w:lineRule="auto"/>
        <w:rPr>
          <w:sz w:val="22"/>
          <w:szCs w:val="22"/>
        </w:rPr>
      </w:pPr>
      <w:r w:rsidRPr="00227D4A">
        <w:rPr>
          <w:sz w:val="22"/>
          <w:szCs w:val="22"/>
        </w:rPr>
        <w:t>In a pre- and postnatal study, in which</w:t>
      </w:r>
      <w:r w:rsidRPr="00405DCB">
        <w:rPr>
          <w:sz w:val="22"/>
          <w:szCs w:val="22"/>
          <w:lang w:val="en-GB"/>
        </w:rPr>
        <w:t xml:space="preserve"> apremilast</w:t>
      </w:r>
      <w:r w:rsidRPr="00227D4A">
        <w:rPr>
          <w:sz w:val="22"/>
          <w:szCs w:val="22"/>
        </w:rPr>
        <w:t xml:space="preserve"> was administered orally to pregnant female</w:t>
      </w:r>
      <w:r w:rsidRPr="00227D4A">
        <w:rPr>
          <w:rFonts w:cs="Arial"/>
          <w:sz w:val="22"/>
          <w:szCs w:val="22"/>
        </w:rPr>
        <w:t xml:space="preserve"> mice, </w:t>
      </w:r>
      <w:r w:rsidRPr="00227D4A">
        <w:rPr>
          <w:sz w:val="22"/>
          <w:szCs w:val="22"/>
        </w:rPr>
        <w:t>clinical signs of maternal toxicity associated with delivering pups were observed in one mouse at each of 80 and 300 mg/kg/day.  Increased</w:t>
      </w:r>
      <w:r w:rsidR="00DE2EA7">
        <w:rPr>
          <w:sz w:val="22"/>
          <w:szCs w:val="22"/>
          <w:lang w:val="en-GB"/>
        </w:rPr>
        <w:t xml:space="preserve"> pre</w:t>
      </w:r>
      <w:r w:rsidRPr="00227D4A">
        <w:rPr>
          <w:sz w:val="22"/>
          <w:szCs w:val="22"/>
        </w:rPr>
        <w:t xml:space="preserve">- and postnatal pup mortality and reduced pup body weights </w:t>
      </w:r>
      <w:r w:rsidRPr="00227D4A">
        <w:rPr>
          <w:sz w:val="22"/>
          <w:szCs w:val="22"/>
        </w:rPr>
        <w:lastRenderedPageBreak/>
        <w:t>during the first week of lactation were observed at ≥ 80 mg/kg/day (≥ 4.0-fold clinical exposure).</w:t>
      </w:r>
      <w:r w:rsidR="00227D4A" w:rsidRPr="00227D4A">
        <w:rPr>
          <w:sz w:val="22"/>
          <w:szCs w:val="22"/>
        </w:rPr>
        <w:t xml:space="preserve">  The NOEL in the mouse for maternal toxicity and F1 generation was 10 mg/kg/day (1.3-fold clinical AUC).</w:t>
      </w:r>
    </w:p>
    <w:p w:rsidR="00EC36C1" w:rsidRDefault="006E4EEA" w:rsidP="00E80957">
      <w:pPr>
        <w:pStyle w:val="BodyText2"/>
        <w:keepNext/>
        <w:numPr>
          <w:ilvl w:val="0"/>
          <w:numId w:val="9"/>
        </w:numPr>
        <w:tabs>
          <w:tab w:val="clear" w:pos="567"/>
          <w:tab w:val="num" w:pos="360"/>
        </w:tabs>
        <w:spacing w:line="240" w:lineRule="auto"/>
        <w:ind w:left="426" w:hanging="426"/>
        <w:jc w:val="both"/>
        <w:rPr>
          <w:sz w:val="24"/>
          <w:szCs w:val="24"/>
          <w:lang w:val="en-AU"/>
        </w:rPr>
      </w:pPr>
      <w:r w:rsidRPr="003F29C0">
        <w:rPr>
          <w:sz w:val="24"/>
          <w:szCs w:val="24"/>
          <w:lang w:val="en-AU"/>
        </w:rPr>
        <w:t>Use during lactation</w:t>
      </w:r>
    </w:p>
    <w:p w:rsidR="007318C7" w:rsidRDefault="00FA3B78" w:rsidP="007A40B5">
      <w:pPr>
        <w:pStyle w:val="BodyText2"/>
        <w:spacing w:before="120" w:line="240" w:lineRule="auto"/>
        <w:rPr>
          <w:b w:val="0"/>
          <w:bCs w:val="0"/>
          <w:szCs w:val="22"/>
          <w:lang w:val="en-AU"/>
        </w:rPr>
      </w:pPr>
      <w:r w:rsidRPr="003F29C0">
        <w:rPr>
          <w:b w:val="0"/>
          <w:bCs w:val="0"/>
          <w:szCs w:val="22"/>
          <w:lang w:val="en-AU"/>
        </w:rPr>
        <w:t xml:space="preserve">Apremilast was detected in milk of lactating mice.  </w:t>
      </w:r>
    </w:p>
    <w:p w:rsidR="00FA3B78" w:rsidRPr="007A5CF3" w:rsidRDefault="00546286" w:rsidP="007A40B5">
      <w:pPr>
        <w:pStyle w:val="BodyText2"/>
        <w:spacing w:before="120" w:line="240" w:lineRule="auto"/>
        <w:rPr>
          <w:b w:val="0"/>
          <w:bCs w:val="0"/>
          <w:szCs w:val="22"/>
          <w:lang w:val="en-AU"/>
        </w:rPr>
      </w:pPr>
      <w:r w:rsidRPr="007A5CF3">
        <w:rPr>
          <w:b w:val="0"/>
          <w:iCs/>
          <w:szCs w:val="22"/>
        </w:rPr>
        <w:t xml:space="preserve">It is not known whether apremilast or its metabolites are excreted in human milk. </w:t>
      </w:r>
      <w:r w:rsidR="00005260" w:rsidRPr="007A5CF3">
        <w:rPr>
          <w:b w:val="0"/>
          <w:iCs/>
          <w:szCs w:val="22"/>
        </w:rPr>
        <w:t xml:space="preserve"> </w:t>
      </w:r>
      <w:r w:rsidRPr="007A5CF3">
        <w:rPr>
          <w:b w:val="0"/>
          <w:iCs/>
          <w:szCs w:val="22"/>
        </w:rPr>
        <w:t>Therefore, the use of Otezla is contraindicated in mothers who are breast-feeding.</w:t>
      </w:r>
    </w:p>
    <w:p w:rsidR="00A944FE" w:rsidRPr="003F29C0" w:rsidRDefault="00A944FE" w:rsidP="007A40B5">
      <w:pPr>
        <w:pStyle w:val="BodyText2"/>
        <w:spacing w:line="240" w:lineRule="auto"/>
        <w:jc w:val="both"/>
        <w:rPr>
          <w:b w:val="0"/>
          <w:szCs w:val="22"/>
          <w:lang w:val="en-AU"/>
        </w:rPr>
      </w:pPr>
    </w:p>
    <w:p w:rsidR="00CE32D8" w:rsidRPr="003F29C0" w:rsidRDefault="00CE32D8" w:rsidP="00A944FE">
      <w:pPr>
        <w:pStyle w:val="BodyText2"/>
        <w:spacing w:line="240" w:lineRule="auto"/>
        <w:jc w:val="both"/>
        <w:rPr>
          <w:b w:val="0"/>
          <w:szCs w:val="22"/>
          <w:lang w:val="en-AU"/>
        </w:rPr>
      </w:pPr>
    </w:p>
    <w:p w:rsidR="00EC36C1" w:rsidRDefault="006E4EEA" w:rsidP="00E80957">
      <w:pPr>
        <w:pStyle w:val="BodyText2"/>
        <w:keepNext/>
        <w:numPr>
          <w:ilvl w:val="0"/>
          <w:numId w:val="9"/>
        </w:numPr>
        <w:tabs>
          <w:tab w:val="clear" w:pos="567"/>
          <w:tab w:val="num" w:pos="360"/>
          <w:tab w:val="left" w:pos="426"/>
        </w:tabs>
        <w:jc w:val="both"/>
        <w:rPr>
          <w:sz w:val="24"/>
          <w:szCs w:val="24"/>
          <w:lang w:val="en-AU"/>
        </w:rPr>
      </w:pPr>
      <w:r w:rsidRPr="003F29C0">
        <w:rPr>
          <w:sz w:val="24"/>
          <w:szCs w:val="24"/>
          <w:lang w:val="en-AU"/>
        </w:rPr>
        <w:t>Paediatric use</w:t>
      </w:r>
    </w:p>
    <w:p w:rsidR="006E4EEA" w:rsidRPr="003F29C0" w:rsidRDefault="00433C0D" w:rsidP="009D29AF">
      <w:pPr>
        <w:spacing w:before="120"/>
        <w:rPr>
          <w:sz w:val="22"/>
          <w:szCs w:val="22"/>
          <w:lang w:val="en-AU"/>
        </w:rPr>
      </w:pPr>
      <w:r w:rsidRPr="007A5CF3">
        <w:rPr>
          <w:bCs/>
          <w:iCs/>
          <w:sz w:val="22"/>
          <w:szCs w:val="22"/>
        </w:rPr>
        <w:t>The safety and effectiveness of Otezla has not been established in patients</w:t>
      </w:r>
      <w:r w:rsidRPr="00433C0D">
        <w:rPr>
          <w:bCs/>
          <w:iCs/>
          <w:color w:val="FF0000"/>
          <w:sz w:val="22"/>
          <w:szCs w:val="22"/>
        </w:rPr>
        <w:t xml:space="preserve"> </w:t>
      </w:r>
      <w:r w:rsidR="00097C2A">
        <w:rPr>
          <w:sz w:val="22"/>
          <w:szCs w:val="22"/>
          <w:lang w:val="en-AU"/>
        </w:rPr>
        <w:t>under the age of 18 years.</w:t>
      </w:r>
      <w:r w:rsidR="006E4EEA" w:rsidRPr="003F29C0">
        <w:rPr>
          <w:sz w:val="22"/>
          <w:szCs w:val="22"/>
          <w:lang w:val="en-AU"/>
        </w:rPr>
        <w:t xml:space="preserve">  </w:t>
      </w:r>
    </w:p>
    <w:p w:rsidR="006E4EEA" w:rsidRPr="003F29C0" w:rsidRDefault="006E4EEA" w:rsidP="006E4EEA">
      <w:pPr>
        <w:jc w:val="both"/>
        <w:rPr>
          <w:sz w:val="22"/>
          <w:szCs w:val="22"/>
          <w:lang w:val="en-AU"/>
        </w:rPr>
      </w:pPr>
    </w:p>
    <w:p w:rsidR="00CE32D8" w:rsidRPr="003F29C0" w:rsidRDefault="00CE32D8" w:rsidP="006E4EEA">
      <w:pPr>
        <w:jc w:val="both"/>
        <w:rPr>
          <w:sz w:val="22"/>
          <w:szCs w:val="22"/>
          <w:lang w:val="en-AU"/>
        </w:rPr>
      </w:pPr>
    </w:p>
    <w:p w:rsidR="00EC36C1" w:rsidRDefault="006E4EEA" w:rsidP="00E80957">
      <w:pPr>
        <w:pStyle w:val="BodyText2"/>
        <w:keepNext/>
        <w:numPr>
          <w:ilvl w:val="0"/>
          <w:numId w:val="9"/>
        </w:numPr>
        <w:tabs>
          <w:tab w:val="clear" w:pos="567"/>
          <w:tab w:val="num" w:pos="360"/>
        </w:tabs>
        <w:spacing w:line="240" w:lineRule="auto"/>
        <w:ind w:left="426" w:hanging="426"/>
        <w:jc w:val="both"/>
        <w:rPr>
          <w:sz w:val="24"/>
          <w:szCs w:val="24"/>
          <w:lang w:val="en-AU"/>
        </w:rPr>
      </w:pPr>
      <w:r w:rsidRPr="003F29C0">
        <w:rPr>
          <w:sz w:val="24"/>
          <w:szCs w:val="24"/>
          <w:lang w:val="en-AU"/>
        </w:rPr>
        <w:t>Use in the elderly</w:t>
      </w:r>
    </w:p>
    <w:p w:rsidR="00EB6C81" w:rsidRPr="00731703" w:rsidRDefault="004B1F4C" w:rsidP="00A90F03">
      <w:pPr>
        <w:spacing w:before="120"/>
        <w:rPr>
          <w:sz w:val="22"/>
          <w:szCs w:val="22"/>
          <w:lang w:val="en-AU"/>
        </w:rPr>
      </w:pPr>
      <w:r>
        <w:rPr>
          <w:sz w:val="22"/>
          <w:szCs w:val="22"/>
          <w:lang w:val="en-AU"/>
        </w:rPr>
        <w:t>Otezla</w:t>
      </w:r>
      <w:r w:rsidR="00EB6C81" w:rsidRPr="003F29C0">
        <w:rPr>
          <w:sz w:val="22"/>
          <w:szCs w:val="22"/>
          <w:lang w:val="en-AU"/>
        </w:rPr>
        <w:t xml:space="preserve"> was studied in young and elderly healthy subjects.  The exposure in elderly subjects (65 to 85 years of age) is about 13% higher in AUC and about 6% higher in C</w:t>
      </w:r>
      <w:r w:rsidR="00EB6C81" w:rsidRPr="003F29C0">
        <w:rPr>
          <w:sz w:val="22"/>
          <w:szCs w:val="22"/>
          <w:vertAlign w:val="subscript"/>
          <w:lang w:val="en-AU"/>
        </w:rPr>
        <w:t>max</w:t>
      </w:r>
      <w:r w:rsidR="00EB6C81" w:rsidRPr="003F29C0">
        <w:rPr>
          <w:sz w:val="22"/>
          <w:szCs w:val="22"/>
          <w:lang w:val="en-AU"/>
        </w:rPr>
        <w:t xml:space="preserve"> for apremilast than that in </w:t>
      </w:r>
      <w:r w:rsidR="00EB6C81" w:rsidRPr="00731703">
        <w:rPr>
          <w:sz w:val="22"/>
          <w:szCs w:val="22"/>
          <w:lang w:val="en-AU"/>
        </w:rPr>
        <w:t xml:space="preserve">young subjects (18 to 55 years of age).  </w:t>
      </w:r>
    </w:p>
    <w:p w:rsidR="00731703" w:rsidRPr="00731703" w:rsidRDefault="00731703" w:rsidP="00EB6C81">
      <w:pPr>
        <w:jc w:val="both"/>
        <w:rPr>
          <w:sz w:val="22"/>
          <w:szCs w:val="22"/>
          <w:lang w:val="en-AU"/>
        </w:rPr>
      </w:pPr>
    </w:p>
    <w:p w:rsidR="00731703" w:rsidRPr="00731703" w:rsidRDefault="00731703" w:rsidP="00587C69">
      <w:pPr>
        <w:rPr>
          <w:sz w:val="22"/>
          <w:szCs w:val="22"/>
          <w:lang w:val="en-AU"/>
        </w:rPr>
      </w:pPr>
      <w:r w:rsidRPr="00731703">
        <w:rPr>
          <w:color w:val="000000"/>
          <w:sz w:val="22"/>
          <w:szCs w:val="22"/>
        </w:rPr>
        <w:t xml:space="preserve">No overall differences were observed in the safety or efficacy profile of elderly </w:t>
      </w:r>
      <w:proofErr w:type="gramStart"/>
      <w:r w:rsidRPr="00731703">
        <w:rPr>
          <w:color w:val="000000"/>
          <w:sz w:val="22"/>
          <w:szCs w:val="22"/>
        </w:rPr>
        <w:t>patients</w:t>
      </w:r>
      <w:proofErr w:type="gramEnd"/>
      <w:r w:rsidRPr="00731703">
        <w:rPr>
          <w:color w:val="000000"/>
          <w:sz w:val="22"/>
          <w:szCs w:val="22"/>
        </w:rPr>
        <w:t xml:space="preserve"> ≥ 65 years of age and younger adult patients &lt; 65 years of age in the clinical studies.</w:t>
      </w:r>
    </w:p>
    <w:p w:rsidR="00C75F6C" w:rsidRDefault="00C75F6C" w:rsidP="00E259CA">
      <w:pPr>
        <w:jc w:val="both"/>
        <w:rPr>
          <w:sz w:val="22"/>
          <w:szCs w:val="22"/>
          <w:lang w:val="en-AU"/>
        </w:rPr>
      </w:pPr>
    </w:p>
    <w:p w:rsidR="00CE32D8" w:rsidRPr="003F29C0" w:rsidRDefault="00C75F6C" w:rsidP="00E259CA">
      <w:pPr>
        <w:jc w:val="both"/>
        <w:rPr>
          <w:sz w:val="22"/>
          <w:szCs w:val="22"/>
          <w:lang w:val="en-AU"/>
        </w:rPr>
      </w:pPr>
      <w:r w:rsidRPr="00731703">
        <w:rPr>
          <w:sz w:val="22"/>
          <w:szCs w:val="22"/>
          <w:lang w:val="en-AU"/>
        </w:rPr>
        <w:t>No dosage adjustment is necessary for elderly patients.</w:t>
      </w:r>
    </w:p>
    <w:p w:rsidR="004E7E9E" w:rsidRDefault="004E7E9E" w:rsidP="00E259CA">
      <w:pPr>
        <w:jc w:val="both"/>
        <w:rPr>
          <w:sz w:val="22"/>
          <w:szCs w:val="22"/>
          <w:lang w:val="en-AU"/>
        </w:rPr>
      </w:pPr>
    </w:p>
    <w:p w:rsidR="00582ADD" w:rsidRDefault="00582ADD" w:rsidP="00E259CA">
      <w:pPr>
        <w:jc w:val="both"/>
        <w:rPr>
          <w:sz w:val="22"/>
          <w:szCs w:val="22"/>
          <w:lang w:val="en-AU"/>
        </w:rPr>
      </w:pPr>
    </w:p>
    <w:p w:rsidR="002A6064" w:rsidRDefault="002A6064" w:rsidP="002A6064">
      <w:pPr>
        <w:pStyle w:val="BodyText2"/>
        <w:keepNext/>
        <w:numPr>
          <w:ilvl w:val="0"/>
          <w:numId w:val="9"/>
        </w:numPr>
        <w:tabs>
          <w:tab w:val="clear" w:pos="567"/>
          <w:tab w:val="num" w:pos="360"/>
        </w:tabs>
        <w:spacing w:line="240" w:lineRule="auto"/>
        <w:ind w:left="426" w:hanging="426"/>
        <w:jc w:val="both"/>
        <w:rPr>
          <w:sz w:val="24"/>
          <w:szCs w:val="24"/>
          <w:lang w:val="en-AU"/>
        </w:rPr>
      </w:pPr>
      <w:r>
        <w:rPr>
          <w:sz w:val="24"/>
          <w:szCs w:val="24"/>
          <w:lang w:val="en-AU"/>
        </w:rPr>
        <w:t>W</w:t>
      </w:r>
      <w:r w:rsidR="00D378C6">
        <w:rPr>
          <w:sz w:val="24"/>
          <w:szCs w:val="24"/>
          <w:lang w:val="en-AU"/>
        </w:rPr>
        <w:t>eight Decrease</w:t>
      </w:r>
    </w:p>
    <w:p w:rsidR="002A6064" w:rsidRPr="00CD5265" w:rsidRDefault="001A572A" w:rsidP="002A6064">
      <w:pPr>
        <w:autoSpaceDE w:val="0"/>
        <w:autoSpaceDN w:val="0"/>
        <w:adjustRightInd w:val="0"/>
        <w:spacing w:before="120"/>
        <w:rPr>
          <w:sz w:val="22"/>
          <w:szCs w:val="22"/>
          <w:lang w:val="en-AU"/>
        </w:rPr>
      </w:pPr>
      <w:r w:rsidRPr="00CD5265">
        <w:rPr>
          <w:sz w:val="22"/>
          <w:szCs w:val="22"/>
          <w:lang w:val="en-AU"/>
        </w:rPr>
        <w:t xml:space="preserve">In some patients treatment with Otezla has been associated with weight decrease.  </w:t>
      </w:r>
      <w:r w:rsidR="002A6064" w:rsidRPr="00CD5265">
        <w:rPr>
          <w:sz w:val="22"/>
          <w:szCs w:val="22"/>
          <w:lang w:val="en-AU"/>
        </w:rPr>
        <w:t>Patients treated with Otezla</w:t>
      </w:r>
      <w:r w:rsidR="002A6064" w:rsidRPr="00CD5265">
        <w:rPr>
          <w:b/>
          <w:bCs/>
          <w:sz w:val="22"/>
          <w:szCs w:val="22"/>
          <w:lang w:val="en-AU"/>
        </w:rPr>
        <w:t xml:space="preserve"> </w:t>
      </w:r>
      <w:r w:rsidR="002A6064" w:rsidRPr="00CD5265">
        <w:rPr>
          <w:sz w:val="22"/>
          <w:szCs w:val="22"/>
          <w:lang w:val="en-AU"/>
        </w:rPr>
        <w:t>should have their weight monitored regularly.  If unexplained or clinically significant weight loss occurs, weight loss should be evaluated, and discontinuation of Otezla should be considered</w:t>
      </w:r>
      <w:r w:rsidRPr="00CD5265">
        <w:rPr>
          <w:sz w:val="22"/>
          <w:szCs w:val="22"/>
          <w:lang w:val="en-AU"/>
        </w:rPr>
        <w:t xml:space="preserve"> (see Adverse Effects section).</w:t>
      </w:r>
    </w:p>
    <w:p w:rsidR="009357FC" w:rsidRPr="005D66CE" w:rsidRDefault="009357FC" w:rsidP="00E259CA">
      <w:pPr>
        <w:jc w:val="both"/>
        <w:rPr>
          <w:sz w:val="22"/>
          <w:szCs w:val="22"/>
          <w:lang w:val="en-AU"/>
        </w:rPr>
      </w:pPr>
    </w:p>
    <w:p w:rsidR="00582ADD" w:rsidRDefault="00582ADD" w:rsidP="00E259CA">
      <w:pPr>
        <w:jc w:val="both"/>
        <w:rPr>
          <w:sz w:val="22"/>
          <w:szCs w:val="22"/>
          <w:lang w:val="en-AU"/>
        </w:rPr>
      </w:pPr>
    </w:p>
    <w:p w:rsidR="00283BAA" w:rsidRPr="00570D99" w:rsidRDefault="00283BAA" w:rsidP="00283BAA">
      <w:pPr>
        <w:pStyle w:val="BodyText2"/>
        <w:keepNext/>
        <w:numPr>
          <w:ilvl w:val="0"/>
          <w:numId w:val="9"/>
        </w:numPr>
        <w:tabs>
          <w:tab w:val="clear" w:pos="567"/>
          <w:tab w:val="num" w:pos="360"/>
        </w:tabs>
        <w:spacing w:line="240" w:lineRule="auto"/>
        <w:ind w:left="426" w:hanging="426"/>
        <w:jc w:val="both"/>
        <w:rPr>
          <w:sz w:val="24"/>
          <w:szCs w:val="24"/>
          <w:lang w:val="en-AU"/>
        </w:rPr>
      </w:pPr>
      <w:r>
        <w:rPr>
          <w:sz w:val="24"/>
          <w:szCs w:val="24"/>
          <w:lang w:val="en-AU"/>
        </w:rPr>
        <w:t>Depression</w:t>
      </w:r>
    </w:p>
    <w:p w:rsidR="00283BAA" w:rsidRPr="00283BAA" w:rsidRDefault="00283BAA" w:rsidP="00570D99">
      <w:pPr>
        <w:spacing w:before="120"/>
        <w:rPr>
          <w:sz w:val="22"/>
          <w:szCs w:val="22"/>
          <w:lang w:val="en-AU"/>
        </w:rPr>
      </w:pPr>
      <w:r w:rsidRPr="00283BAA">
        <w:rPr>
          <w:bCs/>
          <w:sz w:val="22"/>
          <w:szCs w:val="22"/>
          <w:lang w:val="en-AU"/>
        </w:rPr>
        <w:t>Before using O</w:t>
      </w:r>
      <w:r w:rsidR="00612634">
        <w:rPr>
          <w:bCs/>
          <w:sz w:val="22"/>
          <w:szCs w:val="22"/>
          <w:lang w:val="en-AU"/>
        </w:rPr>
        <w:t>tezla</w:t>
      </w:r>
      <w:r w:rsidRPr="00283BAA">
        <w:rPr>
          <w:bCs/>
          <w:sz w:val="22"/>
          <w:szCs w:val="22"/>
          <w:lang w:val="en-AU"/>
        </w:rPr>
        <w:t xml:space="preserve"> in patients with a history of depression and/or suicidal thoughts or behavio</w:t>
      </w:r>
      <w:r w:rsidR="008D343C">
        <w:rPr>
          <w:bCs/>
          <w:sz w:val="22"/>
          <w:szCs w:val="22"/>
          <w:lang w:val="en-AU"/>
        </w:rPr>
        <w:t>u</w:t>
      </w:r>
      <w:r w:rsidRPr="00283BAA">
        <w:rPr>
          <w:bCs/>
          <w:sz w:val="22"/>
          <w:szCs w:val="22"/>
          <w:lang w:val="en-AU"/>
        </w:rPr>
        <w:t>r, prescribers should carefully weigh the risks and be</w:t>
      </w:r>
      <w:r w:rsidR="00612634">
        <w:rPr>
          <w:bCs/>
          <w:sz w:val="22"/>
          <w:szCs w:val="22"/>
          <w:lang w:val="en-AU"/>
        </w:rPr>
        <w:t>nefits of treatment with Otezla</w:t>
      </w:r>
      <w:r w:rsidRPr="00283BAA">
        <w:rPr>
          <w:bCs/>
          <w:sz w:val="22"/>
          <w:szCs w:val="22"/>
          <w:lang w:val="en-AU"/>
        </w:rPr>
        <w:t xml:space="preserve"> in such patients</w:t>
      </w:r>
      <w:r w:rsidR="00612634">
        <w:rPr>
          <w:bCs/>
          <w:sz w:val="22"/>
          <w:szCs w:val="22"/>
          <w:lang w:val="en-AU"/>
        </w:rPr>
        <w:t xml:space="preserve"> (see Adverse Effects section)</w:t>
      </w:r>
      <w:r w:rsidRPr="00283BAA">
        <w:rPr>
          <w:bCs/>
          <w:sz w:val="22"/>
          <w:szCs w:val="22"/>
          <w:lang w:val="en-AU"/>
        </w:rPr>
        <w:t xml:space="preserve">. </w:t>
      </w:r>
    </w:p>
    <w:p w:rsidR="00283BAA" w:rsidRPr="00570D99" w:rsidRDefault="00283BAA" w:rsidP="00283BAA">
      <w:pPr>
        <w:rPr>
          <w:sz w:val="22"/>
          <w:szCs w:val="22"/>
        </w:rPr>
      </w:pPr>
    </w:p>
    <w:p w:rsidR="00283BAA" w:rsidRPr="00283BAA" w:rsidRDefault="00283BAA" w:rsidP="00283BAA"/>
    <w:p w:rsidR="00582ADD" w:rsidRPr="00582ADD" w:rsidRDefault="00582ADD" w:rsidP="00582ADD">
      <w:pPr>
        <w:pStyle w:val="BodyText2"/>
        <w:keepNext/>
        <w:numPr>
          <w:ilvl w:val="0"/>
          <w:numId w:val="9"/>
        </w:numPr>
        <w:tabs>
          <w:tab w:val="clear" w:pos="567"/>
          <w:tab w:val="num" w:pos="360"/>
        </w:tabs>
        <w:spacing w:line="240" w:lineRule="auto"/>
        <w:ind w:left="426" w:hanging="426"/>
        <w:jc w:val="both"/>
        <w:rPr>
          <w:sz w:val="24"/>
          <w:szCs w:val="24"/>
          <w:lang w:val="en-AU"/>
        </w:rPr>
      </w:pPr>
      <w:r>
        <w:rPr>
          <w:sz w:val="24"/>
          <w:szCs w:val="24"/>
          <w:lang w:val="en-AU"/>
        </w:rPr>
        <w:t>Renal Function</w:t>
      </w:r>
    </w:p>
    <w:p w:rsidR="00582ADD" w:rsidRPr="00582ADD" w:rsidRDefault="00582ADD" w:rsidP="00381D11">
      <w:pPr>
        <w:spacing w:before="120"/>
        <w:jc w:val="both"/>
        <w:rPr>
          <w:sz w:val="22"/>
          <w:szCs w:val="22"/>
          <w:lang w:val="en-AU" w:eastAsia="en-AU"/>
        </w:rPr>
      </w:pPr>
      <w:r w:rsidRPr="00582ADD">
        <w:rPr>
          <w:sz w:val="22"/>
          <w:szCs w:val="22"/>
          <w:lang w:val="en-AU" w:eastAsia="en-AU"/>
        </w:rPr>
        <w:t>Assessment of renal function is recommended prior to initiation of Otezla</w:t>
      </w:r>
      <w:r w:rsidR="001E2D1E">
        <w:rPr>
          <w:sz w:val="22"/>
          <w:szCs w:val="22"/>
          <w:lang w:val="en-AU" w:eastAsia="en-AU"/>
        </w:rPr>
        <w:t>.</w:t>
      </w:r>
    </w:p>
    <w:p w:rsidR="00582ADD" w:rsidRDefault="00582ADD" w:rsidP="00E259CA">
      <w:pPr>
        <w:jc w:val="both"/>
        <w:rPr>
          <w:lang w:val="en-AU" w:eastAsia="en-AU"/>
        </w:rPr>
      </w:pPr>
    </w:p>
    <w:p w:rsidR="00582ADD" w:rsidRPr="003F29C0" w:rsidRDefault="00582ADD" w:rsidP="00E259CA">
      <w:pPr>
        <w:jc w:val="both"/>
        <w:rPr>
          <w:sz w:val="22"/>
          <w:szCs w:val="22"/>
          <w:lang w:val="en-AU"/>
        </w:rPr>
      </w:pPr>
    </w:p>
    <w:p w:rsidR="00EC36C1" w:rsidRDefault="00BC7BD2" w:rsidP="00E80957">
      <w:pPr>
        <w:pStyle w:val="ListParagraph"/>
        <w:keepNext/>
        <w:numPr>
          <w:ilvl w:val="0"/>
          <w:numId w:val="9"/>
        </w:numPr>
        <w:tabs>
          <w:tab w:val="num" w:pos="360"/>
        </w:tabs>
        <w:ind w:left="426" w:hanging="426"/>
        <w:jc w:val="both"/>
        <w:rPr>
          <w:b/>
          <w:lang w:val="en-AU"/>
        </w:rPr>
      </w:pPr>
      <w:r>
        <w:rPr>
          <w:b/>
          <w:lang w:val="en-AU"/>
        </w:rPr>
        <w:t>Genotoxicity</w:t>
      </w:r>
    </w:p>
    <w:p w:rsidR="00EB6C81" w:rsidRDefault="00EB6C81" w:rsidP="00430A9E">
      <w:pPr>
        <w:pStyle w:val="BodyText2"/>
        <w:spacing w:before="120" w:line="240" w:lineRule="auto"/>
        <w:rPr>
          <w:b w:val="0"/>
          <w:bCs w:val="0"/>
          <w:iCs/>
          <w:szCs w:val="22"/>
          <w:lang w:val="en-AU"/>
        </w:rPr>
      </w:pPr>
      <w:r w:rsidRPr="003F29C0">
        <w:rPr>
          <w:b w:val="0"/>
          <w:bCs w:val="0"/>
          <w:iCs/>
          <w:szCs w:val="22"/>
          <w:lang w:val="en-AU"/>
        </w:rPr>
        <w:t>Apremilast is not genotoxic.  Apremilast did not induce mutations in an Ames assay or chromosome aberrations in cultured human peripheral blood lymphocytes in the presence or absence of metabolic activation.  Apremilast was not clastogenic in an in vivo mouse micronu</w:t>
      </w:r>
      <w:r w:rsidR="009B6510">
        <w:rPr>
          <w:b w:val="0"/>
          <w:bCs w:val="0"/>
          <w:iCs/>
          <w:szCs w:val="22"/>
          <w:lang w:val="en-AU"/>
        </w:rPr>
        <w:t>cleus assay at doses up to 2000 </w:t>
      </w:r>
      <w:r w:rsidRPr="003F29C0">
        <w:rPr>
          <w:b w:val="0"/>
          <w:bCs w:val="0"/>
          <w:iCs/>
          <w:szCs w:val="22"/>
          <w:lang w:val="en-AU"/>
        </w:rPr>
        <w:t xml:space="preserve">mg/kg/day. </w:t>
      </w:r>
    </w:p>
    <w:p w:rsidR="003103F0" w:rsidRDefault="003103F0" w:rsidP="003103F0">
      <w:pPr>
        <w:pStyle w:val="BodyText2"/>
        <w:spacing w:line="240" w:lineRule="auto"/>
        <w:rPr>
          <w:b w:val="0"/>
          <w:bCs w:val="0"/>
          <w:iCs/>
          <w:szCs w:val="22"/>
          <w:lang w:val="en-AU"/>
        </w:rPr>
      </w:pPr>
    </w:p>
    <w:p w:rsidR="003103F0" w:rsidRPr="003F29C0" w:rsidRDefault="003103F0" w:rsidP="003103F0">
      <w:pPr>
        <w:jc w:val="both"/>
        <w:rPr>
          <w:sz w:val="22"/>
          <w:szCs w:val="22"/>
          <w:lang w:val="en-AU"/>
        </w:rPr>
      </w:pPr>
    </w:p>
    <w:p w:rsidR="00EC36C1" w:rsidRDefault="003103F0" w:rsidP="00E80957">
      <w:pPr>
        <w:pStyle w:val="ListParagraph"/>
        <w:keepNext/>
        <w:numPr>
          <w:ilvl w:val="0"/>
          <w:numId w:val="9"/>
        </w:numPr>
        <w:tabs>
          <w:tab w:val="num" w:pos="360"/>
        </w:tabs>
        <w:ind w:left="426" w:hanging="426"/>
        <w:jc w:val="both"/>
        <w:rPr>
          <w:b/>
          <w:lang w:val="en-AU"/>
        </w:rPr>
      </w:pPr>
      <w:r w:rsidRPr="003F29C0">
        <w:rPr>
          <w:b/>
          <w:lang w:val="en-AU"/>
        </w:rPr>
        <w:lastRenderedPageBreak/>
        <w:t>Carcinogenicity</w:t>
      </w:r>
    </w:p>
    <w:p w:rsidR="00EB6C81" w:rsidRDefault="00EB6C81" w:rsidP="00430A9E">
      <w:pPr>
        <w:pStyle w:val="BodyText2"/>
        <w:spacing w:before="120" w:line="240" w:lineRule="auto"/>
        <w:rPr>
          <w:b w:val="0"/>
          <w:bCs w:val="0"/>
          <w:iCs/>
          <w:szCs w:val="22"/>
          <w:lang w:val="en-AU"/>
        </w:rPr>
      </w:pPr>
      <w:r w:rsidRPr="003F29C0">
        <w:rPr>
          <w:b w:val="0"/>
          <w:bCs w:val="0"/>
          <w:iCs/>
          <w:szCs w:val="22"/>
          <w:lang w:val="en-AU"/>
        </w:rPr>
        <w:t xml:space="preserve">Carcinogenicity studies showed no evidence of </w:t>
      </w:r>
      <w:r w:rsidR="003103F0">
        <w:rPr>
          <w:b w:val="0"/>
          <w:bCs w:val="0"/>
          <w:iCs/>
          <w:szCs w:val="22"/>
          <w:lang w:val="en-AU"/>
        </w:rPr>
        <w:t>treatment-</w:t>
      </w:r>
      <w:r w:rsidRPr="003F29C0">
        <w:rPr>
          <w:b w:val="0"/>
          <w:bCs w:val="0"/>
          <w:iCs/>
          <w:szCs w:val="22"/>
          <w:lang w:val="en-AU"/>
        </w:rPr>
        <w:t xml:space="preserve">related  </w:t>
      </w:r>
      <w:r w:rsidR="003103F0">
        <w:rPr>
          <w:b w:val="0"/>
          <w:bCs w:val="0"/>
          <w:iCs/>
          <w:szCs w:val="22"/>
          <w:lang w:val="en-AU"/>
        </w:rPr>
        <w:t xml:space="preserve">tumours following oral </w:t>
      </w:r>
      <w:r w:rsidRPr="003F29C0">
        <w:rPr>
          <w:b w:val="0"/>
          <w:bCs w:val="0"/>
          <w:iCs/>
          <w:szCs w:val="22"/>
          <w:lang w:val="en-AU"/>
        </w:rPr>
        <w:t>treatment with apremilast</w:t>
      </w:r>
      <w:r w:rsidR="003103F0">
        <w:rPr>
          <w:b w:val="0"/>
          <w:bCs w:val="0"/>
          <w:iCs/>
          <w:szCs w:val="22"/>
          <w:lang w:val="en-AU"/>
        </w:rPr>
        <w:t xml:space="preserve"> </w:t>
      </w:r>
      <w:r w:rsidR="00D54B1E">
        <w:rPr>
          <w:b w:val="0"/>
          <w:bCs w:val="0"/>
          <w:iCs/>
          <w:szCs w:val="22"/>
          <w:lang w:val="en-AU"/>
        </w:rPr>
        <w:t xml:space="preserve">at plasma exposure levels (AUC) that were 7 to </w:t>
      </w:r>
      <w:r w:rsidR="003103F0">
        <w:rPr>
          <w:b w:val="0"/>
          <w:bCs w:val="0"/>
          <w:iCs/>
          <w:szCs w:val="22"/>
          <w:lang w:val="en-AU"/>
        </w:rPr>
        <w:t>10-fold (mic</w:t>
      </w:r>
      <w:r w:rsidR="00D54B1E">
        <w:rPr>
          <w:b w:val="0"/>
          <w:bCs w:val="0"/>
          <w:iCs/>
          <w:szCs w:val="22"/>
          <w:lang w:val="en-AU"/>
        </w:rPr>
        <w:t>e) and 0.1 to 1-fold (rats) than</w:t>
      </w:r>
      <w:r w:rsidR="003103F0">
        <w:rPr>
          <w:b w:val="0"/>
          <w:bCs w:val="0"/>
          <w:iCs/>
          <w:szCs w:val="22"/>
          <w:lang w:val="en-AU"/>
        </w:rPr>
        <w:t xml:space="preserve"> anticipated clinically</w:t>
      </w:r>
      <w:r w:rsidR="00B71B9B">
        <w:rPr>
          <w:b w:val="0"/>
          <w:bCs w:val="0"/>
          <w:iCs/>
          <w:szCs w:val="22"/>
          <w:lang w:val="en-AU"/>
        </w:rPr>
        <w:t>.</w:t>
      </w:r>
    </w:p>
    <w:p w:rsidR="00151BBC" w:rsidRDefault="00151BBC" w:rsidP="009357FC">
      <w:pPr>
        <w:pStyle w:val="BodyText2"/>
        <w:spacing w:line="240" w:lineRule="auto"/>
        <w:rPr>
          <w:b w:val="0"/>
          <w:bCs w:val="0"/>
          <w:iCs/>
          <w:szCs w:val="22"/>
          <w:lang w:val="en-AU"/>
        </w:rPr>
      </w:pPr>
    </w:p>
    <w:p w:rsidR="009357FC" w:rsidRPr="003F29C0" w:rsidRDefault="009357FC" w:rsidP="009357FC">
      <w:pPr>
        <w:pStyle w:val="BodyText2"/>
        <w:spacing w:line="240" w:lineRule="auto"/>
        <w:rPr>
          <w:b w:val="0"/>
          <w:bCs w:val="0"/>
          <w:iCs/>
          <w:szCs w:val="22"/>
          <w:lang w:val="en-AU"/>
        </w:rPr>
      </w:pPr>
    </w:p>
    <w:p w:rsidR="00EC36C1" w:rsidRPr="007A5CF3" w:rsidRDefault="008E5F61" w:rsidP="00E80957">
      <w:pPr>
        <w:pStyle w:val="ListParagraph"/>
        <w:keepNext/>
        <w:numPr>
          <w:ilvl w:val="0"/>
          <w:numId w:val="9"/>
        </w:numPr>
        <w:tabs>
          <w:tab w:val="num" w:pos="360"/>
        </w:tabs>
        <w:ind w:left="426" w:hanging="426"/>
        <w:jc w:val="both"/>
        <w:rPr>
          <w:b/>
          <w:lang w:val="en-AU"/>
        </w:rPr>
      </w:pPr>
      <w:r w:rsidRPr="007A5CF3">
        <w:rPr>
          <w:b/>
          <w:lang w:val="en-AU"/>
        </w:rPr>
        <w:t>Effects on ability to drive and use machines</w:t>
      </w:r>
    </w:p>
    <w:p w:rsidR="00EB6C81" w:rsidRPr="0022001A" w:rsidRDefault="0022001A" w:rsidP="00EB6C81">
      <w:pPr>
        <w:pStyle w:val="C-Bullet"/>
        <w:tabs>
          <w:tab w:val="clear" w:pos="720"/>
        </w:tabs>
        <w:spacing w:after="0" w:line="240" w:lineRule="auto"/>
        <w:ind w:left="0" w:firstLine="0"/>
        <w:rPr>
          <w:b/>
          <w:sz w:val="22"/>
          <w:szCs w:val="22"/>
        </w:rPr>
      </w:pPr>
      <w:r w:rsidRPr="0022001A">
        <w:rPr>
          <w:sz w:val="22"/>
          <w:szCs w:val="22"/>
        </w:rPr>
        <w:t>No studies on the effects on the ability to drive and use of machines have been performed.</w:t>
      </w:r>
    </w:p>
    <w:p w:rsidR="00E76471" w:rsidRPr="0022001A" w:rsidRDefault="00E76471" w:rsidP="004E0E94">
      <w:pPr>
        <w:pStyle w:val="C-Bullet"/>
        <w:tabs>
          <w:tab w:val="clear" w:pos="720"/>
        </w:tabs>
        <w:spacing w:before="0" w:after="0" w:line="240" w:lineRule="auto"/>
        <w:ind w:left="0" w:firstLine="0"/>
        <w:jc w:val="both"/>
        <w:rPr>
          <w:sz w:val="22"/>
          <w:szCs w:val="22"/>
          <w:lang w:val="en-AU"/>
        </w:rPr>
      </w:pPr>
    </w:p>
    <w:p w:rsidR="000F7DCD" w:rsidRDefault="000F7DCD" w:rsidP="004E0E94">
      <w:pPr>
        <w:pStyle w:val="C-Bullet"/>
        <w:tabs>
          <w:tab w:val="clear" w:pos="720"/>
        </w:tabs>
        <w:spacing w:before="0" w:after="0" w:line="240" w:lineRule="auto"/>
        <w:ind w:left="0" w:firstLine="0"/>
        <w:jc w:val="both"/>
        <w:rPr>
          <w:sz w:val="22"/>
          <w:szCs w:val="22"/>
          <w:lang w:val="en-AU"/>
        </w:rPr>
      </w:pPr>
    </w:p>
    <w:p w:rsidR="00EC36C1" w:rsidRPr="000B47A3" w:rsidRDefault="004D69F1" w:rsidP="00E80957">
      <w:pPr>
        <w:pStyle w:val="ListParagraph"/>
        <w:keepNext/>
        <w:numPr>
          <w:ilvl w:val="0"/>
          <w:numId w:val="9"/>
        </w:numPr>
        <w:tabs>
          <w:tab w:val="num" w:pos="360"/>
        </w:tabs>
        <w:ind w:left="426" w:hanging="426"/>
        <w:jc w:val="both"/>
        <w:rPr>
          <w:b/>
          <w:lang w:val="en-AU"/>
        </w:rPr>
      </w:pPr>
      <w:r w:rsidRPr="000B47A3">
        <w:rPr>
          <w:b/>
          <w:lang w:val="en-AU"/>
        </w:rPr>
        <w:t>Use in patients with Lactose Intolerance</w:t>
      </w:r>
    </w:p>
    <w:p w:rsidR="004D69F1" w:rsidRDefault="004D69F1" w:rsidP="004D69F1">
      <w:pPr>
        <w:spacing w:before="120"/>
        <w:jc w:val="both"/>
        <w:rPr>
          <w:sz w:val="22"/>
          <w:szCs w:val="22"/>
          <w:lang w:val="en-AU"/>
        </w:rPr>
      </w:pPr>
      <w:r>
        <w:rPr>
          <w:sz w:val="22"/>
          <w:szCs w:val="22"/>
          <w:lang w:val="en-AU"/>
        </w:rPr>
        <w:t>Otezla tablets</w:t>
      </w:r>
      <w:r w:rsidRPr="00F77E74">
        <w:rPr>
          <w:sz w:val="22"/>
          <w:szCs w:val="22"/>
          <w:lang w:val="en-AU"/>
        </w:rPr>
        <w:t xml:space="preserve"> contain lactose. </w:t>
      </w:r>
      <w:r>
        <w:rPr>
          <w:sz w:val="22"/>
          <w:szCs w:val="22"/>
          <w:lang w:val="en-AU"/>
        </w:rPr>
        <w:t xml:space="preserve"> </w:t>
      </w:r>
      <w:r w:rsidRPr="00F77E74">
        <w:rPr>
          <w:sz w:val="22"/>
          <w:szCs w:val="22"/>
          <w:lang w:val="en-AU"/>
        </w:rPr>
        <w:t>Patients with rare hereditary problems of galactose intolerance, the Lapp lactase deficiency or glucose-galactose malabsorption should not take this medicinal product.</w:t>
      </w:r>
    </w:p>
    <w:p w:rsidR="004D69F1" w:rsidRPr="00F77E74" w:rsidRDefault="004D69F1" w:rsidP="009A78A8">
      <w:pPr>
        <w:jc w:val="both"/>
        <w:rPr>
          <w:sz w:val="22"/>
          <w:szCs w:val="22"/>
          <w:lang w:val="en-AU"/>
        </w:rPr>
      </w:pPr>
    </w:p>
    <w:p w:rsidR="004D69F1" w:rsidRPr="003F29C0" w:rsidRDefault="004D69F1" w:rsidP="004E0E94">
      <w:pPr>
        <w:pStyle w:val="C-Bullet"/>
        <w:tabs>
          <w:tab w:val="clear" w:pos="720"/>
        </w:tabs>
        <w:spacing w:before="0" w:after="0" w:line="240" w:lineRule="auto"/>
        <w:ind w:left="0" w:firstLine="0"/>
        <w:jc w:val="both"/>
        <w:rPr>
          <w:sz w:val="22"/>
          <w:szCs w:val="22"/>
          <w:lang w:val="en-AU"/>
        </w:rPr>
      </w:pPr>
    </w:p>
    <w:p w:rsidR="00EC36C1" w:rsidRPr="009A18E9" w:rsidRDefault="00F71750" w:rsidP="007D6A4A">
      <w:pPr>
        <w:pStyle w:val="ListParagraph"/>
        <w:keepNext/>
        <w:numPr>
          <w:ilvl w:val="0"/>
          <w:numId w:val="2"/>
        </w:numPr>
        <w:tabs>
          <w:tab w:val="left" w:pos="709"/>
        </w:tabs>
        <w:ind w:left="709" w:hanging="709"/>
        <w:jc w:val="both"/>
        <w:rPr>
          <w:sz w:val="28"/>
          <w:szCs w:val="28"/>
          <w:lang w:val="en-AU"/>
        </w:rPr>
      </w:pPr>
      <w:r w:rsidRPr="003F29C0">
        <w:rPr>
          <w:b/>
          <w:sz w:val="28"/>
          <w:szCs w:val="28"/>
          <w:lang w:val="en-AU"/>
        </w:rPr>
        <w:t>Interaction with other medicines</w:t>
      </w:r>
    </w:p>
    <w:p w:rsidR="009A18E9" w:rsidRPr="009F0B08" w:rsidRDefault="009A18E9" w:rsidP="009F0B08">
      <w:pPr>
        <w:spacing w:before="120"/>
        <w:rPr>
          <w:sz w:val="22"/>
          <w:szCs w:val="22"/>
        </w:rPr>
      </w:pPr>
      <w:r w:rsidRPr="009F0B08">
        <w:rPr>
          <w:sz w:val="22"/>
          <w:szCs w:val="22"/>
        </w:rPr>
        <w:t xml:space="preserve">Otezla </w:t>
      </w:r>
      <w:r w:rsidR="009F0B08" w:rsidRPr="009F0B08">
        <w:rPr>
          <w:sz w:val="22"/>
          <w:szCs w:val="22"/>
        </w:rPr>
        <w:t xml:space="preserve">has not been studied in combination with </w:t>
      </w:r>
      <w:r w:rsidR="007E2776">
        <w:rPr>
          <w:sz w:val="22"/>
          <w:szCs w:val="22"/>
        </w:rPr>
        <w:t xml:space="preserve">cyclosporin or </w:t>
      </w:r>
      <w:r w:rsidR="009F0B08" w:rsidRPr="009F0B08">
        <w:rPr>
          <w:sz w:val="22"/>
          <w:szCs w:val="22"/>
        </w:rPr>
        <w:t>biologic therapies.</w:t>
      </w:r>
    </w:p>
    <w:p w:rsidR="009A18E9" w:rsidRPr="009A18E9" w:rsidRDefault="009A18E9" w:rsidP="009A18E9"/>
    <w:p w:rsidR="00112E36" w:rsidRPr="003F29C0" w:rsidRDefault="00112E36" w:rsidP="00112E36">
      <w:pPr>
        <w:keepNext/>
        <w:spacing w:before="120"/>
        <w:rPr>
          <w:sz w:val="22"/>
          <w:szCs w:val="22"/>
          <w:u w:val="single"/>
          <w:lang w:val="en-AU"/>
        </w:rPr>
      </w:pPr>
      <w:r w:rsidRPr="003F29C0">
        <w:rPr>
          <w:sz w:val="22"/>
          <w:szCs w:val="22"/>
          <w:u w:val="single"/>
          <w:lang w:val="en-AU"/>
        </w:rPr>
        <w:t xml:space="preserve">Effect of </w:t>
      </w:r>
      <w:r w:rsidR="004B1F4C">
        <w:rPr>
          <w:sz w:val="22"/>
          <w:szCs w:val="22"/>
          <w:u w:val="single"/>
          <w:lang w:val="en-AU"/>
        </w:rPr>
        <w:t>Otezla</w:t>
      </w:r>
      <w:r w:rsidR="004B1F4C" w:rsidRPr="003F29C0">
        <w:rPr>
          <w:sz w:val="22"/>
          <w:szCs w:val="22"/>
          <w:u w:val="single"/>
          <w:lang w:val="en-AU"/>
        </w:rPr>
        <w:t xml:space="preserve"> </w:t>
      </w:r>
      <w:r w:rsidRPr="003F29C0">
        <w:rPr>
          <w:sz w:val="22"/>
          <w:szCs w:val="22"/>
          <w:u w:val="single"/>
          <w:lang w:val="en-AU"/>
        </w:rPr>
        <w:t>on other medicinal products</w:t>
      </w:r>
    </w:p>
    <w:p w:rsidR="00EB6C81" w:rsidRPr="003F29C0" w:rsidRDefault="00EB6C81" w:rsidP="00EB6C81">
      <w:pPr>
        <w:spacing w:before="120"/>
        <w:rPr>
          <w:sz w:val="22"/>
          <w:szCs w:val="22"/>
          <w:lang w:val="en-AU"/>
        </w:rPr>
      </w:pPr>
      <w:r w:rsidRPr="003F29C0">
        <w:rPr>
          <w:sz w:val="22"/>
          <w:szCs w:val="22"/>
          <w:lang w:val="en-AU"/>
        </w:rPr>
        <w:t xml:space="preserve">There was no pharmacokinetic drug-drug interaction between </w:t>
      </w:r>
      <w:r w:rsidR="004B1F4C">
        <w:rPr>
          <w:sz w:val="22"/>
          <w:szCs w:val="22"/>
          <w:lang w:val="en-AU"/>
        </w:rPr>
        <w:t>Otezla</w:t>
      </w:r>
      <w:r w:rsidR="004B1F4C" w:rsidRPr="003F29C0">
        <w:rPr>
          <w:sz w:val="22"/>
          <w:szCs w:val="22"/>
          <w:lang w:val="en-AU"/>
        </w:rPr>
        <w:t xml:space="preserve"> </w:t>
      </w:r>
      <w:r w:rsidRPr="003F29C0">
        <w:rPr>
          <w:sz w:val="22"/>
          <w:szCs w:val="22"/>
          <w:lang w:val="en-AU"/>
        </w:rPr>
        <w:t>and methotrexate</w:t>
      </w:r>
      <w:r w:rsidR="00FB6D30">
        <w:rPr>
          <w:sz w:val="22"/>
          <w:szCs w:val="22"/>
          <w:lang w:val="en-AU"/>
        </w:rPr>
        <w:t>.</w:t>
      </w:r>
      <w:r w:rsidRPr="003F29C0">
        <w:rPr>
          <w:sz w:val="22"/>
          <w:szCs w:val="22"/>
          <w:lang w:val="en-AU"/>
        </w:rPr>
        <w:t xml:space="preserve">  </w:t>
      </w:r>
      <w:r w:rsidR="004B1F4C">
        <w:rPr>
          <w:sz w:val="22"/>
          <w:szCs w:val="22"/>
          <w:lang w:val="en-AU"/>
        </w:rPr>
        <w:t>Otezla</w:t>
      </w:r>
      <w:r w:rsidR="004B1F4C" w:rsidRPr="003F29C0">
        <w:rPr>
          <w:sz w:val="22"/>
          <w:szCs w:val="22"/>
          <w:lang w:val="en-AU"/>
        </w:rPr>
        <w:t xml:space="preserve"> </w:t>
      </w:r>
      <w:r w:rsidRPr="003F29C0">
        <w:rPr>
          <w:sz w:val="22"/>
          <w:szCs w:val="22"/>
          <w:lang w:val="en-AU"/>
        </w:rPr>
        <w:t>can be co-administered with methotrexate</w:t>
      </w:r>
      <w:r w:rsidR="0007381C">
        <w:rPr>
          <w:sz w:val="22"/>
          <w:szCs w:val="22"/>
          <w:lang w:val="en-AU"/>
        </w:rPr>
        <w:t>.</w:t>
      </w:r>
    </w:p>
    <w:p w:rsidR="00EB6C81" w:rsidRPr="003F29C0" w:rsidRDefault="00EB6C81" w:rsidP="00EB6C81">
      <w:pPr>
        <w:rPr>
          <w:sz w:val="22"/>
          <w:szCs w:val="22"/>
          <w:lang w:val="en-AU"/>
        </w:rPr>
      </w:pPr>
    </w:p>
    <w:p w:rsidR="00EB6C81" w:rsidRDefault="00EB6C81" w:rsidP="00EB6C81">
      <w:pPr>
        <w:rPr>
          <w:sz w:val="22"/>
          <w:szCs w:val="22"/>
          <w:lang w:val="en-AU"/>
        </w:rPr>
      </w:pPr>
      <w:r w:rsidRPr="003F29C0">
        <w:rPr>
          <w:sz w:val="22"/>
          <w:szCs w:val="22"/>
          <w:lang w:val="en-AU"/>
        </w:rPr>
        <w:t xml:space="preserve">There was no pharmacokinetic drug-drug interaction between </w:t>
      </w:r>
      <w:r w:rsidR="004B1F4C">
        <w:rPr>
          <w:sz w:val="22"/>
          <w:szCs w:val="22"/>
          <w:lang w:val="en-AU"/>
        </w:rPr>
        <w:t>Otezla</w:t>
      </w:r>
      <w:r w:rsidR="004B1F4C" w:rsidRPr="003F29C0">
        <w:rPr>
          <w:sz w:val="22"/>
          <w:szCs w:val="22"/>
          <w:lang w:val="en-AU"/>
        </w:rPr>
        <w:t xml:space="preserve"> </w:t>
      </w:r>
      <w:r w:rsidRPr="003F29C0">
        <w:rPr>
          <w:sz w:val="22"/>
          <w:szCs w:val="22"/>
          <w:lang w:val="en-AU"/>
        </w:rPr>
        <w:t xml:space="preserve">and oral contraceptives containing ethinyl estradiol and norgestimate.  </w:t>
      </w:r>
      <w:r w:rsidR="004B1F4C">
        <w:rPr>
          <w:sz w:val="22"/>
          <w:szCs w:val="22"/>
          <w:lang w:val="en-AU"/>
        </w:rPr>
        <w:t>Otezla</w:t>
      </w:r>
      <w:r w:rsidR="004B1F4C" w:rsidRPr="003F29C0">
        <w:rPr>
          <w:sz w:val="22"/>
          <w:szCs w:val="22"/>
          <w:lang w:val="en-AU"/>
        </w:rPr>
        <w:t xml:space="preserve"> </w:t>
      </w:r>
      <w:r w:rsidRPr="003F29C0">
        <w:rPr>
          <w:sz w:val="22"/>
          <w:szCs w:val="22"/>
          <w:lang w:val="en-AU"/>
        </w:rPr>
        <w:t>can be taken with oral contraceptives without clinically relevant drug-drug interaction.</w:t>
      </w:r>
    </w:p>
    <w:p w:rsidR="00EB7668" w:rsidRDefault="00EB7668" w:rsidP="00EB6C81">
      <w:pPr>
        <w:rPr>
          <w:sz w:val="22"/>
          <w:szCs w:val="22"/>
          <w:lang w:val="en-AU"/>
        </w:rPr>
      </w:pPr>
    </w:p>
    <w:p w:rsidR="00EB7668" w:rsidRPr="003F29C0" w:rsidRDefault="00EB7668" w:rsidP="00EB7668">
      <w:pPr>
        <w:rPr>
          <w:sz w:val="22"/>
          <w:szCs w:val="22"/>
          <w:lang w:val="en-AU"/>
        </w:rPr>
      </w:pPr>
      <w:r w:rsidRPr="003F29C0">
        <w:rPr>
          <w:sz w:val="22"/>
          <w:szCs w:val="22"/>
          <w:lang w:val="en-AU"/>
        </w:rPr>
        <w:t>In vitro, apremilast is not an inhibitor or inducer of cytochrome P450 enzymes.  Hence, apremilast co-administered with substrates of CYP enzymes is unlikely to affect the clearance and exposure of drugs that are metabolized by CYP enzymes.</w:t>
      </w:r>
    </w:p>
    <w:p w:rsidR="00EB7668" w:rsidRPr="003F29C0" w:rsidRDefault="00EB7668" w:rsidP="00EB7668">
      <w:pPr>
        <w:rPr>
          <w:sz w:val="22"/>
          <w:szCs w:val="22"/>
          <w:lang w:val="en-AU"/>
        </w:rPr>
      </w:pPr>
    </w:p>
    <w:p w:rsidR="00EB7668" w:rsidRPr="003F29C0" w:rsidRDefault="00EB7668" w:rsidP="00EB7668">
      <w:pPr>
        <w:rPr>
          <w:sz w:val="22"/>
          <w:szCs w:val="22"/>
          <w:lang w:val="en-AU"/>
        </w:rPr>
      </w:pPr>
      <w:r w:rsidRPr="003F29C0">
        <w:rPr>
          <w:sz w:val="22"/>
          <w:szCs w:val="22"/>
          <w:lang w:val="en-AU"/>
        </w:rPr>
        <w:t>In vitro, apremilast is a substrate, and a weak inhibitor of P-glycoprotein (IC&gt;50µM).</w:t>
      </w:r>
    </w:p>
    <w:p w:rsidR="00EB7668" w:rsidRPr="003F29C0" w:rsidRDefault="00EB7668" w:rsidP="00EB7668">
      <w:pPr>
        <w:rPr>
          <w:sz w:val="22"/>
          <w:szCs w:val="22"/>
          <w:lang w:val="en-AU"/>
        </w:rPr>
      </w:pPr>
    </w:p>
    <w:p w:rsidR="00EB7668" w:rsidRPr="003F29C0" w:rsidRDefault="00EB7668" w:rsidP="00EB7668">
      <w:pPr>
        <w:rPr>
          <w:sz w:val="22"/>
          <w:szCs w:val="22"/>
          <w:lang w:val="en-AU"/>
        </w:rPr>
      </w:pPr>
      <w:r w:rsidRPr="003F29C0">
        <w:rPr>
          <w:sz w:val="22"/>
          <w:szCs w:val="22"/>
          <w:lang w:val="en-AU"/>
        </w:rPr>
        <w:t>In vitro, apremilast has little to no inhibitory effect (IC</w:t>
      </w:r>
      <w:r w:rsidRPr="00085607">
        <w:rPr>
          <w:sz w:val="22"/>
          <w:szCs w:val="22"/>
          <w:vertAlign w:val="subscript"/>
          <w:lang w:val="en-AU"/>
        </w:rPr>
        <w:t>50</w:t>
      </w:r>
      <w:r w:rsidRPr="003F29C0">
        <w:rPr>
          <w:sz w:val="22"/>
          <w:szCs w:val="22"/>
          <w:lang w:val="en-AU"/>
        </w:rPr>
        <w:t>&gt;10µM) on Organic Anion Transporter (OAT</w:t>
      </w:r>
      <w:proofErr w:type="gramStart"/>
      <w:r w:rsidRPr="003F29C0">
        <w:rPr>
          <w:sz w:val="22"/>
          <w:szCs w:val="22"/>
          <w:lang w:val="en-AU"/>
        </w:rPr>
        <w:t>)1</w:t>
      </w:r>
      <w:proofErr w:type="gramEnd"/>
      <w:r w:rsidRPr="003F29C0">
        <w:rPr>
          <w:sz w:val="22"/>
          <w:szCs w:val="22"/>
          <w:lang w:val="en-AU"/>
        </w:rPr>
        <w:t xml:space="preserve"> and OAT3, Organic Cation Transporter (OCT)2, Organic Anion Transporting Polypeptide (OATP)1B1 and OATP1B3, or breast cancer resistance protein (BCRP) and is not a substrate for these transporters.  Hence, clinically relevant drug-drug interactions are unlikely when apremilast is co-administered with drugs that are substrates or inhibitors of these transporters.</w:t>
      </w:r>
    </w:p>
    <w:p w:rsidR="001C1BF8" w:rsidRDefault="001C1BF8">
      <w:pPr>
        <w:spacing w:before="120"/>
        <w:rPr>
          <w:sz w:val="20"/>
          <w:szCs w:val="20"/>
          <w:lang w:val="en-AU"/>
        </w:rPr>
      </w:pPr>
    </w:p>
    <w:p w:rsidR="00112E36" w:rsidRPr="003F29C0" w:rsidRDefault="00112E36" w:rsidP="00112E36">
      <w:pPr>
        <w:keepNext/>
        <w:rPr>
          <w:sz w:val="22"/>
          <w:szCs w:val="22"/>
          <w:u w:val="single"/>
          <w:lang w:val="en-AU"/>
        </w:rPr>
      </w:pPr>
      <w:r w:rsidRPr="003F29C0">
        <w:rPr>
          <w:sz w:val="22"/>
          <w:szCs w:val="22"/>
          <w:u w:val="single"/>
          <w:lang w:val="en-AU"/>
        </w:rPr>
        <w:t xml:space="preserve">Effect of other medicinal products on </w:t>
      </w:r>
      <w:r w:rsidR="004B1F4C">
        <w:rPr>
          <w:sz w:val="22"/>
          <w:szCs w:val="22"/>
          <w:u w:val="single"/>
          <w:lang w:val="en-AU"/>
        </w:rPr>
        <w:t>Otezla</w:t>
      </w:r>
    </w:p>
    <w:p w:rsidR="00EB6C81" w:rsidRPr="004D583E" w:rsidRDefault="00EB6C81" w:rsidP="007A5CF3">
      <w:pPr>
        <w:autoSpaceDE w:val="0"/>
        <w:autoSpaceDN w:val="0"/>
        <w:adjustRightInd w:val="0"/>
        <w:spacing w:before="120"/>
        <w:rPr>
          <w:rFonts w:eastAsia="TimesNewRoman"/>
          <w:sz w:val="22"/>
          <w:szCs w:val="22"/>
          <w:lang w:val="en-AU"/>
        </w:rPr>
      </w:pPr>
      <w:r w:rsidRPr="003F29C0">
        <w:rPr>
          <w:sz w:val="22"/>
          <w:szCs w:val="22"/>
          <w:lang w:val="en-AU"/>
        </w:rPr>
        <w:t xml:space="preserve">Co-administration of </w:t>
      </w:r>
      <w:r w:rsidR="004B1F4C">
        <w:rPr>
          <w:sz w:val="22"/>
          <w:szCs w:val="22"/>
          <w:lang w:val="en-AU"/>
        </w:rPr>
        <w:t>Otezla</w:t>
      </w:r>
      <w:r w:rsidR="004B1F4C" w:rsidRPr="003F29C0">
        <w:rPr>
          <w:sz w:val="22"/>
          <w:szCs w:val="22"/>
          <w:lang w:val="en-AU"/>
        </w:rPr>
        <w:t xml:space="preserve"> </w:t>
      </w:r>
      <w:r w:rsidRPr="003F29C0">
        <w:rPr>
          <w:sz w:val="22"/>
          <w:szCs w:val="22"/>
          <w:lang w:val="en-AU"/>
        </w:rPr>
        <w:t>with multiple doses of rifampi</w:t>
      </w:r>
      <w:r w:rsidR="004A626F">
        <w:rPr>
          <w:sz w:val="22"/>
          <w:szCs w:val="22"/>
          <w:lang w:val="en-AU"/>
        </w:rPr>
        <w:t>ci</w:t>
      </w:r>
      <w:r w:rsidRPr="003F29C0">
        <w:rPr>
          <w:sz w:val="22"/>
          <w:szCs w:val="22"/>
          <w:lang w:val="en-AU"/>
        </w:rPr>
        <w:t xml:space="preserve">n resulted in a decrease in apremilast </w:t>
      </w:r>
      <w:r w:rsidR="0007381C">
        <w:rPr>
          <w:sz w:val="22"/>
          <w:szCs w:val="22"/>
          <w:lang w:val="en-AU"/>
        </w:rPr>
        <w:t>area-under-the concentration time curve (</w:t>
      </w:r>
      <w:r w:rsidRPr="003F29C0">
        <w:rPr>
          <w:sz w:val="22"/>
          <w:szCs w:val="22"/>
          <w:lang w:val="en-AU"/>
        </w:rPr>
        <w:t>AUC</w:t>
      </w:r>
      <w:r w:rsidR="0007381C">
        <w:rPr>
          <w:sz w:val="22"/>
          <w:szCs w:val="22"/>
          <w:lang w:val="en-AU"/>
        </w:rPr>
        <w:t>) and maximum serum concentration (</w:t>
      </w:r>
      <w:r w:rsidRPr="003F29C0">
        <w:rPr>
          <w:sz w:val="22"/>
          <w:szCs w:val="22"/>
          <w:lang w:val="en-AU"/>
        </w:rPr>
        <w:t>C</w:t>
      </w:r>
      <w:r w:rsidRPr="003F29C0">
        <w:rPr>
          <w:sz w:val="22"/>
          <w:szCs w:val="22"/>
          <w:vertAlign w:val="subscript"/>
          <w:lang w:val="en-AU"/>
        </w:rPr>
        <w:t>max</w:t>
      </w:r>
      <w:r w:rsidR="0007381C">
        <w:rPr>
          <w:sz w:val="22"/>
          <w:szCs w:val="22"/>
          <w:lang w:val="en-AU"/>
        </w:rPr>
        <w:t>)</w:t>
      </w:r>
      <w:r w:rsidRPr="003F29C0">
        <w:rPr>
          <w:sz w:val="22"/>
          <w:szCs w:val="22"/>
          <w:lang w:val="en-AU"/>
        </w:rPr>
        <w:t xml:space="preserve"> by approximately 72% and 43%, respectively.  Apremilast exposure is decreased when administered concomitantly with strong inducers of CYP3A4 (e.g. </w:t>
      </w:r>
      <w:r w:rsidRPr="004D583E">
        <w:rPr>
          <w:sz w:val="22"/>
          <w:szCs w:val="22"/>
          <w:lang w:val="en-AU"/>
        </w:rPr>
        <w:t>rifampi</w:t>
      </w:r>
      <w:r w:rsidR="004A626F">
        <w:rPr>
          <w:sz w:val="22"/>
          <w:szCs w:val="22"/>
          <w:lang w:val="en-AU"/>
        </w:rPr>
        <w:t>ci</w:t>
      </w:r>
      <w:r w:rsidRPr="004D583E">
        <w:rPr>
          <w:sz w:val="22"/>
          <w:szCs w:val="22"/>
          <w:lang w:val="en-AU"/>
        </w:rPr>
        <w:t>n</w:t>
      </w:r>
      <w:r w:rsidR="004D583E" w:rsidRPr="004D583E">
        <w:rPr>
          <w:sz w:val="22"/>
          <w:szCs w:val="22"/>
          <w:lang w:val="en-AU"/>
        </w:rPr>
        <w:t xml:space="preserve">, </w:t>
      </w:r>
      <w:r w:rsidR="004D583E" w:rsidRPr="004D583E">
        <w:rPr>
          <w:rFonts w:eastAsia="TimesNewRoman"/>
          <w:sz w:val="22"/>
          <w:szCs w:val="22"/>
          <w:lang w:val="en-AU"/>
        </w:rPr>
        <w:t>phenobarbit</w:t>
      </w:r>
      <w:r w:rsidR="00483746">
        <w:rPr>
          <w:rFonts w:eastAsia="TimesNewRoman"/>
          <w:sz w:val="22"/>
          <w:szCs w:val="22"/>
          <w:lang w:val="en-AU"/>
        </w:rPr>
        <w:t>one</w:t>
      </w:r>
      <w:r w:rsidR="004D583E" w:rsidRPr="004D583E">
        <w:rPr>
          <w:rFonts w:eastAsia="TimesNewRoman"/>
          <w:sz w:val="22"/>
          <w:szCs w:val="22"/>
          <w:lang w:val="en-AU"/>
        </w:rPr>
        <w:t>, carbamazepine, phenytoin and</w:t>
      </w:r>
      <w:r w:rsidR="004D583E">
        <w:rPr>
          <w:rFonts w:eastAsia="TimesNewRoman"/>
          <w:sz w:val="22"/>
          <w:szCs w:val="22"/>
          <w:lang w:val="en-AU"/>
        </w:rPr>
        <w:t xml:space="preserve"> </w:t>
      </w:r>
      <w:r w:rsidR="004D583E" w:rsidRPr="004D583E">
        <w:rPr>
          <w:rFonts w:eastAsia="TimesNewRoman"/>
          <w:sz w:val="22"/>
          <w:szCs w:val="22"/>
          <w:lang w:val="en-AU"/>
        </w:rPr>
        <w:t>St. John’s Wort</w:t>
      </w:r>
      <w:r w:rsidRPr="004D583E">
        <w:rPr>
          <w:sz w:val="22"/>
          <w:szCs w:val="22"/>
          <w:lang w:val="en-AU"/>
        </w:rPr>
        <w:t>)</w:t>
      </w:r>
      <w:r w:rsidRPr="003F29C0">
        <w:rPr>
          <w:sz w:val="22"/>
          <w:szCs w:val="22"/>
          <w:lang w:val="en-AU"/>
        </w:rPr>
        <w:t xml:space="preserve"> and may result in reduced clinical response.</w:t>
      </w:r>
    </w:p>
    <w:p w:rsidR="00EB6C81" w:rsidRPr="003F29C0" w:rsidRDefault="00EB6C81" w:rsidP="00EB6C81">
      <w:pPr>
        <w:rPr>
          <w:sz w:val="20"/>
          <w:szCs w:val="20"/>
          <w:lang w:val="en-AU"/>
        </w:rPr>
      </w:pPr>
    </w:p>
    <w:p w:rsidR="00EB6C81" w:rsidRPr="003F29C0" w:rsidRDefault="00EB6C81" w:rsidP="00EB6C81">
      <w:pPr>
        <w:rPr>
          <w:sz w:val="22"/>
          <w:szCs w:val="22"/>
          <w:lang w:val="en-AU"/>
        </w:rPr>
      </w:pPr>
      <w:r w:rsidRPr="003F29C0">
        <w:rPr>
          <w:sz w:val="22"/>
          <w:szCs w:val="22"/>
          <w:lang w:val="en-AU"/>
        </w:rPr>
        <w:t xml:space="preserve">Ketoconazole co-administration increased mean apremilast AUC </w:t>
      </w:r>
      <w:r w:rsidRPr="003F29C0">
        <w:rPr>
          <w:sz w:val="22"/>
          <w:szCs w:val="22"/>
          <w:vertAlign w:val="subscript"/>
          <w:lang w:val="en-AU"/>
        </w:rPr>
        <w:t>0-∞</w:t>
      </w:r>
      <w:r w:rsidRPr="003F29C0">
        <w:rPr>
          <w:sz w:val="22"/>
          <w:szCs w:val="22"/>
          <w:lang w:val="en-AU"/>
        </w:rPr>
        <w:t xml:space="preserve"> and C</w:t>
      </w:r>
      <w:r w:rsidRPr="003F29C0">
        <w:rPr>
          <w:sz w:val="22"/>
          <w:szCs w:val="22"/>
          <w:vertAlign w:val="subscript"/>
          <w:lang w:val="en-AU"/>
        </w:rPr>
        <w:t>max</w:t>
      </w:r>
      <w:r w:rsidRPr="003F29C0">
        <w:rPr>
          <w:sz w:val="22"/>
          <w:szCs w:val="22"/>
          <w:lang w:val="en-AU"/>
        </w:rPr>
        <w:t xml:space="preserve"> by approximately 36% and by 5%, respectively, which is not clinically meaningful.  </w:t>
      </w:r>
      <w:r w:rsidR="006C3210">
        <w:rPr>
          <w:sz w:val="22"/>
          <w:szCs w:val="22"/>
          <w:lang w:val="en-AU"/>
        </w:rPr>
        <w:t>Otezla</w:t>
      </w:r>
      <w:r w:rsidR="006C3210" w:rsidRPr="003F29C0">
        <w:rPr>
          <w:sz w:val="22"/>
          <w:szCs w:val="22"/>
          <w:lang w:val="en-AU"/>
        </w:rPr>
        <w:t xml:space="preserve"> </w:t>
      </w:r>
      <w:r w:rsidRPr="003F29C0">
        <w:rPr>
          <w:sz w:val="22"/>
          <w:szCs w:val="22"/>
          <w:lang w:val="en-AU"/>
        </w:rPr>
        <w:t xml:space="preserve">can be co-administered with a potent CYP3A4 inhibitor like ketoconazole.  </w:t>
      </w:r>
    </w:p>
    <w:p w:rsidR="00CE32D8" w:rsidRPr="003F29C0" w:rsidRDefault="00CE32D8" w:rsidP="00DF3B4A">
      <w:pPr>
        <w:rPr>
          <w:sz w:val="22"/>
          <w:szCs w:val="22"/>
          <w:lang w:val="en-AU"/>
        </w:rPr>
      </w:pPr>
    </w:p>
    <w:p w:rsidR="00CE32D8" w:rsidRPr="003F29C0" w:rsidRDefault="00CE32D8" w:rsidP="004475F5">
      <w:pPr>
        <w:jc w:val="both"/>
        <w:rPr>
          <w:sz w:val="22"/>
          <w:szCs w:val="22"/>
          <w:lang w:val="en-AU"/>
        </w:rPr>
      </w:pPr>
    </w:p>
    <w:p w:rsidR="00EC36C1" w:rsidRDefault="00F71750" w:rsidP="007D6A4A">
      <w:pPr>
        <w:pStyle w:val="ListParagraph"/>
        <w:keepNext/>
        <w:numPr>
          <w:ilvl w:val="0"/>
          <w:numId w:val="2"/>
        </w:numPr>
        <w:tabs>
          <w:tab w:val="left" w:pos="709"/>
        </w:tabs>
        <w:ind w:left="709" w:hanging="709"/>
        <w:jc w:val="both"/>
        <w:rPr>
          <w:b/>
          <w:sz w:val="28"/>
          <w:szCs w:val="28"/>
          <w:lang w:val="en-AU"/>
        </w:rPr>
      </w:pPr>
      <w:r w:rsidRPr="00221853">
        <w:rPr>
          <w:b/>
          <w:sz w:val="28"/>
          <w:szCs w:val="28"/>
          <w:lang w:val="en-AU"/>
        </w:rPr>
        <w:lastRenderedPageBreak/>
        <w:t>Adverse effects</w:t>
      </w:r>
    </w:p>
    <w:p w:rsidR="00482FDD" w:rsidRDefault="00482FDD" w:rsidP="00482FDD">
      <w:pPr>
        <w:spacing w:before="120"/>
        <w:rPr>
          <w:sz w:val="22"/>
          <w:szCs w:val="22"/>
        </w:rPr>
      </w:pPr>
      <w:r>
        <w:rPr>
          <w:sz w:val="22"/>
          <w:szCs w:val="22"/>
        </w:rPr>
        <w:t>Otezla</w:t>
      </w:r>
      <w:r w:rsidRPr="00221853">
        <w:rPr>
          <w:sz w:val="22"/>
          <w:szCs w:val="22"/>
        </w:rPr>
        <w:t xml:space="preserve"> was evaluated in </w:t>
      </w:r>
      <w:r>
        <w:rPr>
          <w:sz w:val="22"/>
          <w:szCs w:val="22"/>
        </w:rPr>
        <w:t>4</w:t>
      </w:r>
      <w:r w:rsidRPr="00221853">
        <w:rPr>
          <w:sz w:val="22"/>
          <w:szCs w:val="22"/>
        </w:rPr>
        <w:t xml:space="preserve"> multi-centr</w:t>
      </w:r>
      <w:r>
        <w:rPr>
          <w:sz w:val="22"/>
          <w:szCs w:val="22"/>
        </w:rPr>
        <w:t>e</w:t>
      </w:r>
      <w:r w:rsidRPr="00221853">
        <w:rPr>
          <w:sz w:val="22"/>
          <w:szCs w:val="22"/>
        </w:rPr>
        <w:t>, randomi</w:t>
      </w:r>
      <w:r w:rsidR="00DA55CE">
        <w:rPr>
          <w:sz w:val="22"/>
          <w:szCs w:val="22"/>
        </w:rPr>
        <w:t>s</w:t>
      </w:r>
      <w:r w:rsidRPr="00221853">
        <w:rPr>
          <w:sz w:val="22"/>
          <w:szCs w:val="22"/>
        </w:rPr>
        <w:t>ed, double-blind, placebo-controlled trials (Studies PALACE</w:t>
      </w:r>
      <w:r>
        <w:rPr>
          <w:sz w:val="22"/>
          <w:szCs w:val="22"/>
        </w:rPr>
        <w:t> </w:t>
      </w:r>
      <w:r w:rsidRPr="00221853">
        <w:rPr>
          <w:sz w:val="22"/>
          <w:szCs w:val="22"/>
        </w:rPr>
        <w:t>1, PALACE</w:t>
      </w:r>
      <w:r>
        <w:rPr>
          <w:sz w:val="22"/>
          <w:szCs w:val="22"/>
        </w:rPr>
        <w:t> </w:t>
      </w:r>
      <w:r w:rsidRPr="00221853">
        <w:rPr>
          <w:sz w:val="22"/>
          <w:szCs w:val="22"/>
        </w:rPr>
        <w:t xml:space="preserve">2, </w:t>
      </w:r>
      <w:r>
        <w:rPr>
          <w:sz w:val="22"/>
          <w:szCs w:val="22"/>
        </w:rPr>
        <w:t xml:space="preserve">PALACE 3 </w:t>
      </w:r>
      <w:r w:rsidRPr="00221853">
        <w:rPr>
          <w:sz w:val="22"/>
          <w:szCs w:val="22"/>
        </w:rPr>
        <w:t>and PALACE</w:t>
      </w:r>
      <w:r>
        <w:rPr>
          <w:sz w:val="22"/>
          <w:szCs w:val="22"/>
        </w:rPr>
        <w:t> 4</w:t>
      </w:r>
      <w:r w:rsidRPr="00221853">
        <w:rPr>
          <w:sz w:val="22"/>
          <w:szCs w:val="22"/>
        </w:rPr>
        <w:t xml:space="preserve">) of similar design in adult patients with active psoriatic arthritis.  Across the </w:t>
      </w:r>
      <w:r>
        <w:rPr>
          <w:sz w:val="22"/>
          <w:szCs w:val="22"/>
        </w:rPr>
        <w:t>4</w:t>
      </w:r>
      <w:r w:rsidRPr="00221853">
        <w:rPr>
          <w:sz w:val="22"/>
          <w:szCs w:val="22"/>
        </w:rPr>
        <w:t xml:space="preserve"> studies, there were </w:t>
      </w:r>
      <w:r>
        <w:rPr>
          <w:sz w:val="22"/>
          <w:szCs w:val="22"/>
        </w:rPr>
        <w:t>1945</w:t>
      </w:r>
      <w:r w:rsidRPr="00221853">
        <w:rPr>
          <w:sz w:val="22"/>
          <w:szCs w:val="22"/>
        </w:rPr>
        <w:t xml:space="preserve"> patients</w:t>
      </w:r>
      <w:r w:rsidR="00DA55CE">
        <w:rPr>
          <w:sz w:val="22"/>
          <w:szCs w:val="22"/>
        </w:rPr>
        <w:t xml:space="preserve"> </w:t>
      </w:r>
      <w:r w:rsidR="00941228">
        <w:rPr>
          <w:sz w:val="22"/>
          <w:szCs w:val="22"/>
        </w:rPr>
        <w:t>who received at least one</w:t>
      </w:r>
      <w:r>
        <w:rPr>
          <w:sz w:val="22"/>
          <w:szCs w:val="22"/>
        </w:rPr>
        <w:t xml:space="preserve"> dose of Otezla</w:t>
      </w:r>
      <w:r w:rsidRPr="00221853">
        <w:rPr>
          <w:sz w:val="22"/>
          <w:szCs w:val="22"/>
        </w:rPr>
        <w:t xml:space="preserve"> 20</w:t>
      </w:r>
      <w:r>
        <w:rPr>
          <w:sz w:val="22"/>
          <w:szCs w:val="22"/>
        </w:rPr>
        <w:t> </w:t>
      </w:r>
      <w:r w:rsidRPr="00221853">
        <w:rPr>
          <w:sz w:val="22"/>
          <w:szCs w:val="22"/>
        </w:rPr>
        <w:t xml:space="preserve">mg twice daily or </w:t>
      </w:r>
      <w:r>
        <w:rPr>
          <w:sz w:val="22"/>
          <w:szCs w:val="22"/>
        </w:rPr>
        <w:t>Otezla</w:t>
      </w:r>
      <w:r w:rsidRPr="00221853">
        <w:rPr>
          <w:sz w:val="22"/>
          <w:szCs w:val="22"/>
        </w:rPr>
        <w:t xml:space="preserve"> 30</w:t>
      </w:r>
      <w:r>
        <w:rPr>
          <w:sz w:val="22"/>
          <w:szCs w:val="22"/>
        </w:rPr>
        <w:t> </w:t>
      </w:r>
      <w:r w:rsidRPr="00221853">
        <w:rPr>
          <w:sz w:val="22"/>
          <w:szCs w:val="22"/>
        </w:rPr>
        <w:t>mg twice daily</w:t>
      </w:r>
      <w:r>
        <w:rPr>
          <w:sz w:val="22"/>
          <w:szCs w:val="22"/>
        </w:rPr>
        <w:t>.</w:t>
      </w:r>
    </w:p>
    <w:p w:rsidR="00812949" w:rsidRDefault="00812949" w:rsidP="004E42B7">
      <w:pPr>
        <w:rPr>
          <w:sz w:val="22"/>
          <w:szCs w:val="22"/>
        </w:rPr>
      </w:pPr>
    </w:p>
    <w:p w:rsidR="00482FDD" w:rsidRDefault="00482FDD" w:rsidP="004E42B7">
      <w:pPr>
        <w:rPr>
          <w:rFonts w:eastAsia="Arial Unicode MS"/>
          <w:color w:val="000000"/>
          <w:sz w:val="22"/>
          <w:szCs w:val="22"/>
        </w:rPr>
      </w:pPr>
      <w:r>
        <w:rPr>
          <w:sz w:val="22"/>
          <w:szCs w:val="22"/>
        </w:rPr>
        <w:t>Otezla was evaluated in 2</w:t>
      </w:r>
      <w:r w:rsidRPr="00221853">
        <w:rPr>
          <w:sz w:val="22"/>
          <w:szCs w:val="22"/>
        </w:rPr>
        <w:t xml:space="preserve"> multi-centr</w:t>
      </w:r>
      <w:r>
        <w:rPr>
          <w:sz w:val="22"/>
          <w:szCs w:val="22"/>
        </w:rPr>
        <w:t>e</w:t>
      </w:r>
      <w:r w:rsidR="00DA55CE">
        <w:rPr>
          <w:sz w:val="22"/>
          <w:szCs w:val="22"/>
        </w:rPr>
        <w:t>, randomis</w:t>
      </w:r>
      <w:r w:rsidRPr="00221853">
        <w:rPr>
          <w:sz w:val="22"/>
          <w:szCs w:val="22"/>
        </w:rPr>
        <w:t>ed, double-blind, placebo-controlled trials</w:t>
      </w:r>
      <w:r w:rsidRPr="00221853">
        <w:rPr>
          <w:rFonts w:eastAsia="Arial Unicode MS"/>
          <w:color w:val="000000"/>
          <w:sz w:val="22"/>
          <w:szCs w:val="22"/>
        </w:rPr>
        <w:t xml:space="preserve"> (Studies ESTEEM</w:t>
      </w:r>
      <w:r>
        <w:rPr>
          <w:rFonts w:eastAsia="Arial Unicode MS"/>
          <w:color w:val="000000"/>
          <w:sz w:val="22"/>
          <w:szCs w:val="22"/>
        </w:rPr>
        <w:t> </w:t>
      </w:r>
      <w:r w:rsidRPr="00221853">
        <w:rPr>
          <w:rFonts w:eastAsia="Arial Unicode MS"/>
          <w:color w:val="000000"/>
          <w:sz w:val="22"/>
          <w:szCs w:val="22"/>
        </w:rPr>
        <w:t>1 and ESTEEM</w:t>
      </w:r>
      <w:r>
        <w:rPr>
          <w:rFonts w:eastAsia="Arial Unicode MS"/>
          <w:color w:val="000000"/>
          <w:sz w:val="22"/>
          <w:szCs w:val="22"/>
        </w:rPr>
        <w:t> </w:t>
      </w:r>
      <w:r w:rsidRPr="00221853">
        <w:rPr>
          <w:rFonts w:eastAsia="Arial Unicode MS"/>
          <w:color w:val="000000"/>
          <w:sz w:val="22"/>
          <w:szCs w:val="22"/>
        </w:rPr>
        <w:t>2)</w:t>
      </w:r>
      <w:r>
        <w:rPr>
          <w:rFonts w:eastAsia="Arial Unicode MS"/>
          <w:color w:val="000000"/>
          <w:sz w:val="22"/>
          <w:szCs w:val="22"/>
        </w:rPr>
        <w:t xml:space="preserve"> of similar design in adult patients with moderate to severe plaque psoriasis.  Across the two studies, </w:t>
      </w:r>
      <w:r w:rsidRPr="00221853">
        <w:rPr>
          <w:rFonts w:eastAsia="Arial Unicode MS"/>
          <w:color w:val="000000"/>
          <w:sz w:val="22"/>
          <w:szCs w:val="22"/>
        </w:rPr>
        <w:t xml:space="preserve">1184 </w:t>
      </w:r>
      <w:r>
        <w:rPr>
          <w:rFonts w:eastAsia="Arial Unicode MS"/>
          <w:color w:val="000000"/>
          <w:sz w:val="22"/>
          <w:szCs w:val="22"/>
        </w:rPr>
        <w:t xml:space="preserve">psoriasis </w:t>
      </w:r>
      <w:r w:rsidRPr="00221853">
        <w:rPr>
          <w:rFonts w:eastAsia="Arial Unicode MS"/>
          <w:color w:val="000000"/>
          <w:sz w:val="22"/>
          <w:szCs w:val="22"/>
        </w:rPr>
        <w:t xml:space="preserve">patients were exposed to </w:t>
      </w:r>
      <w:r>
        <w:rPr>
          <w:rFonts w:eastAsia="Arial Unicode MS"/>
          <w:color w:val="000000"/>
          <w:sz w:val="22"/>
          <w:szCs w:val="22"/>
        </w:rPr>
        <w:t>Otezla</w:t>
      </w:r>
      <w:r w:rsidRPr="00221853">
        <w:rPr>
          <w:rFonts w:eastAsia="Arial Unicode MS"/>
          <w:color w:val="000000"/>
          <w:sz w:val="22"/>
          <w:szCs w:val="22"/>
        </w:rPr>
        <w:t xml:space="preserve"> </w:t>
      </w:r>
      <w:r>
        <w:rPr>
          <w:rFonts w:eastAsia="Arial Unicode MS"/>
          <w:color w:val="000000"/>
          <w:sz w:val="22"/>
          <w:szCs w:val="22"/>
        </w:rPr>
        <w:t xml:space="preserve">30 mg </w:t>
      </w:r>
      <w:r w:rsidR="00866D05">
        <w:rPr>
          <w:rFonts w:eastAsia="Arial Unicode MS"/>
          <w:color w:val="000000"/>
          <w:sz w:val="22"/>
          <w:szCs w:val="22"/>
        </w:rPr>
        <w:t>twice daily</w:t>
      </w:r>
      <w:r>
        <w:rPr>
          <w:rFonts w:eastAsia="Arial Unicode MS"/>
          <w:color w:val="000000"/>
          <w:sz w:val="22"/>
          <w:szCs w:val="22"/>
        </w:rPr>
        <w:t>.</w:t>
      </w:r>
    </w:p>
    <w:p w:rsidR="00482FDD" w:rsidRPr="0066749C" w:rsidRDefault="00482FDD" w:rsidP="004E42B7">
      <w:pPr>
        <w:rPr>
          <w:sz w:val="22"/>
          <w:szCs w:val="22"/>
        </w:rPr>
      </w:pPr>
    </w:p>
    <w:p w:rsidR="00482FDD" w:rsidRPr="0066749C" w:rsidRDefault="00482FDD" w:rsidP="004E42B7">
      <w:pPr>
        <w:rPr>
          <w:color w:val="000000"/>
          <w:sz w:val="22"/>
          <w:szCs w:val="22"/>
          <w:lang w:val="en-US"/>
        </w:rPr>
      </w:pPr>
      <w:r w:rsidRPr="0066749C">
        <w:rPr>
          <w:color w:val="000000"/>
          <w:sz w:val="22"/>
          <w:szCs w:val="22"/>
        </w:rPr>
        <w:t>Hypersensitivity reactions were observed infrequently in clinical studies</w:t>
      </w:r>
      <w:r>
        <w:rPr>
          <w:color w:val="000000"/>
          <w:sz w:val="22"/>
          <w:szCs w:val="22"/>
        </w:rPr>
        <w:t xml:space="preserve"> with</w:t>
      </w:r>
      <w:r w:rsidRPr="00BE7833">
        <w:rPr>
          <w:color w:val="000000"/>
          <w:sz w:val="22"/>
          <w:szCs w:val="22"/>
        </w:rPr>
        <w:t xml:space="preserve"> </w:t>
      </w:r>
      <w:r w:rsidR="00405DCB">
        <w:rPr>
          <w:color w:val="000000"/>
          <w:sz w:val="22"/>
          <w:szCs w:val="22"/>
        </w:rPr>
        <w:t xml:space="preserve">Otezla. </w:t>
      </w:r>
    </w:p>
    <w:p w:rsidR="00482FDD" w:rsidRDefault="00482FDD" w:rsidP="004E42B7">
      <w:pPr>
        <w:rPr>
          <w:sz w:val="22"/>
          <w:szCs w:val="22"/>
          <w:highlight w:val="yellow"/>
          <w:lang w:val="en-US" w:eastAsia="zh-CN"/>
        </w:rPr>
      </w:pPr>
    </w:p>
    <w:p w:rsidR="00B6774D" w:rsidRDefault="00B6774D" w:rsidP="004E42B7">
      <w:pPr>
        <w:rPr>
          <w:sz w:val="22"/>
          <w:szCs w:val="22"/>
          <w:highlight w:val="yellow"/>
          <w:lang w:val="en-US" w:eastAsia="zh-CN"/>
        </w:rPr>
      </w:pPr>
    </w:p>
    <w:p w:rsidR="005545D6" w:rsidRPr="00815476" w:rsidRDefault="005545D6" w:rsidP="005545D6">
      <w:pPr>
        <w:pStyle w:val="NormalWeb"/>
        <w:spacing w:before="0" w:beforeAutospacing="0" w:after="0" w:afterAutospacing="0"/>
        <w:rPr>
          <w:i/>
          <w:sz w:val="22"/>
          <w:szCs w:val="22"/>
          <w:u w:val="single"/>
        </w:rPr>
      </w:pPr>
      <w:r w:rsidRPr="00815476">
        <w:rPr>
          <w:i/>
          <w:sz w:val="22"/>
          <w:szCs w:val="22"/>
        </w:rPr>
        <w:t xml:space="preserve">Tabulated list of </w:t>
      </w:r>
      <w:r w:rsidRPr="00815476">
        <w:rPr>
          <w:i/>
          <w:color w:val="000000"/>
          <w:sz w:val="22"/>
          <w:szCs w:val="22"/>
          <w:lang w:val="en-US" w:eastAsia="zh-CN"/>
        </w:rPr>
        <w:t>Treatment Emergent Adverse Events</w:t>
      </w:r>
      <w:r w:rsidRPr="00815476">
        <w:rPr>
          <w:i/>
          <w:sz w:val="22"/>
          <w:szCs w:val="22"/>
        </w:rPr>
        <w:t>:</w:t>
      </w:r>
    </w:p>
    <w:p w:rsidR="002572BF" w:rsidRPr="00DA55CE" w:rsidRDefault="00482FDD" w:rsidP="005545D6">
      <w:pPr>
        <w:spacing w:before="120"/>
        <w:rPr>
          <w:sz w:val="22"/>
          <w:szCs w:val="22"/>
        </w:rPr>
      </w:pPr>
      <w:r w:rsidRPr="00DA55CE">
        <w:rPr>
          <w:color w:val="000000"/>
          <w:sz w:val="22"/>
          <w:szCs w:val="22"/>
          <w:lang w:val="en-US" w:eastAsia="zh-CN"/>
        </w:rPr>
        <w:t>The observed Treatment Emergent Adverse Events (TEAEs</w:t>
      </w:r>
      <w:r w:rsidRPr="00DA55CE">
        <w:rPr>
          <w:color w:val="000000"/>
          <w:sz w:val="22"/>
          <w:szCs w:val="22"/>
          <w:lang w:eastAsia="zh-CN"/>
        </w:rPr>
        <w:t>)</w:t>
      </w:r>
      <w:r w:rsidRPr="00DA55CE">
        <w:rPr>
          <w:color w:val="000000"/>
          <w:sz w:val="22"/>
          <w:szCs w:val="22"/>
          <w:lang w:val="en-US" w:eastAsia="zh-CN"/>
        </w:rPr>
        <w:t xml:space="preserve"> with patient incidence of at least 2% in any treatment group during clinical studies is presented in </w:t>
      </w:r>
      <w:r w:rsidRPr="003F4F87">
        <w:rPr>
          <w:b/>
          <w:sz w:val="22"/>
          <w:szCs w:val="22"/>
          <w:lang w:val="en-US" w:eastAsia="zh-CN"/>
        </w:rPr>
        <w:t>Table 4</w:t>
      </w:r>
      <w:r w:rsidRPr="00DA55CE">
        <w:rPr>
          <w:color w:val="000000"/>
          <w:sz w:val="22"/>
          <w:szCs w:val="22"/>
          <w:lang w:val="en-US" w:eastAsia="zh-CN"/>
        </w:rPr>
        <w:t xml:space="preserve">.  </w:t>
      </w:r>
      <w:r w:rsidRPr="00DA55CE">
        <w:rPr>
          <w:sz w:val="22"/>
          <w:szCs w:val="22"/>
        </w:rPr>
        <w:t xml:space="preserve">The frequencies of TEAEs are based on those reported in the </w:t>
      </w:r>
      <w:r w:rsidRPr="00DA55CE">
        <w:rPr>
          <w:rFonts w:eastAsia="Arial Unicode MS"/>
          <w:color w:val="000000"/>
          <w:sz w:val="22"/>
          <w:szCs w:val="22"/>
        </w:rPr>
        <w:t>Otezla</w:t>
      </w:r>
      <w:r w:rsidRPr="00DA55CE" w:rsidDel="0069245B">
        <w:rPr>
          <w:sz w:val="22"/>
          <w:szCs w:val="22"/>
        </w:rPr>
        <w:t xml:space="preserve"> </w:t>
      </w:r>
      <w:r w:rsidRPr="00DA55CE">
        <w:rPr>
          <w:sz w:val="22"/>
          <w:szCs w:val="22"/>
        </w:rPr>
        <w:t xml:space="preserve">30 mg </w:t>
      </w:r>
      <w:r w:rsidR="00866D05">
        <w:rPr>
          <w:sz w:val="22"/>
          <w:szCs w:val="22"/>
        </w:rPr>
        <w:t>twice daily</w:t>
      </w:r>
      <w:r w:rsidR="00866D05" w:rsidRPr="00DA55CE">
        <w:rPr>
          <w:sz w:val="22"/>
          <w:szCs w:val="22"/>
        </w:rPr>
        <w:t xml:space="preserve"> </w:t>
      </w:r>
      <w:r w:rsidRPr="00DA55CE">
        <w:rPr>
          <w:sz w:val="22"/>
          <w:szCs w:val="22"/>
        </w:rPr>
        <w:t xml:space="preserve">arm in either </w:t>
      </w:r>
      <w:r w:rsidR="003F4F87">
        <w:rPr>
          <w:sz w:val="22"/>
          <w:szCs w:val="22"/>
        </w:rPr>
        <w:t>psoriatic arthritis or psoriasis</w:t>
      </w:r>
      <w:r w:rsidRPr="00DA55CE">
        <w:rPr>
          <w:sz w:val="22"/>
          <w:szCs w:val="22"/>
        </w:rPr>
        <w:t xml:space="preserve"> Phase 3 studies during weeks 0-16 of therapy.  The highest incidence from either indication is shown below. </w:t>
      </w:r>
      <w:r w:rsidR="003F4F87">
        <w:rPr>
          <w:sz w:val="22"/>
          <w:szCs w:val="22"/>
        </w:rPr>
        <w:t xml:space="preserve"> </w:t>
      </w:r>
      <w:r w:rsidRPr="00DA55CE">
        <w:rPr>
          <w:color w:val="000000"/>
          <w:sz w:val="22"/>
          <w:szCs w:val="22"/>
          <w:lang w:val="en-US" w:eastAsia="zh-CN"/>
        </w:rPr>
        <w:t xml:space="preserve">The most frequently reported TEAEs were </w:t>
      </w:r>
      <w:r w:rsidR="003F4F87">
        <w:rPr>
          <w:color w:val="211D1E"/>
          <w:sz w:val="22"/>
          <w:szCs w:val="22"/>
          <w:lang w:eastAsia="ja-JP"/>
        </w:rPr>
        <w:t>g</w:t>
      </w:r>
      <w:r w:rsidR="003F4F87" w:rsidRPr="00D34725">
        <w:rPr>
          <w:color w:val="211D1E"/>
          <w:sz w:val="22"/>
          <w:szCs w:val="22"/>
          <w:lang w:eastAsia="ja-JP"/>
        </w:rPr>
        <w:t>astrointestinal</w:t>
      </w:r>
      <w:r w:rsidRPr="00DA55CE">
        <w:rPr>
          <w:color w:val="000000"/>
          <w:sz w:val="22"/>
          <w:szCs w:val="22"/>
          <w:lang w:val="en-US" w:eastAsia="zh-CN"/>
        </w:rPr>
        <w:t xml:space="preserve"> related.</w:t>
      </w:r>
      <w:r w:rsidR="00D05E65" w:rsidRPr="00D05E65">
        <w:rPr>
          <w:sz w:val="22"/>
          <w:szCs w:val="22"/>
        </w:rPr>
        <w:t xml:space="preserve"> </w:t>
      </w:r>
      <w:r w:rsidR="00D05E65">
        <w:rPr>
          <w:sz w:val="22"/>
          <w:szCs w:val="22"/>
        </w:rPr>
        <w:t xml:space="preserve"> </w:t>
      </w:r>
      <w:r w:rsidR="00D05E65" w:rsidRPr="00A279A6">
        <w:rPr>
          <w:sz w:val="22"/>
          <w:szCs w:val="22"/>
        </w:rPr>
        <w:t xml:space="preserve">The overall incidence of serious adverse </w:t>
      </w:r>
      <w:r w:rsidR="00D05E65">
        <w:rPr>
          <w:sz w:val="22"/>
          <w:szCs w:val="22"/>
        </w:rPr>
        <w:t>events</w:t>
      </w:r>
      <w:r w:rsidR="00D05E65" w:rsidRPr="00A279A6">
        <w:rPr>
          <w:sz w:val="22"/>
          <w:szCs w:val="22"/>
        </w:rPr>
        <w:t xml:space="preserve"> was low </w:t>
      </w:r>
      <w:r w:rsidR="00D05E65" w:rsidRPr="001B1A94">
        <w:rPr>
          <w:sz w:val="22"/>
          <w:szCs w:val="22"/>
        </w:rPr>
        <w:t>and similar to placebo.</w:t>
      </w:r>
    </w:p>
    <w:p w:rsidR="00A92766" w:rsidRPr="002572BF" w:rsidRDefault="00A92766" w:rsidP="004E42B7">
      <w:pPr>
        <w:rPr>
          <w:sz w:val="22"/>
          <w:szCs w:val="22"/>
          <w:lang w:val="en-US"/>
        </w:rPr>
      </w:pPr>
    </w:p>
    <w:p w:rsidR="00EA19A8" w:rsidRPr="00B11920" w:rsidRDefault="00EA19A8" w:rsidP="009357FC">
      <w:pPr>
        <w:keepNext/>
        <w:autoSpaceDE w:val="0"/>
        <w:autoSpaceDN w:val="0"/>
        <w:adjustRightInd w:val="0"/>
        <w:spacing w:after="120"/>
        <w:ind w:left="1440" w:hanging="1440"/>
        <w:rPr>
          <w:b/>
          <w:bCs/>
          <w:sz w:val="22"/>
          <w:szCs w:val="22"/>
          <w:lang w:val="en-US" w:eastAsia="zh-CN"/>
        </w:rPr>
      </w:pPr>
      <w:r w:rsidRPr="00221853">
        <w:rPr>
          <w:b/>
          <w:bCs/>
          <w:sz w:val="22"/>
          <w:szCs w:val="22"/>
          <w:lang w:val="en-US" w:eastAsia="zh-CN"/>
        </w:rPr>
        <w:t xml:space="preserve">Table </w:t>
      </w:r>
      <w:r>
        <w:rPr>
          <w:b/>
          <w:bCs/>
          <w:sz w:val="22"/>
          <w:szCs w:val="22"/>
          <w:lang w:val="en-US" w:eastAsia="zh-CN"/>
        </w:rPr>
        <w:t>4</w:t>
      </w:r>
      <w:r w:rsidRPr="00221853">
        <w:rPr>
          <w:b/>
          <w:bCs/>
          <w:sz w:val="22"/>
          <w:szCs w:val="22"/>
          <w:lang w:val="en-US" w:eastAsia="zh-CN"/>
        </w:rPr>
        <w:tab/>
      </w:r>
      <w:r w:rsidRPr="00B11920">
        <w:rPr>
          <w:b/>
          <w:bCs/>
          <w:sz w:val="22"/>
          <w:szCs w:val="22"/>
          <w:lang w:val="en-US" w:eastAsia="zh-CN"/>
        </w:rPr>
        <w:t xml:space="preserve">Otezla Data Pool: TEAES with </w:t>
      </w:r>
      <w:r w:rsidR="000D401B" w:rsidRPr="00B11920">
        <w:rPr>
          <w:b/>
          <w:bCs/>
          <w:sz w:val="22"/>
          <w:szCs w:val="22"/>
          <w:lang w:val="en-US" w:eastAsia="zh-CN"/>
        </w:rPr>
        <w:t>Patient</w:t>
      </w:r>
      <w:r w:rsidRPr="00B11920">
        <w:rPr>
          <w:b/>
          <w:bCs/>
          <w:sz w:val="22"/>
          <w:szCs w:val="22"/>
          <w:lang w:val="en-US" w:eastAsia="zh-CN"/>
        </w:rPr>
        <w:t xml:space="preserve"> Incidence of at Least 2% in </w:t>
      </w:r>
      <w:r w:rsidR="00967BB6" w:rsidRPr="00B11920">
        <w:rPr>
          <w:b/>
          <w:bCs/>
          <w:sz w:val="22"/>
          <w:szCs w:val="22"/>
          <w:lang w:val="en-US" w:eastAsia="zh-CN"/>
        </w:rPr>
        <w:t>psoriatic arthritis</w:t>
      </w:r>
      <w:r w:rsidRPr="00B11920">
        <w:rPr>
          <w:b/>
          <w:bCs/>
          <w:sz w:val="22"/>
          <w:szCs w:val="22"/>
          <w:lang w:val="en-US" w:eastAsia="zh-CN"/>
        </w:rPr>
        <w:t xml:space="preserve"> or </w:t>
      </w:r>
      <w:r w:rsidR="00967BB6" w:rsidRPr="00B11920">
        <w:rPr>
          <w:b/>
          <w:bCs/>
          <w:sz w:val="22"/>
          <w:szCs w:val="22"/>
          <w:lang w:val="en-US" w:eastAsia="zh-CN"/>
        </w:rPr>
        <w:t>psoriasis</w:t>
      </w:r>
      <w:r w:rsidRPr="00B11920">
        <w:rPr>
          <w:b/>
          <w:bCs/>
          <w:sz w:val="22"/>
          <w:szCs w:val="22"/>
          <w:lang w:val="en-US" w:eastAsia="zh-CN"/>
        </w:rPr>
        <w:t xml:space="preserve"> Phase 3 studies in any Treatment Group (</w:t>
      </w:r>
      <w:r w:rsidRPr="00B11920">
        <w:rPr>
          <w:b/>
          <w:sz w:val="22"/>
          <w:szCs w:val="22"/>
        </w:rPr>
        <w:t xml:space="preserve">highest incidence from either indication) </w:t>
      </w:r>
      <w:r w:rsidRPr="00B11920">
        <w:rPr>
          <w:b/>
          <w:bCs/>
          <w:sz w:val="22"/>
          <w:szCs w:val="22"/>
          <w:lang w:val="en-US" w:eastAsia="zh-CN"/>
        </w:rPr>
        <w:t xml:space="preserve">During Weeks 0-16 </w:t>
      </w:r>
    </w:p>
    <w:tbl>
      <w:tblPr>
        <w:tblW w:w="8707" w:type="dxa"/>
        <w:tblLayout w:type="fixed"/>
        <w:tblCellMar>
          <w:left w:w="60" w:type="dxa"/>
          <w:right w:w="60" w:type="dxa"/>
        </w:tblCellMar>
        <w:tblLook w:val="0000" w:firstRow="0" w:lastRow="0" w:firstColumn="0" w:lastColumn="0" w:noHBand="0" w:noVBand="0"/>
      </w:tblPr>
      <w:tblGrid>
        <w:gridCol w:w="3179"/>
        <w:gridCol w:w="2764"/>
        <w:gridCol w:w="2764"/>
      </w:tblGrid>
      <w:tr w:rsidR="00EA19A8" w:rsidTr="00B047CC">
        <w:trPr>
          <w:cantSplit/>
          <w:trHeight w:val="340"/>
          <w:tblHeader/>
        </w:trPr>
        <w:tc>
          <w:tcPr>
            <w:tcW w:w="3179" w:type="dxa"/>
            <w:tcBorders>
              <w:top w:val="single" w:sz="4" w:space="0" w:color="auto"/>
              <w:left w:val="inset" w:sz="4" w:space="0" w:color="000000"/>
              <w:bottom w:val="inset" w:sz="2" w:space="0" w:color="000000"/>
              <w:right w:val="nil"/>
            </w:tcBorders>
            <w:shd w:val="clear" w:color="auto" w:fill="FFFFFF"/>
            <w:vAlign w:val="bottom"/>
          </w:tcPr>
          <w:p w:rsidR="00EA19A8" w:rsidRPr="004E42B7" w:rsidRDefault="00EA19A8" w:rsidP="00B047CC">
            <w:pPr>
              <w:keepNext/>
              <w:adjustRightInd w:val="0"/>
              <w:spacing w:before="40" w:after="40"/>
              <w:jc w:val="center"/>
              <w:rPr>
                <w:b/>
                <w:bCs/>
                <w:color w:val="000000"/>
                <w:sz w:val="22"/>
                <w:szCs w:val="22"/>
              </w:rPr>
            </w:pPr>
            <w:r w:rsidRPr="004E42B7">
              <w:rPr>
                <w:b/>
                <w:bCs/>
                <w:color w:val="000000"/>
                <w:sz w:val="22"/>
                <w:szCs w:val="22"/>
              </w:rPr>
              <w:t>Preferred Term</w:t>
            </w:r>
            <w:r w:rsidRPr="004E42B7">
              <w:rPr>
                <w:b/>
                <w:bCs/>
                <w:color w:val="000000"/>
                <w:sz w:val="22"/>
                <w:szCs w:val="22"/>
                <w:vertAlign w:val="superscript"/>
              </w:rPr>
              <w:t>a</w:t>
            </w:r>
          </w:p>
        </w:tc>
        <w:tc>
          <w:tcPr>
            <w:tcW w:w="2764" w:type="dxa"/>
            <w:tcBorders>
              <w:top w:val="single" w:sz="4" w:space="0" w:color="auto"/>
              <w:left w:val="inset" w:sz="2" w:space="0" w:color="000000"/>
              <w:bottom w:val="inset" w:sz="2" w:space="0" w:color="000000"/>
              <w:right w:val="nil"/>
            </w:tcBorders>
            <w:shd w:val="clear" w:color="auto" w:fill="FFFFFF"/>
            <w:vAlign w:val="bottom"/>
          </w:tcPr>
          <w:p w:rsidR="00EA19A8" w:rsidRDefault="00EA19A8" w:rsidP="00B047CC">
            <w:pPr>
              <w:keepNext/>
              <w:adjustRightInd w:val="0"/>
              <w:spacing w:before="40" w:after="40"/>
              <w:jc w:val="center"/>
              <w:rPr>
                <w:b/>
                <w:bCs/>
                <w:color w:val="000000"/>
                <w:sz w:val="22"/>
                <w:szCs w:val="22"/>
              </w:rPr>
            </w:pPr>
            <w:r>
              <w:rPr>
                <w:b/>
                <w:bCs/>
                <w:color w:val="000000"/>
                <w:sz w:val="22"/>
                <w:szCs w:val="22"/>
              </w:rPr>
              <w:t>Placebo</w:t>
            </w:r>
            <w:r>
              <w:rPr>
                <w:b/>
                <w:bCs/>
                <w:color w:val="000000"/>
                <w:sz w:val="22"/>
                <w:szCs w:val="22"/>
              </w:rPr>
              <w:br/>
            </w:r>
            <w:r w:rsidR="00AB5EF9">
              <w:rPr>
                <w:b/>
                <w:bCs/>
                <w:color w:val="000000"/>
                <w:sz w:val="22"/>
                <w:szCs w:val="22"/>
              </w:rPr>
              <w:t>n (</w:t>
            </w:r>
            <w:r>
              <w:rPr>
                <w:b/>
                <w:bCs/>
                <w:color w:val="000000"/>
                <w:sz w:val="22"/>
                <w:szCs w:val="22"/>
              </w:rPr>
              <w:t>%)</w:t>
            </w:r>
          </w:p>
        </w:tc>
        <w:tc>
          <w:tcPr>
            <w:tcW w:w="2764" w:type="dxa"/>
            <w:tcBorders>
              <w:top w:val="single" w:sz="4" w:space="0" w:color="auto"/>
              <w:left w:val="inset" w:sz="2" w:space="0" w:color="000000"/>
              <w:bottom w:val="inset" w:sz="2" w:space="0" w:color="000000"/>
              <w:right w:val="inset" w:sz="4" w:space="0" w:color="000000"/>
            </w:tcBorders>
            <w:shd w:val="clear" w:color="auto" w:fill="FFFFFF"/>
            <w:vAlign w:val="bottom"/>
          </w:tcPr>
          <w:p w:rsidR="00EA19A8" w:rsidRDefault="00EA19A8" w:rsidP="00B047CC">
            <w:pPr>
              <w:keepNext/>
              <w:adjustRightInd w:val="0"/>
              <w:spacing w:before="40" w:after="40"/>
              <w:jc w:val="center"/>
              <w:rPr>
                <w:b/>
                <w:bCs/>
                <w:color w:val="000000"/>
                <w:sz w:val="22"/>
                <w:szCs w:val="22"/>
              </w:rPr>
            </w:pPr>
            <w:r>
              <w:rPr>
                <w:b/>
                <w:bCs/>
                <w:color w:val="000000"/>
                <w:sz w:val="22"/>
                <w:szCs w:val="22"/>
              </w:rPr>
              <w:t xml:space="preserve">Otezla 30 mg </w:t>
            </w:r>
            <w:r w:rsidR="00866D05">
              <w:rPr>
                <w:b/>
                <w:bCs/>
                <w:color w:val="000000"/>
                <w:sz w:val="22"/>
                <w:szCs w:val="22"/>
              </w:rPr>
              <w:t>twice daily</w:t>
            </w:r>
            <w:r>
              <w:rPr>
                <w:b/>
                <w:bCs/>
                <w:color w:val="000000"/>
                <w:sz w:val="22"/>
                <w:szCs w:val="22"/>
              </w:rPr>
              <w:br/>
            </w:r>
            <w:r w:rsidR="00AB5EF9">
              <w:rPr>
                <w:b/>
                <w:bCs/>
                <w:color w:val="000000"/>
                <w:sz w:val="22"/>
                <w:szCs w:val="22"/>
              </w:rPr>
              <w:t>n (</w:t>
            </w:r>
            <w:r>
              <w:rPr>
                <w:b/>
                <w:bCs/>
                <w:color w:val="000000"/>
                <w:sz w:val="22"/>
                <w:szCs w:val="22"/>
              </w:rPr>
              <w:t>%)</w:t>
            </w:r>
          </w:p>
        </w:tc>
      </w:tr>
      <w:tr w:rsidR="00EA19A8" w:rsidTr="00B047CC">
        <w:trPr>
          <w:cantSplit/>
          <w:trHeight w:val="340"/>
        </w:trPr>
        <w:tc>
          <w:tcPr>
            <w:tcW w:w="3179" w:type="dxa"/>
            <w:tcBorders>
              <w:top w:val="nil"/>
              <w:left w:val="inset" w:sz="4" w:space="0" w:color="000000"/>
              <w:bottom w:val="inset" w:sz="2" w:space="0" w:color="000000"/>
              <w:right w:val="nil"/>
            </w:tcBorders>
            <w:shd w:val="clear" w:color="auto" w:fill="FFFFFF"/>
          </w:tcPr>
          <w:p w:rsidR="00EA19A8" w:rsidRPr="004E42B7" w:rsidRDefault="00EA19A8" w:rsidP="00B047CC">
            <w:pPr>
              <w:adjustRightInd w:val="0"/>
              <w:spacing w:before="40" w:after="40"/>
              <w:rPr>
                <w:color w:val="000000"/>
                <w:sz w:val="22"/>
                <w:szCs w:val="22"/>
              </w:rPr>
            </w:pPr>
            <w:r w:rsidRPr="004E42B7">
              <w:rPr>
                <w:color w:val="000000"/>
                <w:sz w:val="22"/>
                <w:szCs w:val="22"/>
              </w:rPr>
              <w:t>Diarrhoea</w:t>
            </w:r>
          </w:p>
        </w:tc>
        <w:tc>
          <w:tcPr>
            <w:tcW w:w="2764" w:type="dxa"/>
            <w:tcBorders>
              <w:top w:val="nil"/>
              <w:left w:val="inset" w:sz="2" w:space="0" w:color="000000"/>
              <w:bottom w:val="inset" w:sz="2" w:space="0" w:color="000000"/>
              <w:right w:val="nil"/>
            </w:tcBorders>
            <w:shd w:val="clear" w:color="auto" w:fill="FFFFFF"/>
          </w:tcPr>
          <w:p w:rsidR="00EA19A8" w:rsidRDefault="00EA19A8" w:rsidP="00B047CC">
            <w:pPr>
              <w:adjustRightInd w:val="0"/>
              <w:spacing w:before="40" w:after="40"/>
              <w:ind w:left="280"/>
              <w:jc w:val="center"/>
              <w:rPr>
                <w:color w:val="000000"/>
                <w:sz w:val="22"/>
                <w:szCs w:val="22"/>
              </w:rPr>
            </w:pPr>
            <w:r>
              <w:rPr>
                <w:color w:val="000000"/>
                <w:sz w:val="22"/>
                <w:szCs w:val="22"/>
              </w:rPr>
              <w:t>28 (6.7)</w:t>
            </w:r>
          </w:p>
        </w:tc>
        <w:tc>
          <w:tcPr>
            <w:tcW w:w="2764" w:type="dxa"/>
            <w:tcBorders>
              <w:top w:val="nil"/>
              <w:left w:val="inset" w:sz="2" w:space="0" w:color="000000"/>
              <w:bottom w:val="inset" w:sz="2" w:space="0" w:color="000000"/>
              <w:right w:val="inset" w:sz="4" w:space="0" w:color="000000"/>
            </w:tcBorders>
            <w:shd w:val="clear" w:color="auto" w:fill="FFFFFF"/>
          </w:tcPr>
          <w:p w:rsidR="00EA19A8" w:rsidRDefault="00EA19A8" w:rsidP="00B047CC">
            <w:pPr>
              <w:adjustRightInd w:val="0"/>
              <w:spacing w:before="40" w:after="40"/>
              <w:ind w:left="140"/>
              <w:jc w:val="center"/>
              <w:rPr>
                <w:color w:val="000000"/>
                <w:sz w:val="22"/>
                <w:szCs w:val="22"/>
              </w:rPr>
            </w:pPr>
            <w:r>
              <w:rPr>
                <w:color w:val="000000"/>
                <w:sz w:val="22"/>
                <w:szCs w:val="22"/>
              </w:rPr>
              <w:t>186 (15.7)</w:t>
            </w:r>
          </w:p>
        </w:tc>
      </w:tr>
      <w:tr w:rsidR="00EA19A8" w:rsidTr="00B047CC">
        <w:trPr>
          <w:cantSplit/>
          <w:trHeight w:val="340"/>
        </w:trPr>
        <w:tc>
          <w:tcPr>
            <w:tcW w:w="3179" w:type="dxa"/>
            <w:tcBorders>
              <w:top w:val="nil"/>
              <w:left w:val="inset" w:sz="4" w:space="0" w:color="000000"/>
              <w:bottom w:val="inset" w:sz="2" w:space="0" w:color="000000"/>
              <w:right w:val="nil"/>
            </w:tcBorders>
            <w:shd w:val="clear" w:color="auto" w:fill="FFFFFF"/>
          </w:tcPr>
          <w:p w:rsidR="00EA19A8" w:rsidRPr="004E42B7" w:rsidRDefault="00EA19A8" w:rsidP="00B047CC">
            <w:pPr>
              <w:adjustRightInd w:val="0"/>
              <w:spacing w:before="40" w:after="40"/>
              <w:rPr>
                <w:color w:val="000000"/>
                <w:sz w:val="22"/>
                <w:szCs w:val="22"/>
              </w:rPr>
            </w:pPr>
            <w:r w:rsidRPr="004E42B7">
              <w:rPr>
                <w:color w:val="000000"/>
                <w:sz w:val="22"/>
                <w:szCs w:val="22"/>
              </w:rPr>
              <w:t>Nausea</w:t>
            </w:r>
          </w:p>
        </w:tc>
        <w:tc>
          <w:tcPr>
            <w:tcW w:w="2764" w:type="dxa"/>
            <w:tcBorders>
              <w:top w:val="nil"/>
              <w:left w:val="inset" w:sz="2" w:space="0" w:color="000000"/>
              <w:bottom w:val="inset" w:sz="2" w:space="0" w:color="000000"/>
              <w:right w:val="nil"/>
            </w:tcBorders>
            <w:shd w:val="clear" w:color="auto" w:fill="FFFFFF"/>
          </w:tcPr>
          <w:p w:rsidR="00EA19A8" w:rsidRDefault="00EA19A8" w:rsidP="00B047CC">
            <w:pPr>
              <w:adjustRightInd w:val="0"/>
              <w:spacing w:before="40" w:after="40"/>
              <w:ind w:left="280"/>
              <w:jc w:val="center"/>
              <w:rPr>
                <w:color w:val="000000"/>
                <w:sz w:val="22"/>
                <w:szCs w:val="22"/>
              </w:rPr>
            </w:pPr>
            <w:r>
              <w:rPr>
                <w:color w:val="000000"/>
                <w:sz w:val="22"/>
                <w:szCs w:val="22"/>
              </w:rPr>
              <w:t>28 (6.7)</w:t>
            </w:r>
          </w:p>
        </w:tc>
        <w:tc>
          <w:tcPr>
            <w:tcW w:w="2764" w:type="dxa"/>
            <w:tcBorders>
              <w:top w:val="nil"/>
              <w:left w:val="inset" w:sz="2" w:space="0" w:color="000000"/>
              <w:bottom w:val="inset" w:sz="2" w:space="0" w:color="000000"/>
              <w:right w:val="inset" w:sz="4" w:space="0" w:color="000000"/>
            </w:tcBorders>
            <w:shd w:val="clear" w:color="auto" w:fill="FFFFFF"/>
          </w:tcPr>
          <w:p w:rsidR="00EA19A8" w:rsidRDefault="00EA19A8" w:rsidP="00B047CC">
            <w:pPr>
              <w:adjustRightInd w:val="0"/>
              <w:spacing w:before="40" w:after="40"/>
              <w:ind w:left="140"/>
              <w:jc w:val="center"/>
              <w:rPr>
                <w:color w:val="000000"/>
                <w:sz w:val="22"/>
                <w:szCs w:val="22"/>
              </w:rPr>
            </w:pPr>
            <w:r>
              <w:rPr>
                <w:color w:val="000000"/>
                <w:sz w:val="22"/>
                <w:szCs w:val="22"/>
              </w:rPr>
              <w:t>164 (13.9)</w:t>
            </w:r>
          </w:p>
        </w:tc>
      </w:tr>
      <w:tr w:rsidR="00EA19A8" w:rsidTr="00B047CC">
        <w:trPr>
          <w:cantSplit/>
          <w:trHeight w:val="340"/>
        </w:trPr>
        <w:tc>
          <w:tcPr>
            <w:tcW w:w="3179" w:type="dxa"/>
            <w:tcBorders>
              <w:top w:val="nil"/>
              <w:left w:val="inset" w:sz="4" w:space="0" w:color="000000"/>
              <w:bottom w:val="inset" w:sz="2" w:space="0" w:color="000000"/>
              <w:right w:val="nil"/>
            </w:tcBorders>
            <w:shd w:val="clear" w:color="auto" w:fill="FFFFFF"/>
          </w:tcPr>
          <w:p w:rsidR="00EA19A8" w:rsidRPr="004E42B7" w:rsidRDefault="00EA19A8" w:rsidP="00B047CC">
            <w:pPr>
              <w:adjustRightInd w:val="0"/>
              <w:spacing w:before="40" w:after="40"/>
              <w:rPr>
                <w:color w:val="000000"/>
                <w:sz w:val="22"/>
                <w:szCs w:val="22"/>
              </w:rPr>
            </w:pPr>
            <w:r w:rsidRPr="004E42B7">
              <w:rPr>
                <w:color w:val="000000"/>
                <w:sz w:val="22"/>
                <w:szCs w:val="22"/>
              </w:rPr>
              <w:t>Upper respiratory tract infection</w:t>
            </w:r>
          </w:p>
        </w:tc>
        <w:tc>
          <w:tcPr>
            <w:tcW w:w="2764" w:type="dxa"/>
            <w:tcBorders>
              <w:top w:val="nil"/>
              <w:left w:val="inset" w:sz="2" w:space="0" w:color="000000"/>
              <w:bottom w:val="inset" w:sz="2" w:space="0" w:color="000000"/>
              <w:right w:val="nil"/>
            </w:tcBorders>
            <w:shd w:val="clear" w:color="auto" w:fill="FFFFFF"/>
          </w:tcPr>
          <w:p w:rsidR="00EA19A8" w:rsidRDefault="00EA19A8" w:rsidP="00B047CC">
            <w:pPr>
              <w:adjustRightInd w:val="0"/>
              <w:spacing w:before="40" w:after="40"/>
              <w:ind w:left="280"/>
              <w:jc w:val="center"/>
              <w:rPr>
                <w:color w:val="000000"/>
                <w:sz w:val="22"/>
                <w:szCs w:val="22"/>
              </w:rPr>
            </w:pPr>
            <w:r>
              <w:rPr>
                <w:color w:val="000000"/>
                <w:sz w:val="22"/>
                <w:szCs w:val="22"/>
              </w:rPr>
              <w:t>27 (6.5)</w:t>
            </w:r>
          </w:p>
        </w:tc>
        <w:tc>
          <w:tcPr>
            <w:tcW w:w="2764" w:type="dxa"/>
            <w:tcBorders>
              <w:top w:val="nil"/>
              <w:left w:val="inset" w:sz="2" w:space="0" w:color="000000"/>
              <w:bottom w:val="inset" w:sz="2" w:space="0" w:color="000000"/>
              <w:right w:val="inset" w:sz="4" w:space="0" w:color="000000"/>
            </w:tcBorders>
            <w:shd w:val="clear" w:color="auto" w:fill="FFFFFF"/>
          </w:tcPr>
          <w:p w:rsidR="00EA19A8" w:rsidRDefault="00EA19A8" w:rsidP="00B047CC">
            <w:pPr>
              <w:adjustRightInd w:val="0"/>
              <w:spacing w:before="40" w:after="40"/>
              <w:ind w:left="140"/>
              <w:jc w:val="center"/>
              <w:rPr>
                <w:color w:val="000000"/>
                <w:sz w:val="22"/>
                <w:szCs w:val="22"/>
              </w:rPr>
            </w:pPr>
            <w:r>
              <w:rPr>
                <w:color w:val="000000"/>
                <w:sz w:val="22"/>
                <w:szCs w:val="22"/>
              </w:rPr>
              <w:t>100 (8.4)</w:t>
            </w:r>
          </w:p>
        </w:tc>
      </w:tr>
      <w:tr w:rsidR="00461C8B" w:rsidTr="00B047CC">
        <w:trPr>
          <w:cantSplit/>
          <w:trHeight w:val="340"/>
        </w:trPr>
        <w:tc>
          <w:tcPr>
            <w:tcW w:w="3179" w:type="dxa"/>
            <w:tcBorders>
              <w:top w:val="nil"/>
              <w:left w:val="inset" w:sz="4" w:space="0" w:color="000000"/>
              <w:bottom w:val="inset" w:sz="2" w:space="0" w:color="000000"/>
              <w:right w:val="nil"/>
            </w:tcBorders>
            <w:shd w:val="clear" w:color="auto" w:fill="FFFFFF"/>
          </w:tcPr>
          <w:p w:rsidR="00461C8B" w:rsidRPr="004E42B7" w:rsidRDefault="00461C8B" w:rsidP="00B047CC">
            <w:pPr>
              <w:adjustRightInd w:val="0"/>
              <w:spacing w:before="40" w:after="40"/>
              <w:rPr>
                <w:color w:val="000000"/>
                <w:sz w:val="22"/>
                <w:szCs w:val="22"/>
              </w:rPr>
            </w:pPr>
            <w:r w:rsidRPr="004E42B7">
              <w:rPr>
                <w:color w:val="000000"/>
                <w:sz w:val="22"/>
                <w:szCs w:val="22"/>
              </w:rPr>
              <w:t>Headache</w:t>
            </w:r>
          </w:p>
        </w:tc>
        <w:tc>
          <w:tcPr>
            <w:tcW w:w="2764" w:type="dxa"/>
            <w:tcBorders>
              <w:top w:val="nil"/>
              <w:left w:val="inset" w:sz="2" w:space="0" w:color="000000"/>
              <w:bottom w:val="inset" w:sz="2" w:space="0" w:color="000000"/>
              <w:right w:val="nil"/>
            </w:tcBorders>
            <w:shd w:val="clear" w:color="auto" w:fill="FFFFFF"/>
          </w:tcPr>
          <w:p w:rsidR="00461C8B" w:rsidRDefault="00461C8B" w:rsidP="00B047CC">
            <w:pPr>
              <w:adjustRightInd w:val="0"/>
              <w:spacing w:before="40" w:after="40"/>
              <w:ind w:left="280"/>
              <w:jc w:val="center"/>
              <w:rPr>
                <w:color w:val="000000"/>
                <w:sz w:val="22"/>
                <w:szCs w:val="22"/>
              </w:rPr>
            </w:pPr>
            <w:r>
              <w:rPr>
                <w:color w:val="000000"/>
                <w:sz w:val="22"/>
                <w:szCs w:val="22"/>
              </w:rPr>
              <w:t>24 (3.6)</w:t>
            </w:r>
          </w:p>
        </w:tc>
        <w:tc>
          <w:tcPr>
            <w:tcW w:w="2764" w:type="dxa"/>
            <w:tcBorders>
              <w:top w:val="nil"/>
              <w:left w:val="inset" w:sz="2" w:space="0" w:color="000000"/>
              <w:bottom w:val="inset" w:sz="2" w:space="0" w:color="000000"/>
              <w:right w:val="inset" w:sz="4" w:space="0" w:color="000000"/>
            </w:tcBorders>
            <w:shd w:val="clear" w:color="auto" w:fill="FFFFFF"/>
          </w:tcPr>
          <w:p w:rsidR="00461C8B" w:rsidRPr="00D968CE" w:rsidRDefault="00461C8B" w:rsidP="00B047CC">
            <w:pPr>
              <w:adjustRightInd w:val="0"/>
              <w:spacing w:before="40" w:after="40"/>
              <w:ind w:left="140"/>
              <w:jc w:val="center"/>
              <w:rPr>
                <w:color w:val="000000"/>
                <w:sz w:val="22"/>
                <w:szCs w:val="22"/>
              </w:rPr>
            </w:pPr>
            <w:r w:rsidRPr="00D968CE">
              <w:rPr>
                <w:color w:val="000000"/>
                <w:sz w:val="22"/>
                <w:szCs w:val="22"/>
              </w:rPr>
              <w:t>77 (7.9)</w:t>
            </w:r>
          </w:p>
        </w:tc>
      </w:tr>
      <w:tr w:rsidR="00461C8B" w:rsidTr="00B047CC">
        <w:trPr>
          <w:cantSplit/>
          <w:trHeight w:val="340"/>
        </w:trPr>
        <w:tc>
          <w:tcPr>
            <w:tcW w:w="3179" w:type="dxa"/>
            <w:tcBorders>
              <w:top w:val="nil"/>
              <w:left w:val="inset" w:sz="4" w:space="0" w:color="000000"/>
              <w:bottom w:val="inset" w:sz="2" w:space="0" w:color="000000"/>
              <w:right w:val="nil"/>
            </w:tcBorders>
            <w:shd w:val="clear" w:color="auto" w:fill="FFFFFF"/>
          </w:tcPr>
          <w:p w:rsidR="00461C8B" w:rsidRPr="004E42B7" w:rsidRDefault="00461C8B" w:rsidP="00B047CC">
            <w:pPr>
              <w:adjustRightInd w:val="0"/>
              <w:spacing w:before="40" w:after="40"/>
              <w:rPr>
                <w:color w:val="000000"/>
                <w:sz w:val="22"/>
                <w:szCs w:val="22"/>
              </w:rPr>
            </w:pPr>
            <w:r w:rsidRPr="004E42B7">
              <w:rPr>
                <w:color w:val="000000"/>
                <w:sz w:val="22"/>
                <w:szCs w:val="22"/>
              </w:rPr>
              <w:t>Nasopharyngitis</w:t>
            </w:r>
          </w:p>
        </w:tc>
        <w:tc>
          <w:tcPr>
            <w:tcW w:w="2764" w:type="dxa"/>
            <w:tcBorders>
              <w:top w:val="nil"/>
              <w:left w:val="inset" w:sz="2" w:space="0" w:color="000000"/>
              <w:bottom w:val="inset" w:sz="2" w:space="0" w:color="000000"/>
              <w:right w:val="nil"/>
            </w:tcBorders>
            <w:shd w:val="clear" w:color="auto" w:fill="FFFFFF"/>
          </w:tcPr>
          <w:p w:rsidR="00461C8B" w:rsidRDefault="00461C8B" w:rsidP="00B047CC">
            <w:pPr>
              <w:adjustRightInd w:val="0"/>
              <w:spacing w:before="40" w:after="40"/>
              <w:ind w:left="280"/>
              <w:jc w:val="center"/>
              <w:rPr>
                <w:color w:val="000000"/>
                <w:sz w:val="22"/>
                <w:szCs w:val="22"/>
              </w:rPr>
            </w:pPr>
            <w:r>
              <w:rPr>
                <w:color w:val="000000"/>
                <w:sz w:val="22"/>
                <w:szCs w:val="22"/>
              </w:rPr>
              <w:t>29 (6.9)</w:t>
            </w:r>
          </w:p>
        </w:tc>
        <w:tc>
          <w:tcPr>
            <w:tcW w:w="2764" w:type="dxa"/>
            <w:tcBorders>
              <w:top w:val="nil"/>
              <w:left w:val="inset" w:sz="2" w:space="0" w:color="000000"/>
              <w:bottom w:val="inset" w:sz="2" w:space="0" w:color="000000"/>
              <w:right w:val="inset" w:sz="4" w:space="0" w:color="000000"/>
            </w:tcBorders>
            <w:shd w:val="clear" w:color="auto" w:fill="FFFFFF"/>
          </w:tcPr>
          <w:p w:rsidR="00461C8B" w:rsidRDefault="00461C8B" w:rsidP="00B047CC">
            <w:pPr>
              <w:adjustRightInd w:val="0"/>
              <w:spacing w:before="40" w:after="40"/>
              <w:ind w:left="210"/>
              <w:jc w:val="center"/>
              <w:rPr>
                <w:color w:val="000000"/>
                <w:sz w:val="22"/>
                <w:szCs w:val="22"/>
              </w:rPr>
            </w:pPr>
            <w:r>
              <w:rPr>
                <w:color w:val="000000"/>
                <w:sz w:val="22"/>
                <w:szCs w:val="22"/>
              </w:rPr>
              <w:t>89 (7.5)</w:t>
            </w:r>
          </w:p>
        </w:tc>
      </w:tr>
      <w:tr w:rsidR="00461C8B" w:rsidTr="00B047CC">
        <w:trPr>
          <w:cantSplit/>
          <w:trHeight w:val="340"/>
        </w:trPr>
        <w:tc>
          <w:tcPr>
            <w:tcW w:w="3179" w:type="dxa"/>
            <w:tcBorders>
              <w:top w:val="nil"/>
              <w:left w:val="inset" w:sz="4" w:space="0" w:color="000000"/>
              <w:bottom w:val="inset" w:sz="2" w:space="0" w:color="000000"/>
              <w:right w:val="nil"/>
            </w:tcBorders>
            <w:shd w:val="clear" w:color="auto" w:fill="FFFFFF"/>
          </w:tcPr>
          <w:p w:rsidR="00461C8B" w:rsidRPr="004E42B7" w:rsidRDefault="00461C8B" w:rsidP="00B047CC">
            <w:pPr>
              <w:adjustRightInd w:val="0"/>
              <w:spacing w:before="40" w:after="40"/>
              <w:rPr>
                <w:color w:val="000000"/>
                <w:sz w:val="22"/>
                <w:szCs w:val="22"/>
              </w:rPr>
            </w:pPr>
            <w:r w:rsidRPr="004E42B7">
              <w:rPr>
                <w:color w:val="000000"/>
                <w:sz w:val="22"/>
                <w:szCs w:val="22"/>
              </w:rPr>
              <w:t>Tension headache</w:t>
            </w:r>
          </w:p>
        </w:tc>
        <w:tc>
          <w:tcPr>
            <w:tcW w:w="2764" w:type="dxa"/>
            <w:tcBorders>
              <w:top w:val="nil"/>
              <w:left w:val="inset" w:sz="2" w:space="0" w:color="000000"/>
              <w:bottom w:val="inset" w:sz="2" w:space="0" w:color="000000"/>
              <w:right w:val="nil"/>
            </w:tcBorders>
            <w:shd w:val="clear" w:color="auto" w:fill="FFFFFF"/>
          </w:tcPr>
          <w:p w:rsidR="00461C8B" w:rsidRDefault="00461C8B" w:rsidP="00B047CC">
            <w:pPr>
              <w:adjustRightInd w:val="0"/>
              <w:spacing w:before="40" w:after="40"/>
              <w:ind w:left="280"/>
              <w:jc w:val="center"/>
              <w:rPr>
                <w:color w:val="000000"/>
                <w:sz w:val="22"/>
                <w:szCs w:val="22"/>
              </w:rPr>
            </w:pPr>
            <w:r>
              <w:rPr>
                <w:color w:val="000000"/>
                <w:sz w:val="22"/>
                <w:szCs w:val="22"/>
              </w:rPr>
              <w:t>14 (3.3)</w:t>
            </w:r>
          </w:p>
        </w:tc>
        <w:tc>
          <w:tcPr>
            <w:tcW w:w="2764" w:type="dxa"/>
            <w:tcBorders>
              <w:top w:val="nil"/>
              <w:left w:val="inset" w:sz="2" w:space="0" w:color="000000"/>
              <w:bottom w:val="inset" w:sz="2" w:space="0" w:color="000000"/>
              <w:right w:val="inset" w:sz="4" w:space="0" w:color="000000"/>
            </w:tcBorders>
            <w:shd w:val="clear" w:color="auto" w:fill="FFFFFF"/>
          </w:tcPr>
          <w:p w:rsidR="00461C8B" w:rsidRDefault="00461C8B" w:rsidP="00B047CC">
            <w:pPr>
              <w:adjustRightInd w:val="0"/>
              <w:spacing w:before="40" w:after="40"/>
              <w:ind w:left="210"/>
              <w:jc w:val="center"/>
              <w:rPr>
                <w:color w:val="000000"/>
                <w:sz w:val="22"/>
                <w:szCs w:val="22"/>
              </w:rPr>
            </w:pPr>
            <w:r>
              <w:rPr>
                <w:color w:val="000000"/>
                <w:sz w:val="22"/>
                <w:szCs w:val="22"/>
              </w:rPr>
              <w:t>85 (7.2)</w:t>
            </w:r>
          </w:p>
        </w:tc>
      </w:tr>
      <w:tr w:rsidR="00461C8B" w:rsidTr="00B047CC">
        <w:trPr>
          <w:cantSplit/>
          <w:trHeight w:val="340"/>
        </w:trPr>
        <w:tc>
          <w:tcPr>
            <w:tcW w:w="3179" w:type="dxa"/>
            <w:tcBorders>
              <w:top w:val="nil"/>
              <w:left w:val="inset" w:sz="4" w:space="0" w:color="000000"/>
              <w:bottom w:val="inset" w:sz="2" w:space="0" w:color="000000"/>
              <w:right w:val="nil"/>
            </w:tcBorders>
            <w:shd w:val="clear" w:color="auto" w:fill="FFFFFF"/>
          </w:tcPr>
          <w:p w:rsidR="00461C8B" w:rsidRPr="004E42B7" w:rsidRDefault="00461C8B" w:rsidP="00B047CC">
            <w:pPr>
              <w:adjustRightInd w:val="0"/>
              <w:spacing w:before="40" w:after="40"/>
              <w:rPr>
                <w:color w:val="000000"/>
                <w:sz w:val="22"/>
                <w:szCs w:val="22"/>
              </w:rPr>
            </w:pPr>
            <w:r w:rsidRPr="004E42B7">
              <w:rPr>
                <w:color w:val="000000"/>
                <w:sz w:val="22"/>
                <w:szCs w:val="22"/>
              </w:rPr>
              <w:t>Vomiting</w:t>
            </w:r>
          </w:p>
        </w:tc>
        <w:tc>
          <w:tcPr>
            <w:tcW w:w="2764" w:type="dxa"/>
            <w:tcBorders>
              <w:top w:val="nil"/>
              <w:left w:val="inset" w:sz="2" w:space="0" w:color="000000"/>
              <w:bottom w:val="inset" w:sz="2" w:space="0" w:color="000000"/>
              <w:right w:val="nil"/>
            </w:tcBorders>
            <w:shd w:val="clear" w:color="auto" w:fill="FFFFFF"/>
          </w:tcPr>
          <w:p w:rsidR="00461C8B" w:rsidRDefault="00461C8B" w:rsidP="00B047CC">
            <w:pPr>
              <w:adjustRightInd w:val="0"/>
              <w:spacing w:before="40" w:after="40"/>
              <w:ind w:left="350"/>
              <w:jc w:val="center"/>
              <w:rPr>
                <w:color w:val="000000"/>
                <w:sz w:val="22"/>
                <w:szCs w:val="22"/>
              </w:rPr>
            </w:pPr>
            <w:r>
              <w:rPr>
                <w:color w:val="000000"/>
                <w:sz w:val="22"/>
                <w:szCs w:val="22"/>
              </w:rPr>
              <w:t>7 (1.7)</w:t>
            </w:r>
          </w:p>
        </w:tc>
        <w:tc>
          <w:tcPr>
            <w:tcW w:w="2764" w:type="dxa"/>
            <w:tcBorders>
              <w:top w:val="nil"/>
              <w:left w:val="inset" w:sz="2" w:space="0" w:color="000000"/>
              <w:bottom w:val="inset" w:sz="2" w:space="0" w:color="000000"/>
              <w:right w:val="inset" w:sz="4" w:space="0" w:color="000000"/>
            </w:tcBorders>
            <w:shd w:val="clear" w:color="auto" w:fill="FFFFFF"/>
          </w:tcPr>
          <w:p w:rsidR="00461C8B" w:rsidRPr="00D968CE" w:rsidRDefault="00461C8B" w:rsidP="00B047CC">
            <w:pPr>
              <w:adjustRightInd w:val="0"/>
              <w:spacing w:before="40" w:after="40"/>
              <w:ind w:left="210"/>
              <w:jc w:val="center"/>
              <w:rPr>
                <w:color w:val="000000"/>
                <w:sz w:val="22"/>
                <w:szCs w:val="22"/>
              </w:rPr>
            </w:pPr>
            <w:r w:rsidRPr="00D968CE">
              <w:rPr>
                <w:color w:val="000000"/>
                <w:sz w:val="22"/>
                <w:szCs w:val="22"/>
              </w:rPr>
              <w:t>39 (3.3)</w:t>
            </w:r>
          </w:p>
        </w:tc>
      </w:tr>
      <w:tr w:rsidR="00461C8B" w:rsidTr="00B047CC">
        <w:trPr>
          <w:cantSplit/>
          <w:trHeight w:val="340"/>
        </w:trPr>
        <w:tc>
          <w:tcPr>
            <w:tcW w:w="3179" w:type="dxa"/>
            <w:tcBorders>
              <w:top w:val="nil"/>
              <w:left w:val="inset" w:sz="4" w:space="0" w:color="000000"/>
              <w:bottom w:val="inset" w:sz="2" w:space="0" w:color="000000"/>
              <w:right w:val="nil"/>
            </w:tcBorders>
            <w:shd w:val="clear" w:color="auto" w:fill="FFFFFF"/>
          </w:tcPr>
          <w:p w:rsidR="00461C8B" w:rsidRPr="004E42B7" w:rsidRDefault="00461C8B" w:rsidP="00B047CC">
            <w:pPr>
              <w:adjustRightInd w:val="0"/>
              <w:spacing w:before="40" w:after="40"/>
              <w:rPr>
                <w:color w:val="000000"/>
                <w:sz w:val="22"/>
                <w:szCs w:val="22"/>
              </w:rPr>
            </w:pPr>
            <w:r w:rsidRPr="004E42B7">
              <w:rPr>
                <w:color w:val="000000"/>
                <w:sz w:val="22"/>
                <w:szCs w:val="22"/>
              </w:rPr>
              <w:t>Fatigue</w:t>
            </w:r>
          </w:p>
        </w:tc>
        <w:tc>
          <w:tcPr>
            <w:tcW w:w="2764" w:type="dxa"/>
            <w:tcBorders>
              <w:top w:val="nil"/>
              <w:left w:val="inset" w:sz="2" w:space="0" w:color="000000"/>
              <w:bottom w:val="inset" w:sz="2" w:space="0" w:color="000000"/>
              <w:right w:val="nil"/>
            </w:tcBorders>
            <w:shd w:val="clear" w:color="auto" w:fill="FFFFFF"/>
          </w:tcPr>
          <w:p w:rsidR="00461C8B" w:rsidRDefault="00461C8B" w:rsidP="00B047CC">
            <w:pPr>
              <w:adjustRightInd w:val="0"/>
              <w:spacing w:before="40" w:after="40"/>
              <w:ind w:left="350"/>
              <w:jc w:val="center"/>
              <w:rPr>
                <w:color w:val="000000"/>
                <w:sz w:val="22"/>
                <w:szCs w:val="22"/>
              </w:rPr>
            </w:pPr>
            <w:r>
              <w:rPr>
                <w:color w:val="000000"/>
                <w:sz w:val="22"/>
                <w:szCs w:val="22"/>
              </w:rPr>
              <w:t>6 (1.4)</w:t>
            </w:r>
          </w:p>
        </w:tc>
        <w:tc>
          <w:tcPr>
            <w:tcW w:w="2764" w:type="dxa"/>
            <w:tcBorders>
              <w:top w:val="nil"/>
              <w:left w:val="inset" w:sz="2" w:space="0" w:color="000000"/>
              <w:bottom w:val="inset" w:sz="2" w:space="0" w:color="000000"/>
              <w:right w:val="inset" w:sz="4" w:space="0" w:color="000000"/>
            </w:tcBorders>
            <w:shd w:val="clear" w:color="auto" w:fill="FFFFFF"/>
          </w:tcPr>
          <w:p w:rsidR="00461C8B" w:rsidRPr="00D968CE" w:rsidRDefault="00461C8B" w:rsidP="00B047CC">
            <w:pPr>
              <w:adjustRightInd w:val="0"/>
              <w:spacing w:before="40" w:after="40"/>
              <w:ind w:left="210"/>
              <w:jc w:val="center"/>
              <w:rPr>
                <w:color w:val="000000"/>
                <w:sz w:val="22"/>
                <w:szCs w:val="22"/>
              </w:rPr>
            </w:pPr>
            <w:r w:rsidRPr="00D968CE">
              <w:rPr>
                <w:color w:val="000000"/>
                <w:sz w:val="22"/>
                <w:szCs w:val="22"/>
              </w:rPr>
              <w:t>32 (2.7)</w:t>
            </w:r>
          </w:p>
        </w:tc>
      </w:tr>
      <w:tr w:rsidR="00461C8B" w:rsidTr="00B047CC">
        <w:trPr>
          <w:cantSplit/>
          <w:trHeight w:val="340"/>
        </w:trPr>
        <w:tc>
          <w:tcPr>
            <w:tcW w:w="3179" w:type="dxa"/>
            <w:tcBorders>
              <w:top w:val="nil"/>
              <w:left w:val="inset" w:sz="4" w:space="0" w:color="000000"/>
              <w:bottom w:val="inset" w:sz="2" w:space="0" w:color="000000"/>
              <w:right w:val="nil"/>
            </w:tcBorders>
            <w:shd w:val="clear" w:color="auto" w:fill="FFFFFF"/>
          </w:tcPr>
          <w:p w:rsidR="00461C8B" w:rsidRPr="004E42B7" w:rsidRDefault="00461C8B" w:rsidP="00B047CC">
            <w:pPr>
              <w:adjustRightInd w:val="0"/>
              <w:spacing w:before="40" w:after="40"/>
              <w:rPr>
                <w:color w:val="000000"/>
                <w:sz w:val="22"/>
                <w:szCs w:val="22"/>
              </w:rPr>
            </w:pPr>
            <w:r w:rsidRPr="004E42B7">
              <w:rPr>
                <w:color w:val="000000"/>
                <w:sz w:val="22"/>
                <w:szCs w:val="22"/>
              </w:rPr>
              <w:t>Dyspepsia</w:t>
            </w:r>
          </w:p>
        </w:tc>
        <w:tc>
          <w:tcPr>
            <w:tcW w:w="2764" w:type="dxa"/>
            <w:tcBorders>
              <w:top w:val="nil"/>
              <w:left w:val="inset" w:sz="2" w:space="0" w:color="000000"/>
              <w:bottom w:val="inset" w:sz="2" w:space="0" w:color="000000"/>
              <w:right w:val="nil"/>
            </w:tcBorders>
            <w:shd w:val="clear" w:color="auto" w:fill="FFFFFF"/>
          </w:tcPr>
          <w:p w:rsidR="00461C8B" w:rsidRDefault="00461C8B" w:rsidP="00B047CC">
            <w:pPr>
              <w:adjustRightInd w:val="0"/>
              <w:spacing w:before="40" w:after="40"/>
              <w:ind w:left="350"/>
              <w:jc w:val="center"/>
              <w:rPr>
                <w:color w:val="000000"/>
                <w:sz w:val="22"/>
                <w:szCs w:val="22"/>
              </w:rPr>
            </w:pPr>
            <w:r>
              <w:rPr>
                <w:color w:val="000000"/>
                <w:sz w:val="22"/>
                <w:szCs w:val="22"/>
              </w:rPr>
              <w:t>4 (1.0)</w:t>
            </w:r>
          </w:p>
        </w:tc>
        <w:tc>
          <w:tcPr>
            <w:tcW w:w="2764" w:type="dxa"/>
            <w:tcBorders>
              <w:top w:val="nil"/>
              <w:left w:val="inset" w:sz="2" w:space="0" w:color="000000"/>
              <w:bottom w:val="inset" w:sz="2" w:space="0" w:color="000000"/>
              <w:right w:val="inset" w:sz="4" w:space="0" w:color="000000"/>
            </w:tcBorders>
            <w:shd w:val="clear" w:color="auto" w:fill="FFFFFF"/>
          </w:tcPr>
          <w:p w:rsidR="00461C8B" w:rsidRPr="00D968CE" w:rsidRDefault="00461C8B" w:rsidP="00B047CC">
            <w:pPr>
              <w:adjustRightInd w:val="0"/>
              <w:spacing w:before="40" w:after="40"/>
              <w:ind w:left="210"/>
              <w:jc w:val="center"/>
              <w:rPr>
                <w:color w:val="000000"/>
                <w:sz w:val="22"/>
                <w:szCs w:val="22"/>
              </w:rPr>
            </w:pPr>
            <w:r w:rsidRPr="00D968CE">
              <w:rPr>
                <w:color w:val="000000"/>
                <w:sz w:val="22"/>
                <w:szCs w:val="22"/>
              </w:rPr>
              <w:t>31 (2.6)</w:t>
            </w:r>
          </w:p>
        </w:tc>
      </w:tr>
      <w:tr w:rsidR="00461C8B" w:rsidTr="00B047CC">
        <w:trPr>
          <w:cantSplit/>
          <w:trHeight w:val="340"/>
        </w:trPr>
        <w:tc>
          <w:tcPr>
            <w:tcW w:w="3179" w:type="dxa"/>
            <w:tcBorders>
              <w:top w:val="nil"/>
              <w:left w:val="inset" w:sz="4" w:space="0" w:color="000000"/>
              <w:bottom w:val="inset" w:sz="2" w:space="0" w:color="000000"/>
              <w:right w:val="nil"/>
            </w:tcBorders>
            <w:shd w:val="clear" w:color="auto" w:fill="FFFFFF"/>
          </w:tcPr>
          <w:p w:rsidR="00461C8B" w:rsidRPr="004E42B7" w:rsidRDefault="00461C8B" w:rsidP="00B047CC">
            <w:pPr>
              <w:adjustRightInd w:val="0"/>
              <w:spacing w:before="40" w:after="40"/>
              <w:rPr>
                <w:color w:val="000000"/>
                <w:sz w:val="22"/>
                <w:szCs w:val="22"/>
              </w:rPr>
            </w:pPr>
            <w:r w:rsidRPr="004E42B7">
              <w:rPr>
                <w:color w:val="000000"/>
                <w:sz w:val="22"/>
                <w:szCs w:val="22"/>
              </w:rPr>
              <w:t>Hypertension</w:t>
            </w:r>
          </w:p>
        </w:tc>
        <w:tc>
          <w:tcPr>
            <w:tcW w:w="2764" w:type="dxa"/>
            <w:tcBorders>
              <w:top w:val="nil"/>
              <w:left w:val="inset" w:sz="2" w:space="0" w:color="000000"/>
              <w:bottom w:val="inset" w:sz="2" w:space="0" w:color="000000"/>
              <w:right w:val="nil"/>
            </w:tcBorders>
            <w:shd w:val="clear" w:color="auto" w:fill="FFFFFF"/>
          </w:tcPr>
          <w:p w:rsidR="00461C8B" w:rsidRDefault="00461C8B" w:rsidP="00B047CC">
            <w:pPr>
              <w:adjustRightInd w:val="0"/>
              <w:spacing w:before="40" w:after="40"/>
              <w:ind w:left="350"/>
              <w:jc w:val="center"/>
              <w:rPr>
                <w:color w:val="000000"/>
                <w:sz w:val="22"/>
                <w:szCs w:val="22"/>
              </w:rPr>
            </w:pPr>
            <w:r>
              <w:rPr>
                <w:color w:val="000000"/>
                <w:sz w:val="22"/>
                <w:szCs w:val="22"/>
              </w:rPr>
              <w:t>15 (2.2)</w:t>
            </w:r>
          </w:p>
        </w:tc>
        <w:tc>
          <w:tcPr>
            <w:tcW w:w="2764" w:type="dxa"/>
            <w:tcBorders>
              <w:top w:val="nil"/>
              <w:left w:val="inset" w:sz="2" w:space="0" w:color="000000"/>
              <w:bottom w:val="inset" w:sz="2" w:space="0" w:color="000000"/>
              <w:right w:val="inset" w:sz="4" w:space="0" w:color="000000"/>
            </w:tcBorders>
            <w:shd w:val="clear" w:color="auto" w:fill="FFFFFF"/>
          </w:tcPr>
          <w:p w:rsidR="00461C8B" w:rsidRPr="00D968CE" w:rsidRDefault="00461C8B" w:rsidP="00B047CC">
            <w:pPr>
              <w:adjustRightInd w:val="0"/>
              <w:spacing w:before="40" w:after="40"/>
              <w:ind w:left="210"/>
              <w:jc w:val="center"/>
              <w:rPr>
                <w:color w:val="000000"/>
                <w:sz w:val="22"/>
                <w:szCs w:val="22"/>
              </w:rPr>
            </w:pPr>
            <w:r w:rsidRPr="00D968CE">
              <w:rPr>
                <w:color w:val="000000"/>
                <w:sz w:val="22"/>
                <w:szCs w:val="22"/>
              </w:rPr>
              <w:t>25 (2.6)</w:t>
            </w:r>
          </w:p>
        </w:tc>
      </w:tr>
      <w:tr w:rsidR="00461C8B" w:rsidTr="00B047CC">
        <w:trPr>
          <w:cantSplit/>
          <w:trHeight w:val="340"/>
        </w:trPr>
        <w:tc>
          <w:tcPr>
            <w:tcW w:w="3179" w:type="dxa"/>
            <w:tcBorders>
              <w:top w:val="nil"/>
              <w:left w:val="inset" w:sz="4" w:space="0" w:color="000000"/>
              <w:bottom w:val="single" w:sz="4" w:space="0" w:color="auto"/>
              <w:right w:val="nil"/>
            </w:tcBorders>
            <w:shd w:val="clear" w:color="auto" w:fill="FFFFFF"/>
          </w:tcPr>
          <w:p w:rsidR="00461C8B" w:rsidRPr="004E42B7" w:rsidRDefault="00461C8B" w:rsidP="00B047CC">
            <w:pPr>
              <w:adjustRightInd w:val="0"/>
              <w:spacing w:before="40" w:after="40"/>
              <w:rPr>
                <w:color w:val="000000"/>
                <w:sz w:val="22"/>
                <w:szCs w:val="22"/>
              </w:rPr>
            </w:pPr>
            <w:r w:rsidRPr="004E42B7">
              <w:rPr>
                <w:color w:val="000000"/>
                <w:sz w:val="22"/>
                <w:szCs w:val="22"/>
              </w:rPr>
              <w:t>Decreased appetite</w:t>
            </w:r>
          </w:p>
        </w:tc>
        <w:tc>
          <w:tcPr>
            <w:tcW w:w="2764" w:type="dxa"/>
            <w:tcBorders>
              <w:top w:val="nil"/>
              <w:left w:val="inset" w:sz="2" w:space="0" w:color="000000"/>
              <w:bottom w:val="single" w:sz="4" w:space="0" w:color="auto"/>
              <w:right w:val="nil"/>
            </w:tcBorders>
            <w:shd w:val="clear" w:color="auto" w:fill="FFFFFF"/>
          </w:tcPr>
          <w:p w:rsidR="00461C8B" w:rsidRDefault="00461C8B" w:rsidP="00B047CC">
            <w:pPr>
              <w:adjustRightInd w:val="0"/>
              <w:spacing w:before="40" w:after="40"/>
              <w:ind w:left="350"/>
              <w:jc w:val="center"/>
              <w:rPr>
                <w:color w:val="000000"/>
                <w:sz w:val="22"/>
                <w:szCs w:val="22"/>
              </w:rPr>
            </w:pPr>
            <w:r>
              <w:rPr>
                <w:color w:val="000000"/>
                <w:sz w:val="22"/>
                <w:szCs w:val="22"/>
              </w:rPr>
              <w:t>4 (1.0)</w:t>
            </w:r>
          </w:p>
        </w:tc>
        <w:tc>
          <w:tcPr>
            <w:tcW w:w="2764" w:type="dxa"/>
            <w:tcBorders>
              <w:top w:val="nil"/>
              <w:left w:val="inset" w:sz="2" w:space="0" w:color="000000"/>
              <w:bottom w:val="single" w:sz="4" w:space="0" w:color="auto"/>
              <w:right w:val="inset" w:sz="4" w:space="0" w:color="000000"/>
            </w:tcBorders>
            <w:shd w:val="clear" w:color="auto" w:fill="FFFFFF"/>
          </w:tcPr>
          <w:p w:rsidR="00461C8B" w:rsidRPr="00D968CE" w:rsidRDefault="00461C8B" w:rsidP="00B047CC">
            <w:pPr>
              <w:adjustRightInd w:val="0"/>
              <w:spacing w:before="40" w:after="40"/>
              <w:ind w:left="210"/>
              <w:jc w:val="center"/>
              <w:rPr>
                <w:color w:val="000000"/>
                <w:sz w:val="22"/>
                <w:szCs w:val="22"/>
              </w:rPr>
            </w:pPr>
            <w:r w:rsidRPr="00D968CE">
              <w:rPr>
                <w:color w:val="000000"/>
                <w:sz w:val="22"/>
                <w:szCs w:val="22"/>
              </w:rPr>
              <w:t>28 (2.4)</w:t>
            </w:r>
          </w:p>
        </w:tc>
      </w:tr>
      <w:tr w:rsidR="00461C8B" w:rsidTr="00B047CC">
        <w:trPr>
          <w:cantSplit/>
          <w:trHeight w:val="340"/>
        </w:trPr>
        <w:tc>
          <w:tcPr>
            <w:tcW w:w="3179" w:type="dxa"/>
            <w:tcBorders>
              <w:left w:val="inset" w:sz="4" w:space="0" w:color="000000"/>
              <w:bottom w:val="inset" w:sz="2" w:space="0" w:color="000000"/>
              <w:right w:val="nil"/>
            </w:tcBorders>
            <w:shd w:val="clear" w:color="auto" w:fill="FFFFFF"/>
          </w:tcPr>
          <w:p w:rsidR="00461C8B" w:rsidRPr="004E42B7" w:rsidRDefault="00461C8B" w:rsidP="00B047CC">
            <w:pPr>
              <w:adjustRightInd w:val="0"/>
              <w:spacing w:before="40" w:after="40"/>
              <w:rPr>
                <w:color w:val="000000"/>
                <w:sz w:val="22"/>
                <w:szCs w:val="22"/>
              </w:rPr>
            </w:pPr>
            <w:r w:rsidRPr="009C05F3">
              <w:rPr>
                <w:color w:val="000000"/>
                <w:sz w:val="22"/>
                <w:szCs w:val="22"/>
              </w:rPr>
              <w:t>Arthralgia</w:t>
            </w:r>
          </w:p>
        </w:tc>
        <w:tc>
          <w:tcPr>
            <w:tcW w:w="2764" w:type="dxa"/>
            <w:tcBorders>
              <w:left w:val="inset" w:sz="2" w:space="0" w:color="000000"/>
              <w:bottom w:val="inset" w:sz="2" w:space="0" w:color="000000"/>
              <w:right w:val="nil"/>
            </w:tcBorders>
            <w:shd w:val="clear" w:color="auto" w:fill="FFFFFF"/>
          </w:tcPr>
          <w:p w:rsidR="00461C8B" w:rsidRDefault="00461C8B" w:rsidP="00B047CC">
            <w:pPr>
              <w:adjustRightInd w:val="0"/>
              <w:spacing w:before="40" w:after="40"/>
              <w:ind w:left="350"/>
              <w:jc w:val="center"/>
              <w:rPr>
                <w:color w:val="000000"/>
                <w:sz w:val="22"/>
                <w:szCs w:val="22"/>
              </w:rPr>
            </w:pPr>
            <w:r>
              <w:rPr>
                <w:color w:val="000000"/>
                <w:sz w:val="22"/>
                <w:szCs w:val="22"/>
              </w:rPr>
              <w:t>7 (1.7)</w:t>
            </w:r>
          </w:p>
        </w:tc>
        <w:tc>
          <w:tcPr>
            <w:tcW w:w="2764" w:type="dxa"/>
            <w:tcBorders>
              <w:left w:val="inset" w:sz="2" w:space="0" w:color="000000"/>
              <w:bottom w:val="inset" w:sz="2" w:space="0" w:color="000000"/>
              <w:right w:val="inset" w:sz="4" w:space="0" w:color="000000"/>
            </w:tcBorders>
            <w:shd w:val="clear" w:color="auto" w:fill="FFFFFF"/>
          </w:tcPr>
          <w:p w:rsidR="00461C8B" w:rsidRPr="00D968CE" w:rsidRDefault="00461C8B" w:rsidP="00B047CC">
            <w:pPr>
              <w:adjustRightInd w:val="0"/>
              <w:spacing w:before="40" w:after="40"/>
              <w:ind w:left="210"/>
              <w:jc w:val="center"/>
              <w:rPr>
                <w:color w:val="000000"/>
                <w:sz w:val="22"/>
                <w:szCs w:val="22"/>
              </w:rPr>
            </w:pPr>
            <w:r w:rsidRPr="00D968CE">
              <w:rPr>
                <w:color w:val="000000"/>
                <w:sz w:val="22"/>
                <w:szCs w:val="22"/>
              </w:rPr>
              <w:t>25 (2.1)</w:t>
            </w:r>
          </w:p>
        </w:tc>
      </w:tr>
      <w:tr w:rsidR="00461C8B" w:rsidTr="00B047CC">
        <w:trPr>
          <w:cantSplit/>
          <w:trHeight w:val="340"/>
        </w:trPr>
        <w:tc>
          <w:tcPr>
            <w:tcW w:w="3179" w:type="dxa"/>
            <w:tcBorders>
              <w:top w:val="nil"/>
              <w:left w:val="inset" w:sz="4" w:space="0" w:color="000000"/>
              <w:bottom w:val="inset" w:sz="2" w:space="0" w:color="000000"/>
              <w:right w:val="nil"/>
            </w:tcBorders>
            <w:shd w:val="clear" w:color="auto" w:fill="FFFFFF"/>
          </w:tcPr>
          <w:p w:rsidR="00461C8B" w:rsidRPr="004E42B7" w:rsidRDefault="00461C8B" w:rsidP="00B047CC">
            <w:pPr>
              <w:adjustRightInd w:val="0"/>
              <w:spacing w:before="40" w:after="40"/>
              <w:rPr>
                <w:color w:val="000000"/>
                <w:sz w:val="22"/>
                <w:szCs w:val="22"/>
              </w:rPr>
            </w:pPr>
            <w:r w:rsidRPr="004E42B7">
              <w:rPr>
                <w:color w:val="000000"/>
                <w:sz w:val="22"/>
                <w:szCs w:val="22"/>
              </w:rPr>
              <w:t>Back pain</w:t>
            </w:r>
          </w:p>
        </w:tc>
        <w:tc>
          <w:tcPr>
            <w:tcW w:w="2764" w:type="dxa"/>
            <w:tcBorders>
              <w:top w:val="nil"/>
              <w:left w:val="inset" w:sz="2" w:space="0" w:color="000000"/>
              <w:bottom w:val="inset" w:sz="2" w:space="0" w:color="000000"/>
              <w:right w:val="nil"/>
            </w:tcBorders>
            <w:shd w:val="clear" w:color="auto" w:fill="FFFFFF"/>
          </w:tcPr>
          <w:p w:rsidR="00461C8B" w:rsidRDefault="00461C8B" w:rsidP="00B047CC">
            <w:pPr>
              <w:adjustRightInd w:val="0"/>
              <w:spacing w:before="40" w:after="40"/>
              <w:ind w:left="350"/>
              <w:jc w:val="center"/>
              <w:rPr>
                <w:color w:val="000000"/>
                <w:sz w:val="22"/>
                <w:szCs w:val="22"/>
              </w:rPr>
            </w:pPr>
            <w:r>
              <w:rPr>
                <w:color w:val="000000"/>
                <w:sz w:val="22"/>
                <w:szCs w:val="22"/>
              </w:rPr>
              <w:t>4 (1.0)</w:t>
            </w:r>
          </w:p>
        </w:tc>
        <w:tc>
          <w:tcPr>
            <w:tcW w:w="2764" w:type="dxa"/>
            <w:tcBorders>
              <w:top w:val="nil"/>
              <w:left w:val="inset" w:sz="2" w:space="0" w:color="000000"/>
              <w:bottom w:val="inset" w:sz="2" w:space="0" w:color="000000"/>
              <w:right w:val="inset" w:sz="4" w:space="0" w:color="000000"/>
            </w:tcBorders>
            <w:shd w:val="clear" w:color="auto" w:fill="FFFFFF"/>
          </w:tcPr>
          <w:p w:rsidR="00461C8B" w:rsidRPr="00D968CE" w:rsidRDefault="00461C8B" w:rsidP="00B047CC">
            <w:pPr>
              <w:adjustRightInd w:val="0"/>
              <w:spacing w:before="40" w:after="40"/>
              <w:ind w:left="210"/>
              <w:jc w:val="center"/>
              <w:rPr>
                <w:color w:val="000000"/>
                <w:sz w:val="22"/>
                <w:szCs w:val="22"/>
              </w:rPr>
            </w:pPr>
            <w:r w:rsidRPr="00D968CE">
              <w:rPr>
                <w:color w:val="000000"/>
                <w:sz w:val="22"/>
                <w:szCs w:val="22"/>
              </w:rPr>
              <w:t>25 (2.1)</w:t>
            </w:r>
          </w:p>
        </w:tc>
      </w:tr>
      <w:tr w:rsidR="00461C8B" w:rsidTr="00B047CC">
        <w:trPr>
          <w:cantSplit/>
          <w:trHeight w:val="340"/>
        </w:trPr>
        <w:tc>
          <w:tcPr>
            <w:tcW w:w="3179" w:type="dxa"/>
            <w:tcBorders>
              <w:top w:val="nil"/>
              <w:left w:val="inset" w:sz="4" w:space="0" w:color="000000"/>
              <w:bottom w:val="inset" w:sz="2" w:space="0" w:color="000000"/>
              <w:right w:val="nil"/>
            </w:tcBorders>
            <w:shd w:val="clear" w:color="auto" w:fill="FFFFFF"/>
          </w:tcPr>
          <w:p w:rsidR="00461C8B" w:rsidRPr="004E42B7" w:rsidRDefault="00461C8B" w:rsidP="00B047CC">
            <w:pPr>
              <w:adjustRightInd w:val="0"/>
              <w:spacing w:before="40" w:after="40"/>
              <w:rPr>
                <w:color w:val="000000"/>
                <w:sz w:val="22"/>
                <w:szCs w:val="22"/>
              </w:rPr>
            </w:pPr>
            <w:r w:rsidRPr="004E42B7">
              <w:rPr>
                <w:color w:val="000000"/>
                <w:sz w:val="22"/>
                <w:szCs w:val="22"/>
              </w:rPr>
              <w:t>Migraine</w:t>
            </w:r>
          </w:p>
        </w:tc>
        <w:tc>
          <w:tcPr>
            <w:tcW w:w="2764" w:type="dxa"/>
            <w:tcBorders>
              <w:top w:val="nil"/>
              <w:left w:val="inset" w:sz="2" w:space="0" w:color="000000"/>
              <w:bottom w:val="inset" w:sz="2" w:space="0" w:color="000000"/>
              <w:right w:val="nil"/>
            </w:tcBorders>
            <w:shd w:val="clear" w:color="auto" w:fill="FFFFFF"/>
          </w:tcPr>
          <w:p w:rsidR="00461C8B" w:rsidRDefault="00461C8B" w:rsidP="00B047CC">
            <w:pPr>
              <w:adjustRightInd w:val="0"/>
              <w:spacing w:before="40" w:after="40"/>
              <w:ind w:left="350"/>
              <w:jc w:val="center"/>
              <w:rPr>
                <w:color w:val="000000"/>
                <w:sz w:val="22"/>
                <w:szCs w:val="22"/>
              </w:rPr>
            </w:pPr>
            <w:r>
              <w:rPr>
                <w:color w:val="000000"/>
                <w:sz w:val="22"/>
                <w:szCs w:val="22"/>
              </w:rPr>
              <w:t>4 (1.0)</w:t>
            </w:r>
          </w:p>
        </w:tc>
        <w:tc>
          <w:tcPr>
            <w:tcW w:w="2764" w:type="dxa"/>
            <w:tcBorders>
              <w:top w:val="nil"/>
              <w:left w:val="inset" w:sz="2" w:space="0" w:color="000000"/>
              <w:bottom w:val="inset" w:sz="2" w:space="0" w:color="000000"/>
              <w:right w:val="inset" w:sz="4" w:space="0" w:color="000000"/>
            </w:tcBorders>
            <w:shd w:val="clear" w:color="auto" w:fill="FFFFFF"/>
          </w:tcPr>
          <w:p w:rsidR="00461C8B" w:rsidRPr="00D968CE" w:rsidRDefault="00461C8B" w:rsidP="00B047CC">
            <w:pPr>
              <w:adjustRightInd w:val="0"/>
              <w:spacing w:before="40" w:after="40"/>
              <w:ind w:left="210"/>
              <w:jc w:val="center"/>
              <w:rPr>
                <w:color w:val="000000"/>
                <w:sz w:val="22"/>
                <w:szCs w:val="22"/>
              </w:rPr>
            </w:pPr>
            <w:r w:rsidRPr="00D968CE">
              <w:rPr>
                <w:color w:val="000000"/>
                <w:sz w:val="22"/>
                <w:szCs w:val="22"/>
              </w:rPr>
              <w:t>25 (2.1)</w:t>
            </w:r>
          </w:p>
        </w:tc>
      </w:tr>
      <w:tr w:rsidR="00461C8B" w:rsidTr="00B047CC">
        <w:trPr>
          <w:cantSplit/>
          <w:trHeight w:val="340"/>
        </w:trPr>
        <w:tc>
          <w:tcPr>
            <w:tcW w:w="3179" w:type="dxa"/>
            <w:tcBorders>
              <w:top w:val="nil"/>
              <w:left w:val="inset" w:sz="4" w:space="0" w:color="000000"/>
              <w:bottom w:val="inset" w:sz="2" w:space="0" w:color="000000"/>
              <w:right w:val="nil"/>
            </w:tcBorders>
            <w:shd w:val="clear" w:color="auto" w:fill="FFFFFF"/>
          </w:tcPr>
          <w:p w:rsidR="00461C8B" w:rsidRPr="004E42B7" w:rsidRDefault="00461C8B" w:rsidP="00B047CC">
            <w:pPr>
              <w:adjustRightInd w:val="0"/>
              <w:spacing w:before="40" w:after="40"/>
              <w:rPr>
                <w:color w:val="000000"/>
                <w:sz w:val="22"/>
                <w:szCs w:val="22"/>
              </w:rPr>
            </w:pPr>
            <w:r w:rsidRPr="009C05F3">
              <w:rPr>
                <w:color w:val="000000"/>
                <w:sz w:val="22"/>
                <w:szCs w:val="22"/>
              </w:rPr>
              <w:t>Sinusitis</w:t>
            </w:r>
          </w:p>
        </w:tc>
        <w:tc>
          <w:tcPr>
            <w:tcW w:w="2764" w:type="dxa"/>
            <w:tcBorders>
              <w:top w:val="nil"/>
              <w:left w:val="inset" w:sz="2" w:space="0" w:color="000000"/>
              <w:bottom w:val="inset" w:sz="2" w:space="0" w:color="000000"/>
              <w:right w:val="nil"/>
            </w:tcBorders>
            <w:shd w:val="clear" w:color="auto" w:fill="FFFFFF"/>
          </w:tcPr>
          <w:p w:rsidR="00461C8B" w:rsidRDefault="00461C8B" w:rsidP="00B047CC">
            <w:pPr>
              <w:adjustRightInd w:val="0"/>
              <w:spacing w:before="40" w:after="40"/>
              <w:ind w:left="350"/>
              <w:jc w:val="center"/>
              <w:rPr>
                <w:color w:val="000000"/>
                <w:sz w:val="22"/>
                <w:szCs w:val="22"/>
              </w:rPr>
            </w:pPr>
            <w:r>
              <w:rPr>
                <w:color w:val="000000"/>
                <w:sz w:val="22"/>
                <w:szCs w:val="22"/>
              </w:rPr>
              <w:t>6 (1.4)</w:t>
            </w:r>
          </w:p>
        </w:tc>
        <w:tc>
          <w:tcPr>
            <w:tcW w:w="2764" w:type="dxa"/>
            <w:tcBorders>
              <w:top w:val="nil"/>
              <w:left w:val="inset" w:sz="2" w:space="0" w:color="000000"/>
              <w:bottom w:val="inset" w:sz="2" w:space="0" w:color="000000"/>
              <w:right w:val="inset" w:sz="4" w:space="0" w:color="000000"/>
            </w:tcBorders>
            <w:shd w:val="clear" w:color="auto" w:fill="FFFFFF"/>
          </w:tcPr>
          <w:p w:rsidR="00461C8B" w:rsidRPr="00D968CE" w:rsidRDefault="00461C8B" w:rsidP="00B047CC">
            <w:pPr>
              <w:adjustRightInd w:val="0"/>
              <w:spacing w:before="40" w:after="40"/>
              <w:ind w:left="210"/>
              <w:jc w:val="center"/>
              <w:rPr>
                <w:color w:val="000000"/>
                <w:sz w:val="22"/>
                <w:szCs w:val="22"/>
              </w:rPr>
            </w:pPr>
            <w:r w:rsidRPr="00D968CE">
              <w:rPr>
                <w:color w:val="000000"/>
                <w:sz w:val="22"/>
                <w:szCs w:val="22"/>
              </w:rPr>
              <w:t>25 (2.1)</w:t>
            </w:r>
          </w:p>
        </w:tc>
      </w:tr>
      <w:tr w:rsidR="00461C8B" w:rsidTr="00B047CC">
        <w:trPr>
          <w:cantSplit/>
          <w:trHeight w:val="340"/>
        </w:trPr>
        <w:tc>
          <w:tcPr>
            <w:tcW w:w="3179" w:type="dxa"/>
            <w:tcBorders>
              <w:top w:val="nil"/>
              <w:left w:val="inset" w:sz="4" w:space="0" w:color="000000"/>
              <w:bottom w:val="inset" w:sz="2" w:space="0" w:color="000000"/>
              <w:right w:val="nil"/>
            </w:tcBorders>
            <w:shd w:val="clear" w:color="auto" w:fill="FFFFFF"/>
          </w:tcPr>
          <w:p w:rsidR="00461C8B" w:rsidRPr="004E42B7" w:rsidRDefault="00461C8B" w:rsidP="00B047CC">
            <w:pPr>
              <w:adjustRightInd w:val="0"/>
              <w:spacing w:before="40" w:after="40"/>
              <w:rPr>
                <w:color w:val="000000"/>
                <w:sz w:val="22"/>
                <w:szCs w:val="22"/>
              </w:rPr>
            </w:pPr>
            <w:r w:rsidRPr="009C05F3">
              <w:rPr>
                <w:color w:val="000000"/>
                <w:sz w:val="22"/>
                <w:szCs w:val="22"/>
              </w:rPr>
              <w:t>Abdominal discomfort</w:t>
            </w:r>
          </w:p>
        </w:tc>
        <w:tc>
          <w:tcPr>
            <w:tcW w:w="2764" w:type="dxa"/>
            <w:tcBorders>
              <w:top w:val="nil"/>
              <w:left w:val="inset" w:sz="2" w:space="0" w:color="000000"/>
              <w:bottom w:val="inset" w:sz="2" w:space="0" w:color="000000"/>
              <w:right w:val="nil"/>
            </w:tcBorders>
            <w:shd w:val="clear" w:color="auto" w:fill="FFFFFF"/>
          </w:tcPr>
          <w:p w:rsidR="00461C8B" w:rsidRDefault="00461C8B" w:rsidP="00B047CC">
            <w:pPr>
              <w:adjustRightInd w:val="0"/>
              <w:spacing w:before="40" w:after="40"/>
              <w:ind w:left="350"/>
              <w:jc w:val="center"/>
              <w:rPr>
                <w:color w:val="000000"/>
                <w:sz w:val="22"/>
                <w:szCs w:val="22"/>
              </w:rPr>
            </w:pPr>
            <w:r>
              <w:rPr>
                <w:color w:val="000000"/>
                <w:sz w:val="22"/>
                <w:szCs w:val="22"/>
              </w:rPr>
              <w:t>6 (1.4)</w:t>
            </w:r>
          </w:p>
        </w:tc>
        <w:tc>
          <w:tcPr>
            <w:tcW w:w="2764" w:type="dxa"/>
            <w:tcBorders>
              <w:top w:val="nil"/>
              <w:left w:val="inset" w:sz="2" w:space="0" w:color="000000"/>
              <w:bottom w:val="inset" w:sz="2" w:space="0" w:color="000000"/>
              <w:right w:val="inset" w:sz="4" w:space="0" w:color="000000"/>
            </w:tcBorders>
            <w:shd w:val="clear" w:color="auto" w:fill="FFFFFF"/>
          </w:tcPr>
          <w:p w:rsidR="00461C8B" w:rsidRDefault="00461C8B" w:rsidP="00B047CC">
            <w:pPr>
              <w:adjustRightInd w:val="0"/>
              <w:spacing w:before="40" w:after="40"/>
              <w:ind w:left="210"/>
              <w:jc w:val="center"/>
              <w:rPr>
                <w:color w:val="000000"/>
                <w:sz w:val="22"/>
                <w:szCs w:val="22"/>
              </w:rPr>
            </w:pPr>
            <w:r>
              <w:rPr>
                <w:color w:val="000000"/>
                <w:sz w:val="22"/>
                <w:szCs w:val="22"/>
              </w:rPr>
              <w:t>24 (2.0)</w:t>
            </w:r>
          </w:p>
        </w:tc>
      </w:tr>
      <w:tr w:rsidR="00461C8B" w:rsidTr="00B047CC">
        <w:trPr>
          <w:cantSplit/>
          <w:trHeight w:val="340"/>
        </w:trPr>
        <w:tc>
          <w:tcPr>
            <w:tcW w:w="3179" w:type="dxa"/>
            <w:tcBorders>
              <w:top w:val="nil"/>
              <w:left w:val="inset" w:sz="4" w:space="0" w:color="000000"/>
              <w:bottom w:val="single" w:sz="4" w:space="0" w:color="auto"/>
              <w:right w:val="nil"/>
            </w:tcBorders>
            <w:shd w:val="clear" w:color="auto" w:fill="FFFFFF"/>
          </w:tcPr>
          <w:p w:rsidR="00461C8B" w:rsidRPr="004E42B7" w:rsidRDefault="00461C8B" w:rsidP="00B047CC">
            <w:pPr>
              <w:adjustRightInd w:val="0"/>
              <w:spacing w:before="40" w:after="40"/>
              <w:rPr>
                <w:color w:val="000000"/>
                <w:sz w:val="22"/>
                <w:szCs w:val="22"/>
              </w:rPr>
            </w:pPr>
            <w:r w:rsidRPr="004E42B7">
              <w:rPr>
                <w:color w:val="000000"/>
                <w:sz w:val="22"/>
                <w:szCs w:val="22"/>
              </w:rPr>
              <w:t>Frequent bowel movements</w:t>
            </w:r>
          </w:p>
        </w:tc>
        <w:tc>
          <w:tcPr>
            <w:tcW w:w="2764" w:type="dxa"/>
            <w:tcBorders>
              <w:top w:val="nil"/>
              <w:left w:val="inset" w:sz="2" w:space="0" w:color="000000"/>
              <w:bottom w:val="single" w:sz="4" w:space="0" w:color="auto"/>
              <w:right w:val="nil"/>
            </w:tcBorders>
            <w:shd w:val="clear" w:color="auto" w:fill="FFFFFF"/>
          </w:tcPr>
          <w:p w:rsidR="00461C8B" w:rsidRDefault="00461C8B" w:rsidP="00B047CC">
            <w:pPr>
              <w:adjustRightInd w:val="0"/>
              <w:spacing w:before="40" w:after="40"/>
              <w:ind w:left="350"/>
              <w:jc w:val="center"/>
              <w:rPr>
                <w:color w:val="000000"/>
                <w:sz w:val="22"/>
                <w:szCs w:val="22"/>
              </w:rPr>
            </w:pPr>
            <w:r>
              <w:rPr>
                <w:color w:val="000000"/>
                <w:sz w:val="22"/>
                <w:szCs w:val="22"/>
              </w:rPr>
              <w:t>1 (0.2)</w:t>
            </w:r>
          </w:p>
        </w:tc>
        <w:tc>
          <w:tcPr>
            <w:tcW w:w="2764" w:type="dxa"/>
            <w:tcBorders>
              <w:top w:val="nil"/>
              <w:left w:val="inset" w:sz="2" w:space="0" w:color="000000"/>
              <w:bottom w:val="single" w:sz="4" w:space="0" w:color="auto"/>
              <w:right w:val="inset" w:sz="4" w:space="0" w:color="000000"/>
            </w:tcBorders>
            <w:shd w:val="clear" w:color="auto" w:fill="FFFFFF"/>
          </w:tcPr>
          <w:p w:rsidR="00461C8B" w:rsidRDefault="00461C8B" w:rsidP="00B047CC">
            <w:pPr>
              <w:adjustRightInd w:val="0"/>
              <w:spacing w:before="40" w:after="40"/>
              <w:ind w:left="210"/>
              <w:jc w:val="center"/>
              <w:rPr>
                <w:color w:val="000000"/>
                <w:sz w:val="22"/>
                <w:szCs w:val="22"/>
              </w:rPr>
            </w:pPr>
            <w:r>
              <w:rPr>
                <w:color w:val="000000"/>
                <w:sz w:val="22"/>
                <w:szCs w:val="22"/>
              </w:rPr>
              <w:t>24 (2.0)</w:t>
            </w:r>
          </w:p>
        </w:tc>
      </w:tr>
      <w:tr w:rsidR="00461C8B" w:rsidRPr="00140E4C" w:rsidTr="00B047CC">
        <w:trPr>
          <w:cantSplit/>
          <w:trHeight w:val="340"/>
        </w:trPr>
        <w:tc>
          <w:tcPr>
            <w:tcW w:w="3179" w:type="dxa"/>
            <w:tcBorders>
              <w:top w:val="single" w:sz="4" w:space="0" w:color="auto"/>
              <w:left w:val="inset" w:sz="4" w:space="0" w:color="000000"/>
              <w:bottom w:val="single" w:sz="4" w:space="0" w:color="auto"/>
              <w:right w:val="nil"/>
            </w:tcBorders>
            <w:shd w:val="clear" w:color="auto" w:fill="FFFFFF"/>
          </w:tcPr>
          <w:p w:rsidR="00461C8B" w:rsidRPr="00140E4C" w:rsidRDefault="00461C8B" w:rsidP="00B047CC">
            <w:pPr>
              <w:adjustRightInd w:val="0"/>
              <w:spacing w:before="40" w:after="40"/>
              <w:rPr>
                <w:color w:val="000000"/>
                <w:sz w:val="22"/>
                <w:szCs w:val="22"/>
              </w:rPr>
            </w:pPr>
            <w:r w:rsidRPr="00140E4C">
              <w:rPr>
                <w:sz w:val="22"/>
                <w:szCs w:val="22"/>
                <w:lang w:val="en-AU" w:eastAsia="en-AU"/>
              </w:rPr>
              <w:t>Gastroenteritis</w:t>
            </w:r>
          </w:p>
        </w:tc>
        <w:tc>
          <w:tcPr>
            <w:tcW w:w="2764" w:type="dxa"/>
            <w:tcBorders>
              <w:top w:val="single" w:sz="4" w:space="0" w:color="auto"/>
              <w:left w:val="inset" w:sz="2" w:space="0" w:color="000000"/>
              <w:bottom w:val="single" w:sz="4" w:space="0" w:color="auto"/>
              <w:right w:val="nil"/>
            </w:tcBorders>
            <w:shd w:val="clear" w:color="auto" w:fill="FFFFFF"/>
          </w:tcPr>
          <w:p w:rsidR="00461C8B" w:rsidRPr="00140E4C" w:rsidRDefault="00461C8B" w:rsidP="00B047CC">
            <w:pPr>
              <w:adjustRightInd w:val="0"/>
              <w:spacing w:before="40" w:after="40"/>
              <w:ind w:left="350"/>
              <w:jc w:val="center"/>
              <w:rPr>
                <w:color w:val="000000"/>
                <w:sz w:val="22"/>
                <w:szCs w:val="22"/>
              </w:rPr>
            </w:pPr>
            <w:r w:rsidRPr="00140E4C">
              <w:rPr>
                <w:sz w:val="22"/>
                <w:szCs w:val="22"/>
                <w:lang w:val="en-AU" w:eastAsia="en-AU"/>
              </w:rPr>
              <w:t>9 (2.2)</w:t>
            </w:r>
          </w:p>
        </w:tc>
        <w:tc>
          <w:tcPr>
            <w:tcW w:w="2764" w:type="dxa"/>
            <w:tcBorders>
              <w:top w:val="single" w:sz="4" w:space="0" w:color="auto"/>
              <w:left w:val="inset" w:sz="2" w:space="0" w:color="000000"/>
              <w:bottom w:val="single" w:sz="4" w:space="0" w:color="auto"/>
              <w:right w:val="inset" w:sz="4" w:space="0" w:color="000000"/>
            </w:tcBorders>
            <w:shd w:val="clear" w:color="auto" w:fill="FFFFFF"/>
          </w:tcPr>
          <w:p w:rsidR="00461C8B" w:rsidRPr="00140E4C" w:rsidRDefault="00461C8B" w:rsidP="00B047CC">
            <w:pPr>
              <w:adjustRightInd w:val="0"/>
              <w:spacing w:before="40" w:after="40"/>
              <w:ind w:left="210"/>
              <w:jc w:val="center"/>
              <w:rPr>
                <w:color w:val="000000"/>
                <w:sz w:val="22"/>
                <w:szCs w:val="22"/>
              </w:rPr>
            </w:pPr>
            <w:r w:rsidRPr="00140E4C">
              <w:rPr>
                <w:sz w:val="22"/>
                <w:szCs w:val="22"/>
                <w:lang w:val="en-AU" w:eastAsia="en-AU"/>
              </w:rPr>
              <w:t>20 (1.7)</w:t>
            </w:r>
          </w:p>
        </w:tc>
      </w:tr>
      <w:tr w:rsidR="00461C8B" w:rsidRPr="00140E4C" w:rsidTr="00B047CC">
        <w:trPr>
          <w:cantSplit/>
          <w:trHeight w:val="340"/>
        </w:trPr>
        <w:tc>
          <w:tcPr>
            <w:tcW w:w="3179" w:type="dxa"/>
            <w:tcBorders>
              <w:top w:val="single" w:sz="4" w:space="0" w:color="auto"/>
              <w:left w:val="inset" w:sz="4" w:space="0" w:color="000000"/>
              <w:bottom w:val="single" w:sz="4" w:space="0" w:color="auto"/>
              <w:right w:val="nil"/>
            </w:tcBorders>
            <w:shd w:val="clear" w:color="auto" w:fill="FFFFFF"/>
          </w:tcPr>
          <w:p w:rsidR="00461C8B" w:rsidRPr="00140E4C" w:rsidRDefault="00461C8B" w:rsidP="00B047CC">
            <w:pPr>
              <w:adjustRightInd w:val="0"/>
              <w:spacing w:before="40" w:after="40"/>
              <w:rPr>
                <w:color w:val="000000"/>
                <w:sz w:val="22"/>
                <w:szCs w:val="22"/>
              </w:rPr>
            </w:pPr>
            <w:r w:rsidRPr="00140E4C">
              <w:rPr>
                <w:sz w:val="22"/>
                <w:szCs w:val="22"/>
                <w:lang w:val="en-AU" w:eastAsia="en-AU"/>
              </w:rPr>
              <w:t>Urinary tract infection</w:t>
            </w:r>
          </w:p>
        </w:tc>
        <w:tc>
          <w:tcPr>
            <w:tcW w:w="2764" w:type="dxa"/>
            <w:tcBorders>
              <w:top w:val="single" w:sz="4" w:space="0" w:color="auto"/>
              <w:left w:val="inset" w:sz="2" w:space="0" w:color="000000"/>
              <w:bottom w:val="single" w:sz="4" w:space="0" w:color="auto"/>
              <w:right w:val="nil"/>
            </w:tcBorders>
            <w:shd w:val="clear" w:color="auto" w:fill="FFFFFF"/>
          </w:tcPr>
          <w:p w:rsidR="00461C8B" w:rsidRPr="00140E4C" w:rsidRDefault="00461C8B" w:rsidP="00B047CC">
            <w:pPr>
              <w:adjustRightInd w:val="0"/>
              <w:spacing w:before="40" w:after="40"/>
              <w:ind w:left="350"/>
              <w:jc w:val="center"/>
              <w:rPr>
                <w:color w:val="000000"/>
                <w:sz w:val="22"/>
                <w:szCs w:val="22"/>
              </w:rPr>
            </w:pPr>
            <w:r w:rsidRPr="00140E4C">
              <w:rPr>
                <w:sz w:val="22"/>
                <w:szCs w:val="22"/>
                <w:lang w:val="en-AU" w:eastAsia="en-AU"/>
              </w:rPr>
              <w:t>9 (2.2)</w:t>
            </w:r>
          </w:p>
        </w:tc>
        <w:tc>
          <w:tcPr>
            <w:tcW w:w="2764" w:type="dxa"/>
            <w:tcBorders>
              <w:top w:val="single" w:sz="4" w:space="0" w:color="auto"/>
              <w:left w:val="inset" w:sz="2" w:space="0" w:color="000000"/>
              <w:bottom w:val="single" w:sz="4" w:space="0" w:color="auto"/>
              <w:right w:val="inset" w:sz="4" w:space="0" w:color="000000"/>
            </w:tcBorders>
            <w:shd w:val="clear" w:color="auto" w:fill="FFFFFF"/>
          </w:tcPr>
          <w:p w:rsidR="00461C8B" w:rsidRPr="00140E4C" w:rsidRDefault="00461C8B" w:rsidP="00B047CC">
            <w:pPr>
              <w:adjustRightInd w:val="0"/>
              <w:spacing w:before="40" w:after="40"/>
              <w:ind w:left="210"/>
              <w:jc w:val="center"/>
              <w:rPr>
                <w:color w:val="000000"/>
                <w:sz w:val="22"/>
                <w:szCs w:val="22"/>
              </w:rPr>
            </w:pPr>
            <w:r w:rsidRPr="00140E4C">
              <w:rPr>
                <w:sz w:val="22"/>
                <w:szCs w:val="22"/>
                <w:lang w:val="en-AU" w:eastAsia="en-AU"/>
              </w:rPr>
              <w:t>17 (1.4)</w:t>
            </w:r>
          </w:p>
        </w:tc>
      </w:tr>
      <w:tr w:rsidR="00461C8B" w:rsidRPr="00140E4C" w:rsidTr="00B047CC">
        <w:trPr>
          <w:cantSplit/>
          <w:trHeight w:val="340"/>
        </w:trPr>
        <w:tc>
          <w:tcPr>
            <w:tcW w:w="3179" w:type="dxa"/>
            <w:tcBorders>
              <w:top w:val="single" w:sz="4" w:space="0" w:color="auto"/>
              <w:left w:val="inset" w:sz="4" w:space="0" w:color="000000"/>
              <w:bottom w:val="inset" w:sz="2" w:space="0" w:color="000000"/>
              <w:right w:val="nil"/>
            </w:tcBorders>
            <w:shd w:val="clear" w:color="auto" w:fill="FFFFFF"/>
          </w:tcPr>
          <w:p w:rsidR="00461C8B" w:rsidRPr="00140E4C" w:rsidRDefault="00461C8B" w:rsidP="00B047CC">
            <w:pPr>
              <w:adjustRightInd w:val="0"/>
              <w:spacing w:before="40" w:after="40"/>
              <w:rPr>
                <w:color w:val="000000"/>
                <w:sz w:val="22"/>
                <w:szCs w:val="22"/>
              </w:rPr>
            </w:pPr>
            <w:r w:rsidRPr="00140E4C">
              <w:rPr>
                <w:sz w:val="22"/>
                <w:szCs w:val="22"/>
                <w:lang w:val="en-AU" w:eastAsia="en-AU"/>
              </w:rPr>
              <w:lastRenderedPageBreak/>
              <w:t>Psoriasis</w:t>
            </w:r>
          </w:p>
        </w:tc>
        <w:tc>
          <w:tcPr>
            <w:tcW w:w="2764" w:type="dxa"/>
            <w:tcBorders>
              <w:top w:val="single" w:sz="4" w:space="0" w:color="auto"/>
              <w:left w:val="inset" w:sz="2" w:space="0" w:color="000000"/>
              <w:bottom w:val="inset" w:sz="2" w:space="0" w:color="000000"/>
              <w:right w:val="nil"/>
            </w:tcBorders>
            <w:shd w:val="clear" w:color="auto" w:fill="FFFFFF"/>
          </w:tcPr>
          <w:p w:rsidR="00461C8B" w:rsidRPr="00140E4C" w:rsidRDefault="00461C8B" w:rsidP="00B047CC">
            <w:pPr>
              <w:adjustRightInd w:val="0"/>
              <w:spacing w:before="40" w:after="40"/>
              <w:ind w:left="350"/>
              <w:jc w:val="center"/>
              <w:rPr>
                <w:color w:val="000000"/>
                <w:sz w:val="22"/>
                <w:szCs w:val="22"/>
              </w:rPr>
            </w:pPr>
            <w:r w:rsidRPr="00140E4C">
              <w:rPr>
                <w:sz w:val="22"/>
                <w:szCs w:val="22"/>
                <w:lang w:val="en-AU" w:eastAsia="en-AU"/>
              </w:rPr>
              <w:t>13 (3.1)</w:t>
            </w:r>
          </w:p>
        </w:tc>
        <w:tc>
          <w:tcPr>
            <w:tcW w:w="2764" w:type="dxa"/>
            <w:tcBorders>
              <w:top w:val="single" w:sz="4" w:space="0" w:color="auto"/>
              <w:left w:val="inset" w:sz="2" w:space="0" w:color="000000"/>
              <w:bottom w:val="inset" w:sz="2" w:space="0" w:color="000000"/>
              <w:right w:val="inset" w:sz="4" w:space="0" w:color="000000"/>
            </w:tcBorders>
            <w:shd w:val="clear" w:color="auto" w:fill="FFFFFF"/>
          </w:tcPr>
          <w:p w:rsidR="00461C8B" w:rsidRPr="00140E4C" w:rsidRDefault="00461C8B" w:rsidP="00B047CC">
            <w:pPr>
              <w:adjustRightInd w:val="0"/>
              <w:spacing w:before="40" w:after="40"/>
              <w:ind w:left="210"/>
              <w:jc w:val="center"/>
              <w:rPr>
                <w:color w:val="000000"/>
                <w:sz w:val="22"/>
                <w:szCs w:val="22"/>
              </w:rPr>
            </w:pPr>
            <w:r w:rsidRPr="00140E4C">
              <w:rPr>
                <w:sz w:val="22"/>
                <w:szCs w:val="22"/>
                <w:lang w:val="en-AU" w:eastAsia="en-AU"/>
              </w:rPr>
              <w:t>10 (0.8)</w:t>
            </w:r>
          </w:p>
        </w:tc>
      </w:tr>
    </w:tbl>
    <w:p w:rsidR="00A279A6" w:rsidRPr="00957898" w:rsidRDefault="00AB5EF9" w:rsidP="00A279A6">
      <w:pPr>
        <w:rPr>
          <w:sz w:val="18"/>
          <w:szCs w:val="18"/>
        </w:rPr>
      </w:pPr>
      <w:proofErr w:type="gramStart"/>
      <w:r w:rsidRPr="00957898">
        <w:rPr>
          <w:color w:val="211D1E"/>
          <w:sz w:val="18"/>
          <w:szCs w:val="18"/>
          <w:vertAlign w:val="superscript"/>
          <w:lang w:eastAsia="ja-JP"/>
        </w:rPr>
        <w:t>a</w:t>
      </w:r>
      <w:proofErr w:type="gramEnd"/>
      <w:r>
        <w:rPr>
          <w:color w:val="211D1E"/>
          <w:sz w:val="18"/>
          <w:szCs w:val="18"/>
          <w:lang w:eastAsia="ja-JP"/>
        </w:rPr>
        <w:t xml:space="preserve"> </w:t>
      </w:r>
      <w:r w:rsidRPr="00957898">
        <w:rPr>
          <w:color w:val="211D1E"/>
          <w:sz w:val="18"/>
          <w:szCs w:val="18"/>
          <w:lang w:eastAsia="ja-JP"/>
        </w:rPr>
        <w:t>Preferred Terms are coded using the MedDRA (Version 14.0)</w:t>
      </w:r>
    </w:p>
    <w:p w:rsidR="00B11920" w:rsidRDefault="00B11920" w:rsidP="00344002">
      <w:pPr>
        <w:pStyle w:val="NormalWeb"/>
        <w:spacing w:before="0" w:beforeAutospacing="0" w:after="0" w:afterAutospacing="0"/>
        <w:rPr>
          <w:i/>
          <w:sz w:val="22"/>
          <w:szCs w:val="22"/>
        </w:rPr>
      </w:pPr>
    </w:p>
    <w:p w:rsidR="00A92766" w:rsidRDefault="00A92766" w:rsidP="00344002">
      <w:pPr>
        <w:pStyle w:val="NormalWeb"/>
        <w:spacing w:before="0" w:beforeAutospacing="0" w:after="0" w:afterAutospacing="0"/>
        <w:rPr>
          <w:i/>
          <w:sz w:val="22"/>
          <w:szCs w:val="22"/>
        </w:rPr>
      </w:pPr>
    </w:p>
    <w:p w:rsidR="00370863" w:rsidRPr="00DF4D25" w:rsidRDefault="00A279A6" w:rsidP="00344002">
      <w:pPr>
        <w:pStyle w:val="NormalWeb"/>
        <w:spacing w:before="0" w:beforeAutospacing="0" w:after="0" w:afterAutospacing="0"/>
        <w:rPr>
          <w:sz w:val="22"/>
          <w:szCs w:val="22"/>
          <w:u w:val="single"/>
        </w:rPr>
      </w:pPr>
      <w:r w:rsidRPr="00E7779C">
        <w:rPr>
          <w:i/>
          <w:sz w:val="22"/>
          <w:szCs w:val="22"/>
        </w:rPr>
        <w:t>Tabulated list of adverse reactions</w:t>
      </w:r>
      <w:r w:rsidRPr="00815476">
        <w:rPr>
          <w:sz w:val="22"/>
          <w:szCs w:val="22"/>
        </w:rPr>
        <w:t>:</w:t>
      </w:r>
    </w:p>
    <w:p w:rsidR="00A279A6" w:rsidRPr="00DF4F03" w:rsidRDefault="00A279A6" w:rsidP="00344002">
      <w:pPr>
        <w:pStyle w:val="NormalWeb"/>
        <w:spacing w:before="120" w:beforeAutospacing="0" w:after="0" w:afterAutospacing="0"/>
        <w:rPr>
          <w:sz w:val="22"/>
          <w:szCs w:val="22"/>
          <w:u w:val="single"/>
        </w:rPr>
      </w:pPr>
      <w:r w:rsidRPr="00DF4F03">
        <w:rPr>
          <w:color w:val="000000"/>
          <w:sz w:val="22"/>
          <w:szCs w:val="22"/>
        </w:rPr>
        <w:t xml:space="preserve">The adverse reactions observed in patients treated with </w:t>
      </w:r>
      <w:r w:rsidR="00A939E8">
        <w:rPr>
          <w:color w:val="000000"/>
          <w:sz w:val="22"/>
          <w:szCs w:val="22"/>
        </w:rPr>
        <w:t>Otezla</w:t>
      </w:r>
      <w:r w:rsidRPr="00DF4F03">
        <w:rPr>
          <w:color w:val="000000"/>
          <w:sz w:val="22"/>
          <w:szCs w:val="22"/>
        </w:rPr>
        <w:t xml:space="preserve"> are listed below by system organ class (SOC) and frequency for all adverse reactions.  </w:t>
      </w:r>
      <w:r w:rsidRPr="00DF4F03">
        <w:rPr>
          <w:sz w:val="22"/>
          <w:szCs w:val="22"/>
        </w:rPr>
        <w:t>Within each SOC and frequency grouping, adverse reactions are pre</w:t>
      </w:r>
      <w:r w:rsidRPr="009D2381">
        <w:rPr>
          <w:sz w:val="22"/>
          <w:szCs w:val="22"/>
        </w:rPr>
        <w:t>sented in order of de</w:t>
      </w:r>
      <w:r w:rsidRPr="00DF4F03">
        <w:rPr>
          <w:sz w:val="22"/>
          <w:szCs w:val="22"/>
        </w:rPr>
        <w:t>creasing</w:t>
      </w:r>
      <w:r w:rsidR="00FB5526">
        <w:rPr>
          <w:sz w:val="22"/>
          <w:szCs w:val="22"/>
        </w:rPr>
        <w:t xml:space="preserve"> seriousness</w:t>
      </w:r>
      <w:r w:rsidRPr="00DF4F03">
        <w:rPr>
          <w:sz w:val="22"/>
          <w:szCs w:val="22"/>
        </w:rPr>
        <w:t>.</w:t>
      </w:r>
    </w:p>
    <w:p w:rsidR="00A279A6" w:rsidRPr="00DF4F03" w:rsidRDefault="00A279A6" w:rsidP="00A279A6">
      <w:pPr>
        <w:jc w:val="both"/>
        <w:rPr>
          <w:noProof/>
          <w:sz w:val="22"/>
          <w:szCs w:val="22"/>
        </w:rPr>
      </w:pPr>
    </w:p>
    <w:p w:rsidR="00A279A6" w:rsidRDefault="00A279A6" w:rsidP="00344002">
      <w:pPr>
        <w:pStyle w:val="NormalWeb"/>
        <w:spacing w:before="0" w:beforeAutospacing="0" w:after="0" w:afterAutospacing="0"/>
        <w:rPr>
          <w:sz w:val="22"/>
          <w:szCs w:val="22"/>
        </w:rPr>
      </w:pPr>
      <w:r w:rsidRPr="00DF4F03">
        <w:rPr>
          <w:sz w:val="22"/>
          <w:szCs w:val="22"/>
        </w:rPr>
        <w:t xml:space="preserve">The adverse drug reactions were determined based on data from the </w:t>
      </w:r>
      <w:r w:rsidR="00A939E8">
        <w:rPr>
          <w:sz w:val="22"/>
          <w:szCs w:val="22"/>
        </w:rPr>
        <w:t>Otezla</w:t>
      </w:r>
      <w:r w:rsidRPr="00DF4F03">
        <w:rPr>
          <w:sz w:val="22"/>
          <w:szCs w:val="22"/>
        </w:rPr>
        <w:t xml:space="preserve"> Phase 3 clinical development program.  The frequencies of adverse drug reactions are those reported in the </w:t>
      </w:r>
      <w:r w:rsidR="00A939E8">
        <w:rPr>
          <w:sz w:val="22"/>
          <w:szCs w:val="22"/>
        </w:rPr>
        <w:t>Otezla</w:t>
      </w:r>
      <w:r w:rsidRPr="00DF4F03">
        <w:rPr>
          <w:sz w:val="22"/>
          <w:szCs w:val="22"/>
        </w:rPr>
        <w:t xml:space="preserve"> arms of the four Phase 3 studies in </w:t>
      </w:r>
      <w:r w:rsidR="003F4F87">
        <w:rPr>
          <w:sz w:val="22"/>
          <w:szCs w:val="22"/>
        </w:rPr>
        <w:t>psoriatic arthritis</w:t>
      </w:r>
      <w:r w:rsidRPr="00DF4F03">
        <w:rPr>
          <w:sz w:val="22"/>
          <w:szCs w:val="22"/>
        </w:rPr>
        <w:t xml:space="preserve"> (n = 1945) or the two Phase 3 studies in </w:t>
      </w:r>
      <w:r w:rsidR="003F4F87">
        <w:rPr>
          <w:sz w:val="22"/>
          <w:szCs w:val="22"/>
        </w:rPr>
        <w:t>psoriasis</w:t>
      </w:r>
      <w:r w:rsidRPr="00DF4F03">
        <w:rPr>
          <w:sz w:val="22"/>
          <w:szCs w:val="22"/>
        </w:rPr>
        <w:t xml:space="preserve"> (n</w:t>
      </w:r>
      <w:r w:rsidR="00587C69">
        <w:rPr>
          <w:sz w:val="22"/>
          <w:szCs w:val="22"/>
        </w:rPr>
        <w:t> </w:t>
      </w:r>
      <w:r w:rsidRPr="00DF4F03">
        <w:rPr>
          <w:sz w:val="22"/>
          <w:szCs w:val="22"/>
        </w:rPr>
        <w:t>=</w:t>
      </w:r>
      <w:r w:rsidR="00587C69">
        <w:rPr>
          <w:sz w:val="22"/>
          <w:szCs w:val="22"/>
        </w:rPr>
        <w:t> </w:t>
      </w:r>
      <w:r w:rsidRPr="00DF4F03">
        <w:rPr>
          <w:sz w:val="22"/>
          <w:szCs w:val="22"/>
        </w:rPr>
        <w:t xml:space="preserve">1184) (highest frequency from either data pool is represented in </w:t>
      </w:r>
      <w:r w:rsidRPr="009F7FF8">
        <w:rPr>
          <w:b/>
          <w:sz w:val="22"/>
          <w:szCs w:val="22"/>
        </w:rPr>
        <w:t xml:space="preserve">Table </w:t>
      </w:r>
      <w:r w:rsidR="009F7FF8" w:rsidRPr="009F7FF8">
        <w:rPr>
          <w:b/>
          <w:sz w:val="22"/>
          <w:szCs w:val="22"/>
        </w:rPr>
        <w:t>5</w:t>
      </w:r>
      <w:r w:rsidRPr="00DF4F03">
        <w:rPr>
          <w:sz w:val="22"/>
          <w:szCs w:val="22"/>
        </w:rPr>
        <w:t>).</w:t>
      </w:r>
    </w:p>
    <w:p w:rsidR="00344002" w:rsidRPr="007F4459" w:rsidRDefault="00344002" w:rsidP="00344002">
      <w:pPr>
        <w:pStyle w:val="NormalWeb"/>
        <w:spacing w:before="0" w:beforeAutospacing="0" w:after="0" w:afterAutospacing="0"/>
        <w:rPr>
          <w:sz w:val="22"/>
          <w:szCs w:val="22"/>
        </w:rPr>
      </w:pPr>
    </w:p>
    <w:p w:rsidR="00A279A6" w:rsidRPr="00DF4F03" w:rsidRDefault="00A279A6" w:rsidP="009357FC">
      <w:pPr>
        <w:pStyle w:val="NormalWeb"/>
        <w:spacing w:before="0" w:beforeAutospacing="0" w:after="120" w:afterAutospacing="0"/>
        <w:rPr>
          <w:rFonts w:ascii="Arial" w:hAnsi="Arial" w:cs="Arial"/>
          <w:sz w:val="22"/>
          <w:szCs w:val="22"/>
        </w:rPr>
      </w:pPr>
      <w:r w:rsidRPr="00DF4F03">
        <w:rPr>
          <w:sz w:val="22"/>
          <w:szCs w:val="22"/>
        </w:rPr>
        <w:t>Frequencies are defined as: very common (≥1/10), common (≥1/100 to &lt;1/10); and uncommon (≥1/1,000 to &lt;1/100) or rare (≥ 1/10,000 to &lt; 1/1,000).</w:t>
      </w:r>
    </w:p>
    <w:p w:rsidR="00A279A6" w:rsidRPr="00DF4F03" w:rsidRDefault="00A279A6" w:rsidP="00344002">
      <w:pPr>
        <w:rPr>
          <w:color w:val="000000"/>
          <w:sz w:val="22"/>
          <w:szCs w:val="22"/>
        </w:rPr>
      </w:pPr>
    </w:p>
    <w:p w:rsidR="00A279A6" w:rsidRDefault="00376F7F" w:rsidP="009357FC">
      <w:pPr>
        <w:spacing w:after="120"/>
        <w:ind w:left="1440" w:hanging="1440"/>
        <w:rPr>
          <w:b/>
          <w:color w:val="000000"/>
          <w:sz w:val="22"/>
          <w:szCs w:val="22"/>
        </w:rPr>
      </w:pPr>
      <w:proofErr w:type="gramStart"/>
      <w:r>
        <w:rPr>
          <w:b/>
          <w:color w:val="000000"/>
          <w:sz w:val="22"/>
          <w:szCs w:val="22"/>
        </w:rPr>
        <w:t xml:space="preserve">Table </w:t>
      </w:r>
      <w:r w:rsidR="009F7FF8">
        <w:rPr>
          <w:b/>
          <w:color w:val="000000"/>
          <w:sz w:val="22"/>
          <w:szCs w:val="22"/>
        </w:rPr>
        <w:t>5</w:t>
      </w:r>
      <w:r>
        <w:rPr>
          <w:b/>
          <w:color w:val="000000"/>
          <w:sz w:val="22"/>
          <w:szCs w:val="22"/>
        </w:rPr>
        <w:t>.</w:t>
      </w:r>
      <w:proofErr w:type="gramEnd"/>
      <w:r>
        <w:rPr>
          <w:b/>
          <w:color w:val="000000"/>
          <w:sz w:val="22"/>
          <w:szCs w:val="22"/>
        </w:rPr>
        <w:tab/>
      </w:r>
      <w:r w:rsidR="00A279A6" w:rsidRPr="00344002">
        <w:rPr>
          <w:b/>
          <w:color w:val="000000"/>
          <w:sz w:val="22"/>
          <w:szCs w:val="22"/>
        </w:rPr>
        <w:t>Summary of Adverse Reactions in P</w:t>
      </w:r>
      <w:r w:rsidR="003F4F87">
        <w:rPr>
          <w:b/>
          <w:color w:val="000000"/>
          <w:sz w:val="22"/>
          <w:szCs w:val="22"/>
        </w:rPr>
        <w:t>hase 3 Psoriatic Arthritis and Psoriasis</w:t>
      </w:r>
      <w:r w:rsidR="00A279A6" w:rsidRPr="00344002">
        <w:rPr>
          <w:b/>
          <w:color w:val="000000"/>
          <w:sz w:val="22"/>
          <w:szCs w:val="22"/>
        </w:rPr>
        <w:t xml:space="preserve"> Clinical Studies</w:t>
      </w:r>
    </w:p>
    <w:tbl>
      <w:tblPr>
        <w:tblW w:w="8789" w:type="dxa"/>
        <w:tblInd w:w="108" w:type="dxa"/>
        <w:tblLook w:val="0000" w:firstRow="0" w:lastRow="0" w:firstColumn="0" w:lastColumn="0" w:noHBand="0" w:noVBand="0"/>
      </w:tblPr>
      <w:tblGrid>
        <w:gridCol w:w="3119"/>
        <w:gridCol w:w="1843"/>
        <w:gridCol w:w="3827"/>
      </w:tblGrid>
      <w:tr w:rsidR="00407D7A" w:rsidRPr="00E9444C" w:rsidTr="00407D7A">
        <w:trPr>
          <w:cantSplit/>
          <w:trHeight w:val="415"/>
          <w:tblHeader/>
        </w:trPr>
        <w:tc>
          <w:tcPr>
            <w:tcW w:w="3119" w:type="dxa"/>
            <w:tcBorders>
              <w:top w:val="single" w:sz="6" w:space="0" w:color="000000"/>
              <w:left w:val="single" w:sz="6" w:space="0" w:color="000000"/>
              <w:right w:val="single" w:sz="6" w:space="0" w:color="000000"/>
            </w:tcBorders>
            <w:vAlign w:val="bottom"/>
          </w:tcPr>
          <w:p w:rsidR="00407D7A" w:rsidRPr="00D34725" w:rsidRDefault="00407D7A" w:rsidP="00407D7A">
            <w:pPr>
              <w:autoSpaceDE w:val="0"/>
              <w:autoSpaceDN w:val="0"/>
              <w:adjustRightInd w:val="0"/>
              <w:spacing w:before="40" w:after="40"/>
              <w:rPr>
                <w:color w:val="211D1E"/>
                <w:sz w:val="22"/>
                <w:szCs w:val="22"/>
                <w:lang w:eastAsia="ja-JP"/>
              </w:rPr>
            </w:pPr>
            <w:r w:rsidRPr="00D34725">
              <w:rPr>
                <w:b/>
                <w:color w:val="211D1E"/>
                <w:sz w:val="22"/>
                <w:szCs w:val="22"/>
                <w:lang w:eastAsia="ja-JP"/>
              </w:rPr>
              <w:t>System Organ Class</w:t>
            </w:r>
          </w:p>
        </w:tc>
        <w:tc>
          <w:tcPr>
            <w:tcW w:w="1843" w:type="dxa"/>
            <w:tcBorders>
              <w:top w:val="single" w:sz="6" w:space="0" w:color="000000"/>
              <w:left w:val="single" w:sz="6" w:space="0" w:color="000000"/>
              <w:right w:val="single" w:sz="6" w:space="0" w:color="000000"/>
            </w:tcBorders>
            <w:vAlign w:val="bottom"/>
          </w:tcPr>
          <w:p w:rsidR="00407D7A" w:rsidRPr="00D34725" w:rsidRDefault="00407D7A" w:rsidP="00407D7A">
            <w:pPr>
              <w:autoSpaceDE w:val="0"/>
              <w:autoSpaceDN w:val="0"/>
              <w:adjustRightInd w:val="0"/>
              <w:spacing w:before="40" w:after="40"/>
              <w:rPr>
                <w:color w:val="211D1E"/>
                <w:sz w:val="22"/>
                <w:szCs w:val="22"/>
                <w:lang w:eastAsia="ja-JP"/>
              </w:rPr>
            </w:pPr>
            <w:r w:rsidRPr="00D34725">
              <w:rPr>
                <w:b/>
                <w:color w:val="211D1E"/>
                <w:sz w:val="22"/>
                <w:szCs w:val="22"/>
                <w:lang w:eastAsia="ja-JP"/>
              </w:rPr>
              <w:t>Frequency</w:t>
            </w:r>
            <w:r w:rsidRPr="00A22F77">
              <w:rPr>
                <w:b/>
                <w:color w:val="211D1E"/>
                <w:sz w:val="22"/>
                <w:szCs w:val="22"/>
                <w:vertAlign w:val="superscript"/>
                <w:lang w:eastAsia="ja-JP"/>
              </w:rPr>
              <w:t xml:space="preserve"> </w:t>
            </w:r>
          </w:p>
        </w:tc>
        <w:tc>
          <w:tcPr>
            <w:tcW w:w="3827" w:type="dxa"/>
            <w:tcBorders>
              <w:top w:val="single" w:sz="6" w:space="0" w:color="000000"/>
              <w:left w:val="single" w:sz="6" w:space="0" w:color="000000"/>
              <w:right w:val="single" w:sz="6" w:space="0" w:color="000000"/>
            </w:tcBorders>
            <w:vAlign w:val="bottom"/>
          </w:tcPr>
          <w:p w:rsidR="00407D7A" w:rsidRPr="00D34725" w:rsidRDefault="00407D7A" w:rsidP="00407D7A">
            <w:pPr>
              <w:autoSpaceDE w:val="0"/>
              <w:autoSpaceDN w:val="0"/>
              <w:adjustRightInd w:val="0"/>
              <w:spacing w:before="40" w:after="40"/>
              <w:rPr>
                <w:color w:val="211D1E"/>
                <w:sz w:val="22"/>
                <w:szCs w:val="22"/>
                <w:lang w:eastAsia="ja-JP"/>
              </w:rPr>
            </w:pPr>
            <w:r w:rsidRPr="00D34725">
              <w:rPr>
                <w:b/>
                <w:color w:val="211D1E"/>
                <w:sz w:val="22"/>
                <w:szCs w:val="22"/>
                <w:lang w:eastAsia="ja-JP"/>
              </w:rPr>
              <w:t>Preferred Term</w:t>
            </w:r>
            <w:r>
              <w:rPr>
                <w:b/>
                <w:color w:val="211D1E"/>
                <w:sz w:val="22"/>
                <w:szCs w:val="22"/>
                <w:lang w:eastAsia="ja-JP"/>
              </w:rPr>
              <w:t xml:space="preserve"> </w:t>
            </w:r>
            <w:r>
              <w:rPr>
                <w:b/>
                <w:color w:val="211D1E"/>
                <w:sz w:val="22"/>
                <w:szCs w:val="22"/>
                <w:vertAlign w:val="superscript"/>
                <w:lang w:eastAsia="ja-JP"/>
              </w:rPr>
              <w:t>a</w:t>
            </w:r>
          </w:p>
        </w:tc>
      </w:tr>
      <w:tr w:rsidR="0092624D" w:rsidRPr="00E9444C" w:rsidTr="00407D7A">
        <w:trPr>
          <w:cantSplit/>
          <w:trHeight w:val="340"/>
        </w:trPr>
        <w:tc>
          <w:tcPr>
            <w:tcW w:w="3119" w:type="dxa"/>
            <w:vMerge w:val="restart"/>
            <w:tcBorders>
              <w:top w:val="single" w:sz="6" w:space="0" w:color="000000"/>
              <w:left w:val="single" w:sz="6" w:space="0" w:color="000000"/>
              <w:right w:val="single" w:sz="6" w:space="0" w:color="000000"/>
            </w:tcBorders>
          </w:tcPr>
          <w:p w:rsidR="0092624D" w:rsidRPr="00D34725" w:rsidRDefault="0092624D" w:rsidP="00407D7A">
            <w:pPr>
              <w:autoSpaceDE w:val="0"/>
              <w:autoSpaceDN w:val="0"/>
              <w:adjustRightInd w:val="0"/>
              <w:spacing w:before="40" w:after="40"/>
              <w:rPr>
                <w:color w:val="211D1E"/>
                <w:sz w:val="22"/>
                <w:szCs w:val="22"/>
                <w:lang w:eastAsia="ja-JP"/>
              </w:rPr>
            </w:pPr>
            <w:r w:rsidRPr="00D34725">
              <w:rPr>
                <w:color w:val="211D1E"/>
                <w:sz w:val="22"/>
                <w:szCs w:val="22"/>
                <w:lang w:eastAsia="ja-JP"/>
              </w:rPr>
              <w:t>Gastrointestinal disorders</w:t>
            </w:r>
          </w:p>
        </w:tc>
        <w:tc>
          <w:tcPr>
            <w:tcW w:w="1843" w:type="dxa"/>
            <w:tcBorders>
              <w:top w:val="single" w:sz="6" w:space="0" w:color="000000"/>
              <w:left w:val="single" w:sz="6" w:space="0" w:color="000000"/>
              <w:right w:val="single" w:sz="6" w:space="0" w:color="000000"/>
            </w:tcBorders>
            <w:vAlign w:val="center"/>
          </w:tcPr>
          <w:p w:rsidR="0092624D" w:rsidRPr="00D34725" w:rsidRDefault="0092624D" w:rsidP="00407D7A">
            <w:pPr>
              <w:autoSpaceDE w:val="0"/>
              <w:autoSpaceDN w:val="0"/>
              <w:adjustRightInd w:val="0"/>
              <w:spacing w:before="40" w:after="40"/>
              <w:rPr>
                <w:color w:val="211D1E"/>
                <w:sz w:val="22"/>
                <w:szCs w:val="22"/>
                <w:lang w:eastAsia="ja-JP"/>
              </w:rPr>
            </w:pPr>
            <w:r w:rsidRPr="00D34725">
              <w:rPr>
                <w:color w:val="211D1E"/>
                <w:sz w:val="22"/>
                <w:szCs w:val="22"/>
                <w:lang w:eastAsia="ja-JP"/>
              </w:rPr>
              <w:t>Very Common</w:t>
            </w:r>
          </w:p>
        </w:tc>
        <w:tc>
          <w:tcPr>
            <w:tcW w:w="3827" w:type="dxa"/>
            <w:tcBorders>
              <w:top w:val="single" w:sz="6" w:space="0" w:color="000000"/>
              <w:left w:val="single" w:sz="6" w:space="0" w:color="000000"/>
              <w:bottom w:val="single" w:sz="6" w:space="0" w:color="000000"/>
              <w:right w:val="single" w:sz="6" w:space="0" w:color="000000"/>
            </w:tcBorders>
            <w:vAlign w:val="center"/>
          </w:tcPr>
          <w:p w:rsidR="0092624D" w:rsidRPr="00D34725" w:rsidRDefault="002A0243" w:rsidP="00407D7A">
            <w:pPr>
              <w:autoSpaceDE w:val="0"/>
              <w:autoSpaceDN w:val="0"/>
              <w:adjustRightInd w:val="0"/>
              <w:spacing w:before="40" w:after="40"/>
              <w:rPr>
                <w:color w:val="211D1E"/>
                <w:sz w:val="22"/>
                <w:szCs w:val="22"/>
                <w:lang w:eastAsia="ja-JP"/>
              </w:rPr>
            </w:pPr>
            <w:r w:rsidRPr="00D17972">
              <w:rPr>
                <w:color w:val="211D1E"/>
                <w:sz w:val="22"/>
                <w:szCs w:val="22"/>
                <w:lang w:eastAsia="ja-JP"/>
              </w:rPr>
              <w:t>Diarrhoea</w:t>
            </w:r>
          </w:p>
        </w:tc>
      </w:tr>
      <w:tr w:rsidR="0092624D" w:rsidRPr="00E9444C" w:rsidTr="00407D7A">
        <w:trPr>
          <w:cantSplit/>
          <w:trHeight w:val="340"/>
        </w:trPr>
        <w:tc>
          <w:tcPr>
            <w:tcW w:w="3119" w:type="dxa"/>
            <w:vMerge/>
            <w:tcBorders>
              <w:left w:val="single" w:sz="6" w:space="0" w:color="000000"/>
              <w:right w:val="single" w:sz="6" w:space="0" w:color="000000"/>
            </w:tcBorders>
            <w:vAlign w:val="center"/>
          </w:tcPr>
          <w:p w:rsidR="0092624D" w:rsidRPr="00D34725" w:rsidRDefault="0092624D" w:rsidP="00407D7A">
            <w:pPr>
              <w:autoSpaceDE w:val="0"/>
              <w:autoSpaceDN w:val="0"/>
              <w:adjustRightInd w:val="0"/>
              <w:spacing w:before="40" w:after="40"/>
              <w:rPr>
                <w:color w:val="211D1E"/>
                <w:sz w:val="22"/>
                <w:szCs w:val="22"/>
                <w:lang w:eastAsia="ja-JP"/>
              </w:rPr>
            </w:pPr>
          </w:p>
        </w:tc>
        <w:tc>
          <w:tcPr>
            <w:tcW w:w="1843" w:type="dxa"/>
            <w:tcBorders>
              <w:left w:val="single" w:sz="6" w:space="0" w:color="000000"/>
              <w:right w:val="single" w:sz="6" w:space="0" w:color="000000"/>
            </w:tcBorders>
            <w:vAlign w:val="center"/>
          </w:tcPr>
          <w:p w:rsidR="0092624D" w:rsidRPr="00D34725" w:rsidRDefault="0092624D" w:rsidP="00407D7A">
            <w:pPr>
              <w:autoSpaceDE w:val="0"/>
              <w:autoSpaceDN w:val="0"/>
              <w:adjustRightInd w:val="0"/>
              <w:spacing w:before="40" w:after="40"/>
              <w:rPr>
                <w:color w:val="211D1E"/>
                <w:sz w:val="22"/>
                <w:szCs w:val="22"/>
                <w:lang w:eastAsia="ja-JP"/>
              </w:rPr>
            </w:pPr>
          </w:p>
        </w:tc>
        <w:tc>
          <w:tcPr>
            <w:tcW w:w="3827" w:type="dxa"/>
            <w:tcBorders>
              <w:top w:val="single" w:sz="6" w:space="0" w:color="000000"/>
              <w:left w:val="single" w:sz="6" w:space="0" w:color="000000"/>
              <w:bottom w:val="single" w:sz="6" w:space="0" w:color="000000"/>
              <w:right w:val="single" w:sz="6" w:space="0" w:color="000000"/>
            </w:tcBorders>
            <w:vAlign w:val="center"/>
          </w:tcPr>
          <w:p w:rsidR="0092624D" w:rsidRPr="00D17972" w:rsidRDefault="0092624D" w:rsidP="00407D7A">
            <w:pPr>
              <w:autoSpaceDE w:val="0"/>
              <w:autoSpaceDN w:val="0"/>
              <w:adjustRightInd w:val="0"/>
              <w:spacing w:before="40" w:after="40"/>
              <w:rPr>
                <w:color w:val="211D1E"/>
                <w:sz w:val="22"/>
                <w:szCs w:val="22"/>
                <w:lang w:eastAsia="ja-JP"/>
              </w:rPr>
            </w:pPr>
            <w:r w:rsidRPr="00D17972">
              <w:rPr>
                <w:color w:val="211D1E"/>
                <w:sz w:val="22"/>
                <w:szCs w:val="22"/>
                <w:lang w:eastAsia="ja-JP"/>
              </w:rPr>
              <w:t>Nausea</w:t>
            </w:r>
            <w:r w:rsidR="008511FC" w:rsidRPr="00D17972">
              <w:rPr>
                <w:color w:val="211D1E"/>
                <w:sz w:val="22"/>
                <w:szCs w:val="22"/>
                <w:vertAlign w:val="superscript"/>
                <w:lang w:eastAsia="ja-JP"/>
              </w:rPr>
              <w:t xml:space="preserve"> </w:t>
            </w:r>
          </w:p>
        </w:tc>
      </w:tr>
      <w:tr w:rsidR="0092624D" w:rsidRPr="00E9444C" w:rsidTr="00407D7A">
        <w:trPr>
          <w:cantSplit/>
          <w:trHeight w:val="340"/>
        </w:trPr>
        <w:tc>
          <w:tcPr>
            <w:tcW w:w="3119" w:type="dxa"/>
            <w:vMerge/>
            <w:tcBorders>
              <w:left w:val="single" w:sz="6" w:space="0" w:color="000000"/>
              <w:right w:val="single" w:sz="6" w:space="0" w:color="000000"/>
            </w:tcBorders>
            <w:vAlign w:val="center"/>
          </w:tcPr>
          <w:p w:rsidR="0092624D" w:rsidRPr="00D34725" w:rsidRDefault="0092624D" w:rsidP="00407D7A">
            <w:pPr>
              <w:autoSpaceDE w:val="0"/>
              <w:autoSpaceDN w:val="0"/>
              <w:adjustRightInd w:val="0"/>
              <w:spacing w:before="40" w:after="40"/>
              <w:rPr>
                <w:color w:val="211D1E"/>
                <w:sz w:val="22"/>
                <w:szCs w:val="22"/>
                <w:lang w:eastAsia="ja-JP"/>
              </w:rPr>
            </w:pPr>
          </w:p>
        </w:tc>
        <w:tc>
          <w:tcPr>
            <w:tcW w:w="1843" w:type="dxa"/>
            <w:vMerge w:val="restart"/>
            <w:tcBorders>
              <w:top w:val="single" w:sz="6" w:space="0" w:color="000000"/>
              <w:left w:val="single" w:sz="6" w:space="0" w:color="000000"/>
              <w:right w:val="single" w:sz="6" w:space="0" w:color="000000"/>
            </w:tcBorders>
          </w:tcPr>
          <w:p w:rsidR="0092624D" w:rsidRPr="00D34725" w:rsidRDefault="0092624D" w:rsidP="00407D7A">
            <w:pPr>
              <w:autoSpaceDE w:val="0"/>
              <w:autoSpaceDN w:val="0"/>
              <w:adjustRightInd w:val="0"/>
              <w:spacing w:before="40" w:after="40"/>
              <w:rPr>
                <w:color w:val="211D1E"/>
                <w:sz w:val="22"/>
                <w:szCs w:val="22"/>
                <w:lang w:eastAsia="ja-JP"/>
              </w:rPr>
            </w:pPr>
            <w:r w:rsidRPr="00D34725">
              <w:rPr>
                <w:color w:val="211D1E"/>
                <w:sz w:val="22"/>
                <w:szCs w:val="22"/>
                <w:lang w:eastAsia="ja-JP"/>
              </w:rPr>
              <w:t>Common</w:t>
            </w:r>
          </w:p>
        </w:tc>
        <w:tc>
          <w:tcPr>
            <w:tcW w:w="3827" w:type="dxa"/>
            <w:tcBorders>
              <w:top w:val="single" w:sz="6" w:space="0" w:color="000000"/>
              <w:left w:val="single" w:sz="6" w:space="0" w:color="000000"/>
              <w:bottom w:val="single" w:sz="6" w:space="0" w:color="000000"/>
              <w:right w:val="single" w:sz="6" w:space="0" w:color="000000"/>
            </w:tcBorders>
            <w:vAlign w:val="center"/>
          </w:tcPr>
          <w:p w:rsidR="0092624D" w:rsidRPr="00D17972" w:rsidRDefault="00FB5526" w:rsidP="00407D7A">
            <w:pPr>
              <w:autoSpaceDE w:val="0"/>
              <w:autoSpaceDN w:val="0"/>
              <w:adjustRightInd w:val="0"/>
              <w:spacing w:before="40" w:after="40"/>
              <w:rPr>
                <w:color w:val="211D1E"/>
                <w:sz w:val="22"/>
                <w:szCs w:val="22"/>
                <w:lang w:eastAsia="ja-JP"/>
              </w:rPr>
            </w:pPr>
            <w:r w:rsidRPr="00D17972">
              <w:rPr>
                <w:color w:val="211D1E"/>
                <w:sz w:val="22"/>
                <w:szCs w:val="22"/>
                <w:lang w:eastAsia="ja-JP"/>
              </w:rPr>
              <w:t>Vomiting</w:t>
            </w:r>
            <w:r w:rsidRPr="00D17972">
              <w:rPr>
                <w:color w:val="211D1E"/>
                <w:sz w:val="22"/>
                <w:szCs w:val="22"/>
                <w:vertAlign w:val="superscript"/>
                <w:lang w:eastAsia="ja-JP"/>
              </w:rPr>
              <w:t xml:space="preserve"> </w:t>
            </w:r>
          </w:p>
        </w:tc>
      </w:tr>
      <w:tr w:rsidR="0092624D" w:rsidRPr="00E9444C" w:rsidTr="00407D7A">
        <w:trPr>
          <w:cantSplit/>
          <w:trHeight w:val="340"/>
        </w:trPr>
        <w:tc>
          <w:tcPr>
            <w:tcW w:w="3119" w:type="dxa"/>
            <w:vMerge/>
            <w:tcBorders>
              <w:left w:val="single" w:sz="6" w:space="0" w:color="000000"/>
              <w:right w:val="single" w:sz="6" w:space="0" w:color="000000"/>
            </w:tcBorders>
            <w:vAlign w:val="center"/>
          </w:tcPr>
          <w:p w:rsidR="0092624D" w:rsidRPr="00D34725" w:rsidRDefault="0092624D" w:rsidP="00407D7A">
            <w:pPr>
              <w:autoSpaceDE w:val="0"/>
              <w:autoSpaceDN w:val="0"/>
              <w:adjustRightInd w:val="0"/>
              <w:spacing w:before="40" w:after="40"/>
              <w:rPr>
                <w:color w:val="211D1E"/>
                <w:sz w:val="22"/>
                <w:szCs w:val="22"/>
                <w:lang w:eastAsia="ja-JP"/>
              </w:rPr>
            </w:pPr>
          </w:p>
        </w:tc>
        <w:tc>
          <w:tcPr>
            <w:tcW w:w="1843" w:type="dxa"/>
            <w:vMerge/>
            <w:tcBorders>
              <w:left w:val="single" w:sz="6" w:space="0" w:color="000000"/>
              <w:right w:val="single" w:sz="6" w:space="0" w:color="000000"/>
            </w:tcBorders>
            <w:vAlign w:val="center"/>
          </w:tcPr>
          <w:p w:rsidR="0092624D" w:rsidRPr="00D34725" w:rsidRDefault="0092624D" w:rsidP="00407D7A">
            <w:pPr>
              <w:autoSpaceDE w:val="0"/>
              <w:autoSpaceDN w:val="0"/>
              <w:adjustRightInd w:val="0"/>
              <w:spacing w:before="40" w:after="40"/>
              <w:rPr>
                <w:color w:val="211D1E"/>
                <w:sz w:val="22"/>
                <w:szCs w:val="22"/>
                <w:lang w:eastAsia="ja-JP"/>
              </w:rPr>
            </w:pPr>
          </w:p>
        </w:tc>
        <w:tc>
          <w:tcPr>
            <w:tcW w:w="3827" w:type="dxa"/>
            <w:tcBorders>
              <w:top w:val="single" w:sz="6" w:space="0" w:color="000000"/>
              <w:left w:val="single" w:sz="6" w:space="0" w:color="000000"/>
              <w:bottom w:val="single" w:sz="6" w:space="0" w:color="000000"/>
              <w:right w:val="single" w:sz="6" w:space="0" w:color="000000"/>
            </w:tcBorders>
            <w:vAlign w:val="center"/>
          </w:tcPr>
          <w:p w:rsidR="0092624D" w:rsidRPr="00D17972" w:rsidRDefault="0092624D" w:rsidP="00407D7A">
            <w:pPr>
              <w:autoSpaceDE w:val="0"/>
              <w:autoSpaceDN w:val="0"/>
              <w:adjustRightInd w:val="0"/>
              <w:spacing w:before="40" w:after="40"/>
              <w:rPr>
                <w:color w:val="211D1E"/>
                <w:sz w:val="22"/>
                <w:szCs w:val="22"/>
                <w:lang w:eastAsia="ja-JP"/>
              </w:rPr>
            </w:pPr>
            <w:r w:rsidRPr="00D17972">
              <w:rPr>
                <w:color w:val="211D1E"/>
                <w:sz w:val="22"/>
                <w:szCs w:val="22"/>
                <w:lang w:eastAsia="ja-JP"/>
              </w:rPr>
              <w:t>Frequent bowel movements</w:t>
            </w:r>
          </w:p>
        </w:tc>
      </w:tr>
      <w:tr w:rsidR="0092624D" w:rsidRPr="00E9444C" w:rsidTr="00407D7A">
        <w:trPr>
          <w:cantSplit/>
          <w:trHeight w:val="340"/>
        </w:trPr>
        <w:tc>
          <w:tcPr>
            <w:tcW w:w="3119" w:type="dxa"/>
            <w:vMerge/>
            <w:tcBorders>
              <w:left w:val="single" w:sz="6" w:space="0" w:color="000000"/>
              <w:right w:val="single" w:sz="6" w:space="0" w:color="000000"/>
            </w:tcBorders>
            <w:vAlign w:val="center"/>
          </w:tcPr>
          <w:p w:rsidR="0092624D" w:rsidRPr="00D34725" w:rsidRDefault="0092624D" w:rsidP="00407D7A">
            <w:pPr>
              <w:autoSpaceDE w:val="0"/>
              <w:autoSpaceDN w:val="0"/>
              <w:adjustRightInd w:val="0"/>
              <w:spacing w:before="40" w:after="40"/>
              <w:rPr>
                <w:color w:val="211D1E"/>
                <w:sz w:val="22"/>
                <w:szCs w:val="22"/>
                <w:lang w:eastAsia="ja-JP"/>
              </w:rPr>
            </w:pPr>
          </w:p>
        </w:tc>
        <w:tc>
          <w:tcPr>
            <w:tcW w:w="1843" w:type="dxa"/>
            <w:vMerge/>
            <w:tcBorders>
              <w:left w:val="single" w:sz="6" w:space="0" w:color="000000"/>
              <w:right w:val="single" w:sz="6" w:space="0" w:color="000000"/>
            </w:tcBorders>
            <w:vAlign w:val="center"/>
          </w:tcPr>
          <w:p w:rsidR="0092624D" w:rsidRPr="00D34725" w:rsidRDefault="0092624D" w:rsidP="00407D7A">
            <w:pPr>
              <w:autoSpaceDE w:val="0"/>
              <w:autoSpaceDN w:val="0"/>
              <w:adjustRightInd w:val="0"/>
              <w:spacing w:before="40" w:after="40"/>
              <w:rPr>
                <w:color w:val="211D1E"/>
                <w:sz w:val="22"/>
                <w:szCs w:val="22"/>
                <w:lang w:eastAsia="ja-JP"/>
              </w:rPr>
            </w:pPr>
          </w:p>
        </w:tc>
        <w:tc>
          <w:tcPr>
            <w:tcW w:w="3827" w:type="dxa"/>
            <w:tcBorders>
              <w:top w:val="single" w:sz="6" w:space="0" w:color="000000"/>
              <w:left w:val="single" w:sz="6" w:space="0" w:color="000000"/>
              <w:bottom w:val="single" w:sz="6" w:space="0" w:color="000000"/>
              <w:right w:val="single" w:sz="6" w:space="0" w:color="000000"/>
            </w:tcBorders>
            <w:vAlign w:val="center"/>
          </w:tcPr>
          <w:p w:rsidR="0092624D" w:rsidRPr="00D17972" w:rsidRDefault="00CF0715" w:rsidP="00407D7A">
            <w:pPr>
              <w:autoSpaceDE w:val="0"/>
              <w:autoSpaceDN w:val="0"/>
              <w:adjustRightInd w:val="0"/>
              <w:spacing w:before="40" w:after="40"/>
              <w:rPr>
                <w:color w:val="211D1E"/>
                <w:sz w:val="22"/>
                <w:szCs w:val="22"/>
                <w:lang w:eastAsia="ja-JP"/>
              </w:rPr>
            </w:pPr>
            <w:r w:rsidRPr="00D17972">
              <w:rPr>
                <w:color w:val="211D1E"/>
                <w:sz w:val="22"/>
                <w:szCs w:val="22"/>
                <w:lang w:eastAsia="ja-JP"/>
              </w:rPr>
              <w:t>Abdominal pain upper</w:t>
            </w:r>
            <w:r w:rsidRPr="00D17972">
              <w:rPr>
                <w:color w:val="211D1E"/>
                <w:sz w:val="22"/>
                <w:szCs w:val="22"/>
                <w:vertAlign w:val="superscript"/>
                <w:lang w:eastAsia="ja-JP"/>
              </w:rPr>
              <w:t xml:space="preserve"> </w:t>
            </w:r>
          </w:p>
        </w:tc>
      </w:tr>
      <w:tr w:rsidR="0092624D" w:rsidRPr="00E9444C" w:rsidTr="00407D7A">
        <w:trPr>
          <w:cantSplit/>
          <w:trHeight w:val="340"/>
        </w:trPr>
        <w:tc>
          <w:tcPr>
            <w:tcW w:w="3119" w:type="dxa"/>
            <w:vMerge/>
            <w:tcBorders>
              <w:left w:val="single" w:sz="6" w:space="0" w:color="000000"/>
              <w:right w:val="single" w:sz="6" w:space="0" w:color="000000"/>
            </w:tcBorders>
            <w:vAlign w:val="center"/>
          </w:tcPr>
          <w:p w:rsidR="0092624D" w:rsidRPr="00D34725" w:rsidRDefault="0092624D" w:rsidP="00407D7A">
            <w:pPr>
              <w:autoSpaceDE w:val="0"/>
              <w:autoSpaceDN w:val="0"/>
              <w:adjustRightInd w:val="0"/>
              <w:spacing w:before="40" w:after="40"/>
              <w:rPr>
                <w:color w:val="211D1E"/>
                <w:sz w:val="22"/>
                <w:szCs w:val="22"/>
                <w:lang w:eastAsia="ja-JP"/>
              </w:rPr>
            </w:pPr>
          </w:p>
        </w:tc>
        <w:tc>
          <w:tcPr>
            <w:tcW w:w="1843" w:type="dxa"/>
            <w:vMerge/>
            <w:tcBorders>
              <w:left w:val="single" w:sz="6" w:space="0" w:color="000000"/>
              <w:right w:val="single" w:sz="6" w:space="0" w:color="000000"/>
            </w:tcBorders>
            <w:vAlign w:val="center"/>
          </w:tcPr>
          <w:p w:rsidR="0092624D" w:rsidRPr="00D34725" w:rsidRDefault="0092624D" w:rsidP="00407D7A">
            <w:pPr>
              <w:autoSpaceDE w:val="0"/>
              <w:autoSpaceDN w:val="0"/>
              <w:adjustRightInd w:val="0"/>
              <w:spacing w:before="40" w:after="40"/>
              <w:rPr>
                <w:color w:val="211D1E"/>
                <w:sz w:val="22"/>
                <w:szCs w:val="22"/>
                <w:lang w:eastAsia="ja-JP"/>
              </w:rPr>
            </w:pPr>
          </w:p>
        </w:tc>
        <w:tc>
          <w:tcPr>
            <w:tcW w:w="3827" w:type="dxa"/>
            <w:tcBorders>
              <w:top w:val="single" w:sz="6" w:space="0" w:color="000000"/>
              <w:left w:val="single" w:sz="6" w:space="0" w:color="000000"/>
              <w:bottom w:val="single" w:sz="6" w:space="0" w:color="000000"/>
              <w:right w:val="single" w:sz="6" w:space="0" w:color="000000"/>
            </w:tcBorders>
            <w:vAlign w:val="center"/>
          </w:tcPr>
          <w:p w:rsidR="0092624D" w:rsidRPr="00D17972" w:rsidRDefault="00CF0715" w:rsidP="00407D7A">
            <w:pPr>
              <w:autoSpaceDE w:val="0"/>
              <w:autoSpaceDN w:val="0"/>
              <w:adjustRightInd w:val="0"/>
              <w:spacing w:before="40" w:after="40"/>
              <w:rPr>
                <w:color w:val="211D1E"/>
                <w:sz w:val="22"/>
                <w:szCs w:val="22"/>
                <w:lang w:eastAsia="ja-JP"/>
              </w:rPr>
            </w:pPr>
            <w:r w:rsidRPr="00D17972">
              <w:rPr>
                <w:color w:val="211D1E"/>
                <w:sz w:val="22"/>
                <w:szCs w:val="22"/>
                <w:lang w:eastAsia="ja-JP"/>
              </w:rPr>
              <w:t>Gastroesophageal reflux disease</w:t>
            </w:r>
          </w:p>
        </w:tc>
      </w:tr>
      <w:tr w:rsidR="0092624D" w:rsidRPr="00E9444C" w:rsidTr="00407D7A">
        <w:trPr>
          <w:cantSplit/>
          <w:trHeight w:val="340"/>
        </w:trPr>
        <w:tc>
          <w:tcPr>
            <w:tcW w:w="3119" w:type="dxa"/>
            <w:vMerge/>
            <w:tcBorders>
              <w:left w:val="single" w:sz="6" w:space="0" w:color="000000"/>
              <w:right w:val="single" w:sz="6" w:space="0" w:color="000000"/>
            </w:tcBorders>
            <w:vAlign w:val="center"/>
          </w:tcPr>
          <w:p w:rsidR="0092624D" w:rsidRPr="00D34725" w:rsidRDefault="0092624D" w:rsidP="00407D7A">
            <w:pPr>
              <w:autoSpaceDE w:val="0"/>
              <w:autoSpaceDN w:val="0"/>
              <w:adjustRightInd w:val="0"/>
              <w:spacing w:before="40" w:after="40"/>
              <w:rPr>
                <w:color w:val="211D1E"/>
                <w:sz w:val="22"/>
                <w:szCs w:val="22"/>
                <w:lang w:eastAsia="ja-JP"/>
              </w:rPr>
            </w:pPr>
          </w:p>
        </w:tc>
        <w:tc>
          <w:tcPr>
            <w:tcW w:w="1843" w:type="dxa"/>
            <w:vMerge/>
            <w:tcBorders>
              <w:left w:val="single" w:sz="6" w:space="0" w:color="000000"/>
              <w:right w:val="single" w:sz="6" w:space="0" w:color="000000"/>
            </w:tcBorders>
            <w:vAlign w:val="center"/>
          </w:tcPr>
          <w:p w:rsidR="0092624D" w:rsidRPr="00D34725" w:rsidRDefault="0092624D" w:rsidP="00407D7A">
            <w:pPr>
              <w:autoSpaceDE w:val="0"/>
              <w:autoSpaceDN w:val="0"/>
              <w:adjustRightInd w:val="0"/>
              <w:spacing w:before="40" w:after="40"/>
              <w:rPr>
                <w:color w:val="211D1E"/>
                <w:sz w:val="22"/>
                <w:szCs w:val="22"/>
                <w:lang w:eastAsia="ja-JP"/>
              </w:rPr>
            </w:pPr>
          </w:p>
        </w:tc>
        <w:tc>
          <w:tcPr>
            <w:tcW w:w="3827" w:type="dxa"/>
            <w:tcBorders>
              <w:top w:val="single" w:sz="6" w:space="0" w:color="000000"/>
              <w:left w:val="single" w:sz="6" w:space="0" w:color="000000"/>
              <w:bottom w:val="single" w:sz="6" w:space="0" w:color="000000"/>
              <w:right w:val="single" w:sz="6" w:space="0" w:color="000000"/>
            </w:tcBorders>
            <w:vAlign w:val="center"/>
          </w:tcPr>
          <w:p w:rsidR="0092624D" w:rsidRPr="00D34725" w:rsidRDefault="00FB5526" w:rsidP="00407D7A">
            <w:pPr>
              <w:autoSpaceDE w:val="0"/>
              <w:autoSpaceDN w:val="0"/>
              <w:adjustRightInd w:val="0"/>
              <w:spacing w:before="40" w:after="40"/>
              <w:rPr>
                <w:color w:val="211D1E"/>
                <w:sz w:val="22"/>
                <w:szCs w:val="22"/>
                <w:lang w:eastAsia="ja-JP"/>
              </w:rPr>
            </w:pPr>
            <w:r w:rsidRPr="00D34725">
              <w:rPr>
                <w:color w:val="211D1E"/>
                <w:sz w:val="22"/>
                <w:szCs w:val="22"/>
                <w:lang w:eastAsia="ja-JP"/>
              </w:rPr>
              <w:t>Dyspepsia</w:t>
            </w:r>
          </w:p>
        </w:tc>
      </w:tr>
      <w:tr w:rsidR="0092624D" w:rsidRPr="00D17972" w:rsidTr="00407D7A">
        <w:trPr>
          <w:cantSplit/>
          <w:trHeight w:val="340"/>
        </w:trPr>
        <w:tc>
          <w:tcPr>
            <w:tcW w:w="3119" w:type="dxa"/>
            <w:tcBorders>
              <w:top w:val="single" w:sz="6" w:space="0" w:color="000000"/>
              <w:left w:val="single" w:sz="6" w:space="0" w:color="000000"/>
              <w:right w:val="single" w:sz="6" w:space="0" w:color="000000"/>
            </w:tcBorders>
            <w:vAlign w:val="center"/>
          </w:tcPr>
          <w:p w:rsidR="0092624D" w:rsidRPr="00D34725" w:rsidRDefault="0092624D" w:rsidP="00407D7A">
            <w:pPr>
              <w:autoSpaceDE w:val="0"/>
              <w:autoSpaceDN w:val="0"/>
              <w:adjustRightInd w:val="0"/>
              <w:spacing w:before="40" w:after="40"/>
              <w:rPr>
                <w:color w:val="211D1E"/>
                <w:sz w:val="22"/>
                <w:szCs w:val="22"/>
                <w:lang w:eastAsia="ja-JP"/>
              </w:rPr>
            </w:pPr>
            <w:r w:rsidRPr="00D34725">
              <w:rPr>
                <w:color w:val="211D1E"/>
                <w:sz w:val="22"/>
                <w:szCs w:val="22"/>
                <w:lang w:eastAsia="ja-JP"/>
              </w:rPr>
              <w:t>General disorders and administrative site conditions</w:t>
            </w:r>
          </w:p>
        </w:tc>
        <w:tc>
          <w:tcPr>
            <w:tcW w:w="1843" w:type="dxa"/>
            <w:tcBorders>
              <w:top w:val="single" w:sz="6" w:space="0" w:color="000000"/>
              <w:left w:val="single" w:sz="6" w:space="0" w:color="000000"/>
              <w:right w:val="single" w:sz="6" w:space="0" w:color="000000"/>
            </w:tcBorders>
            <w:vAlign w:val="center"/>
          </w:tcPr>
          <w:p w:rsidR="0092624D" w:rsidRPr="00D34725" w:rsidRDefault="0092624D" w:rsidP="00407D7A">
            <w:pPr>
              <w:autoSpaceDE w:val="0"/>
              <w:autoSpaceDN w:val="0"/>
              <w:adjustRightInd w:val="0"/>
              <w:spacing w:before="40" w:after="40"/>
              <w:rPr>
                <w:color w:val="211D1E"/>
                <w:sz w:val="22"/>
                <w:szCs w:val="22"/>
                <w:lang w:eastAsia="ja-JP"/>
              </w:rPr>
            </w:pPr>
            <w:r w:rsidRPr="00D34725">
              <w:rPr>
                <w:color w:val="211D1E"/>
                <w:sz w:val="22"/>
                <w:szCs w:val="22"/>
                <w:lang w:eastAsia="ja-JP"/>
              </w:rPr>
              <w:t>Common</w:t>
            </w:r>
          </w:p>
        </w:tc>
        <w:tc>
          <w:tcPr>
            <w:tcW w:w="3827" w:type="dxa"/>
            <w:tcBorders>
              <w:top w:val="single" w:sz="6" w:space="0" w:color="000000"/>
              <w:left w:val="single" w:sz="6" w:space="0" w:color="000000"/>
              <w:bottom w:val="single" w:sz="6" w:space="0" w:color="000000"/>
              <w:right w:val="single" w:sz="6" w:space="0" w:color="000000"/>
            </w:tcBorders>
            <w:vAlign w:val="center"/>
          </w:tcPr>
          <w:p w:rsidR="0092624D" w:rsidRPr="00D17972" w:rsidRDefault="0092624D" w:rsidP="00407D7A">
            <w:pPr>
              <w:autoSpaceDE w:val="0"/>
              <w:autoSpaceDN w:val="0"/>
              <w:adjustRightInd w:val="0"/>
              <w:spacing w:before="40" w:after="40"/>
              <w:rPr>
                <w:color w:val="211D1E"/>
                <w:sz w:val="22"/>
                <w:szCs w:val="22"/>
                <w:lang w:eastAsia="ja-JP"/>
              </w:rPr>
            </w:pPr>
            <w:r w:rsidRPr="00D17972">
              <w:rPr>
                <w:color w:val="211D1E"/>
                <w:sz w:val="22"/>
                <w:szCs w:val="22"/>
                <w:lang w:eastAsia="ja-JP"/>
              </w:rPr>
              <w:t>Fatigue</w:t>
            </w:r>
          </w:p>
        </w:tc>
      </w:tr>
      <w:tr w:rsidR="0092624D" w:rsidRPr="00D17972" w:rsidTr="00407D7A">
        <w:trPr>
          <w:cantSplit/>
          <w:trHeight w:val="340"/>
        </w:trPr>
        <w:tc>
          <w:tcPr>
            <w:tcW w:w="3119" w:type="dxa"/>
            <w:tcBorders>
              <w:top w:val="single" w:sz="6" w:space="0" w:color="000000"/>
              <w:left w:val="single" w:sz="6" w:space="0" w:color="000000"/>
              <w:right w:val="single" w:sz="6" w:space="0" w:color="000000"/>
            </w:tcBorders>
            <w:vAlign w:val="center"/>
          </w:tcPr>
          <w:p w:rsidR="0092624D" w:rsidRPr="00D34725" w:rsidRDefault="0092624D" w:rsidP="00407D7A">
            <w:pPr>
              <w:autoSpaceDE w:val="0"/>
              <w:autoSpaceDN w:val="0"/>
              <w:adjustRightInd w:val="0"/>
              <w:spacing w:before="40" w:after="40"/>
              <w:rPr>
                <w:color w:val="211D1E"/>
                <w:sz w:val="22"/>
                <w:szCs w:val="22"/>
                <w:lang w:eastAsia="ja-JP"/>
              </w:rPr>
            </w:pPr>
            <w:r w:rsidRPr="00D34725">
              <w:rPr>
                <w:color w:val="211D1E"/>
                <w:sz w:val="22"/>
                <w:szCs w:val="22"/>
                <w:lang w:eastAsia="ja-JP"/>
              </w:rPr>
              <w:t>Immune System disorders</w:t>
            </w:r>
          </w:p>
        </w:tc>
        <w:tc>
          <w:tcPr>
            <w:tcW w:w="1843" w:type="dxa"/>
            <w:tcBorders>
              <w:top w:val="single" w:sz="6" w:space="0" w:color="000000"/>
              <w:left w:val="single" w:sz="6" w:space="0" w:color="000000"/>
              <w:right w:val="single" w:sz="6" w:space="0" w:color="000000"/>
            </w:tcBorders>
            <w:vAlign w:val="center"/>
          </w:tcPr>
          <w:p w:rsidR="0092624D" w:rsidRPr="00D34725" w:rsidRDefault="0092624D" w:rsidP="00407D7A">
            <w:pPr>
              <w:autoSpaceDE w:val="0"/>
              <w:autoSpaceDN w:val="0"/>
              <w:adjustRightInd w:val="0"/>
              <w:spacing w:before="40" w:after="40"/>
              <w:rPr>
                <w:color w:val="211D1E"/>
                <w:sz w:val="22"/>
                <w:szCs w:val="22"/>
                <w:lang w:eastAsia="ja-JP"/>
              </w:rPr>
            </w:pPr>
            <w:r w:rsidRPr="00D34725">
              <w:rPr>
                <w:color w:val="211D1E"/>
                <w:sz w:val="22"/>
                <w:szCs w:val="22"/>
                <w:lang w:eastAsia="ja-JP"/>
              </w:rPr>
              <w:t>Uncommon</w:t>
            </w:r>
          </w:p>
        </w:tc>
        <w:tc>
          <w:tcPr>
            <w:tcW w:w="3827" w:type="dxa"/>
            <w:tcBorders>
              <w:top w:val="single" w:sz="6" w:space="0" w:color="000000"/>
              <w:left w:val="single" w:sz="6" w:space="0" w:color="000000"/>
              <w:bottom w:val="single" w:sz="6" w:space="0" w:color="000000"/>
              <w:right w:val="single" w:sz="6" w:space="0" w:color="000000"/>
            </w:tcBorders>
            <w:vAlign w:val="center"/>
          </w:tcPr>
          <w:p w:rsidR="0092624D" w:rsidRPr="00D17972" w:rsidRDefault="0092624D" w:rsidP="00407D7A">
            <w:pPr>
              <w:autoSpaceDE w:val="0"/>
              <w:autoSpaceDN w:val="0"/>
              <w:adjustRightInd w:val="0"/>
              <w:spacing w:before="40" w:after="40"/>
              <w:rPr>
                <w:color w:val="211D1E"/>
                <w:sz w:val="22"/>
                <w:szCs w:val="22"/>
                <w:lang w:eastAsia="ja-JP"/>
              </w:rPr>
            </w:pPr>
            <w:r w:rsidRPr="00D17972">
              <w:rPr>
                <w:color w:val="211D1E"/>
                <w:sz w:val="22"/>
                <w:szCs w:val="22"/>
                <w:lang w:eastAsia="ja-JP"/>
              </w:rPr>
              <w:t>Hypersensitivity</w:t>
            </w:r>
          </w:p>
        </w:tc>
      </w:tr>
      <w:tr w:rsidR="0092624D" w:rsidRPr="00D17972" w:rsidTr="00407D7A">
        <w:trPr>
          <w:cantSplit/>
          <w:trHeight w:val="340"/>
        </w:trPr>
        <w:tc>
          <w:tcPr>
            <w:tcW w:w="3119" w:type="dxa"/>
            <w:vMerge w:val="restart"/>
            <w:tcBorders>
              <w:top w:val="single" w:sz="6" w:space="0" w:color="000000"/>
              <w:left w:val="single" w:sz="6" w:space="0" w:color="000000"/>
              <w:right w:val="single" w:sz="6" w:space="0" w:color="000000"/>
            </w:tcBorders>
            <w:vAlign w:val="center"/>
          </w:tcPr>
          <w:p w:rsidR="0092624D" w:rsidRPr="00D34725" w:rsidRDefault="0092624D" w:rsidP="00407D7A">
            <w:pPr>
              <w:autoSpaceDE w:val="0"/>
              <w:autoSpaceDN w:val="0"/>
              <w:adjustRightInd w:val="0"/>
              <w:spacing w:before="40" w:after="40"/>
              <w:rPr>
                <w:color w:val="211D1E"/>
                <w:sz w:val="22"/>
                <w:szCs w:val="22"/>
                <w:lang w:eastAsia="ja-JP"/>
              </w:rPr>
            </w:pPr>
            <w:r w:rsidRPr="00D34725">
              <w:rPr>
                <w:color w:val="211D1E"/>
                <w:sz w:val="22"/>
                <w:szCs w:val="22"/>
                <w:lang w:eastAsia="ja-JP"/>
              </w:rPr>
              <w:t>Infections and infestations</w:t>
            </w:r>
          </w:p>
        </w:tc>
        <w:tc>
          <w:tcPr>
            <w:tcW w:w="1843" w:type="dxa"/>
            <w:vMerge w:val="restart"/>
            <w:tcBorders>
              <w:top w:val="single" w:sz="6" w:space="0" w:color="000000"/>
              <w:left w:val="single" w:sz="6" w:space="0" w:color="000000"/>
              <w:right w:val="single" w:sz="6" w:space="0" w:color="000000"/>
            </w:tcBorders>
            <w:vAlign w:val="center"/>
          </w:tcPr>
          <w:p w:rsidR="0092624D" w:rsidRPr="00D34725" w:rsidRDefault="0092624D" w:rsidP="00407D7A">
            <w:pPr>
              <w:autoSpaceDE w:val="0"/>
              <w:autoSpaceDN w:val="0"/>
              <w:adjustRightInd w:val="0"/>
              <w:spacing w:before="40" w:after="40"/>
              <w:rPr>
                <w:color w:val="211D1E"/>
                <w:sz w:val="22"/>
                <w:szCs w:val="22"/>
                <w:lang w:eastAsia="ja-JP"/>
              </w:rPr>
            </w:pPr>
            <w:r w:rsidRPr="00D34725">
              <w:rPr>
                <w:color w:val="211D1E"/>
                <w:sz w:val="22"/>
                <w:szCs w:val="22"/>
                <w:lang w:eastAsia="ja-JP"/>
              </w:rPr>
              <w:t>Common</w:t>
            </w:r>
          </w:p>
        </w:tc>
        <w:tc>
          <w:tcPr>
            <w:tcW w:w="3827" w:type="dxa"/>
            <w:tcBorders>
              <w:top w:val="single" w:sz="6" w:space="0" w:color="000000"/>
              <w:left w:val="single" w:sz="6" w:space="0" w:color="000000"/>
              <w:bottom w:val="single" w:sz="6" w:space="0" w:color="000000"/>
              <w:right w:val="single" w:sz="6" w:space="0" w:color="000000"/>
            </w:tcBorders>
            <w:vAlign w:val="center"/>
          </w:tcPr>
          <w:p w:rsidR="0092624D" w:rsidRPr="00D17972" w:rsidRDefault="0092624D" w:rsidP="00407D7A">
            <w:pPr>
              <w:autoSpaceDE w:val="0"/>
              <w:autoSpaceDN w:val="0"/>
              <w:adjustRightInd w:val="0"/>
              <w:spacing w:before="40" w:after="40"/>
              <w:rPr>
                <w:color w:val="211D1E"/>
                <w:sz w:val="22"/>
                <w:szCs w:val="22"/>
                <w:lang w:eastAsia="ja-JP"/>
              </w:rPr>
            </w:pPr>
            <w:r w:rsidRPr="00D17972">
              <w:rPr>
                <w:color w:val="211D1E"/>
                <w:sz w:val="22"/>
                <w:szCs w:val="22"/>
                <w:lang w:eastAsia="ja-JP"/>
              </w:rPr>
              <w:t>Bronchitis</w:t>
            </w:r>
          </w:p>
        </w:tc>
      </w:tr>
      <w:tr w:rsidR="0092624D" w:rsidRPr="00D17972" w:rsidTr="00407D7A">
        <w:trPr>
          <w:cantSplit/>
          <w:trHeight w:val="340"/>
        </w:trPr>
        <w:tc>
          <w:tcPr>
            <w:tcW w:w="3119" w:type="dxa"/>
            <w:vMerge/>
            <w:tcBorders>
              <w:left w:val="single" w:sz="6" w:space="0" w:color="000000"/>
              <w:right w:val="single" w:sz="6" w:space="0" w:color="000000"/>
            </w:tcBorders>
            <w:vAlign w:val="center"/>
          </w:tcPr>
          <w:p w:rsidR="0092624D" w:rsidRPr="00D34725" w:rsidRDefault="0092624D" w:rsidP="00407D7A">
            <w:pPr>
              <w:autoSpaceDE w:val="0"/>
              <w:autoSpaceDN w:val="0"/>
              <w:adjustRightInd w:val="0"/>
              <w:spacing w:before="40" w:after="40"/>
              <w:rPr>
                <w:color w:val="211D1E"/>
                <w:sz w:val="22"/>
                <w:szCs w:val="22"/>
                <w:lang w:eastAsia="ja-JP"/>
              </w:rPr>
            </w:pPr>
          </w:p>
        </w:tc>
        <w:tc>
          <w:tcPr>
            <w:tcW w:w="1843" w:type="dxa"/>
            <w:vMerge/>
            <w:tcBorders>
              <w:left w:val="single" w:sz="6" w:space="0" w:color="000000"/>
              <w:right w:val="single" w:sz="6" w:space="0" w:color="000000"/>
            </w:tcBorders>
            <w:vAlign w:val="center"/>
          </w:tcPr>
          <w:p w:rsidR="0092624D" w:rsidRPr="00D34725" w:rsidRDefault="0092624D" w:rsidP="00407D7A">
            <w:pPr>
              <w:autoSpaceDE w:val="0"/>
              <w:autoSpaceDN w:val="0"/>
              <w:adjustRightInd w:val="0"/>
              <w:spacing w:before="40" w:after="40"/>
              <w:rPr>
                <w:color w:val="211D1E"/>
                <w:sz w:val="22"/>
                <w:szCs w:val="22"/>
                <w:lang w:eastAsia="ja-JP"/>
              </w:rPr>
            </w:pPr>
          </w:p>
        </w:tc>
        <w:tc>
          <w:tcPr>
            <w:tcW w:w="3827" w:type="dxa"/>
            <w:tcBorders>
              <w:top w:val="single" w:sz="6" w:space="0" w:color="000000"/>
              <w:left w:val="single" w:sz="6" w:space="0" w:color="000000"/>
              <w:bottom w:val="single" w:sz="6" w:space="0" w:color="000000"/>
              <w:right w:val="single" w:sz="6" w:space="0" w:color="000000"/>
            </w:tcBorders>
            <w:vAlign w:val="center"/>
          </w:tcPr>
          <w:p w:rsidR="0092624D" w:rsidRPr="00D17972" w:rsidRDefault="00FB5526" w:rsidP="00407D7A">
            <w:pPr>
              <w:autoSpaceDE w:val="0"/>
              <w:autoSpaceDN w:val="0"/>
              <w:adjustRightInd w:val="0"/>
              <w:spacing w:before="40" w:after="40"/>
              <w:rPr>
                <w:color w:val="211D1E"/>
                <w:sz w:val="22"/>
                <w:szCs w:val="22"/>
                <w:lang w:eastAsia="ja-JP"/>
              </w:rPr>
            </w:pPr>
            <w:r w:rsidRPr="00D17972">
              <w:rPr>
                <w:color w:val="211D1E"/>
                <w:sz w:val="22"/>
                <w:szCs w:val="22"/>
                <w:lang w:eastAsia="ja-JP"/>
              </w:rPr>
              <w:t xml:space="preserve">Upper respiratory tract infection </w:t>
            </w:r>
          </w:p>
        </w:tc>
      </w:tr>
      <w:tr w:rsidR="0092624D" w:rsidRPr="00D17972" w:rsidTr="00407D7A">
        <w:trPr>
          <w:cantSplit/>
          <w:trHeight w:val="340"/>
        </w:trPr>
        <w:tc>
          <w:tcPr>
            <w:tcW w:w="3119" w:type="dxa"/>
            <w:vMerge/>
            <w:tcBorders>
              <w:left w:val="single" w:sz="6" w:space="0" w:color="000000"/>
              <w:bottom w:val="single" w:sz="4" w:space="0" w:color="auto"/>
              <w:right w:val="single" w:sz="6" w:space="0" w:color="000000"/>
            </w:tcBorders>
            <w:vAlign w:val="center"/>
          </w:tcPr>
          <w:p w:rsidR="0092624D" w:rsidRPr="00D34725" w:rsidRDefault="0092624D" w:rsidP="00407D7A">
            <w:pPr>
              <w:autoSpaceDE w:val="0"/>
              <w:autoSpaceDN w:val="0"/>
              <w:adjustRightInd w:val="0"/>
              <w:spacing w:before="40" w:after="40"/>
              <w:rPr>
                <w:color w:val="211D1E"/>
                <w:sz w:val="22"/>
                <w:szCs w:val="22"/>
                <w:lang w:eastAsia="ja-JP"/>
              </w:rPr>
            </w:pPr>
          </w:p>
        </w:tc>
        <w:tc>
          <w:tcPr>
            <w:tcW w:w="1843" w:type="dxa"/>
            <w:vMerge/>
            <w:tcBorders>
              <w:left w:val="single" w:sz="6" w:space="0" w:color="000000"/>
              <w:bottom w:val="single" w:sz="4" w:space="0" w:color="auto"/>
              <w:right w:val="single" w:sz="6" w:space="0" w:color="000000"/>
            </w:tcBorders>
            <w:vAlign w:val="center"/>
          </w:tcPr>
          <w:p w:rsidR="0092624D" w:rsidRPr="00D34725" w:rsidRDefault="0092624D" w:rsidP="00407D7A">
            <w:pPr>
              <w:autoSpaceDE w:val="0"/>
              <w:autoSpaceDN w:val="0"/>
              <w:adjustRightInd w:val="0"/>
              <w:spacing w:before="40" w:after="40"/>
              <w:rPr>
                <w:color w:val="211D1E"/>
                <w:sz w:val="22"/>
                <w:szCs w:val="22"/>
                <w:lang w:eastAsia="ja-JP"/>
              </w:rPr>
            </w:pPr>
          </w:p>
        </w:tc>
        <w:tc>
          <w:tcPr>
            <w:tcW w:w="3827" w:type="dxa"/>
            <w:tcBorders>
              <w:top w:val="single" w:sz="6" w:space="0" w:color="000000"/>
              <w:left w:val="single" w:sz="6" w:space="0" w:color="000000"/>
              <w:bottom w:val="single" w:sz="4" w:space="0" w:color="auto"/>
              <w:right w:val="single" w:sz="6" w:space="0" w:color="000000"/>
            </w:tcBorders>
            <w:vAlign w:val="center"/>
          </w:tcPr>
          <w:p w:rsidR="0092624D" w:rsidRPr="00D17972" w:rsidRDefault="00FB5526" w:rsidP="00407D7A">
            <w:pPr>
              <w:autoSpaceDE w:val="0"/>
              <w:autoSpaceDN w:val="0"/>
              <w:adjustRightInd w:val="0"/>
              <w:spacing w:before="40" w:after="40"/>
              <w:rPr>
                <w:color w:val="211D1E"/>
                <w:sz w:val="22"/>
                <w:szCs w:val="22"/>
                <w:lang w:eastAsia="ja-JP"/>
              </w:rPr>
            </w:pPr>
            <w:r w:rsidRPr="00D17972">
              <w:rPr>
                <w:color w:val="211D1E"/>
                <w:sz w:val="22"/>
                <w:szCs w:val="22"/>
                <w:lang w:eastAsia="ja-JP"/>
              </w:rPr>
              <w:t>Nasopharyngitis</w:t>
            </w:r>
            <w:r w:rsidRPr="00D17972">
              <w:rPr>
                <w:color w:val="211D1E"/>
                <w:sz w:val="22"/>
                <w:szCs w:val="22"/>
                <w:vertAlign w:val="superscript"/>
                <w:lang w:eastAsia="ja-JP"/>
              </w:rPr>
              <w:t xml:space="preserve"> </w:t>
            </w:r>
          </w:p>
        </w:tc>
      </w:tr>
      <w:tr w:rsidR="0092624D" w:rsidRPr="00D17972" w:rsidTr="00407D7A">
        <w:trPr>
          <w:cantSplit/>
          <w:trHeight w:val="340"/>
        </w:trPr>
        <w:tc>
          <w:tcPr>
            <w:tcW w:w="3119" w:type="dxa"/>
            <w:tcBorders>
              <w:top w:val="single" w:sz="4" w:space="0" w:color="auto"/>
              <w:left w:val="single" w:sz="6" w:space="0" w:color="000000"/>
              <w:right w:val="single" w:sz="6" w:space="0" w:color="000000"/>
            </w:tcBorders>
          </w:tcPr>
          <w:p w:rsidR="0092624D" w:rsidRPr="00D34725" w:rsidRDefault="0092624D" w:rsidP="00407D7A">
            <w:pPr>
              <w:autoSpaceDE w:val="0"/>
              <w:autoSpaceDN w:val="0"/>
              <w:adjustRightInd w:val="0"/>
              <w:spacing w:before="40" w:after="40"/>
              <w:rPr>
                <w:color w:val="211D1E"/>
                <w:sz w:val="22"/>
                <w:szCs w:val="22"/>
                <w:lang w:eastAsia="ja-JP"/>
              </w:rPr>
            </w:pPr>
            <w:r w:rsidRPr="00D34725">
              <w:rPr>
                <w:color w:val="211D1E"/>
                <w:sz w:val="22"/>
                <w:szCs w:val="22"/>
                <w:lang w:eastAsia="ja-JP"/>
              </w:rPr>
              <w:t>Investigations</w:t>
            </w:r>
          </w:p>
        </w:tc>
        <w:tc>
          <w:tcPr>
            <w:tcW w:w="1843" w:type="dxa"/>
            <w:tcBorders>
              <w:top w:val="single" w:sz="4" w:space="0" w:color="auto"/>
              <w:left w:val="single" w:sz="6" w:space="0" w:color="000000"/>
              <w:bottom w:val="single" w:sz="6" w:space="0" w:color="000000"/>
              <w:right w:val="single" w:sz="6" w:space="0" w:color="000000"/>
            </w:tcBorders>
            <w:vAlign w:val="center"/>
          </w:tcPr>
          <w:p w:rsidR="0092624D" w:rsidRPr="00D34725" w:rsidRDefault="0092624D" w:rsidP="00407D7A">
            <w:pPr>
              <w:autoSpaceDE w:val="0"/>
              <w:autoSpaceDN w:val="0"/>
              <w:adjustRightInd w:val="0"/>
              <w:spacing w:before="40" w:after="40"/>
              <w:rPr>
                <w:color w:val="211D1E"/>
                <w:sz w:val="22"/>
                <w:szCs w:val="22"/>
                <w:lang w:eastAsia="ja-JP"/>
              </w:rPr>
            </w:pPr>
            <w:r w:rsidRPr="00D34725">
              <w:rPr>
                <w:color w:val="211D1E"/>
                <w:sz w:val="22"/>
                <w:szCs w:val="22"/>
                <w:lang w:eastAsia="ja-JP"/>
              </w:rPr>
              <w:t>Uncommon</w:t>
            </w:r>
          </w:p>
        </w:tc>
        <w:tc>
          <w:tcPr>
            <w:tcW w:w="3827" w:type="dxa"/>
            <w:tcBorders>
              <w:top w:val="single" w:sz="4" w:space="0" w:color="auto"/>
              <w:left w:val="single" w:sz="6" w:space="0" w:color="000000"/>
              <w:bottom w:val="single" w:sz="6" w:space="0" w:color="000000"/>
              <w:right w:val="single" w:sz="6" w:space="0" w:color="000000"/>
            </w:tcBorders>
            <w:vAlign w:val="center"/>
          </w:tcPr>
          <w:p w:rsidR="0092624D" w:rsidRPr="00D17972" w:rsidRDefault="0092624D" w:rsidP="00407D7A">
            <w:pPr>
              <w:autoSpaceDE w:val="0"/>
              <w:autoSpaceDN w:val="0"/>
              <w:adjustRightInd w:val="0"/>
              <w:spacing w:before="40" w:after="40"/>
              <w:rPr>
                <w:color w:val="211D1E"/>
                <w:sz w:val="22"/>
                <w:szCs w:val="22"/>
                <w:lang w:eastAsia="ja-JP"/>
              </w:rPr>
            </w:pPr>
            <w:r w:rsidRPr="00D17972">
              <w:rPr>
                <w:color w:val="211D1E"/>
                <w:sz w:val="22"/>
                <w:szCs w:val="22"/>
                <w:lang w:eastAsia="ja-JP"/>
              </w:rPr>
              <w:t>Weight decrease</w:t>
            </w:r>
          </w:p>
        </w:tc>
      </w:tr>
      <w:tr w:rsidR="0092624D" w:rsidRPr="00D17972" w:rsidTr="00407D7A">
        <w:trPr>
          <w:cantSplit/>
          <w:trHeight w:val="340"/>
        </w:trPr>
        <w:tc>
          <w:tcPr>
            <w:tcW w:w="3119" w:type="dxa"/>
            <w:tcBorders>
              <w:top w:val="single" w:sz="6" w:space="0" w:color="000000"/>
              <w:left w:val="single" w:sz="6" w:space="0" w:color="000000"/>
              <w:right w:val="single" w:sz="6" w:space="0" w:color="000000"/>
            </w:tcBorders>
          </w:tcPr>
          <w:p w:rsidR="0092624D" w:rsidRPr="00D34725" w:rsidRDefault="0092624D" w:rsidP="00407D7A">
            <w:pPr>
              <w:autoSpaceDE w:val="0"/>
              <w:autoSpaceDN w:val="0"/>
              <w:adjustRightInd w:val="0"/>
              <w:spacing w:before="40" w:after="40"/>
              <w:rPr>
                <w:color w:val="211D1E"/>
                <w:sz w:val="22"/>
                <w:szCs w:val="22"/>
                <w:lang w:eastAsia="ja-JP"/>
              </w:rPr>
            </w:pPr>
            <w:r w:rsidRPr="00D34725">
              <w:rPr>
                <w:color w:val="211D1E"/>
                <w:sz w:val="22"/>
                <w:szCs w:val="22"/>
                <w:lang w:eastAsia="ja-JP"/>
              </w:rPr>
              <w:t>Metabolism and nutrition disorders</w:t>
            </w:r>
          </w:p>
        </w:tc>
        <w:tc>
          <w:tcPr>
            <w:tcW w:w="1843" w:type="dxa"/>
            <w:tcBorders>
              <w:top w:val="single" w:sz="6" w:space="0" w:color="000000"/>
              <w:left w:val="single" w:sz="6" w:space="0" w:color="000000"/>
              <w:bottom w:val="single" w:sz="6" w:space="0" w:color="000000"/>
              <w:right w:val="single" w:sz="6" w:space="0" w:color="000000"/>
            </w:tcBorders>
            <w:vAlign w:val="center"/>
          </w:tcPr>
          <w:p w:rsidR="0092624D" w:rsidRPr="00D34725" w:rsidRDefault="0092624D" w:rsidP="00407D7A">
            <w:pPr>
              <w:autoSpaceDE w:val="0"/>
              <w:autoSpaceDN w:val="0"/>
              <w:adjustRightInd w:val="0"/>
              <w:spacing w:before="40" w:after="40"/>
              <w:rPr>
                <w:color w:val="211D1E"/>
                <w:sz w:val="22"/>
                <w:szCs w:val="22"/>
                <w:lang w:eastAsia="ja-JP"/>
              </w:rPr>
            </w:pPr>
            <w:r w:rsidRPr="00D34725">
              <w:rPr>
                <w:color w:val="211D1E"/>
                <w:sz w:val="22"/>
                <w:szCs w:val="22"/>
                <w:lang w:eastAsia="ja-JP"/>
              </w:rPr>
              <w:t>Common</w:t>
            </w:r>
          </w:p>
        </w:tc>
        <w:tc>
          <w:tcPr>
            <w:tcW w:w="3827" w:type="dxa"/>
            <w:tcBorders>
              <w:top w:val="single" w:sz="6" w:space="0" w:color="000000"/>
              <w:left w:val="single" w:sz="6" w:space="0" w:color="000000"/>
              <w:bottom w:val="single" w:sz="6" w:space="0" w:color="000000"/>
              <w:right w:val="single" w:sz="6" w:space="0" w:color="000000"/>
            </w:tcBorders>
            <w:vAlign w:val="center"/>
          </w:tcPr>
          <w:p w:rsidR="0092624D" w:rsidRPr="00D17972" w:rsidRDefault="0092624D" w:rsidP="00407D7A">
            <w:pPr>
              <w:autoSpaceDE w:val="0"/>
              <w:autoSpaceDN w:val="0"/>
              <w:adjustRightInd w:val="0"/>
              <w:spacing w:before="40" w:after="40"/>
              <w:rPr>
                <w:color w:val="211D1E"/>
                <w:sz w:val="22"/>
                <w:szCs w:val="22"/>
                <w:lang w:eastAsia="ja-JP"/>
              </w:rPr>
            </w:pPr>
            <w:r w:rsidRPr="00D17972">
              <w:rPr>
                <w:color w:val="211D1E"/>
                <w:sz w:val="22"/>
                <w:szCs w:val="22"/>
                <w:lang w:eastAsia="ja-JP"/>
              </w:rPr>
              <w:t>Decreased appetite</w:t>
            </w:r>
            <w:r w:rsidR="008511FC" w:rsidRPr="00D17972">
              <w:rPr>
                <w:color w:val="211D1E"/>
                <w:sz w:val="22"/>
                <w:szCs w:val="22"/>
                <w:vertAlign w:val="superscript"/>
                <w:lang w:eastAsia="ja-JP"/>
              </w:rPr>
              <w:t xml:space="preserve"> </w:t>
            </w:r>
          </w:p>
        </w:tc>
      </w:tr>
      <w:tr w:rsidR="0092624D" w:rsidRPr="00D17972" w:rsidTr="00407D7A">
        <w:trPr>
          <w:cantSplit/>
          <w:trHeight w:val="340"/>
        </w:trPr>
        <w:tc>
          <w:tcPr>
            <w:tcW w:w="3119" w:type="dxa"/>
            <w:tcBorders>
              <w:top w:val="single" w:sz="6" w:space="0" w:color="000000"/>
              <w:left w:val="single" w:sz="6" w:space="0" w:color="000000"/>
              <w:bottom w:val="single" w:sz="6" w:space="0" w:color="000000"/>
              <w:right w:val="single" w:sz="6" w:space="0" w:color="000000"/>
            </w:tcBorders>
            <w:vAlign w:val="center"/>
          </w:tcPr>
          <w:p w:rsidR="0092624D" w:rsidRPr="00D34725" w:rsidRDefault="0092624D" w:rsidP="00407D7A">
            <w:pPr>
              <w:autoSpaceDE w:val="0"/>
              <w:autoSpaceDN w:val="0"/>
              <w:adjustRightInd w:val="0"/>
              <w:spacing w:before="40" w:after="40"/>
              <w:rPr>
                <w:color w:val="211D1E"/>
                <w:sz w:val="22"/>
                <w:szCs w:val="22"/>
                <w:lang w:eastAsia="ja-JP"/>
              </w:rPr>
            </w:pPr>
            <w:r w:rsidRPr="00D34725">
              <w:rPr>
                <w:color w:val="211D1E"/>
                <w:sz w:val="22"/>
                <w:szCs w:val="22"/>
                <w:lang w:eastAsia="ja-JP"/>
              </w:rPr>
              <w:t>Musculoskeletal and connective tissue</w:t>
            </w:r>
          </w:p>
        </w:tc>
        <w:tc>
          <w:tcPr>
            <w:tcW w:w="1843" w:type="dxa"/>
            <w:tcBorders>
              <w:top w:val="single" w:sz="6" w:space="0" w:color="000000"/>
              <w:left w:val="single" w:sz="6" w:space="0" w:color="000000"/>
              <w:bottom w:val="single" w:sz="6" w:space="0" w:color="000000"/>
              <w:right w:val="single" w:sz="6" w:space="0" w:color="000000"/>
            </w:tcBorders>
            <w:vAlign w:val="center"/>
          </w:tcPr>
          <w:p w:rsidR="0092624D" w:rsidRPr="00D34725" w:rsidRDefault="0092624D" w:rsidP="00407D7A">
            <w:pPr>
              <w:autoSpaceDE w:val="0"/>
              <w:autoSpaceDN w:val="0"/>
              <w:adjustRightInd w:val="0"/>
              <w:spacing w:before="40" w:after="40"/>
              <w:rPr>
                <w:color w:val="211D1E"/>
                <w:sz w:val="22"/>
                <w:szCs w:val="22"/>
                <w:lang w:eastAsia="ja-JP"/>
              </w:rPr>
            </w:pPr>
            <w:r w:rsidRPr="00D34725">
              <w:rPr>
                <w:color w:val="211D1E"/>
                <w:sz w:val="22"/>
                <w:szCs w:val="22"/>
                <w:lang w:eastAsia="ja-JP"/>
              </w:rPr>
              <w:t>Common</w:t>
            </w:r>
          </w:p>
        </w:tc>
        <w:tc>
          <w:tcPr>
            <w:tcW w:w="3827" w:type="dxa"/>
            <w:tcBorders>
              <w:top w:val="single" w:sz="6" w:space="0" w:color="000000"/>
              <w:left w:val="single" w:sz="6" w:space="0" w:color="000000"/>
              <w:bottom w:val="single" w:sz="6" w:space="0" w:color="000000"/>
              <w:right w:val="single" w:sz="6" w:space="0" w:color="000000"/>
            </w:tcBorders>
            <w:vAlign w:val="center"/>
          </w:tcPr>
          <w:p w:rsidR="0092624D" w:rsidRPr="00D17972" w:rsidRDefault="0092624D" w:rsidP="00407D7A">
            <w:pPr>
              <w:autoSpaceDE w:val="0"/>
              <w:autoSpaceDN w:val="0"/>
              <w:adjustRightInd w:val="0"/>
              <w:spacing w:before="40" w:after="40"/>
              <w:rPr>
                <w:color w:val="211D1E"/>
                <w:sz w:val="22"/>
                <w:szCs w:val="22"/>
                <w:lang w:eastAsia="ja-JP"/>
              </w:rPr>
            </w:pPr>
            <w:r w:rsidRPr="00D17972">
              <w:rPr>
                <w:color w:val="211D1E"/>
                <w:sz w:val="22"/>
                <w:szCs w:val="22"/>
                <w:lang w:eastAsia="ja-JP"/>
              </w:rPr>
              <w:t>Back pain</w:t>
            </w:r>
            <w:r w:rsidR="008511FC" w:rsidRPr="00D17972">
              <w:rPr>
                <w:color w:val="211D1E"/>
                <w:sz w:val="22"/>
                <w:szCs w:val="22"/>
                <w:vertAlign w:val="superscript"/>
                <w:lang w:eastAsia="ja-JP"/>
              </w:rPr>
              <w:t xml:space="preserve"> </w:t>
            </w:r>
          </w:p>
        </w:tc>
      </w:tr>
      <w:tr w:rsidR="0092624D" w:rsidRPr="00D17972" w:rsidTr="00407D7A">
        <w:trPr>
          <w:cantSplit/>
          <w:trHeight w:val="340"/>
        </w:trPr>
        <w:tc>
          <w:tcPr>
            <w:tcW w:w="3119" w:type="dxa"/>
            <w:vMerge w:val="restart"/>
            <w:tcBorders>
              <w:top w:val="single" w:sz="6" w:space="0" w:color="000000"/>
              <w:left w:val="single" w:sz="6" w:space="0" w:color="000000"/>
              <w:right w:val="single" w:sz="6" w:space="0" w:color="000000"/>
            </w:tcBorders>
          </w:tcPr>
          <w:p w:rsidR="0092624D" w:rsidRPr="00D34725" w:rsidRDefault="0092624D" w:rsidP="00407D7A">
            <w:pPr>
              <w:autoSpaceDE w:val="0"/>
              <w:autoSpaceDN w:val="0"/>
              <w:adjustRightInd w:val="0"/>
              <w:spacing w:before="40" w:after="40"/>
              <w:rPr>
                <w:color w:val="211D1E"/>
                <w:sz w:val="22"/>
                <w:szCs w:val="22"/>
                <w:lang w:eastAsia="ja-JP"/>
              </w:rPr>
            </w:pPr>
            <w:r w:rsidRPr="00D34725">
              <w:rPr>
                <w:color w:val="211D1E"/>
                <w:sz w:val="22"/>
                <w:szCs w:val="22"/>
                <w:lang w:eastAsia="ja-JP"/>
              </w:rPr>
              <w:t>Nervous system disorders</w:t>
            </w:r>
          </w:p>
        </w:tc>
        <w:tc>
          <w:tcPr>
            <w:tcW w:w="1843" w:type="dxa"/>
            <w:vMerge w:val="restart"/>
            <w:tcBorders>
              <w:top w:val="single" w:sz="6" w:space="0" w:color="000000"/>
              <w:left w:val="single" w:sz="6" w:space="0" w:color="000000"/>
              <w:right w:val="single" w:sz="6" w:space="0" w:color="000000"/>
            </w:tcBorders>
          </w:tcPr>
          <w:p w:rsidR="0092624D" w:rsidRPr="00D34725" w:rsidRDefault="0092624D" w:rsidP="00407D7A">
            <w:pPr>
              <w:autoSpaceDE w:val="0"/>
              <w:autoSpaceDN w:val="0"/>
              <w:adjustRightInd w:val="0"/>
              <w:spacing w:before="40" w:after="40"/>
              <w:rPr>
                <w:color w:val="211D1E"/>
                <w:sz w:val="22"/>
                <w:szCs w:val="22"/>
                <w:lang w:eastAsia="ja-JP"/>
              </w:rPr>
            </w:pPr>
            <w:r w:rsidRPr="00D34725">
              <w:rPr>
                <w:color w:val="211D1E"/>
                <w:sz w:val="22"/>
                <w:szCs w:val="22"/>
                <w:lang w:eastAsia="ja-JP"/>
              </w:rPr>
              <w:t>Common</w:t>
            </w:r>
          </w:p>
        </w:tc>
        <w:tc>
          <w:tcPr>
            <w:tcW w:w="3827" w:type="dxa"/>
            <w:tcBorders>
              <w:top w:val="single" w:sz="6" w:space="0" w:color="000000"/>
              <w:left w:val="single" w:sz="6" w:space="0" w:color="000000"/>
              <w:bottom w:val="single" w:sz="6" w:space="0" w:color="000000"/>
              <w:right w:val="single" w:sz="6" w:space="0" w:color="000000"/>
            </w:tcBorders>
            <w:vAlign w:val="center"/>
          </w:tcPr>
          <w:p w:rsidR="0092624D" w:rsidRPr="00D17972" w:rsidRDefault="00FB5526" w:rsidP="00407D7A">
            <w:pPr>
              <w:autoSpaceDE w:val="0"/>
              <w:autoSpaceDN w:val="0"/>
              <w:adjustRightInd w:val="0"/>
              <w:spacing w:before="40" w:after="40"/>
              <w:rPr>
                <w:color w:val="211D1E"/>
                <w:sz w:val="22"/>
                <w:szCs w:val="22"/>
                <w:lang w:eastAsia="ja-JP"/>
              </w:rPr>
            </w:pPr>
            <w:r w:rsidRPr="00D17972">
              <w:rPr>
                <w:color w:val="211D1E"/>
                <w:sz w:val="22"/>
                <w:szCs w:val="22"/>
                <w:lang w:eastAsia="ja-JP"/>
              </w:rPr>
              <w:t>Migraine</w:t>
            </w:r>
          </w:p>
        </w:tc>
      </w:tr>
      <w:tr w:rsidR="0092624D" w:rsidRPr="00D17972" w:rsidTr="00407D7A">
        <w:trPr>
          <w:cantSplit/>
          <w:trHeight w:val="340"/>
        </w:trPr>
        <w:tc>
          <w:tcPr>
            <w:tcW w:w="3119" w:type="dxa"/>
            <w:vMerge/>
            <w:tcBorders>
              <w:left w:val="single" w:sz="6" w:space="0" w:color="000000"/>
              <w:right w:val="single" w:sz="6" w:space="0" w:color="000000"/>
            </w:tcBorders>
            <w:vAlign w:val="center"/>
          </w:tcPr>
          <w:p w:rsidR="0092624D" w:rsidRPr="00D34725" w:rsidRDefault="0092624D" w:rsidP="00407D7A">
            <w:pPr>
              <w:autoSpaceDE w:val="0"/>
              <w:autoSpaceDN w:val="0"/>
              <w:adjustRightInd w:val="0"/>
              <w:spacing w:before="40" w:after="40"/>
              <w:rPr>
                <w:color w:val="211D1E"/>
                <w:sz w:val="22"/>
                <w:szCs w:val="22"/>
                <w:lang w:eastAsia="ja-JP"/>
              </w:rPr>
            </w:pPr>
          </w:p>
        </w:tc>
        <w:tc>
          <w:tcPr>
            <w:tcW w:w="1843" w:type="dxa"/>
            <w:vMerge/>
            <w:tcBorders>
              <w:left w:val="single" w:sz="6" w:space="0" w:color="000000"/>
              <w:right w:val="single" w:sz="6" w:space="0" w:color="000000"/>
            </w:tcBorders>
            <w:vAlign w:val="center"/>
          </w:tcPr>
          <w:p w:rsidR="0092624D" w:rsidRPr="00D34725" w:rsidRDefault="0092624D" w:rsidP="00407D7A">
            <w:pPr>
              <w:autoSpaceDE w:val="0"/>
              <w:autoSpaceDN w:val="0"/>
              <w:adjustRightInd w:val="0"/>
              <w:spacing w:before="40" w:after="40"/>
              <w:rPr>
                <w:color w:val="211D1E"/>
                <w:sz w:val="22"/>
                <w:szCs w:val="22"/>
                <w:lang w:eastAsia="ja-JP"/>
              </w:rPr>
            </w:pPr>
          </w:p>
        </w:tc>
        <w:tc>
          <w:tcPr>
            <w:tcW w:w="3827" w:type="dxa"/>
            <w:tcBorders>
              <w:top w:val="single" w:sz="6" w:space="0" w:color="000000"/>
              <w:left w:val="single" w:sz="6" w:space="0" w:color="000000"/>
              <w:bottom w:val="single" w:sz="6" w:space="0" w:color="000000"/>
              <w:right w:val="single" w:sz="6" w:space="0" w:color="000000"/>
            </w:tcBorders>
            <w:vAlign w:val="center"/>
          </w:tcPr>
          <w:p w:rsidR="0092624D" w:rsidRPr="00D17972" w:rsidRDefault="00FB5526" w:rsidP="00407D7A">
            <w:pPr>
              <w:autoSpaceDE w:val="0"/>
              <w:autoSpaceDN w:val="0"/>
              <w:adjustRightInd w:val="0"/>
              <w:spacing w:before="40" w:after="40"/>
              <w:rPr>
                <w:color w:val="211D1E"/>
                <w:sz w:val="22"/>
                <w:szCs w:val="22"/>
                <w:lang w:eastAsia="ja-JP"/>
              </w:rPr>
            </w:pPr>
            <w:r w:rsidRPr="00D17972">
              <w:rPr>
                <w:color w:val="211D1E"/>
                <w:sz w:val="22"/>
                <w:szCs w:val="22"/>
                <w:lang w:eastAsia="ja-JP"/>
              </w:rPr>
              <w:t>Tension Headache</w:t>
            </w:r>
            <w:r w:rsidRPr="00D17972">
              <w:rPr>
                <w:color w:val="211D1E"/>
                <w:sz w:val="22"/>
                <w:szCs w:val="22"/>
                <w:vertAlign w:val="superscript"/>
                <w:lang w:eastAsia="ja-JP"/>
              </w:rPr>
              <w:t xml:space="preserve"> </w:t>
            </w:r>
          </w:p>
        </w:tc>
      </w:tr>
      <w:tr w:rsidR="0092624D" w:rsidRPr="00D17972" w:rsidTr="00407D7A">
        <w:trPr>
          <w:cantSplit/>
          <w:trHeight w:val="340"/>
        </w:trPr>
        <w:tc>
          <w:tcPr>
            <w:tcW w:w="3119" w:type="dxa"/>
            <w:vMerge/>
            <w:tcBorders>
              <w:left w:val="single" w:sz="6" w:space="0" w:color="000000"/>
              <w:bottom w:val="single" w:sz="6" w:space="0" w:color="000000"/>
              <w:right w:val="single" w:sz="6" w:space="0" w:color="000000"/>
            </w:tcBorders>
            <w:vAlign w:val="center"/>
          </w:tcPr>
          <w:p w:rsidR="0092624D" w:rsidRPr="00D34725" w:rsidRDefault="0092624D" w:rsidP="00407D7A">
            <w:pPr>
              <w:autoSpaceDE w:val="0"/>
              <w:autoSpaceDN w:val="0"/>
              <w:adjustRightInd w:val="0"/>
              <w:spacing w:before="40" w:after="40"/>
              <w:rPr>
                <w:color w:val="211D1E"/>
                <w:sz w:val="22"/>
                <w:szCs w:val="22"/>
                <w:lang w:eastAsia="ja-JP"/>
              </w:rPr>
            </w:pPr>
          </w:p>
        </w:tc>
        <w:tc>
          <w:tcPr>
            <w:tcW w:w="1843" w:type="dxa"/>
            <w:vMerge/>
            <w:tcBorders>
              <w:left w:val="single" w:sz="6" w:space="0" w:color="000000"/>
              <w:bottom w:val="single" w:sz="6" w:space="0" w:color="000000"/>
              <w:right w:val="single" w:sz="6" w:space="0" w:color="000000"/>
            </w:tcBorders>
            <w:vAlign w:val="center"/>
          </w:tcPr>
          <w:p w:rsidR="0092624D" w:rsidRPr="00D34725" w:rsidRDefault="0092624D" w:rsidP="00407D7A">
            <w:pPr>
              <w:autoSpaceDE w:val="0"/>
              <w:autoSpaceDN w:val="0"/>
              <w:adjustRightInd w:val="0"/>
              <w:spacing w:before="40" w:after="40"/>
              <w:rPr>
                <w:color w:val="211D1E"/>
                <w:sz w:val="22"/>
                <w:szCs w:val="22"/>
                <w:lang w:eastAsia="ja-JP"/>
              </w:rPr>
            </w:pPr>
          </w:p>
        </w:tc>
        <w:tc>
          <w:tcPr>
            <w:tcW w:w="3827" w:type="dxa"/>
            <w:tcBorders>
              <w:top w:val="single" w:sz="6" w:space="0" w:color="000000"/>
              <w:left w:val="single" w:sz="6" w:space="0" w:color="000000"/>
              <w:bottom w:val="single" w:sz="6" w:space="0" w:color="000000"/>
              <w:right w:val="single" w:sz="6" w:space="0" w:color="000000"/>
            </w:tcBorders>
            <w:vAlign w:val="center"/>
          </w:tcPr>
          <w:p w:rsidR="0092624D" w:rsidRPr="00D17972" w:rsidRDefault="00FB5526" w:rsidP="00407D7A">
            <w:pPr>
              <w:autoSpaceDE w:val="0"/>
              <w:autoSpaceDN w:val="0"/>
              <w:adjustRightInd w:val="0"/>
              <w:spacing w:before="40" w:after="40"/>
              <w:rPr>
                <w:color w:val="211D1E"/>
                <w:sz w:val="22"/>
                <w:szCs w:val="22"/>
                <w:lang w:eastAsia="ja-JP"/>
              </w:rPr>
            </w:pPr>
            <w:r w:rsidRPr="00D17972">
              <w:rPr>
                <w:color w:val="211D1E"/>
                <w:sz w:val="22"/>
                <w:szCs w:val="22"/>
                <w:lang w:eastAsia="ja-JP"/>
              </w:rPr>
              <w:t>Headache</w:t>
            </w:r>
            <w:r w:rsidRPr="00D17972">
              <w:rPr>
                <w:color w:val="211D1E"/>
                <w:sz w:val="22"/>
                <w:szCs w:val="22"/>
                <w:vertAlign w:val="superscript"/>
                <w:lang w:eastAsia="ja-JP"/>
              </w:rPr>
              <w:t xml:space="preserve"> </w:t>
            </w:r>
          </w:p>
        </w:tc>
      </w:tr>
      <w:tr w:rsidR="0092624D" w:rsidRPr="00D17972" w:rsidTr="00407D7A">
        <w:trPr>
          <w:cantSplit/>
          <w:trHeight w:val="340"/>
        </w:trPr>
        <w:tc>
          <w:tcPr>
            <w:tcW w:w="3119" w:type="dxa"/>
            <w:tcBorders>
              <w:top w:val="single" w:sz="6" w:space="0" w:color="000000"/>
              <w:left w:val="single" w:sz="6" w:space="0" w:color="000000"/>
              <w:bottom w:val="single" w:sz="6" w:space="0" w:color="000000"/>
              <w:right w:val="single" w:sz="6" w:space="0" w:color="000000"/>
            </w:tcBorders>
          </w:tcPr>
          <w:p w:rsidR="0092624D" w:rsidRPr="00D34725" w:rsidRDefault="0092624D" w:rsidP="00407D7A">
            <w:pPr>
              <w:autoSpaceDE w:val="0"/>
              <w:autoSpaceDN w:val="0"/>
              <w:adjustRightInd w:val="0"/>
              <w:spacing w:before="40" w:after="40"/>
              <w:rPr>
                <w:color w:val="211D1E"/>
                <w:sz w:val="22"/>
                <w:szCs w:val="22"/>
                <w:lang w:eastAsia="ja-JP"/>
              </w:rPr>
            </w:pPr>
            <w:r w:rsidRPr="00D34725">
              <w:rPr>
                <w:color w:val="211D1E"/>
                <w:sz w:val="22"/>
                <w:szCs w:val="22"/>
                <w:lang w:eastAsia="ja-JP"/>
              </w:rPr>
              <w:t>Psychiatric disorders</w:t>
            </w:r>
          </w:p>
        </w:tc>
        <w:tc>
          <w:tcPr>
            <w:tcW w:w="1843" w:type="dxa"/>
            <w:tcBorders>
              <w:top w:val="single" w:sz="6" w:space="0" w:color="000000"/>
              <w:left w:val="single" w:sz="6" w:space="0" w:color="000000"/>
              <w:bottom w:val="single" w:sz="6" w:space="0" w:color="000000"/>
              <w:right w:val="single" w:sz="6" w:space="0" w:color="000000"/>
            </w:tcBorders>
          </w:tcPr>
          <w:p w:rsidR="0092624D" w:rsidRPr="00D34725" w:rsidRDefault="0092624D" w:rsidP="00407D7A">
            <w:pPr>
              <w:autoSpaceDE w:val="0"/>
              <w:autoSpaceDN w:val="0"/>
              <w:adjustRightInd w:val="0"/>
              <w:spacing w:before="40" w:after="40"/>
              <w:rPr>
                <w:color w:val="211D1E"/>
                <w:sz w:val="22"/>
                <w:szCs w:val="22"/>
                <w:lang w:eastAsia="ja-JP"/>
              </w:rPr>
            </w:pPr>
            <w:r w:rsidRPr="00D34725">
              <w:rPr>
                <w:color w:val="211D1E"/>
                <w:sz w:val="22"/>
                <w:szCs w:val="22"/>
                <w:lang w:eastAsia="ja-JP"/>
              </w:rPr>
              <w:t>Common</w:t>
            </w:r>
          </w:p>
        </w:tc>
        <w:tc>
          <w:tcPr>
            <w:tcW w:w="3827" w:type="dxa"/>
            <w:tcBorders>
              <w:top w:val="single" w:sz="6" w:space="0" w:color="000000"/>
              <w:left w:val="single" w:sz="6" w:space="0" w:color="000000"/>
              <w:bottom w:val="single" w:sz="6" w:space="0" w:color="000000"/>
              <w:right w:val="single" w:sz="6" w:space="0" w:color="000000"/>
            </w:tcBorders>
            <w:vAlign w:val="center"/>
          </w:tcPr>
          <w:p w:rsidR="0092624D" w:rsidRPr="00D17972" w:rsidRDefault="0092624D" w:rsidP="00407D7A">
            <w:pPr>
              <w:autoSpaceDE w:val="0"/>
              <w:autoSpaceDN w:val="0"/>
              <w:adjustRightInd w:val="0"/>
              <w:spacing w:before="40" w:after="40"/>
              <w:rPr>
                <w:color w:val="211D1E"/>
                <w:sz w:val="22"/>
                <w:szCs w:val="22"/>
                <w:lang w:eastAsia="ja-JP"/>
              </w:rPr>
            </w:pPr>
            <w:r w:rsidRPr="00D17972">
              <w:rPr>
                <w:color w:val="211D1E"/>
                <w:sz w:val="22"/>
                <w:szCs w:val="22"/>
                <w:lang w:eastAsia="ja-JP"/>
              </w:rPr>
              <w:t>Insomnia</w:t>
            </w:r>
          </w:p>
        </w:tc>
      </w:tr>
      <w:tr w:rsidR="0092624D" w:rsidRPr="00E9444C" w:rsidTr="00407D7A">
        <w:trPr>
          <w:cantSplit/>
          <w:trHeight w:val="340"/>
        </w:trPr>
        <w:tc>
          <w:tcPr>
            <w:tcW w:w="3119" w:type="dxa"/>
            <w:tcBorders>
              <w:top w:val="single" w:sz="6" w:space="0" w:color="000000"/>
              <w:left w:val="single" w:sz="6" w:space="0" w:color="000000"/>
              <w:bottom w:val="single" w:sz="6" w:space="0" w:color="000000"/>
              <w:right w:val="single" w:sz="6" w:space="0" w:color="000000"/>
            </w:tcBorders>
          </w:tcPr>
          <w:p w:rsidR="0092624D" w:rsidRPr="00D34725" w:rsidRDefault="0092624D" w:rsidP="00407D7A">
            <w:pPr>
              <w:autoSpaceDE w:val="0"/>
              <w:autoSpaceDN w:val="0"/>
              <w:adjustRightInd w:val="0"/>
              <w:spacing w:before="40" w:after="40"/>
              <w:rPr>
                <w:color w:val="211D1E"/>
                <w:sz w:val="22"/>
                <w:szCs w:val="22"/>
                <w:lang w:eastAsia="ja-JP"/>
              </w:rPr>
            </w:pPr>
            <w:r w:rsidRPr="00D34725">
              <w:rPr>
                <w:color w:val="211D1E"/>
                <w:sz w:val="22"/>
                <w:szCs w:val="22"/>
                <w:lang w:eastAsia="ja-JP"/>
              </w:rPr>
              <w:lastRenderedPageBreak/>
              <w:t>Respiratory, thoracic, and mediastinal disorders</w:t>
            </w:r>
          </w:p>
        </w:tc>
        <w:tc>
          <w:tcPr>
            <w:tcW w:w="1843" w:type="dxa"/>
            <w:tcBorders>
              <w:top w:val="single" w:sz="6" w:space="0" w:color="000000"/>
              <w:left w:val="single" w:sz="6" w:space="0" w:color="000000"/>
              <w:bottom w:val="single" w:sz="6" w:space="0" w:color="000000"/>
              <w:right w:val="single" w:sz="6" w:space="0" w:color="000000"/>
            </w:tcBorders>
          </w:tcPr>
          <w:p w:rsidR="0092624D" w:rsidRPr="00D34725" w:rsidRDefault="0092624D" w:rsidP="00407D7A">
            <w:pPr>
              <w:autoSpaceDE w:val="0"/>
              <w:autoSpaceDN w:val="0"/>
              <w:adjustRightInd w:val="0"/>
              <w:spacing w:before="40" w:after="40"/>
              <w:rPr>
                <w:color w:val="211D1E"/>
                <w:sz w:val="22"/>
                <w:szCs w:val="22"/>
                <w:lang w:eastAsia="ja-JP"/>
              </w:rPr>
            </w:pPr>
            <w:r w:rsidRPr="00D34725">
              <w:rPr>
                <w:color w:val="211D1E"/>
                <w:sz w:val="22"/>
                <w:szCs w:val="22"/>
                <w:lang w:eastAsia="ja-JP"/>
              </w:rPr>
              <w:t>Common</w:t>
            </w:r>
          </w:p>
        </w:tc>
        <w:tc>
          <w:tcPr>
            <w:tcW w:w="3827" w:type="dxa"/>
            <w:tcBorders>
              <w:top w:val="single" w:sz="6" w:space="0" w:color="000000"/>
              <w:left w:val="single" w:sz="6" w:space="0" w:color="000000"/>
              <w:bottom w:val="single" w:sz="6" w:space="0" w:color="000000"/>
              <w:right w:val="single" w:sz="6" w:space="0" w:color="000000"/>
            </w:tcBorders>
          </w:tcPr>
          <w:p w:rsidR="0092624D" w:rsidRPr="00D34725" w:rsidRDefault="0092624D" w:rsidP="00407D7A">
            <w:pPr>
              <w:autoSpaceDE w:val="0"/>
              <w:autoSpaceDN w:val="0"/>
              <w:adjustRightInd w:val="0"/>
              <w:spacing w:before="40" w:after="40"/>
              <w:rPr>
                <w:color w:val="211D1E"/>
                <w:sz w:val="22"/>
                <w:szCs w:val="22"/>
                <w:lang w:eastAsia="ja-JP"/>
              </w:rPr>
            </w:pPr>
            <w:r w:rsidRPr="00D34725">
              <w:rPr>
                <w:color w:val="211D1E"/>
                <w:sz w:val="22"/>
                <w:szCs w:val="22"/>
                <w:lang w:eastAsia="ja-JP"/>
              </w:rPr>
              <w:t>Cough</w:t>
            </w:r>
          </w:p>
        </w:tc>
      </w:tr>
      <w:tr w:rsidR="0092624D" w:rsidRPr="00E9444C" w:rsidTr="00407D7A">
        <w:trPr>
          <w:cantSplit/>
          <w:trHeight w:val="340"/>
        </w:trPr>
        <w:tc>
          <w:tcPr>
            <w:tcW w:w="3119" w:type="dxa"/>
            <w:tcBorders>
              <w:left w:val="single" w:sz="6" w:space="0" w:color="000000"/>
              <w:bottom w:val="single" w:sz="6" w:space="0" w:color="000000"/>
              <w:right w:val="single" w:sz="6" w:space="0" w:color="000000"/>
            </w:tcBorders>
            <w:vAlign w:val="center"/>
          </w:tcPr>
          <w:p w:rsidR="0092624D" w:rsidRPr="00D34725" w:rsidRDefault="0092624D" w:rsidP="00407D7A">
            <w:pPr>
              <w:autoSpaceDE w:val="0"/>
              <w:autoSpaceDN w:val="0"/>
              <w:adjustRightInd w:val="0"/>
              <w:spacing w:before="40" w:after="40"/>
              <w:rPr>
                <w:color w:val="211D1E"/>
                <w:sz w:val="22"/>
                <w:szCs w:val="22"/>
                <w:lang w:eastAsia="ja-JP"/>
              </w:rPr>
            </w:pPr>
            <w:r w:rsidRPr="00D34725">
              <w:rPr>
                <w:color w:val="211D1E"/>
                <w:sz w:val="22"/>
                <w:szCs w:val="22"/>
                <w:lang w:eastAsia="ja-JP"/>
              </w:rPr>
              <w:t>Skin and subcutaneous tissue disorders</w:t>
            </w:r>
          </w:p>
        </w:tc>
        <w:tc>
          <w:tcPr>
            <w:tcW w:w="1843" w:type="dxa"/>
            <w:tcBorders>
              <w:left w:val="single" w:sz="6" w:space="0" w:color="000000"/>
              <w:bottom w:val="single" w:sz="6" w:space="0" w:color="000000"/>
              <w:right w:val="single" w:sz="6" w:space="0" w:color="000000"/>
            </w:tcBorders>
            <w:vAlign w:val="center"/>
          </w:tcPr>
          <w:p w:rsidR="0092624D" w:rsidRPr="00D34725" w:rsidRDefault="0092624D" w:rsidP="00407D7A">
            <w:pPr>
              <w:autoSpaceDE w:val="0"/>
              <w:autoSpaceDN w:val="0"/>
              <w:adjustRightInd w:val="0"/>
              <w:spacing w:before="40" w:after="40"/>
              <w:rPr>
                <w:color w:val="211D1E"/>
                <w:sz w:val="22"/>
                <w:szCs w:val="22"/>
                <w:lang w:eastAsia="ja-JP"/>
              </w:rPr>
            </w:pPr>
            <w:r w:rsidRPr="00D34725">
              <w:rPr>
                <w:color w:val="211D1E"/>
                <w:sz w:val="22"/>
                <w:szCs w:val="22"/>
                <w:lang w:eastAsia="ja-JP"/>
              </w:rPr>
              <w:t>Uncommon</w:t>
            </w:r>
          </w:p>
        </w:tc>
        <w:tc>
          <w:tcPr>
            <w:tcW w:w="3827" w:type="dxa"/>
            <w:tcBorders>
              <w:top w:val="single" w:sz="6" w:space="0" w:color="000000"/>
              <w:left w:val="single" w:sz="6" w:space="0" w:color="000000"/>
              <w:bottom w:val="single" w:sz="6" w:space="0" w:color="000000"/>
              <w:right w:val="single" w:sz="6" w:space="0" w:color="000000"/>
            </w:tcBorders>
            <w:vAlign w:val="center"/>
          </w:tcPr>
          <w:p w:rsidR="0092624D" w:rsidRPr="00D34725" w:rsidRDefault="0092624D" w:rsidP="00407D7A">
            <w:pPr>
              <w:autoSpaceDE w:val="0"/>
              <w:autoSpaceDN w:val="0"/>
              <w:adjustRightInd w:val="0"/>
              <w:spacing w:before="40" w:after="40"/>
              <w:rPr>
                <w:color w:val="211D1E"/>
                <w:sz w:val="22"/>
                <w:szCs w:val="22"/>
                <w:lang w:eastAsia="ja-JP"/>
              </w:rPr>
            </w:pPr>
            <w:r w:rsidRPr="00D34725">
              <w:rPr>
                <w:color w:val="211D1E"/>
                <w:sz w:val="22"/>
                <w:szCs w:val="22"/>
                <w:lang w:eastAsia="ja-JP"/>
              </w:rPr>
              <w:t>Rash</w:t>
            </w:r>
          </w:p>
        </w:tc>
      </w:tr>
    </w:tbl>
    <w:p w:rsidR="009F3195" w:rsidRPr="00376F7F" w:rsidRDefault="00347CFF" w:rsidP="00A279A6">
      <w:pPr>
        <w:rPr>
          <w:color w:val="211D1E"/>
          <w:sz w:val="18"/>
          <w:szCs w:val="18"/>
          <w:lang w:eastAsia="ja-JP"/>
        </w:rPr>
      </w:pPr>
      <w:proofErr w:type="gramStart"/>
      <w:r w:rsidRPr="00376F7F">
        <w:rPr>
          <w:color w:val="211D1E"/>
          <w:sz w:val="18"/>
          <w:szCs w:val="18"/>
          <w:vertAlign w:val="superscript"/>
          <w:lang w:eastAsia="ja-JP"/>
        </w:rPr>
        <w:t>a</w:t>
      </w:r>
      <w:proofErr w:type="gramEnd"/>
      <w:r w:rsidR="004354AD">
        <w:rPr>
          <w:color w:val="211D1E"/>
          <w:sz w:val="18"/>
          <w:szCs w:val="18"/>
          <w:lang w:eastAsia="ja-JP"/>
        </w:rPr>
        <w:t xml:space="preserve"> </w:t>
      </w:r>
      <w:r w:rsidRPr="00376F7F">
        <w:rPr>
          <w:color w:val="211D1E"/>
          <w:sz w:val="18"/>
          <w:szCs w:val="18"/>
          <w:lang w:eastAsia="ja-JP"/>
        </w:rPr>
        <w:t>Preferred Terms are coded using the MedDRA (Version 14.0)</w:t>
      </w:r>
    </w:p>
    <w:p w:rsidR="00347CFF" w:rsidRDefault="00347CFF" w:rsidP="00A279A6"/>
    <w:p w:rsidR="007A5CF3" w:rsidRDefault="007A5CF3" w:rsidP="00A279A6"/>
    <w:p w:rsidR="0012451A" w:rsidRDefault="009F3195" w:rsidP="00981E3B">
      <w:pPr>
        <w:rPr>
          <w:sz w:val="22"/>
          <w:szCs w:val="22"/>
        </w:rPr>
      </w:pPr>
      <w:r w:rsidRPr="00A279A6">
        <w:rPr>
          <w:sz w:val="22"/>
          <w:szCs w:val="22"/>
        </w:rPr>
        <w:t>The most commonly reported adverse reactions in Phase 3 (Studies PALACE 1, PALACE 2, PALACE 3, PALACE 4 and ESTEEM 1 and ESTEEM 2) clinical studies have been</w:t>
      </w:r>
      <w:r w:rsidRPr="00A279A6">
        <w:rPr>
          <w:color w:val="1F497D"/>
          <w:sz w:val="22"/>
          <w:szCs w:val="22"/>
        </w:rPr>
        <w:t xml:space="preserve"> </w:t>
      </w:r>
      <w:r w:rsidRPr="00A279A6">
        <w:rPr>
          <w:sz w:val="22"/>
          <w:szCs w:val="22"/>
        </w:rPr>
        <w:t xml:space="preserve">gastrointestinal (GI) disorders including diarrhoea (15.7%) and nausea (13.9%). </w:t>
      </w:r>
      <w:r w:rsidRPr="00A279A6">
        <w:rPr>
          <w:color w:val="1F497D"/>
          <w:sz w:val="22"/>
          <w:szCs w:val="22"/>
        </w:rPr>
        <w:t xml:space="preserve"> </w:t>
      </w:r>
      <w:r w:rsidRPr="00A279A6">
        <w:rPr>
          <w:sz w:val="22"/>
          <w:szCs w:val="22"/>
        </w:rPr>
        <w:t>These GI adverse reactions were mostly mild to moderate in severity, with 0.3% of</w:t>
      </w:r>
      <w:r w:rsidR="002B6E65">
        <w:rPr>
          <w:sz w:val="22"/>
          <w:szCs w:val="22"/>
        </w:rPr>
        <w:t xml:space="preserve"> patients reporting</w:t>
      </w:r>
      <w:r w:rsidRPr="00A279A6">
        <w:rPr>
          <w:sz w:val="22"/>
          <w:szCs w:val="22"/>
        </w:rPr>
        <w:t xml:space="preserve"> </w:t>
      </w:r>
      <w:r w:rsidR="004B6456">
        <w:rPr>
          <w:sz w:val="22"/>
          <w:szCs w:val="22"/>
        </w:rPr>
        <w:t xml:space="preserve">severe </w:t>
      </w:r>
      <w:r w:rsidRPr="00A279A6">
        <w:rPr>
          <w:sz w:val="22"/>
          <w:szCs w:val="22"/>
        </w:rPr>
        <w:t xml:space="preserve">diarrhoea and 0.3% of </w:t>
      </w:r>
      <w:r w:rsidR="005B52D0">
        <w:rPr>
          <w:sz w:val="22"/>
          <w:szCs w:val="22"/>
        </w:rPr>
        <w:t xml:space="preserve">patients reporting </w:t>
      </w:r>
      <w:r w:rsidR="004B6456">
        <w:rPr>
          <w:sz w:val="22"/>
          <w:szCs w:val="22"/>
        </w:rPr>
        <w:t xml:space="preserve">severe </w:t>
      </w:r>
      <w:r w:rsidR="00F717FC" w:rsidRPr="00A279A6">
        <w:rPr>
          <w:sz w:val="22"/>
          <w:szCs w:val="22"/>
        </w:rPr>
        <w:t>nausea.</w:t>
      </w:r>
      <w:r w:rsidRPr="00A279A6">
        <w:rPr>
          <w:sz w:val="22"/>
          <w:szCs w:val="22"/>
        </w:rPr>
        <w:t xml:space="preserve">  These adverse reactions generally occurred within the first 2 weeks of treatment and usually resolved within 4 weeks.  The other most commonly reported adverse reactions included upper respiratory tract infections (8.4%), headache (7.9%), and tension headache (7.2%)</w:t>
      </w:r>
      <w:r w:rsidRPr="00A279A6">
        <w:rPr>
          <w:color w:val="1F497D"/>
          <w:sz w:val="22"/>
          <w:szCs w:val="22"/>
        </w:rPr>
        <w:t>.</w:t>
      </w:r>
      <w:r w:rsidRPr="00A279A6">
        <w:rPr>
          <w:sz w:val="22"/>
          <w:szCs w:val="22"/>
        </w:rPr>
        <w:t xml:space="preserve"> </w:t>
      </w:r>
    </w:p>
    <w:p w:rsidR="00612634" w:rsidRDefault="009F3195" w:rsidP="00587C69">
      <w:pPr>
        <w:pStyle w:val="NormalWeb"/>
        <w:spacing w:before="0" w:beforeAutospacing="0" w:after="0" w:afterAutospacing="0"/>
        <w:rPr>
          <w:sz w:val="22"/>
          <w:szCs w:val="22"/>
        </w:rPr>
      </w:pPr>
      <w:r w:rsidRPr="00A279A6">
        <w:rPr>
          <w:sz w:val="22"/>
          <w:szCs w:val="22"/>
        </w:rPr>
        <w:t>Overall, most</w:t>
      </w:r>
      <w:r w:rsidRPr="00A279A6">
        <w:rPr>
          <w:color w:val="1F497D"/>
          <w:sz w:val="22"/>
          <w:szCs w:val="22"/>
        </w:rPr>
        <w:t xml:space="preserve"> </w:t>
      </w:r>
      <w:r w:rsidRPr="00A279A6">
        <w:rPr>
          <w:sz w:val="22"/>
          <w:szCs w:val="22"/>
        </w:rPr>
        <w:t>adverse reactions were considered to be mild or moderate</w:t>
      </w:r>
      <w:r w:rsidRPr="00A279A6">
        <w:rPr>
          <w:color w:val="1F497D"/>
          <w:sz w:val="22"/>
          <w:szCs w:val="22"/>
        </w:rPr>
        <w:t xml:space="preserve"> </w:t>
      </w:r>
      <w:r w:rsidRPr="00A279A6">
        <w:rPr>
          <w:sz w:val="22"/>
          <w:szCs w:val="22"/>
        </w:rPr>
        <w:t xml:space="preserve">in severity. </w:t>
      </w:r>
      <w:r w:rsidRPr="00612634">
        <w:rPr>
          <w:sz w:val="22"/>
          <w:szCs w:val="22"/>
        </w:rPr>
        <w:t xml:space="preserve">The most common adverse reactions leading to discontinuation during the first 16 weeks of treatment were diarrhoea (1.7%), and nausea (1.5%).  </w:t>
      </w:r>
    </w:p>
    <w:p w:rsidR="009C05F3" w:rsidRDefault="009C05F3" w:rsidP="009C05F3">
      <w:pPr>
        <w:pStyle w:val="NormalWeb"/>
        <w:spacing w:before="0" w:beforeAutospacing="0" w:after="0" w:afterAutospacing="0"/>
        <w:jc w:val="both"/>
        <w:rPr>
          <w:rStyle w:val="CommentReference"/>
          <w:sz w:val="22"/>
          <w:szCs w:val="22"/>
          <w:lang w:val="en-GB"/>
        </w:rPr>
      </w:pPr>
    </w:p>
    <w:p w:rsidR="00BB284A" w:rsidRPr="00981E3B" w:rsidRDefault="00BB284A" w:rsidP="00BB284A">
      <w:pPr>
        <w:spacing w:before="120"/>
        <w:jc w:val="both"/>
        <w:rPr>
          <w:b/>
          <w:sz w:val="22"/>
          <w:szCs w:val="22"/>
        </w:rPr>
      </w:pPr>
      <w:r w:rsidRPr="00981E3B">
        <w:rPr>
          <w:b/>
          <w:sz w:val="22"/>
          <w:szCs w:val="22"/>
        </w:rPr>
        <w:t>Description of selected adverse reactions:</w:t>
      </w:r>
    </w:p>
    <w:p w:rsidR="00BB284A" w:rsidRDefault="00BB284A" w:rsidP="009C05F3">
      <w:pPr>
        <w:pStyle w:val="NormalWeb"/>
        <w:spacing w:before="0" w:beforeAutospacing="0" w:after="0" w:afterAutospacing="0"/>
        <w:jc w:val="both"/>
        <w:rPr>
          <w:rStyle w:val="CommentReference"/>
          <w:sz w:val="22"/>
          <w:szCs w:val="22"/>
          <w:lang w:val="en-GB"/>
        </w:rPr>
      </w:pPr>
    </w:p>
    <w:p w:rsidR="00CF5621" w:rsidRPr="001114D3" w:rsidRDefault="00CF5621" w:rsidP="009C05F3">
      <w:pPr>
        <w:jc w:val="both"/>
        <w:rPr>
          <w:i/>
          <w:sz w:val="22"/>
          <w:szCs w:val="22"/>
          <w:u w:val="single"/>
        </w:rPr>
      </w:pPr>
      <w:r w:rsidRPr="001114D3">
        <w:rPr>
          <w:i/>
          <w:sz w:val="22"/>
          <w:szCs w:val="22"/>
          <w:u w:val="single"/>
        </w:rPr>
        <w:t>Weight Decrease:</w:t>
      </w:r>
    </w:p>
    <w:p w:rsidR="00C22F65" w:rsidRPr="00C22F65" w:rsidRDefault="00C22F65" w:rsidP="00C22F65">
      <w:pPr>
        <w:autoSpaceDE w:val="0"/>
        <w:autoSpaceDN w:val="0"/>
        <w:adjustRightInd w:val="0"/>
        <w:spacing w:before="120"/>
        <w:rPr>
          <w:rFonts w:eastAsia="TimesNewRoman"/>
          <w:sz w:val="22"/>
          <w:szCs w:val="22"/>
          <w:lang w:val="en-AU"/>
        </w:rPr>
      </w:pPr>
      <w:r w:rsidRPr="004354AD">
        <w:rPr>
          <w:sz w:val="22"/>
          <w:szCs w:val="22"/>
        </w:rPr>
        <w:t xml:space="preserve">Patient weight was measured routinely in clinical studies. </w:t>
      </w:r>
      <w:r w:rsidRPr="004354AD">
        <w:t xml:space="preserve"> </w:t>
      </w:r>
    </w:p>
    <w:p w:rsidR="00C22F65" w:rsidRDefault="00C22F65" w:rsidP="00C22F65">
      <w:pPr>
        <w:autoSpaceDE w:val="0"/>
        <w:autoSpaceDN w:val="0"/>
        <w:adjustRightInd w:val="0"/>
        <w:rPr>
          <w:rFonts w:eastAsia="TimesNewRoman"/>
          <w:sz w:val="22"/>
          <w:szCs w:val="22"/>
          <w:lang w:val="en-AU"/>
        </w:rPr>
      </w:pPr>
    </w:p>
    <w:p w:rsidR="00C22F65" w:rsidRPr="00CD5265" w:rsidRDefault="00C22F65" w:rsidP="00C22F65">
      <w:pPr>
        <w:autoSpaceDE w:val="0"/>
        <w:autoSpaceDN w:val="0"/>
        <w:adjustRightInd w:val="0"/>
        <w:rPr>
          <w:rFonts w:eastAsia="TimesNewRoman"/>
          <w:sz w:val="22"/>
          <w:szCs w:val="22"/>
          <w:lang w:val="en-AU"/>
        </w:rPr>
      </w:pPr>
      <w:r w:rsidRPr="00C22F65">
        <w:rPr>
          <w:rFonts w:eastAsia="TimesNewRoman"/>
          <w:sz w:val="22"/>
          <w:szCs w:val="22"/>
          <w:lang w:val="en-AU"/>
        </w:rPr>
        <w:t>The mean observed weight loss in patients</w:t>
      </w:r>
      <w:r>
        <w:rPr>
          <w:rFonts w:eastAsia="TimesNewRoman"/>
          <w:sz w:val="22"/>
          <w:szCs w:val="22"/>
          <w:lang w:val="en-AU"/>
        </w:rPr>
        <w:t xml:space="preserve"> </w:t>
      </w:r>
      <w:r w:rsidRPr="00C22F65">
        <w:rPr>
          <w:rFonts w:eastAsia="TimesNewRoman"/>
          <w:sz w:val="22"/>
          <w:szCs w:val="22"/>
          <w:lang w:val="en-AU"/>
        </w:rPr>
        <w:t xml:space="preserve">treated for up to 52 weeks with apremilast was 1.99 kg. </w:t>
      </w:r>
      <w:r>
        <w:rPr>
          <w:rFonts w:eastAsia="TimesNewRoman"/>
          <w:sz w:val="22"/>
          <w:szCs w:val="22"/>
          <w:lang w:val="en-AU"/>
        </w:rPr>
        <w:t xml:space="preserve"> </w:t>
      </w:r>
      <w:r w:rsidRPr="00C22F65">
        <w:rPr>
          <w:rFonts w:eastAsia="TimesNewRoman"/>
          <w:sz w:val="22"/>
          <w:szCs w:val="22"/>
          <w:lang w:val="en-AU"/>
        </w:rPr>
        <w:t>A total of 14.3% of patients receiving apremilast</w:t>
      </w:r>
      <w:r>
        <w:rPr>
          <w:rFonts w:eastAsia="TimesNewRoman"/>
          <w:sz w:val="22"/>
          <w:szCs w:val="22"/>
          <w:lang w:val="en-AU"/>
        </w:rPr>
        <w:t xml:space="preserve"> </w:t>
      </w:r>
      <w:r w:rsidRPr="00C22F65">
        <w:rPr>
          <w:rFonts w:eastAsia="TimesNewRoman"/>
          <w:sz w:val="22"/>
          <w:szCs w:val="22"/>
          <w:lang w:val="en-AU"/>
        </w:rPr>
        <w:t>had observed weight loss between 5-10% while 5.7% of the patients receiving apremilast had observed</w:t>
      </w:r>
      <w:r>
        <w:rPr>
          <w:rFonts w:eastAsia="TimesNewRoman"/>
          <w:sz w:val="22"/>
          <w:szCs w:val="22"/>
          <w:lang w:val="en-AU"/>
        </w:rPr>
        <w:t xml:space="preserve"> </w:t>
      </w:r>
      <w:r w:rsidRPr="00C22F65">
        <w:rPr>
          <w:rFonts w:eastAsia="TimesNewRoman"/>
          <w:sz w:val="22"/>
          <w:szCs w:val="22"/>
          <w:lang w:val="en-AU"/>
        </w:rPr>
        <w:t xml:space="preserve">weight loss greater than 10%. </w:t>
      </w:r>
      <w:r w:rsidR="00005260">
        <w:rPr>
          <w:rFonts w:eastAsia="TimesNewRoman"/>
          <w:sz w:val="22"/>
          <w:szCs w:val="22"/>
          <w:lang w:val="en-AU"/>
        </w:rPr>
        <w:t xml:space="preserve"> </w:t>
      </w:r>
      <w:r w:rsidRPr="00C22F65">
        <w:rPr>
          <w:rFonts w:eastAsia="TimesNewRoman"/>
          <w:sz w:val="22"/>
          <w:szCs w:val="22"/>
          <w:lang w:val="en-AU"/>
        </w:rPr>
        <w:t>None of these patients had overt clinical consequences resulting from</w:t>
      </w:r>
      <w:r>
        <w:rPr>
          <w:rFonts w:eastAsia="TimesNewRoman"/>
          <w:sz w:val="22"/>
          <w:szCs w:val="22"/>
          <w:lang w:val="en-AU"/>
        </w:rPr>
        <w:t xml:space="preserve"> </w:t>
      </w:r>
      <w:r w:rsidRPr="00C22F65">
        <w:rPr>
          <w:rFonts w:eastAsia="TimesNewRoman"/>
          <w:sz w:val="22"/>
          <w:szCs w:val="22"/>
          <w:lang w:val="en-AU"/>
        </w:rPr>
        <w:t xml:space="preserve">weight loss. </w:t>
      </w:r>
      <w:r w:rsidR="00005260">
        <w:rPr>
          <w:rFonts w:eastAsia="TimesNewRoman"/>
          <w:sz w:val="22"/>
          <w:szCs w:val="22"/>
          <w:lang w:val="en-AU"/>
        </w:rPr>
        <w:t xml:space="preserve"> </w:t>
      </w:r>
      <w:r w:rsidRPr="00C22F65">
        <w:rPr>
          <w:rFonts w:eastAsia="TimesNewRoman"/>
          <w:sz w:val="22"/>
          <w:szCs w:val="22"/>
          <w:lang w:val="en-AU"/>
        </w:rPr>
        <w:t>A total of 0.1% of patients treated with apremilast discontinued due to adverse reaction of</w:t>
      </w:r>
      <w:r>
        <w:rPr>
          <w:rFonts w:eastAsia="TimesNewRoman"/>
          <w:sz w:val="22"/>
          <w:szCs w:val="22"/>
          <w:lang w:val="en-AU"/>
        </w:rPr>
        <w:t xml:space="preserve"> </w:t>
      </w:r>
      <w:r w:rsidRPr="00C22F65">
        <w:rPr>
          <w:rFonts w:eastAsia="TimesNewRoman"/>
          <w:sz w:val="22"/>
          <w:szCs w:val="22"/>
          <w:lang w:val="en-AU"/>
        </w:rPr>
        <w:t>weight decreased.</w:t>
      </w:r>
      <w:r w:rsidR="00CD5265">
        <w:rPr>
          <w:rFonts w:eastAsia="TimesNewRoman"/>
          <w:sz w:val="22"/>
          <w:szCs w:val="22"/>
          <w:lang w:val="en-AU"/>
        </w:rPr>
        <w:t xml:space="preserve">  </w:t>
      </w:r>
      <w:r w:rsidR="00CD5265" w:rsidRPr="00665B07">
        <w:rPr>
          <w:sz w:val="22"/>
          <w:szCs w:val="22"/>
        </w:rPr>
        <w:t>Weight decreases of greater than 5% of baseline body weight were observed more frequently in women than in men.</w:t>
      </w:r>
    </w:p>
    <w:p w:rsidR="00876535" w:rsidRPr="00CD5265" w:rsidRDefault="00876535" w:rsidP="00D956C1">
      <w:pPr>
        <w:rPr>
          <w:sz w:val="22"/>
          <w:szCs w:val="22"/>
        </w:rPr>
      </w:pPr>
    </w:p>
    <w:p w:rsidR="00C22F65" w:rsidRPr="007A5CF3" w:rsidRDefault="00C22F65" w:rsidP="00C22F65">
      <w:pPr>
        <w:autoSpaceDE w:val="0"/>
        <w:autoSpaceDN w:val="0"/>
        <w:adjustRightInd w:val="0"/>
        <w:rPr>
          <w:u w:val="single"/>
          <w:lang w:val="en-AU"/>
        </w:rPr>
      </w:pPr>
      <w:r w:rsidRPr="007A5CF3">
        <w:rPr>
          <w:bCs/>
          <w:i/>
          <w:sz w:val="22"/>
          <w:szCs w:val="22"/>
          <w:u w:val="single"/>
          <w:lang w:val="en-AU"/>
        </w:rPr>
        <w:t>Depression:</w:t>
      </w:r>
      <w:r w:rsidRPr="007A5CF3">
        <w:rPr>
          <w:bCs/>
          <w:u w:val="single"/>
          <w:lang w:val="en-AU"/>
        </w:rPr>
        <w:t xml:space="preserve"> </w:t>
      </w:r>
    </w:p>
    <w:p w:rsidR="00005260" w:rsidRPr="00005260" w:rsidRDefault="00005260" w:rsidP="00005260">
      <w:pPr>
        <w:pStyle w:val="C-BodyText"/>
        <w:widowControl w:val="0"/>
        <w:spacing w:after="0" w:line="240" w:lineRule="auto"/>
        <w:rPr>
          <w:sz w:val="22"/>
          <w:szCs w:val="22"/>
          <w:lang w:val="en-AU"/>
        </w:rPr>
      </w:pPr>
      <w:r w:rsidRPr="007A5CF3">
        <w:rPr>
          <w:i/>
          <w:sz w:val="22"/>
          <w:szCs w:val="22"/>
          <w:u w:val="single"/>
          <w:lang w:val="en-AU"/>
        </w:rPr>
        <w:t>Psoriatic arthritis</w:t>
      </w:r>
      <w:r w:rsidRPr="007A5CF3">
        <w:rPr>
          <w:i/>
          <w:sz w:val="22"/>
          <w:szCs w:val="22"/>
          <w:lang w:val="en-AU"/>
        </w:rPr>
        <w:t>:</w:t>
      </w:r>
      <w:r w:rsidRPr="00005260">
        <w:rPr>
          <w:sz w:val="22"/>
          <w:szCs w:val="22"/>
          <w:lang w:val="en-AU"/>
        </w:rPr>
        <w:t xml:space="preserve"> </w:t>
      </w:r>
      <w:r>
        <w:rPr>
          <w:sz w:val="22"/>
          <w:szCs w:val="22"/>
          <w:lang w:val="en-AU"/>
        </w:rPr>
        <w:t xml:space="preserve"> </w:t>
      </w:r>
      <w:r w:rsidRPr="00005260">
        <w:rPr>
          <w:sz w:val="22"/>
          <w:szCs w:val="22"/>
          <w:lang w:val="en-AU"/>
        </w:rPr>
        <w:t>During the 0 to 16 week placebo-controlled period of the 3 controlled clinical trials, 0.9% (18/1945) of subjects treated with O</w:t>
      </w:r>
      <w:r w:rsidR="0012451A">
        <w:rPr>
          <w:sz w:val="22"/>
          <w:szCs w:val="22"/>
          <w:lang w:val="en-AU"/>
        </w:rPr>
        <w:t>tezla</w:t>
      </w:r>
      <w:r w:rsidRPr="00005260">
        <w:rPr>
          <w:sz w:val="22"/>
          <w:szCs w:val="22"/>
          <w:lang w:val="en-AU"/>
        </w:rPr>
        <w:t xml:space="preserve"> reported depression or depressed mood compared to 0.7% (5/671) treated with placebo. </w:t>
      </w:r>
      <w:r w:rsidR="00587C69">
        <w:rPr>
          <w:sz w:val="22"/>
          <w:szCs w:val="22"/>
          <w:lang w:val="en-AU"/>
        </w:rPr>
        <w:t xml:space="preserve"> </w:t>
      </w:r>
      <w:r w:rsidRPr="00005260">
        <w:rPr>
          <w:sz w:val="22"/>
          <w:szCs w:val="22"/>
          <w:lang w:val="en-AU"/>
        </w:rPr>
        <w:t xml:space="preserve">During the clinical trials, 0.1% (4/1945) of subjects treated with </w:t>
      </w:r>
      <w:r w:rsidR="0012451A" w:rsidRPr="00005260">
        <w:rPr>
          <w:sz w:val="22"/>
          <w:szCs w:val="22"/>
          <w:lang w:val="en-AU"/>
        </w:rPr>
        <w:t>O</w:t>
      </w:r>
      <w:r w:rsidR="0012451A">
        <w:rPr>
          <w:sz w:val="22"/>
          <w:szCs w:val="22"/>
          <w:lang w:val="en-AU"/>
        </w:rPr>
        <w:t>tezla</w:t>
      </w:r>
      <w:r w:rsidR="0012451A" w:rsidRPr="00005260">
        <w:rPr>
          <w:sz w:val="22"/>
          <w:szCs w:val="22"/>
          <w:lang w:val="en-AU"/>
        </w:rPr>
        <w:t xml:space="preserve"> </w:t>
      </w:r>
      <w:r w:rsidRPr="00005260">
        <w:rPr>
          <w:sz w:val="22"/>
          <w:szCs w:val="22"/>
          <w:lang w:val="en-AU"/>
        </w:rPr>
        <w:t xml:space="preserve">discontinued treatment due to depression or depressed mood compared with none in placebo treated subjects (0/671). </w:t>
      </w:r>
      <w:r w:rsidR="00587C69">
        <w:rPr>
          <w:sz w:val="22"/>
          <w:szCs w:val="22"/>
          <w:lang w:val="en-AU"/>
        </w:rPr>
        <w:t xml:space="preserve"> </w:t>
      </w:r>
      <w:r w:rsidRPr="00005260">
        <w:rPr>
          <w:sz w:val="22"/>
          <w:szCs w:val="22"/>
          <w:lang w:val="en-AU"/>
        </w:rPr>
        <w:t xml:space="preserve">Depression was reported as serious in 0.2% (3/1945) of subjects exposed to </w:t>
      </w:r>
      <w:r w:rsidR="0012451A">
        <w:rPr>
          <w:sz w:val="22"/>
          <w:szCs w:val="22"/>
          <w:lang w:val="en-AU"/>
        </w:rPr>
        <w:t>Otezla</w:t>
      </w:r>
      <w:r w:rsidRPr="00005260">
        <w:rPr>
          <w:sz w:val="22"/>
          <w:szCs w:val="22"/>
          <w:lang w:val="en-AU"/>
        </w:rPr>
        <w:t xml:space="preserve">, compared to none in placebo-treated subjects (0/671). </w:t>
      </w:r>
      <w:r w:rsidR="00587C69">
        <w:rPr>
          <w:sz w:val="22"/>
          <w:szCs w:val="22"/>
          <w:lang w:val="en-AU"/>
        </w:rPr>
        <w:t xml:space="preserve"> </w:t>
      </w:r>
      <w:r w:rsidRPr="00005260">
        <w:rPr>
          <w:sz w:val="22"/>
          <w:szCs w:val="22"/>
          <w:lang w:val="en-AU"/>
        </w:rPr>
        <w:t>Instances of suicidal ideation and behavio</w:t>
      </w:r>
      <w:r w:rsidR="00587C69">
        <w:rPr>
          <w:sz w:val="22"/>
          <w:szCs w:val="22"/>
          <w:lang w:val="en-AU"/>
        </w:rPr>
        <w:t>u</w:t>
      </w:r>
      <w:r w:rsidRPr="00005260">
        <w:rPr>
          <w:sz w:val="22"/>
          <w:szCs w:val="22"/>
          <w:lang w:val="en-AU"/>
        </w:rPr>
        <w:t xml:space="preserve">r have been observed in 0.2% (3/1945) of subjects while receiving </w:t>
      </w:r>
      <w:r w:rsidR="0012451A">
        <w:rPr>
          <w:sz w:val="22"/>
          <w:szCs w:val="22"/>
          <w:lang w:val="en-AU"/>
        </w:rPr>
        <w:t>Otezla</w:t>
      </w:r>
      <w:r w:rsidRPr="00005260">
        <w:rPr>
          <w:sz w:val="22"/>
          <w:szCs w:val="22"/>
          <w:lang w:val="en-AU"/>
        </w:rPr>
        <w:t xml:space="preserve">, compared to none in placebo treated subjects (0/671). </w:t>
      </w:r>
      <w:r w:rsidR="00587C69">
        <w:rPr>
          <w:sz w:val="22"/>
          <w:szCs w:val="22"/>
          <w:lang w:val="en-AU"/>
        </w:rPr>
        <w:t xml:space="preserve"> </w:t>
      </w:r>
      <w:r w:rsidRPr="00005260">
        <w:rPr>
          <w:sz w:val="22"/>
          <w:szCs w:val="22"/>
          <w:lang w:val="en-AU"/>
        </w:rPr>
        <w:t xml:space="preserve">In the clinical trials, 2 subjects who received placebo committed suicide compared to none in </w:t>
      </w:r>
      <w:r w:rsidR="0012451A">
        <w:rPr>
          <w:sz w:val="22"/>
          <w:szCs w:val="22"/>
          <w:lang w:val="en-AU"/>
        </w:rPr>
        <w:t>Otezla</w:t>
      </w:r>
      <w:r w:rsidR="00587C69">
        <w:rPr>
          <w:sz w:val="22"/>
          <w:szCs w:val="22"/>
          <w:lang w:val="en-AU"/>
        </w:rPr>
        <w:t xml:space="preserve"> </w:t>
      </w:r>
      <w:r w:rsidRPr="00005260">
        <w:rPr>
          <w:sz w:val="22"/>
          <w:szCs w:val="22"/>
          <w:lang w:val="en-AU"/>
        </w:rPr>
        <w:t>treated subjects.</w:t>
      </w:r>
    </w:p>
    <w:p w:rsidR="00005260" w:rsidRDefault="00005260" w:rsidP="00005260">
      <w:pPr>
        <w:pStyle w:val="C-BodyText"/>
        <w:widowControl w:val="0"/>
        <w:spacing w:before="0" w:after="0" w:line="240" w:lineRule="auto"/>
        <w:rPr>
          <w:lang w:val="en-AU"/>
        </w:rPr>
      </w:pPr>
    </w:p>
    <w:p w:rsidR="00005260" w:rsidRPr="00005260" w:rsidRDefault="00005260" w:rsidP="00005260">
      <w:pPr>
        <w:pStyle w:val="C-BodyText"/>
        <w:widowControl w:val="0"/>
        <w:spacing w:before="0" w:after="0" w:line="240" w:lineRule="auto"/>
        <w:rPr>
          <w:sz w:val="22"/>
          <w:szCs w:val="22"/>
          <w:lang w:val="en-AU"/>
        </w:rPr>
      </w:pPr>
      <w:r w:rsidRPr="007A5CF3">
        <w:rPr>
          <w:i/>
          <w:sz w:val="22"/>
          <w:szCs w:val="22"/>
          <w:u w:val="single"/>
          <w:lang w:val="en-AU"/>
        </w:rPr>
        <w:t>Psoriasis</w:t>
      </w:r>
      <w:r w:rsidRPr="007A5CF3">
        <w:rPr>
          <w:i/>
          <w:sz w:val="22"/>
          <w:szCs w:val="22"/>
          <w:lang w:val="en-AU"/>
        </w:rPr>
        <w:t>:</w:t>
      </w:r>
      <w:r w:rsidRPr="00005260">
        <w:rPr>
          <w:sz w:val="22"/>
          <w:szCs w:val="22"/>
          <w:lang w:val="en-AU"/>
        </w:rPr>
        <w:t xml:space="preserve"> </w:t>
      </w:r>
      <w:r>
        <w:rPr>
          <w:sz w:val="22"/>
          <w:szCs w:val="22"/>
          <w:lang w:val="en-AU"/>
        </w:rPr>
        <w:t xml:space="preserve"> </w:t>
      </w:r>
      <w:r w:rsidRPr="00005260">
        <w:rPr>
          <w:sz w:val="22"/>
          <w:szCs w:val="22"/>
          <w:lang w:val="en-AU"/>
        </w:rPr>
        <w:t xml:space="preserve">During the 0 to 16 week placebo-controlled period of the 3 controlled clinical trials, 1.2% (14/1184) of subjects treated with </w:t>
      </w:r>
      <w:r w:rsidR="0012451A">
        <w:rPr>
          <w:sz w:val="22"/>
          <w:szCs w:val="22"/>
          <w:lang w:val="en-AU"/>
        </w:rPr>
        <w:t>Otezla</w:t>
      </w:r>
      <w:r w:rsidRPr="00005260">
        <w:rPr>
          <w:sz w:val="22"/>
          <w:szCs w:val="22"/>
          <w:lang w:val="en-AU"/>
        </w:rPr>
        <w:t xml:space="preserve"> reported depression compared to 0.5% (2/418) treated with placebo. </w:t>
      </w:r>
      <w:r w:rsidR="00587C69">
        <w:rPr>
          <w:sz w:val="22"/>
          <w:szCs w:val="22"/>
          <w:lang w:val="en-AU"/>
        </w:rPr>
        <w:t xml:space="preserve"> </w:t>
      </w:r>
      <w:r w:rsidRPr="00005260">
        <w:rPr>
          <w:sz w:val="22"/>
          <w:szCs w:val="22"/>
          <w:lang w:val="en-AU"/>
        </w:rPr>
        <w:t xml:space="preserve">During the clinical trials, 0.1% (1/1184) of subjects treated with </w:t>
      </w:r>
      <w:r w:rsidR="0012451A">
        <w:rPr>
          <w:sz w:val="22"/>
          <w:szCs w:val="22"/>
          <w:lang w:val="en-AU"/>
        </w:rPr>
        <w:t>Otezla</w:t>
      </w:r>
      <w:r w:rsidRPr="00005260">
        <w:rPr>
          <w:sz w:val="22"/>
          <w:szCs w:val="22"/>
          <w:lang w:val="en-AU"/>
        </w:rPr>
        <w:t xml:space="preserve"> discontinued treatment due to depression compared with none in placebo-treated subjects (0/418). </w:t>
      </w:r>
      <w:r w:rsidR="00587C69">
        <w:rPr>
          <w:sz w:val="22"/>
          <w:szCs w:val="22"/>
          <w:lang w:val="en-AU"/>
        </w:rPr>
        <w:t xml:space="preserve"> </w:t>
      </w:r>
      <w:r w:rsidRPr="00005260">
        <w:rPr>
          <w:sz w:val="22"/>
          <w:szCs w:val="22"/>
          <w:lang w:val="en-AU"/>
        </w:rPr>
        <w:t xml:space="preserve">Depression was reported as serious in 0.1% (1/1184) of subjects exposed to </w:t>
      </w:r>
      <w:r w:rsidR="0012451A">
        <w:rPr>
          <w:sz w:val="22"/>
          <w:szCs w:val="22"/>
          <w:lang w:val="en-AU"/>
        </w:rPr>
        <w:t>Otezla</w:t>
      </w:r>
      <w:r w:rsidRPr="00005260">
        <w:rPr>
          <w:sz w:val="22"/>
          <w:szCs w:val="22"/>
          <w:lang w:val="en-AU"/>
        </w:rPr>
        <w:t xml:space="preserve">, compared to none in placebo-treated subjects (0/418). </w:t>
      </w:r>
      <w:r w:rsidR="00587C69">
        <w:rPr>
          <w:sz w:val="22"/>
          <w:szCs w:val="22"/>
          <w:lang w:val="en-AU"/>
        </w:rPr>
        <w:t xml:space="preserve"> </w:t>
      </w:r>
      <w:r w:rsidRPr="00005260">
        <w:rPr>
          <w:sz w:val="22"/>
          <w:szCs w:val="22"/>
          <w:lang w:val="en-AU"/>
        </w:rPr>
        <w:t xml:space="preserve">Instances of suicidal </w:t>
      </w:r>
      <w:r w:rsidRPr="00005260">
        <w:rPr>
          <w:sz w:val="22"/>
          <w:szCs w:val="22"/>
        </w:rPr>
        <w:t>behavio</w:t>
      </w:r>
      <w:r w:rsidR="00587C69">
        <w:rPr>
          <w:sz w:val="22"/>
          <w:szCs w:val="22"/>
        </w:rPr>
        <w:t>u</w:t>
      </w:r>
      <w:r w:rsidRPr="00005260">
        <w:rPr>
          <w:sz w:val="22"/>
          <w:szCs w:val="22"/>
        </w:rPr>
        <w:t>r</w:t>
      </w:r>
      <w:r w:rsidRPr="00005260">
        <w:rPr>
          <w:sz w:val="22"/>
          <w:szCs w:val="22"/>
          <w:lang w:val="en-AU"/>
        </w:rPr>
        <w:t xml:space="preserve"> have been observed in 0.1% (1/1184) of subjects while receiving </w:t>
      </w:r>
      <w:r w:rsidR="0012451A">
        <w:rPr>
          <w:sz w:val="22"/>
          <w:szCs w:val="22"/>
          <w:lang w:val="en-AU"/>
        </w:rPr>
        <w:t>Otezla</w:t>
      </w:r>
      <w:r w:rsidRPr="00005260">
        <w:rPr>
          <w:sz w:val="22"/>
          <w:szCs w:val="22"/>
          <w:lang w:val="en-AU"/>
        </w:rPr>
        <w:t xml:space="preserve">, compared to 0.2% (1/418) in placebo-treated subjects. </w:t>
      </w:r>
      <w:r w:rsidR="00587C69">
        <w:rPr>
          <w:sz w:val="22"/>
          <w:szCs w:val="22"/>
          <w:lang w:val="en-AU"/>
        </w:rPr>
        <w:t xml:space="preserve"> </w:t>
      </w:r>
      <w:r w:rsidRPr="00005260">
        <w:rPr>
          <w:sz w:val="22"/>
          <w:szCs w:val="22"/>
          <w:lang w:val="en-AU"/>
        </w:rPr>
        <w:t xml:space="preserve">In the clinical trials, one subject treated with </w:t>
      </w:r>
      <w:r w:rsidR="0012451A">
        <w:rPr>
          <w:sz w:val="22"/>
          <w:szCs w:val="22"/>
          <w:lang w:val="en-AU"/>
        </w:rPr>
        <w:t>Otezla</w:t>
      </w:r>
      <w:r w:rsidRPr="00005260">
        <w:rPr>
          <w:sz w:val="22"/>
          <w:szCs w:val="22"/>
          <w:lang w:val="en-AU"/>
        </w:rPr>
        <w:t xml:space="preserve"> attempted suicide while one who received placebo committed suicide.</w:t>
      </w:r>
    </w:p>
    <w:p w:rsidR="00C22F65" w:rsidRPr="00C22F65" w:rsidRDefault="00C22F65" w:rsidP="00C22F65">
      <w:pPr>
        <w:rPr>
          <w:sz w:val="22"/>
          <w:szCs w:val="22"/>
        </w:rPr>
      </w:pPr>
    </w:p>
    <w:p w:rsidR="00876535" w:rsidRPr="004354AD" w:rsidRDefault="00CD7D8F" w:rsidP="00D956C1">
      <w:pPr>
        <w:rPr>
          <w:i/>
          <w:sz w:val="22"/>
          <w:szCs w:val="22"/>
          <w:u w:val="single"/>
        </w:rPr>
      </w:pPr>
      <w:r w:rsidRPr="004354AD">
        <w:rPr>
          <w:i/>
          <w:sz w:val="22"/>
          <w:szCs w:val="22"/>
          <w:u w:val="single"/>
        </w:rPr>
        <w:t>Safety in elderly patients</w:t>
      </w:r>
    </w:p>
    <w:p w:rsidR="00CD7D8F" w:rsidRPr="00D956C1" w:rsidRDefault="00CD7D8F" w:rsidP="00D956C1">
      <w:pPr>
        <w:spacing w:before="120"/>
      </w:pPr>
      <w:r w:rsidRPr="00D956C1">
        <w:rPr>
          <w:sz w:val="22"/>
          <w:szCs w:val="22"/>
        </w:rPr>
        <w:lastRenderedPageBreak/>
        <w:t xml:space="preserve">No overall differences were observed in the safety profile of elderly </w:t>
      </w:r>
      <w:proofErr w:type="gramStart"/>
      <w:r w:rsidRPr="00D956C1">
        <w:rPr>
          <w:sz w:val="22"/>
          <w:szCs w:val="22"/>
        </w:rPr>
        <w:t>patients</w:t>
      </w:r>
      <w:proofErr w:type="gramEnd"/>
      <w:r w:rsidRPr="00D956C1">
        <w:rPr>
          <w:sz w:val="22"/>
          <w:szCs w:val="22"/>
        </w:rPr>
        <w:t xml:space="preserve"> ≥ 65 years of age and younger adult patients &lt; 65 years of age in the clinical studies</w:t>
      </w:r>
      <w:r w:rsidRPr="00D956C1">
        <w:t>.</w:t>
      </w:r>
    </w:p>
    <w:p w:rsidR="00CD7D8F" w:rsidRPr="0088163B" w:rsidRDefault="00CD7D8F" w:rsidP="0088163B">
      <w:pPr>
        <w:rPr>
          <w:sz w:val="22"/>
          <w:szCs w:val="22"/>
        </w:rPr>
      </w:pPr>
    </w:p>
    <w:p w:rsidR="001E294E" w:rsidRPr="003F29C0" w:rsidRDefault="001E294E" w:rsidP="00A76F30">
      <w:pPr>
        <w:jc w:val="both"/>
        <w:rPr>
          <w:bCs/>
          <w:sz w:val="22"/>
          <w:szCs w:val="22"/>
          <w:lang w:val="en-AU"/>
        </w:rPr>
      </w:pPr>
    </w:p>
    <w:p w:rsidR="00EC36C1" w:rsidRDefault="00DC6B9C">
      <w:pPr>
        <w:pStyle w:val="ListParagraph"/>
        <w:keepNext/>
        <w:numPr>
          <w:ilvl w:val="0"/>
          <w:numId w:val="2"/>
        </w:numPr>
        <w:tabs>
          <w:tab w:val="left" w:pos="709"/>
        </w:tabs>
        <w:ind w:left="720" w:hanging="720"/>
        <w:jc w:val="both"/>
        <w:rPr>
          <w:b/>
          <w:sz w:val="28"/>
          <w:szCs w:val="28"/>
          <w:lang w:val="en-AU"/>
        </w:rPr>
      </w:pPr>
      <w:r w:rsidRPr="003F29C0">
        <w:rPr>
          <w:b/>
          <w:sz w:val="28"/>
          <w:szCs w:val="28"/>
          <w:lang w:val="en-AU"/>
        </w:rPr>
        <w:t xml:space="preserve">Dosage and </w:t>
      </w:r>
      <w:r w:rsidR="008C121C" w:rsidRPr="003F29C0">
        <w:rPr>
          <w:b/>
          <w:sz w:val="28"/>
          <w:szCs w:val="28"/>
          <w:lang w:val="en-AU"/>
        </w:rPr>
        <w:t>A</w:t>
      </w:r>
      <w:r w:rsidRPr="003F29C0">
        <w:rPr>
          <w:b/>
          <w:sz w:val="28"/>
          <w:szCs w:val="28"/>
          <w:lang w:val="en-AU"/>
        </w:rPr>
        <w:t>dministration</w:t>
      </w:r>
    </w:p>
    <w:p w:rsidR="009A18E9" w:rsidRPr="009A18E9" w:rsidRDefault="009A18E9" w:rsidP="009A18E9">
      <w:pPr>
        <w:pStyle w:val="C-BodyText"/>
        <w:widowControl w:val="0"/>
        <w:spacing w:after="0" w:line="240" w:lineRule="auto"/>
        <w:rPr>
          <w:sz w:val="22"/>
          <w:szCs w:val="22"/>
        </w:rPr>
      </w:pPr>
      <w:r w:rsidRPr="009A18E9">
        <w:rPr>
          <w:sz w:val="22"/>
          <w:szCs w:val="22"/>
        </w:rPr>
        <w:t>Treatment with Otezla should be initiated by specialists experienced in the diagnosis and treatment of psoriasis or psoriatic arthritis.</w:t>
      </w:r>
    </w:p>
    <w:p w:rsidR="009A18E9" w:rsidRDefault="009A18E9" w:rsidP="009A18E9">
      <w:pPr>
        <w:pStyle w:val="C-BodyText"/>
        <w:spacing w:before="0" w:after="0"/>
        <w:rPr>
          <w:sz w:val="22"/>
          <w:szCs w:val="22"/>
          <w:lang w:val="en-AU"/>
        </w:rPr>
      </w:pPr>
    </w:p>
    <w:p w:rsidR="00F15C66" w:rsidRDefault="00C50246" w:rsidP="009A18E9">
      <w:pPr>
        <w:pStyle w:val="C-BodyText"/>
        <w:spacing w:before="0" w:after="0"/>
        <w:rPr>
          <w:sz w:val="22"/>
          <w:szCs w:val="22"/>
          <w:lang w:val="en-AU"/>
        </w:rPr>
      </w:pPr>
      <w:r w:rsidRPr="003F29C0">
        <w:rPr>
          <w:sz w:val="22"/>
          <w:szCs w:val="22"/>
          <w:lang w:val="en-AU"/>
        </w:rPr>
        <w:t xml:space="preserve">The recommended dose of </w:t>
      </w:r>
      <w:r w:rsidR="00FC0C21">
        <w:rPr>
          <w:sz w:val="22"/>
          <w:szCs w:val="22"/>
          <w:lang w:val="en-AU"/>
        </w:rPr>
        <w:t>Otezla</w:t>
      </w:r>
      <w:r w:rsidRPr="003F29C0">
        <w:rPr>
          <w:sz w:val="22"/>
          <w:szCs w:val="22"/>
          <w:lang w:val="en-AU"/>
        </w:rPr>
        <w:t xml:space="preserve"> is 30 mg twice daily taken orally approximately 12</w:t>
      </w:r>
      <w:r w:rsidR="00FB0D86">
        <w:rPr>
          <w:sz w:val="22"/>
          <w:szCs w:val="22"/>
          <w:lang w:val="en-AU"/>
        </w:rPr>
        <w:t> </w:t>
      </w:r>
      <w:r w:rsidRPr="003F29C0">
        <w:rPr>
          <w:sz w:val="22"/>
          <w:szCs w:val="22"/>
          <w:lang w:val="en-AU"/>
        </w:rPr>
        <w:t>hours apart.  An initial titration schedule is r</w:t>
      </w:r>
      <w:r w:rsidR="00FB0D86">
        <w:rPr>
          <w:sz w:val="22"/>
          <w:szCs w:val="22"/>
          <w:lang w:val="en-AU"/>
        </w:rPr>
        <w:t xml:space="preserve">equired as shown below in </w:t>
      </w:r>
      <w:r w:rsidR="00FB0D86" w:rsidRPr="006C44FA">
        <w:rPr>
          <w:b/>
          <w:sz w:val="22"/>
          <w:szCs w:val="22"/>
          <w:lang w:val="en-AU"/>
        </w:rPr>
        <w:t>Table </w:t>
      </w:r>
      <w:r w:rsidR="007F5D93" w:rsidRPr="006C44FA">
        <w:rPr>
          <w:b/>
          <w:sz w:val="22"/>
          <w:szCs w:val="22"/>
          <w:lang w:val="en-AU"/>
        </w:rPr>
        <w:t>6</w:t>
      </w:r>
      <w:r w:rsidRPr="003F29C0">
        <w:rPr>
          <w:sz w:val="22"/>
          <w:szCs w:val="22"/>
          <w:lang w:val="en-AU"/>
        </w:rPr>
        <w:t>.  No re-titration is required after initial titration.</w:t>
      </w:r>
    </w:p>
    <w:p w:rsidR="00F15C66" w:rsidRDefault="00F15C66">
      <w:pPr>
        <w:rPr>
          <w:sz w:val="22"/>
          <w:szCs w:val="22"/>
          <w:lang w:val="en-AU"/>
        </w:rPr>
      </w:pPr>
      <w:r>
        <w:rPr>
          <w:sz w:val="22"/>
          <w:szCs w:val="22"/>
          <w:lang w:val="en-AU"/>
        </w:rPr>
        <w:br w:type="page"/>
      </w:r>
    </w:p>
    <w:p w:rsidR="00C50246" w:rsidRPr="003F29C0" w:rsidRDefault="00C50246" w:rsidP="00C50246">
      <w:pPr>
        <w:pStyle w:val="C-BodyText"/>
        <w:spacing w:line="240" w:lineRule="auto"/>
        <w:rPr>
          <w:b/>
          <w:sz w:val="22"/>
          <w:szCs w:val="22"/>
          <w:lang w:val="en-AU"/>
        </w:rPr>
      </w:pPr>
      <w:r w:rsidRPr="003F29C0">
        <w:rPr>
          <w:b/>
          <w:sz w:val="22"/>
          <w:szCs w:val="22"/>
          <w:lang w:val="en-AU"/>
        </w:rPr>
        <w:lastRenderedPageBreak/>
        <w:t xml:space="preserve">Table </w:t>
      </w:r>
      <w:r w:rsidR="007F5D93">
        <w:rPr>
          <w:b/>
          <w:sz w:val="22"/>
          <w:szCs w:val="22"/>
          <w:lang w:val="en-AU"/>
        </w:rPr>
        <w:t>6</w:t>
      </w:r>
      <w:r w:rsidRPr="003F29C0">
        <w:rPr>
          <w:b/>
          <w:sz w:val="22"/>
          <w:szCs w:val="22"/>
          <w:lang w:val="en-AU"/>
        </w:rPr>
        <w:t>:</w:t>
      </w:r>
      <w:r w:rsidRPr="003F29C0">
        <w:rPr>
          <w:b/>
          <w:sz w:val="22"/>
          <w:szCs w:val="22"/>
          <w:lang w:val="en-AU"/>
        </w:rPr>
        <w:tab/>
        <w:t>Dose Titration Schedule</w:t>
      </w:r>
    </w:p>
    <w:tbl>
      <w:tblPr>
        <w:tblW w:w="8899" w:type="dxa"/>
        <w:jc w:val="center"/>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773"/>
        <w:gridCol w:w="784"/>
        <w:gridCol w:w="817"/>
        <w:gridCol w:w="856"/>
        <w:gridCol w:w="773"/>
        <w:gridCol w:w="802"/>
        <w:gridCol w:w="803"/>
        <w:gridCol w:w="879"/>
        <w:gridCol w:w="773"/>
        <w:gridCol w:w="806"/>
      </w:tblGrid>
      <w:tr w:rsidR="00C50246" w:rsidRPr="003F29C0" w:rsidTr="006C44FA">
        <w:trPr>
          <w:jc w:val="center"/>
        </w:trPr>
        <w:tc>
          <w:tcPr>
            <w:tcW w:w="841" w:type="dxa"/>
            <w:vAlign w:val="center"/>
          </w:tcPr>
          <w:p w:rsidR="00C50246" w:rsidRPr="003F29C0" w:rsidRDefault="00C50246" w:rsidP="00437FBE">
            <w:pPr>
              <w:spacing w:before="40" w:after="40"/>
              <w:jc w:val="center"/>
              <w:rPr>
                <w:b/>
                <w:sz w:val="22"/>
                <w:szCs w:val="22"/>
                <w:lang w:val="en-AU"/>
              </w:rPr>
            </w:pPr>
            <w:r w:rsidRPr="003F29C0">
              <w:rPr>
                <w:b/>
                <w:sz w:val="22"/>
                <w:szCs w:val="22"/>
                <w:lang w:val="en-AU"/>
              </w:rPr>
              <w:t>Day 1</w:t>
            </w:r>
          </w:p>
        </w:tc>
        <w:tc>
          <w:tcPr>
            <w:tcW w:w="1559" w:type="dxa"/>
            <w:gridSpan w:val="2"/>
            <w:vAlign w:val="center"/>
          </w:tcPr>
          <w:p w:rsidR="00C50246" w:rsidRPr="003F29C0" w:rsidRDefault="00C50246" w:rsidP="00437FBE">
            <w:pPr>
              <w:spacing w:before="40" w:after="40"/>
              <w:jc w:val="center"/>
              <w:rPr>
                <w:b/>
                <w:sz w:val="22"/>
                <w:szCs w:val="22"/>
                <w:lang w:val="en-AU"/>
              </w:rPr>
            </w:pPr>
            <w:r w:rsidRPr="003F29C0">
              <w:rPr>
                <w:b/>
                <w:sz w:val="22"/>
                <w:szCs w:val="22"/>
                <w:lang w:val="en-AU"/>
              </w:rPr>
              <w:t>Day2</w:t>
            </w:r>
          </w:p>
        </w:tc>
        <w:tc>
          <w:tcPr>
            <w:tcW w:w="1690" w:type="dxa"/>
            <w:gridSpan w:val="2"/>
            <w:vAlign w:val="center"/>
          </w:tcPr>
          <w:p w:rsidR="00C50246" w:rsidRPr="003F29C0" w:rsidRDefault="00C50246" w:rsidP="00437FBE">
            <w:pPr>
              <w:spacing w:before="40" w:after="40"/>
              <w:jc w:val="center"/>
              <w:rPr>
                <w:b/>
                <w:sz w:val="22"/>
                <w:szCs w:val="22"/>
                <w:lang w:val="en-AU"/>
              </w:rPr>
            </w:pPr>
            <w:r w:rsidRPr="003F29C0">
              <w:rPr>
                <w:b/>
                <w:sz w:val="22"/>
                <w:szCs w:val="22"/>
                <w:lang w:val="en-AU"/>
              </w:rPr>
              <w:t>Day 3</w:t>
            </w:r>
          </w:p>
        </w:tc>
        <w:tc>
          <w:tcPr>
            <w:tcW w:w="1579" w:type="dxa"/>
            <w:gridSpan w:val="2"/>
            <w:vAlign w:val="center"/>
          </w:tcPr>
          <w:p w:rsidR="00C50246" w:rsidRPr="003F29C0" w:rsidRDefault="00C50246" w:rsidP="00437FBE">
            <w:pPr>
              <w:spacing w:before="40" w:after="40"/>
              <w:jc w:val="center"/>
              <w:rPr>
                <w:b/>
                <w:sz w:val="22"/>
                <w:szCs w:val="22"/>
                <w:lang w:val="en-AU"/>
              </w:rPr>
            </w:pPr>
            <w:r w:rsidRPr="003F29C0">
              <w:rPr>
                <w:b/>
                <w:sz w:val="22"/>
                <w:szCs w:val="22"/>
                <w:lang w:val="en-AU"/>
              </w:rPr>
              <w:t>Day 4</w:t>
            </w:r>
          </w:p>
        </w:tc>
        <w:tc>
          <w:tcPr>
            <w:tcW w:w="1701" w:type="dxa"/>
            <w:gridSpan w:val="2"/>
            <w:vAlign w:val="center"/>
          </w:tcPr>
          <w:p w:rsidR="00C50246" w:rsidRPr="003F29C0" w:rsidRDefault="00C50246" w:rsidP="00437FBE">
            <w:pPr>
              <w:spacing w:before="40" w:after="40"/>
              <w:jc w:val="center"/>
              <w:rPr>
                <w:b/>
                <w:sz w:val="22"/>
                <w:szCs w:val="22"/>
                <w:lang w:val="en-AU"/>
              </w:rPr>
            </w:pPr>
            <w:r w:rsidRPr="003F29C0">
              <w:rPr>
                <w:b/>
                <w:sz w:val="22"/>
                <w:szCs w:val="22"/>
                <w:lang w:val="en-AU"/>
              </w:rPr>
              <w:t>Day 5</w:t>
            </w:r>
          </w:p>
        </w:tc>
        <w:tc>
          <w:tcPr>
            <w:tcW w:w="1529" w:type="dxa"/>
            <w:gridSpan w:val="2"/>
          </w:tcPr>
          <w:p w:rsidR="00C50246" w:rsidRPr="003F29C0" w:rsidRDefault="00C50246" w:rsidP="00437FBE">
            <w:pPr>
              <w:spacing w:before="40" w:after="40"/>
              <w:jc w:val="center"/>
              <w:rPr>
                <w:b/>
                <w:sz w:val="22"/>
                <w:szCs w:val="22"/>
                <w:lang w:val="en-AU"/>
              </w:rPr>
            </w:pPr>
            <w:r w:rsidRPr="003F29C0">
              <w:rPr>
                <w:b/>
                <w:sz w:val="22"/>
                <w:szCs w:val="22"/>
                <w:lang w:val="en-AU"/>
              </w:rPr>
              <w:t>Day 6 &amp; thereafter</w:t>
            </w:r>
          </w:p>
        </w:tc>
      </w:tr>
      <w:tr w:rsidR="00C50246" w:rsidRPr="003F29C0" w:rsidTr="00437FBE">
        <w:trPr>
          <w:trHeight w:val="340"/>
          <w:jc w:val="center"/>
        </w:trPr>
        <w:tc>
          <w:tcPr>
            <w:tcW w:w="841" w:type="dxa"/>
          </w:tcPr>
          <w:p w:rsidR="00C50246" w:rsidRPr="003F29C0" w:rsidRDefault="00C50246" w:rsidP="00437FBE">
            <w:pPr>
              <w:spacing w:before="40" w:after="40"/>
              <w:jc w:val="center"/>
              <w:rPr>
                <w:b/>
                <w:sz w:val="22"/>
                <w:szCs w:val="22"/>
                <w:lang w:val="en-AU"/>
              </w:rPr>
            </w:pPr>
            <w:r w:rsidRPr="003F29C0">
              <w:rPr>
                <w:b/>
                <w:sz w:val="22"/>
                <w:szCs w:val="22"/>
                <w:lang w:val="en-AU"/>
              </w:rPr>
              <w:t>AM</w:t>
            </w:r>
          </w:p>
        </w:tc>
        <w:tc>
          <w:tcPr>
            <w:tcW w:w="773" w:type="dxa"/>
          </w:tcPr>
          <w:p w:rsidR="00C50246" w:rsidRPr="003F29C0" w:rsidRDefault="00C50246" w:rsidP="00437FBE">
            <w:pPr>
              <w:spacing w:before="40" w:after="40"/>
              <w:jc w:val="center"/>
              <w:rPr>
                <w:b/>
                <w:sz w:val="22"/>
                <w:szCs w:val="22"/>
                <w:lang w:val="en-AU"/>
              </w:rPr>
            </w:pPr>
            <w:r w:rsidRPr="003F29C0">
              <w:rPr>
                <w:b/>
                <w:sz w:val="22"/>
                <w:szCs w:val="22"/>
                <w:lang w:val="en-AU"/>
              </w:rPr>
              <w:t>AM</w:t>
            </w:r>
          </w:p>
        </w:tc>
        <w:tc>
          <w:tcPr>
            <w:tcW w:w="786" w:type="dxa"/>
          </w:tcPr>
          <w:p w:rsidR="00C50246" w:rsidRPr="003F29C0" w:rsidRDefault="00C50246" w:rsidP="00437FBE">
            <w:pPr>
              <w:spacing w:before="40" w:after="40"/>
              <w:jc w:val="center"/>
              <w:rPr>
                <w:b/>
                <w:sz w:val="22"/>
                <w:szCs w:val="22"/>
                <w:lang w:val="en-AU"/>
              </w:rPr>
            </w:pPr>
            <w:r w:rsidRPr="003F29C0">
              <w:rPr>
                <w:b/>
                <w:sz w:val="22"/>
                <w:szCs w:val="22"/>
                <w:lang w:val="en-AU"/>
              </w:rPr>
              <w:t>PM</w:t>
            </w:r>
          </w:p>
        </w:tc>
        <w:tc>
          <w:tcPr>
            <w:tcW w:w="823" w:type="dxa"/>
          </w:tcPr>
          <w:p w:rsidR="00C50246" w:rsidRPr="003F29C0" w:rsidRDefault="00C50246" w:rsidP="00437FBE">
            <w:pPr>
              <w:spacing w:before="40" w:after="40"/>
              <w:jc w:val="center"/>
              <w:rPr>
                <w:b/>
                <w:sz w:val="22"/>
                <w:szCs w:val="22"/>
                <w:lang w:val="en-AU"/>
              </w:rPr>
            </w:pPr>
            <w:r w:rsidRPr="003F29C0">
              <w:rPr>
                <w:b/>
                <w:sz w:val="22"/>
                <w:szCs w:val="22"/>
                <w:lang w:val="en-AU"/>
              </w:rPr>
              <w:t>AM</w:t>
            </w:r>
          </w:p>
        </w:tc>
        <w:tc>
          <w:tcPr>
            <w:tcW w:w="867" w:type="dxa"/>
          </w:tcPr>
          <w:p w:rsidR="00C50246" w:rsidRPr="003F29C0" w:rsidRDefault="00C50246" w:rsidP="00437FBE">
            <w:pPr>
              <w:spacing w:before="40" w:after="40"/>
              <w:jc w:val="center"/>
              <w:rPr>
                <w:b/>
                <w:sz w:val="22"/>
                <w:szCs w:val="22"/>
                <w:lang w:val="en-AU"/>
              </w:rPr>
            </w:pPr>
            <w:r w:rsidRPr="003F29C0">
              <w:rPr>
                <w:b/>
                <w:sz w:val="22"/>
                <w:szCs w:val="22"/>
                <w:lang w:val="en-AU"/>
              </w:rPr>
              <w:t>PM</w:t>
            </w:r>
          </w:p>
        </w:tc>
        <w:tc>
          <w:tcPr>
            <w:tcW w:w="773" w:type="dxa"/>
          </w:tcPr>
          <w:p w:rsidR="00C50246" w:rsidRPr="003F29C0" w:rsidRDefault="00C50246" w:rsidP="00437FBE">
            <w:pPr>
              <w:spacing w:before="40" w:after="40"/>
              <w:jc w:val="center"/>
              <w:rPr>
                <w:b/>
                <w:sz w:val="22"/>
                <w:szCs w:val="22"/>
                <w:lang w:val="en-AU"/>
              </w:rPr>
            </w:pPr>
            <w:r w:rsidRPr="003F29C0">
              <w:rPr>
                <w:b/>
                <w:sz w:val="22"/>
                <w:szCs w:val="22"/>
                <w:lang w:val="en-AU"/>
              </w:rPr>
              <w:t>AM</w:t>
            </w:r>
          </w:p>
        </w:tc>
        <w:tc>
          <w:tcPr>
            <w:tcW w:w="806" w:type="dxa"/>
          </w:tcPr>
          <w:p w:rsidR="00C50246" w:rsidRPr="003F29C0" w:rsidRDefault="00C50246" w:rsidP="00437FBE">
            <w:pPr>
              <w:spacing w:before="40" w:after="40"/>
              <w:jc w:val="center"/>
              <w:rPr>
                <w:b/>
                <w:sz w:val="22"/>
                <w:szCs w:val="22"/>
                <w:lang w:val="en-AU"/>
              </w:rPr>
            </w:pPr>
            <w:r w:rsidRPr="003F29C0">
              <w:rPr>
                <w:b/>
                <w:sz w:val="22"/>
                <w:szCs w:val="22"/>
                <w:lang w:val="en-AU"/>
              </w:rPr>
              <w:t>PM</w:t>
            </w:r>
          </w:p>
        </w:tc>
        <w:tc>
          <w:tcPr>
            <w:tcW w:w="807" w:type="dxa"/>
          </w:tcPr>
          <w:p w:rsidR="00C50246" w:rsidRPr="003F29C0" w:rsidRDefault="00C50246" w:rsidP="00437FBE">
            <w:pPr>
              <w:spacing w:before="40" w:after="40"/>
              <w:jc w:val="center"/>
              <w:rPr>
                <w:b/>
                <w:sz w:val="22"/>
                <w:szCs w:val="22"/>
                <w:lang w:val="en-AU"/>
              </w:rPr>
            </w:pPr>
            <w:r w:rsidRPr="003F29C0">
              <w:rPr>
                <w:b/>
                <w:sz w:val="22"/>
                <w:szCs w:val="22"/>
                <w:lang w:val="en-AU"/>
              </w:rPr>
              <w:t>AM</w:t>
            </w:r>
          </w:p>
        </w:tc>
        <w:tc>
          <w:tcPr>
            <w:tcW w:w="894" w:type="dxa"/>
          </w:tcPr>
          <w:p w:rsidR="00C50246" w:rsidRPr="003F29C0" w:rsidRDefault="00C50246" w:rsidP="00437FBE">
            <w:pPr>
              <w:spacing w:before="40" w:after="40"/>
              <w:jc w:val="center"/>
              <w:rPr>
                <w:b/>
                <w:sz w:val="22"/>
                <w:szCs w:val="22"/>
                <w:lang w:val="en-AU"/>
              </w:rPr>
            </w:pPr>
            <w:r w:rsidRPr="003F29C0">
              <w:rPr>
                <w:b/>
                <w:sz w:val="22"/>
                <w:szCs w:val="22"/>
                <w:lang w:val="en-AU"/>
              </w:rPr>
              <w:t>PM</w:t>
            </w:r>
          </w:p>
        </w:tc>
        <w:tc>
          <w:tcPr>
            <w:tcW w:w="719" w:type="dxa"/>
          </w:tcPr>
          <w:p w:rsidR="00C50246" w:rsidRPr="003F29C0" w:rsidRDefault="00C50246" w:rsidP="00437FBE">
            <w:pPr>
              <w:spacing w:before="40" w:after="40"/>
              <w:jc w:val="center"/>
              <w:rPr>
                <w:b/>
                <w:sz w:val="22"/>
                <w:szCs w:val="22"/>
                <w:lang w:val="en-AU"/>
              </w:rPr>
            </w:pPr>
            <w:r w:rsidRPr="003F29C0">
              <w:rPr>
                <w:b/>
                <w:sz w:val="22"/>
                <w:szCs w:val="22"/>
                <w:lang w:val="en-AU"/>
              </w:rPr>
              <w:t>AM</w:t>
            </w:r>
          </w:p>
        </w:tc>
        <w:tc>
          <w:tcPr>
            <w:tcW w:w="810" w:type="dxa"/>
          </w:tcPr>
          <w:p w:rsidR="00C50246" w:rsidRPr="003F29C0" w:rsidRDefault="00C50246" w:rsidP="00437FBE">
            <w:pPr>
              <w:spacing w:before="40" w:after="40"/>
              <w:jc w:val="center"/>
              <w:rPr>
                <w:b/>
                <w:sz w:val="22"/>
                <w:szCs w:val="22"/>
                <w:lang w:val="en-AU"/>
              </w:rPr>
            </w:pPr>
            <w:r w:rsidRPr="003F29C0">
              <w:rPr>
                <w:b/>
                <w:sz w:val="22"/>
                <w:szCs w:val="22"/>
                <w:lang w:val="en-AU"/>
              </w:rPr>
              <w:t>PM</w:t>
            </w:r>
          </w:p>
        </w:tc>
      </w:tr>
      <w:tr w:rsidR="00C50246" w:rsidRPr="003F29C0" w:rsidTr="00437FBE">
        <w:trPr>
          <w:trHeight w:val="340"/>
          <w:jc w:val="center"/>
        </w:trPr>
        <w:tc>
          <w:tcPr>
            <w:tcW w:w="841" w:type="dxa"/>
            <w:vAlign w:val="center"/>
          </w:tcPr>
          <w:p w:rsidR="00C50246" w:rsidRPr="003F29C0" w:rsidRDefault="00C50246" w:rsidP="00437FBE">
            <w:pPr>
              <w:spacing w:before="40" w:after="40"/>
              <w:jc w:val="center"/>
              <w:rPr>
                <w:sz w:val="22"/>
                <w:szCs w:val="22"/>
                <w:lang w:val="en-AU"/>
              </w:rPr>
            </w:pPr>
            <w:r w:rsidRPr="003F29C0">
              <w:rPr>
                <w:sz w:val="22"/>
                <w:szCs w:val="22"/>
                <w:lang w:val="en-AU"/>
              </w:rPr>
              <w:t>10 mg</w:t>
            </w:r>
          </w:p>
        </w:tc>
        <w:tc>
          <w:tcPr>
            <w:tcW w:w="773" w:type="dxa"/>
            <w:vAlign w:val="center"/>
          </w:tcPr>
          <w:p w:rsidR="00C50246" w:rsidRPr="003F29C0" w:rsidRDefault="00C50246" w:rsidP="00437FBE">
            <w:pPr>
              <w:spacing w:before="40" w:after="40"/>
              <w:jc w:val="center"/>
              <w:rPr>
                <w:sz w:val="22"/>
                <w:szCs w:val="22"/>
                <w:lang w:val="en-AU"/>
              </w:rPr>
            </w:pPr>
            <w:r w:rsidRPr="003F29C0">
              <w:rPr>
                <w:sz w:val="22"/>
                <w:szCs w:val="22"/>
                <w:lang w:val="en-AU"/>
              </w:rPr>
              <w:t>10 mg</w:t>
            </w:r>
          </w:p>
        </w:tc>
        <w:tc>
          <w:tcPr>
            <w:tcW w:w="786" w:type="dxa"/>
            <w:vAlign w:val="center"/>
          </w:tcPr>
          <w:p w:rsidR="00C50246" w:rsidRPr="003F29C0" w:rsidRDefault="00C50246" w:rsidP="00437FBE">
            <w:pPr>
              <w:spacing w:before="40" w:after="40"/>
              <w:jc w:val="center"/>
              <w:rPr>
                <w:sz w:val="22"/>
                <w:szCs w:val="22"/>
                <w:lang w:val="en-AU"/>
              </w:rPr>
            </w:pPr>
            <w:r w:rsidRPr="003F29C0">
              <w:rPr>
                <w:sz w:val="22"/>
                <w:szCs w:val="22"/>
                <w:lang w:val="en-AU"/>
              </w:rPr>
              <w:t>10 mg</w:t>
            </w:r>
          </w:p>
        </w:tc>
        <w:tc>
          <w:tcPr>
            <w:tcW w:w="823" w:type="dxa"/>
            <w:vAlign w:val="center"/>
          </w:tcPr>
          <w:p w:rsidR="00C50246" w:rsidRPr="003F29C0" w:rsidRDefault="00C50246" w:rsidP="00437FBE">
            <w:pPr>
              <w:spacing w:before="40" w:after="40"/>
              <w:jc w:val="center"/>
              <w:rPr>
                <w:sz w:val="22"/>
                <w:szCs w:val="22"/>
                <w:lang w:val="en-AU"/>
              </w:rPr>
            </w:pPr>
            <w:r w:rsidRPr="003F29C0">
              <w:rPr>
                <w:sz w:val="22"/>
                <w:szCs w:val="22"/>
                <w:lang w:val="en-AU"/>
              </w:rPr>
              <w:t>10 mg</w:t>
            </w:r>
          </w:p>
        </w:tc>
        <w:tc>
          <w:tcPr>
            <w:tcW w:w="867" w:type="dxa"/>
            <w:vAlign w:val="center"/>
          </w:tcPr>
          <w:p w:rsidR="00C50246" w:rsidRPr="003F29C0" w:rsidRDefault="00C50246" w:rsidP="00437FBE">
            <w:pPr>
              <w:spacing w:before="40" w:after="40"/>
              <w:jc w:val="center"/>
              <w:rPr>
                <w:sz w:val="22"/>
                <w:szCs w:val="22"/>
                <w:lang w:val="en-AU"/>
              </w:rPr>
            </w:pPr>
            <w:r w:rsidRPr="003F29C0">
              <w:rPr>
                <w:sz w:val="22"/>
                <w:szCs w:val="22"/>
                <w:lang w:val="en-AU"/>
              </w:rPr>
              <w:t>20 mg</w:t>
            </w:r>
          </w:p>
        </w:tc>
        <w:tc>
          <w:tcPr>
            <w:tcW w:w="773" w:type="dxa"/>
            <w:vAlign w:val="center"/>
          </w:tcPr>
          <w:p w:rsidR="00C50246" w:rsidRPr="003F29C0" w:rsidRDefault="00C50246" w:rsidP="00437FBE">
            <w:pPr>
              <w:spacing w:before="40" w:after="40"/>
              <w:jc w:val="center"/>
              <w:rPr>
                <w:sz w:val="22"/>
                <w:szCs w:val="22"/>
                <w:lang w:val="en-AU"/>
              </w:rPr>
            </w:pPr>
            <w:r w:rsidRPr="003F29C0">
              <w:rPr>
                <w:sz w:val="22"/>
                <w:szCs w:val="22"/>
                <w:lang w:val="en-AU"/>
              </w:rPr>
              <w:t>20 mg</w:t>
            </w:r>
          </w:p>
        </w:tc>
        <w:tc>
          <w:tcPr>
            <w:tcW w:w="806" w:type="dxa"/>
            <w:vAlign w:val="center"/>
          </w:tcPr>
          <w:p w:rsidR="00C50246" w:rsidRPr="003F29C0" w:rsidRDefault="00C50246" w:rsidP="00437FBE">
            <w:pPr>
              <w:spacing w:before="40" w:after="40"/>
              <w:jc w:val="center"/>
              <w:rPr>
                <w:sz w:val="22"/>
                <w:szCs w:val="22"/>
                <w:lang w:val="en-AU"/>
              </w:rPr>
            </w:pPr>
            <w:r w:rsidRPr="003F29C0">
              <w:rPr>
                <w:sz w:val="22"/>
                <w:szCs w:val="22"/>
                <w:lang w:val="en-AU"/>
              </w:rPr>
              <w:t>20 mg</w:t>
            </w:r>
          </w:p>
        </w:tc>
        <w:tc>
          <w:tcPr>
            <w:tcW w:w="807" w:type="dxa"/>
            <w:vAlign w:val="center"/>
          </w:tcPr>
          <w:p w:rsidR="00C50246" w:rsidRPr="003F29C0" w:rsidRDefault="00C50246" w:rsidP="00437FBE">
            <w:pPr>
              <w:spacing w:before="40" w:after="40"/>
              <w:jc w:val="center"/>
              <w:rPr>
                <w:sz w:val="22"/>
                <w:szCs w:val="22"/>
                <w:lang w:val="en-AU"/>
              </w:rPr>
            </w:pPr>
            <w:r w:rsidRPr="003F29C0">
              <w:rPr>
                <w:sz w:val="22"/>
                <w:szCs w:val="22"/>
                <w:lang w:val="en-AU"/>
              </w:rPr>
              <w:t>20 mg</w:t>
            </w:r>
          </w:p>
        </w:tc>
        <w:tc>
          <w:tcPr>
            <w:tcW w:w="894" w:type="dxa"/>
            <w:vAlign w:val="center"/>
          </w:tcPr>
          <w:p w:rsidR="00C50246" w:rsidRPr="003F29C0" w:rsidRDefault="00C50246" w:rsidP="00437FBE">
            <w:pPr>
              <w:spacing w:before="40" w:after="40"/>
              <w:jc w:val="center"/>
              <w:rPr>
                <w:sz w:val="22"/>
                <w:szCs w:val="22"/>
                <w:lang w:val="en-AU"/>
              </w:rPr>
            </w:pPr>
            <w:r w:rsidRPr="003F29C0">
              <w:rPr>
                <w:sz w:val="22"/>
                <w:szCs w:val="22"/>
                <w:lang w:val="en-AU"/>
              </w:rPr>
              <w:t>30 mg</w:t>
            </w:r>
          </w:p>
        </w:tc>
        <w:tc>
          <w:tcPr>
            <w:tcW w:w="719" w:type="dxa"/>
            <w:vAlign w:val="center"/>
          </w:tcPr>
          <w:p w:rsidR="00C50246" w:rsidRPr="003F29C0" w:rsidRDefault="00C50246" w:rsidP="00437FBE">
            <w:pPr>
              <w:spacing w:before="40" w:after="40"/>
              <w:jc w:val="center"/>
              <w:rPr>
                <w:sz w:val="22"/>
                <w:szCs w:val="22"/>
                <w:lang w:val="en-AU"/>
              </w:rPr>
            </w:pPr>
            <w:r w:rsidRPr="003F29C0">
              <w:rPr>
                <w:sz w:val="22"/>
                <w:szCs w:val="22"/>
                <w:lang w:val="en-AU"/>
              </w:rPr>
              <w:t>30 mg</w:t>
            </w:r>
          </w:p>
        </w:tc>
        <w:tc>
          <w:tcPr>
            <w:tcW w:w="810" w:type="dxa"/>
            <w:vAlign w:val="center"/>
          </w:tcPr>
          <w:p w:rsidR="00C50246" w:rsidRPr="003F29C0" w:rsidRDefault="00C50246" w:rsidP="00437FBE">
            <w:pPr>
              <w:spacing w:before="40" w:after="40"/>
              <w:jc w:val="center"/>
              <w:rPr>
                <w:sz w:val="22"/>
                <w:szCs w:val="22"/>
                <w:lang w:val="en-AU"/>
              </w:rPr>
            </w:pPr>
            <w:r w:rsidRPr="003F29C0">
              <w:rPr>
                <w:sz w:val="22"/>
                <w:szCs w:val="22"/>
                <w:lang w:val="en-AU"/>
              </w:rPr>
              <w:t>30 mg</w:t>
            </w:r>
          </w:p>
        </w:tc>
      </w:tr>
    </w:tbl>
    <w:p w:rsidR="00C50246" w:rsidRPr="003F29C0" w:rsidRDefault="00C50246" w:rsidP="00C50246">
      <w:pPr>
        <w:pStyle w:val="C-BodyText"/>
        <w:tabs>
          <w:tab w:val="left" w:pos="117"/>
        </w:tabs>
        <w:spacing w:before="0" w:after="0"/>
        <w:rPr>
          <w:sz w:val="22"/>
          <w:szCs w:val="22"/>
          <w:lang w:val="en-AU"/>
        </w:rPr>
      </w:pPr>
    </w:p>
    <w:p w:rsidR="00C50246" w:rsidRDefault="0007381C" w:rsidP="007A40B5">
      <w:pPr>
        <w:pStyle w:val="C-BodyText"/>
        <w:tabs>
          <w:tab w:val="left" w:pos="117"/>
        </w:tabs>
        <w:spacing w:before="0" w:after="0" w:line="240" w:lineRule="auto"/>
        <w:rPr>
          <w:sz w:val="22"/>
          <w:szCs w:val="22"/>
          <w:lang w:val="en-AU"/>
        </w:rPr>
      </w:pPr>
      <w:r>
        <w:rPr>
          <w:sz w:val="22"/>
          <w:szCs w:val="22"/>
          <w:lang w:val="en-AU"/>
        </w:rPr>
        <w:t>Otezla</w:t>
      </w:r>
      <w:r w:rsidR="00C50246" w:rsidRPr="003F29C0">
        <w:rPr>
          <w:sz w:val="22"/>
          <w:szCs w:val="22"/>
          <w:lang w:val="en-AU"/>
        </w:rPr>
        <w:t xml:space="preserve"> tablets should be swallowed whole, either with or without food. </w:t>
      </w:r>
      <w:r>
        <w:rPr>
          <w:sz w:val="22"/>
          <w:szCs w:val="22"/>
          <w:lang w:val="en-AU"/>
        </w:rPr>
        <w:t xml:space="preserve"> </w:t>
      </w:r>
      <w:r w:rsidR="00C50246" w:rsidRPr="003F29C0">
        <w:rPr>
          <w:sz w:val="22"/>
          <w:szCs w:val="22"/>
          <w:lang w:val="en-AU"/>
        </w:rPr>
        <w:t>The tablets should not be crushed, split or chewed.</w:t>
      </w:r>
    </w:p>
    <w:p w:rsidR="005D485C" w:rsidRPr="00FB6D30" w:rsidRDefault="005D485C" w:rsidP="007A40B5">
      <w:pPr>
        <w:pStyle w:val="C-BodyText"/>
        <w:tabs>
          <w:tab w:val="left" w:pos="117"/>
        </w:tabs>
        <w:spacing w:before="0" w:after="0" w:line="240" w:lineRule="auto"/>
        <w:rPr>
          <w:sz w:val="22"/>
          <w:szCs w:val="22"/>
          <w:lang w:val="en-AU"/>
        </w:rPr>
      </w:pPr>
    </w:p>
    <w:p w:rsidR="005D485C" w:rsidRPr="00FB6D30" w:rsidRDefault="005D485C" w:rsidP="007A40B5">
      <w:pPr>
        <w:rPr>
          <w:sz w:val="22"/>
          <w:szCs w:val="22"/>
          <w:lang w:val="en-AU"/>
        </w:rPr>
      </w:pPr>
      <w:r w:rsidRPr="00FB6D30">
        <w:rPr>
          <w:sz w:val="22"/>
          <w:szCs w:val="22"/>
          <w:lang w:val="en-AU"/>
        </w:rPr>
        <w:t xml:space="preserve">If patients miss a dose, the next dose should be taken as soon as possible. </w:t>
      </w:r>
      <w:r w:rsidR="006C44FA">
        <w:rPr>
          <w:sz w:val="22"/>
          <w:szCs w:val="22"/>
          <w:lang w:val="en-AU"/>
        </w:rPr>
        <w:t xml:space="preserve"> </w:t>
      </w:r>
      <w:r w:rsidRPr="00FB6D30">
        <w:rPr>
          <w:sz w:val="22"/>
          <w:szCs w:val="22"/>
          <w:lang w:val="en-AU"/>
        </w:rPr>
        <w:t>If it is close to the time for their next dose, the missed dose should not be taken and the next dose should be taken at the regular time.</w:t>
      </w:r>
    </w:p>
    <w:p w:rsidR="00580181" w:rsidRDefault="00580181" w:rsidP="007A40B5">
      <w:pPr>
        <w:pStyle w:val="C-BodyText"/>
        <w:tabs>
          <w:tab w:val="left" w:pos="117"/>
        </w:tabs>
        <w:spacing w:before="0" w:after="0" w:line="240" w:lineRule="auto"/>
        <w:rPr>
          <w:sz w:val="22"/>
          <w:szCs w:val="22"/>
          <w:lang w:val="en-AU"/>
        </w:rPr>
      </w:pPr>
    </w:p>
    <w:p w:rsidR="00580181" w:rsidRPr="00580181" w:rsidRDefault="00580181" w:rsidP="007A40B5">
      <w:pPr>
        <w:pStyle w:val="C-BodyText"/>
        <w:spacing w:before="0" w:after="0" w:line="240" w:lineRule="auto"/>
        <w:jc w:val="both"/>
        <w:rPr>
          <w:sz w:val="22"/>
          <w:szCs w:val="22"/>
        </w:rPr>
      </w:pPr>
      <w:r w:rsidRPr="00580181">
        <w:rPr>
          <w:sz w:val="22"/>
          <w:szCs w:val="22"/>
        </w:rPr>
        <w:t>No dosage adjustment is necessary for elderly patients.</w:t>
      </w:r>
    </w:p>
    <w:p w:rsidR="00580181" w:rsidRPr="00D516FA" w:rsidRDefault="00580181" w:rsidP="007A40B5">
      <w:pPr>
        <w:pStyle w:val="C-BodyText"/>
        <w:spacing w:before="0" w:after="0" w:line="240" w:lineRule="auto"/>
        <w:jc w:val="both"/>
        <w:rPr>
          <w:sz w:val="22"/>
          <w:szCs w:val="22"/>
        </w:rPr>
      </w:pPr>
    </w:p>
    <w:p w:rsidR="00580181" w:rsidRPr="00580181" w:rsidRDefault="00580181" w:rsidP="007A40B5">
      <w:pPr>
        <w:rPr>
          <w:sz w:val="22"/>
          <w:szCs w:val="22"/>
        </w:rPr>
      </w:pPr>
      <w:r w:rsidRPr="00580181">
        <w:rPr>
          <w:sz w:val="22"/>
          <w:szCs w:val="22"/>
        </w:rPr>
        <w:t xml:space="preserve">No dose adjustment is needed in patients with mild renal impairment.  There are limited data on moderate renal impairment.  </w:t>
      </w:r>
      <w:r w:rsidR="0053283F">
        <w:rPr>
          <w:sz w:val="22"/>
          <w:szCs w:val="22"/>
        </w:rPr>
        <w:t xml:space="preserve">Otezla </w:t>
      </w:r>
      <w:r w:rsidR="00FB0D86">
        <w:rPr>
          <w:sz w:val="22"/>
          <w:szCs w:val="22"/>
        </w:rPr>
        <w:t>should be dose reduced to 30 </w:t>
      </w:r>
      <w:r w:rsidRPr="00580181">
        <w:rPr>
          <w:sz w:val="22"/>
          <w:szCs w:val="22"/>
        </w:rPr>
        <w:t>mg once daily in patients with severe renal impairment (creatinine clearance of less than 30</w:t>
      </w:r>
      <w:r w:rsidR="00FB0D86">
        <w:rPr>
          <w:sz w:val="22"/>
          <w:szCs w:val="22"/>
        </w:rPr>
        <w:t> </w:t>
      </w:r>
      <w:r w:rsidRPr="00580181">
        <w:rPr>
          <w:sz w:val="22"/>
          <w:szCs w:val="22"/>
        </w:rPr>
        <w:t>mL per minute estimated by the Cockroft-Gault equation).</w:t>
      </w:r>
      <w:r w:rsidR="001555F6">
        <w:rPr>
          <w:sz w:val="22"/>
          <w:szCs w:val="22"/>
        </w:rPr>
        <w:t xml:space="preserve">  </w:t>
      </w:r>
      <w:r w:rsidR="001555F6" w:rsidRPr="001555F6">
        <w:rPr>
          <w:sz w:val="22"/>
          <w:szCs w:val="22"/>
        </w:rPr>
        <w:t xml:space="preserve">For initial dosage titration in this group, it is recommended that apremilast be titrated using only the AM schedule listed in </w:t>
      </w:r>
      <w:r w:rsidR="001555F6" w:rsidRPr="006C44FA">
        <w:rPr>
          <w:b/>
          <w:sz w:val="22"/>
          <w:szCs w:val="22"/>
        </w:rPr>
        <w:t>Table 6</w:t>
      </w:r>
      <w:r w:rsidR="001555F6" w:rsidRPr="001555F6">
        <w:rPr>
          <w:sz w:val="22"/>
          <w:szCs w:val="22"/>
        </w:rPr>
        <w:t xml:space="preserve"> and the PM doses </w:t>
      </w:r>
      <w:proofErr w:type="gramStart"/>
      <w:r w:rsidR="001555F6" w:rsidRPr="001555F6">
        <w:rPr>
          <w:sz w:val="22"/>
          <w:szCs w:val="22"/>
        </w:rPr>
        <w:t>be</w:t>
      </w:r>
      <w:proofErr w:type="gramEnd"/>
      <w:r w:rsidR="001555F6" w:rsidRPr="001555F6">
        <w:rPr>
          <w:sz w:val="22"/>
          <w:szCs w:val="22"/>
        </w:rPr>
        <w:t xml:space="preserve"> skipped.</w:t>
      </w:r>
    </w:p>
    <w:p w:rsidR="00580181" w:rsidRPr="00D516FA" w:rsidRDefault="00580181" w:rsidP="007A40B5">
      <w:pPr>
        <w:pStyle w:val="C-BodyText"/>
        <w:spacing w:before="0" w:after="0" w:line="240" w:lineRule="auto"/>
        <w:jc w:val="both"/>
        <w:rPr>
          <w:sz w:val="22"/>
          <w:szCs w:val="22"/>
        </w:rPr>
      </w:pPr>
    </w:p>
    <w:p w:rsidR="00580181" w:rsidRDefault="00580181" w:rsidP="006C44FA">
      <w:pPr>
        <w:pStyle w:val="C-BodyText"/>
        <w:spacing w:before="0" w:after="0" w:line="240" w:lineRule="auto"/>
        <w:rPr>
          <w:sz w:val="22"/>
          <w:szCs w:val="22"/>
        </w:rPr>
      </w:pPr>
      <w:r w:rsidRPr="00580181">
        <w:rPr>
          <w:sz w:val="22"/>
          <w:szCs w:val="22"/>
        </w:rPr>
        <w:t xml:space="preserve">Dose adjustment is not required in patients with hepatic impairment.  The safety of </w:t>
      </w:r>
      <w:r w:rsidR="0053283F">
        <w:rPr>
          <w:sz w:val="22"/>
          <w:szCs w:val="22"/>
        </w:rPr>
        <w:t>Otezla</w:t>
      </w:r>
      <w:r w:rsidR="0053283F" w:rsidRPr="00580181">
        <w:rPr>
          <w:sz w:val="22"/>
          <w:szCs w:val="22"/>
        </w:rPr>
        <w:t xml:space="preserve"> </w:t>
      </w:r>
      <w:r w:rsidRPr="00580181">
        <w:rPr>
          <w:sz w:val="22"/>
          <w:szCs w:val="22"/>
        </w:rPr>
        <w:t>was not evaluated in</w:t>
      </w:r>
      <w:r w:rsidRPr="00405DCB">
        <w:rPr>
          <w:sz w:val="22"/>
          <w:szCs w:val="22"/>
          <w:lang w:val="en-GB"/>
        </w:rPr>
        <w:t xml:space="preserve"> PsA</w:t>
      </w:r>
      <w:r w:rsidRPr="00580181">
        <w:rPr>
          <w:sz w:val="22"/>
          <w:szCs w:val="22"/>
        </w:rPr>
        <w:t xml:space="preserve"> or PSOR patients with hepatic impairment.</w:t>
      </w:r>
    </w:p>
    <w:p w:rsidR="00F15C66" w:rsidRDefault="00F15C66" w:rsidP="00F15C66">
      <w:pPr>
        <w:pStyle w:val="NormalWeb"/>
        <w:spacing w:before="0" w:beforeAutospacing="0" w:after="0" w:afterAutospacing="0"/>
        <w:jc w:val="both"/>
        <w:rPr>
          <w:sz w:val="22"/>
          <w:szCs w:val="22"/>
        </w:rPr>
      </w:pPr>
    </w:p>
    <w:p w:rsidR="00F15C66" w:rsidRPr="0012451A" w:rsidRDefault="00F15C66" w:rsidP="00F15C66">
      <w:pPr>
        <w:pStyle w:val="NormalWeb"/>
        <w:spacing w:before="0" w:beforeAutospacing="0" w:after="0" w:afterAutospacing="0"/>
        <w:rPr>
          <w:rStyle w:val="CommentReference"/>
          <w:sz w:val="22"/>
          <w:szCs w:val="22"/>
        </w:rPr>
      </w:pPr>
      <w:r w:rsidRPr="0012451A">
        <w:rPr>
          <w:sz w:val="22"/>
          <w:szCs w:val="22"/>
        </w:rPr>
        <w:t xml:space="preserve">In the event of intolerable adverse events, </w:t>
      </w:r>
      <w:r w:rsidRPr="0012451A">
        <w:rPr>
          <w:color w:val="000000"/>
          <w:sz w:val="22"/>
          <w:szCs w:val="22"/>
        </w:rPr>
        <w:t>interruption or discontinuation of Otezla should be considered</w:t>
      </w:r>
      <w:r>
        <w:rPr>
          <w:color w:val="000000"/>
          <w:sz w:val="22"/>
          <w:szCs w:val="22"/>
        </w:rPr>
        <w:t>.</w:t>
      </w:r>
    </w:p>
    <w:p w:rsidR="00F15C66" w:rsidRDefault="00F15C66" w:rsidP="006C44FA">
      <w:pPr>
        <w:pStyle w:val="C-BodyText"/>
        <w:spacing w:before="0" w:after="0" w:line="240" w:lineRule="auto"/>
        <w:rPr>
          <w:sz w:val="22"/>
          <w:szCs w:val="22"/>
        </w:rPr>
      </w:pPr>
    </w:p>
    <w:p w:rsidR="00B92004" w:rsidRPr="003F29C0" w:rsidRDefault="00B92004" w:rsidP="007A40B5">
      <w:pPr>
        <w:rPr>
          <w:sz w:val="22"/>
          <w:szCs w:val="22"/>
          <w:lang w:val="en-AU"/>
        </w:rPr>
      </w:pPr>
    </w:p>
    <w:p w:rsidR="00F71750" w:rsidRPr="003F29C0" w:rsidRDefault="005C77FC" w:rsidP="005C77FC">
      <w:pPr>
        <w:keepNext/>
        <w:tabs>
          <w:tab w:val="left" w:pos="709"/>
        </w:tabs>
        <w:jc w:val="both"/>
        <w:rPr>
          <w:sz w:val="28"/>
          <w:szCs w:val="28"/>
          <w:lang w:val="en-AU"/>
        </w:rPr>
      </w:pPr>
      <w:r w:rsidRPr="003F29C0">
        <w:rPr>
          <w:b/>
          <w:sz w:val="28"/>
          <w:szCs w:val="28"/>
          <w:lang w:val="en-AU"/>
        </w:rPr>
        <w:t>xi)</w:t>
      </w:r>
      <w:r w:rsidR="00963047" w:rsidRPr="003F29C0">
        <w:rPr>
          <w:b/>
          <w:sz w:val="28"/>
          <w:szCs w:val="28"/>
          <w:lang w:val="en-AU"/>
        </w:rPr>
        <w:tab/>
      </w:r>
      <w:r w:rsidR="00F71750" w:rsidRPr="003F29C0">
        <w:rPr>
          <w:b/>
          <w:sz w:val="28"/>
          <w:szCs w:val="28"/>
          <w:lang w:val="en-AU"/>
        </w:rPr>
        <w:t>Overdosage</w:t>
      </w:r>
    </w:p>
    <w:p w:rsidR="00C50246" w:rsidRPr="003F29C0" w:rsidRDefault="00DA55CE" w:rsidP="00C50246">
      <w:pPr>
        <w:autoSpaceDE w:val="0"/>
        <w:autoSpaceDN w:val="0"/>
        <w:adjustRightInd w:val="0"/>
        <w:spacing w:before="120"/>
        <w:rPr>
          <w:sz w:val="22"/>
          <w:szCs w:val="22"/>
          <w:lang w:val="en-AU"/>
        </w:rPr>
      </w:pPr>
      <w:r>
        <w:rPr>
          <w:sz w:val="22"/>
          <w:szCs w:val="22"/>
          <w:lang w:val="en-AU"/>
        </w:rPr>
        <w:t>O</w:t>
      </w:r>
      <w:r w:rsidR="0053283F">
        <w:rPr>
          <w:sz w:val="22"/>
          <w:szCs w:val="22"/>
          <w:lang w:val="en-AU"/>
        </w:rPr>
        <w:t>tezla</w:t>
      </w:r>
      <w:r w:rsidR="0053283F" w:rsidRPr="003F29C0">
        <w:rPr>
          <w:sz w:val="22"/>
          <w:szCs w:val="22"/>
          <w:lang w:val="en-AU"/>
        </w:rPr>
        <w:t xml:space="preserve"> </w:t>
      </w:r>
      <w:r w:rsidR="00C50246" w:rsidRPr="003F29C0">
        <w:rPr>
          <w:sz w:val="22"/>
          <w:szCs w:val="22"/>
          <w:lang w:val="en-AU"/>
        </w:rPr>
        <w:t>was studied in healthy subjects at a maximum total daily dose of 100 mg (given as 50 mg twice daily) for 4.5 days without evidence of dose limiting toxiciti</w:t>
      </w:r>
      <w:r w:rsidR="00C50246" w:rsidRPr="00A112FD">
        <w:rPr>
          <w:sz w:val="22"/>
          <w:szCs w:val="22"/>
          <w:lang w:val="en-AU"/>
        </w:rPr>
        <w:t xml:space="preserve">es.  </w:t>
      </w:r>
      <w:r w:rsidR="00A112FD" w:rsidRPr="00A112FD">
        <w:rPr>
          <w:sz w:val="22"/>
          <w:szCs w:val="22"/>
        </w:rPr>
        <w:t>Patients should be managed by symptomatic and supportive care should there be an overdose.</w:t>
      </w:r>
    </w:p>
    <w:p w:rsidR="00457972" w:rsidRPr="003F29C0" w:rsidRDefault="00457972" w:rsidP="000905E5">
      <w:pPr>
        <w:autoSpaceDE w:val="0"/>
        <w:autoSpaceDN w:val="0"/>
        <w:adjustRightInd w:val="0"/>
        <w:rPr>
          <w:sz w:val="22"/>
          <w:szCs w:val="22"/>
          <w:lang w:val="en-AU"/>
        </w:rPr>
      </w:pPr>
    </w:p>
    <w:p w:rsidR="002B072F" w:rsidRPr="003F29C0" w:rsidRDefault="00B11920" w:rsidP="00457972">
      <w:pPr>
        <w:autoSpaceDE w:val="0"/>
        <w:autoSpaceDN w:val="0"/>
        <w:adjustRightInd w:val="0"/>
        <w:rPr>
          <w:sz w:val="22"/>
          <w:szCs w:val="22"/>
          <w:lang w:val="en-AU" w:eastAsia="zh-CN"/>
        </w:rPr>
      </w:pPr>
      <w:r>
        <w:rPr>
          <w:sz w:val="22"/>
          <w:szCs w:val="22"/>
          <w:lang w:val="en-AU"/>
        </w:rPr>
        <w:t>C</w:t>
      </w:r>
      <w:r w:rsidR="002B072F" w:rsidRPr="003F29C0">
        <w:rPr>
          <w:sz w:val="22"/>
          <w:szCs w:val="22"/>
          <w:lang w:val="en-AU"/>
        </w:rPr>
        <w:t xml:space="preserve">ontact the Poisons Advisory Centre on 13 11 26 for advice on management. </w:t>
      </w:r>
      <w:r w:rsidR="006C44FA">
        <w:rPr>
          <w:sz w:val="22"/>
          <w:szCs w:val="22"/>
          <w:lang w:val="en-AU"/>
        </w:rPr>
        <w:t xml:space="preserve"> </w:t>
      </w:r>
    </w:p>
    <w:p w:rsidR="00015A81" w:rsidRPr="003F29C0" w:rsidRDefault="00015A81" w:rsidP="00B40EC7">
      <w:pPr>
        <w:rPr>
          <w:sz w:val="22"/>
          <w:szCs w:val="22"/>
          <w:lang w:val="en-AU" w:eastAsia="zh-CN"/>
        </w:rPr>
      </w:pPr>
    </w:p>
    <w:p w:rsidR="007F3850" w:rsidRPr="003F29C0" w:rsidRDefault="007F3850" w:rsidP="00B40EC7">
      <w:pPr>
        <w:rPr>
          <w:sz w:val="22"/>
          <w:szCs w:val="22"/>
          <w:lang w:val="en-AU" w:eastAsia="zh-CN"/>
        </w:rPr>
      </w:pPr>
    </w:p>
    <w:p w:rsidR="00F71750" w:rsidRPr="003F29C0" w:rsidRDefault="005C77FC" w:rsidP="00783911">
      <w:pPr>
        <w:keepNext/>
        <w:tabs>
          <w:tab w:val="left" w:pos="709"/>
        </w:tabs>
        <w:ind w:left="720" w:hanging="720"/>
        <w:jc w:val="both"/>
        <w:rPr>
          <w:b/>
          <w:sz w:val="28"/>
          <w:szCs w:val="28"/>
          <w:lang w:val="en-AU"/>
        </w:rPr>
      </w:pPr>
      <w:r w:rsidRPr="003F29C0">
        <w:rPr>
          <w:b/>
          <w:sz w:val="28"/>
          <w:szCs w:val="28"/>
          <w:lang w:val="en-AU"/>
        </w:rPr>
        <w:t>xii)</w:t>
      </w:r>
      <w:r w:rsidR="00963047" w:rsidRPr="003F29C0">
        <w:rPr>
          <w:b/>
          <w:sz w:val="28"/>
          <w:szCs w:val="28"/>
          <w:lang w:val="en-AU"/>
        </w:rPr>
        <w:tab/>
      </w:r>
      <w:r w:rsidR="00F71750" w:rsidRPr="003F29C0">
        <w:rPr>
          <w:b/>
          <w:sz w:val="28"/>
          <w:szCs w:val="28"/>
          <w:lang w:val="en-AU"/>
        </w:rPr>
        <w:t>Presentation and storage conditions</w:t>
      </w:r>
    </w:p>
    <w:p w:rsidR="00981E3B" w:rsidRPr="00FC11DF" w:rsidRDefault="00981E3B" w:rsidP="00981E3B">
      <w:pPr>
        <w:rPr>
          <w:lang w:val="en-AU"/>
        </w:rPr>
      </w:pPr>
    </w:p>
    <w:p w:rsidR="0082131F" w:rsidRPr="00981E3B" w:rsidRDefault="0069697C" w:rsidP="00981E3B">
      <w:pPr>
        <w:rPr>
          <w:b/>
          <w:lang w:val="en-AU"/>
        </w:rPr>
      </w:pPr>
      <w:r w:rsidRPr="00981E3B">
        <w:rPr>
          <w:b/>
          <w:lang w:val="en-AU"/>
        </w:rPr>
        <w:t>Presentation</w:t>
      </w:r>
      <w:r w:rsidR="00E865E7" w:rsidRPr="003D699F">
        <w:rPr>
          <w:b/>
          <w:vertAlign w:val="superscript"/>
          <w:lang w:val="en-AU"/>
        </w:rPr>
        <w:t>#</w:t>
      </w:r>
    </w:p>
    <w:p w:rsidR="00DF005E" w:rsidRPr="00DF005E" w:rsidRDefault="00ED26E9" w:rsidP="00981E3B">
      <w:pPr>
        <w:spacing w:before="120"/>
        <w:rPr>
          <w:sz w:val="22"/>
          <w:szCs w:val="22"/>
        </w:rPr>
      </w:pPr>
      <w:proofErr w:type="gramStart"/>
      <w:r w:rsidRPr="00DF005E">
        <w:rPr>
          <w:sz w:val="22"/>
          <w:szCs w:val="22"/>
        </w:rPr>
        <w:t xml:space="preserve">A two-week </w:t>
      </w:r>
      <w:r w:rsidR="00644EE8" w:rsidRPr="00DF005E">
        <w:rPr>
          <w:sz w:val="22"/>
          <w:szCs w:val="22"/>
        </w:rPr>
        <w:t>titration</w:t>
      </w:r>
      <w:r w:rsidR="00F70B32" w:rsidRPr="00DF005E">
        <w:rPr>
          <w:sz w:val="22"/>
          <w:szCs w:val="22"/>
        </w:rPr>
        <w:t xml:space="preserve"> pack</w:t>
      </w:r>
      <w:proofErr w:type="gramEnd"/>
      <w:r w:rsidR="00F70B32" w:rsidRPr="00DF005E">
        <w:rPr>
          <w:sz w:val="22"/>
          <w:szCs w:val="22"/>
        </w:rPr>
        <w:t xml:space="preserve"> (4 x 10 mg, 4 x 20 mg and 5 x 30 mg for the first week</w:t>
      </w:r>
      <w:r w:rsidR="0067208F" w:rsidRPr="00DF005E">
        <w:rPr>
          <w:sz w:val="22"/>
          <w:szCs w:val="22"/>
        </w:rPr>
        <w:t xml:space="preserve"> for dose titration</w:t>
      </w:r>
      <w:r w:rsidR="00F70B32" w:rsidRPr="00DF005E">
        <w:rPr>
          <w:sz w:val="22"/>
          <w:szCs w:val="22"/>
        </w:rPr>
        <w:t xml:space="preserve"> and 14 x 30 </w:t>
      </w:r>
      <w:r w:rsidRPr="00DF005E">
        <w:rPr>
          <w:sz w:val="22"/>
          <w:szCs w:val="22"/>
        </w:rPr>
        <w:t>mg tablets</w:t>
      </w:r>
      <w:r w:rsidR="00F70B32" w:rsidRPr="00DF005E">
        <w:rPr>
          <w:sz w:val="22"/>
          <w:szCs w:val="22"/>
        </w:rPr>
        <w:t xml:space="preserve"> for the second week).</w:t>
      </w:r>
    </w:p>
    <w:p w:rsidR="00F70B32" w:rsidRPr="00DF005E" w:rsidRDefault="00F70B32" w:rsidP="00DF005E">
      <w:pPr>
        <w:spacing w:before="120"/>
        <w:rPr>
          <w:sz w:val="22"/>
          <w:szCs w:val="22"/>
        </w:rPr>
      </w:pPr>
      <w:r w:rsidRPr="00DF005E">
        <w:rPr>
          <w:sz w:val="22"/>
          <w:szCs w:val="22"/>
        </w:rPr>
        <w:t>A four-week pack (56 x 30 mg tablets)</w:t>
      </w:r>
    </w:p>
    <w:p w:rsidR="007F3850" w:rsidRPr="00FC11DF" w:rsidRDefault="00F70B32" w:rsidP="00FC11DF">
      <w:pPr>
        <w:spacing w:before="120"/>
        <w:rPr>
          <w:sz w:val="22"/>
          <w:szCs w:val="22"/>
          <w:lang w:val="en-AU"/>
        </w:rPr>
      </w:pPr>
      <w:r w:rsidRPr="00DF005E">
        <w:rPr>
          <w:sz w:val="22"/>
          <w:szCs w:val="22"/>
        </w:rPr>
        <w:t>A 12 week pack (168 x 30 mg tablets</w:t>
      </w:r>
      <w:proofErr w:type="gramStart"/>
      <w:r w:rsidRPr="00DF005E">
        <w:rPr>
          <w:sz w:val="22"/>
          <w:szCs w:val="22"/>
        </w:rPr>
        <w:t>)</w:t>
      </w:r>
      <w:proofErr w:type="gramEnd"/>
      <w:r w:rsidR="00FC11DF">
        <w:rPr>
          <w:sz w:val="22"/>
          <w:szCs w:val="22"/>
        </w:rPr>
        <w:br/>
      </w:r>
      <w:r w:rsidR="00E865E7" w:rsidRPr="00FC11DF">
        <w:rPr>
          <w:b/>
          <w:sz w:val="20"/>
          <w:szCs w:val="20"/>
          <w:vertAlign w:val="superscript"/>
          <w:lang w:val="en-AU"/>
        </w:rPr>
        <w:t xml:space="preserve"># </w:t>
      </w:r>
      <w:r w:rsidR="00E865E7" w:rsidRPr="00FC11DF">
        <w:rPr>
          <w:sz w:val="20"/>
          <w:szCs w:val="20"/>
          <w:lang w:val="en-AU"/>
        </w:rPr>
        <w:t>Not all pack sizes are marketed in Australia</w:t>
      </w:r>
    </w:p>
    <w:p w:rsidR="00E865E7" w:rsidRPr="003F29C0" w:rsidRDefault="00E865E7" w:rsidP="00D516FA">
      <w:pPr>
        <w:pStyle w:val="C-BodyText"/>
        <w:spacing w:before="0" w:after="0"/>
        <w:rPr>
          <w:sz w:val="22"/>
          <w:szCs w:val="22"/>
          <w:highlight w:val="yellow"/>
          <w:lang w:val="en-AU"/>
        </w:rPr>
      </w:pPr>
    </w:p>
    <w:p w:rsidR="007F3850" w:rsidRPr="003F29C0" w:rsidRDefault="0053283F" w:rsidP="007A40B5">
      <w:pPr>
        <w:pStyle w:val="C-BodyText"/>
        <w:spacing w:line="240" w:lineRule="auto"/>
        <w:rPr>
          <w:sz w:val="22"/>
          <w:szCs w:val="22"/>
          <w:lang w:val="en-AU"/>
        </w:rPr>
      </w:pPr>
      <w:r>
        <w:rPr>
          <w:sz w:val="22"/>
          <w:szCs w:val="22"/>
          <w:lang w:val="en-AU"/>
        </w:rPr>
        <w:t>Otezla</w:t>
      </w:r>
      <w:r w:rsidRPr="003F29C0">
        <w:rPr>
          <w:sz w:val="22"/>
          <w:szCs w:val="22"/>
          <w:lang w:val="en-AU"/>
        </w:rPr>
        <w:t xml:space="preserve"> </w:t>
      </w:r>
      <w:r w:rsidR="007F3850" w:rsidRPr="003F29C0">
        <w:rPr>
          <w:sz w:val="22"/>
          <w:szCs w:val="22"/>
          <w:lang w:val="en-AU"/>
        </w:rPr>
        <w:t>10 mg Tablets: Pink, diamond shaped 10 mg film-coated tablet with “APR” engraved on one side and “10” on the opposite side.</w:t>
      </w:r>
    </w:p>
    <w:p w:rsidR="007F3850" w:rsidRPr="003F29C0" w:rsidRDefault="0053283F" w:rsidP="007A40B5">
      <w:pPr>
        <w:pStyle w:val="C-BodyText"/>
        <w:spacing w:line="240" w:lineRule="auto"/>
        <w:rPr>
          <w:sz w:val="22"/>
          <w:szCs w:val="22"/>
          <w:lang w:val="en-AU"/>
        </w:rPr>
      </w:pPr>
      <w:r>
        <w:rPr>
          <w:sz w:val="22"/>
          <w:szCs w:val="22"/>
          <w:lang w:val="en-AU"/>
        </w:rPr>
        <w:t>Otezla</w:t>
      </w:r>
      <w:r w:rsidRPr="003F29C0">
        <w:rPr>
          <w:sz w:val="22"/>
          <w:szCs w:val="22"/>
          <w:lang w:val="en-AU"/>
        </w:rPr>
        <w:t xml:space="preserve"> </w:t>
      </w:r>
      <w:r w:rsidR="007F3850" w:rsidRPr="003F29C0">
        <w:rPr>
          <w:sz w:val="22"/>
          <w:szCs w:val="22"/>
          <w:lang w:val="en-AU"/>
        </w:rPr>
        <w:t>20 mg Tablets: Brown, diamond shaped 20 mg film-coated tablet with “APR” engraved on one side and “20” on the opposite side.</w:t>
      </w:r>
    </w:p>
    <w:p w:rsidR="007F3850" w:rsidRPr="003F29C0" w:rsidRDefault="0053283F" w:rsidP="007A40B5">
      <w:pPr>
        <w:pStyle w:val="C-BodyText"/>
        <w:spacing w:before="0" w:after="0" w:line="240" w:lineRule="auto"/>
        <w:rPr>
          <w:sz w:val="22"/>
          <w:szCs w:val="22"/>
          <w:lang w:val="en-AU"/>
        </w:rPr>
      </w:pPr>
      <w:r>
        <w:rPr>
          <w:sz w:val="22"/>
          <w:szCs w:val="22"/>
          <w:lang w:val="en-AU"/>
        </w:rPr>
        <w:lastRenderedPageBreak/>
        <w:t>Otezla</w:t>
      </w:r>
      <w:r w:rsidRPr="003F29C0">
        <w:rPr>
          <w:sz w:val="22"/>
          <w:szCs w:val="22"/>
          <w:lang w:val="en-AU"/>
        </w:rPr>
        <w:t xml:space="preserve"> </w:t>
      </w:r>
      <w:r w:rsidR="007F3850" w:rsidRPr="003F29C0">
        <w:rPr>
          <w:sz w:val="22"/>
          <w:szCs w:val="22"/>
          <w:lang w:val="en-AU"/>
        </w:rPr>
        <w:t>30 mg Tablets: Beige, diamond shaped 30 mg film-coated tablet with “APR” engraved on one side and “30” on the opposite side.</w:t>
      </w:r>
    </w:p>
    <w:p w:rsidR="00750B75" w:rsidRPr="00981E3B" w:rsidRDefault="0069697C" w:rsidP="00DF005E">
      <w:pPr>
        <w:jc w:val="both"/>
        <w:rPr>
          <w:b/>
          <w:lang w:val="en-AU"/>
        </w:rPr>
      </w:pPr>
      <w:r w:rsidRPr="00981E3B">
        <w:rPr>
          <w:b/>
          <w:lang w:val="en-AU"/>
        </w:rPr>
        <w:t>Composition</w:t>
      </w:r>
    </w:p>
    <w:p w:rsidR="007A5CF3" w:rsidRDefault="007A5CF3" w:rsidP="00981E3B">
      <w:pPr>
        <w:rPr>
          <w:sz w:val="22"/>
          <w:szCs w:val="22"/>
          <w:u w:val="single"/>
          <w:lang w:val="en-AU"/>
        </w:rPr>
      </w:pPr>
    </w:p>
    <w:p w:rsidR="0069697C" w:rsidRPr="00DF005E" w:rsidRDefault="0069697C" w:rsidP="00981E3B">
      <w:pPr>
        <w:rPr>
          <w:sz w:val="22"/>
          <w:szCs w:val="22"/>
          <w:u w:val="single"/>
          <w:lang w:val="en-AU"/>
        </w:rPr>
      </w:pPr>
      <w:r w:rsidRPr="00DF005E">
        <w:rPr>
          <w:sz w:val="22"/>
          <w:szCs w:val="22"/>
          <w:u w:val="single"/>
          <w:lang w:val="en-AU"/>
        </w:rPr>
        <w:t>Active</w:t>
      </w:r>
    </w:p>
    <w:p w:rsidR="001941E0" w:rsidRDefault="007F3850" w:rsidP="001941E0">
      <w:pPr>
        <w:spacing w:before="120"/>
        <w:jc w:val="both"/>
        <w:rPr>
          <w:sz w:val="22"/>
          <w:szCs w:val="22"/>
          <w:lang w:val="en-AU"/>
        </w:rPr>
      </w:pPr>
      <w:r w:rsidRPr="003F29C0">
        <w:rPr>
          <w:sz w:val="22"/>
          <w:szCs w:val="22"/>
          <w:lang w:val="en-AU"/>
        </w:rPr>
        <w:t>Apremilast</w:t>
      </w:r>
    </w:p>
    <w:p w:rsidR="00DF005E" w:rsidRDefault="00DF005E" w:rsidP="00981E3B">
      <w:pPr>
        <w:rPr>
          <w:sz w:val="22"/>
          <w:szCs w:val="22"/>
          <w:lang w:val="en-AU"/>
        </w:rPr>
      </w:pPr>
    </w:p>
    <w:p w:rsidR="001941E0" w:rsidRPr="00DF005E" w:rsidRDefault="001941E0" w:rsidP="00981E3B">
      <w:pPr>
        <w:rPr>
          <w:sz w:val="22"/>
          <w:szCs w:val="22"/>
          <w:u w:val="single"/>
          <w:lang w:val="en-AU"/>
        </w:rPr>
      </w:pPr>
      <w:r w:rsidRPr="00DF005E">
        <w:rPr>
          <w:sz w:val="22"/>
          <w:szCs w:val="22"/>
          <w:u w:val="single"/>
          <w:lang w:val="en-AU"/>
        </w:rPr>
        <w:t>Excipients</w:t>
      </w:r>
    </w:p>
    <w:p w:rsidR="001941E0" w:rsidRPr="003F29C0" w:rsidRDefault="001941E0" w:rsidP="00843904">
      <w:pPr>
        <w:spacing w:before="120"/>
        <w:jc w:val="both"/>
        <w:rPr>
          <w:sz w:val="22"/>
          <w:szCs w:val="22"/>
          <w:lang w:val="en-AU"/>
        </w:rPr>
      </w:pPr>
      <w:r w:rsidRPr="003F29C0">
        <w:rPr>
          <w:sz w:val="22"/>
          <w:szCs w:val="22"/>
          <w:lang w:val="en-AU"/>
        </w:rPr>
        <w:t>See Description</w:t>
      </w:r>
      <w:r w:rsidR="00B24C8C">
        <w:rPr>
          <w:sz w:val="22"/>
          <w:szCs w:val="22"/>
          <w:lang w:val="en-AU"/>
        </w:rPr>
        <w:t xml:space="preserve"> section</w:t>
      </w:r>
      <w:r w:rsidRPr="003F29C0">
        <w:rPr>
          <w:sz w:val="22"/>
          <w:szCs w:val="22"/>
          <w:lang w:val="en-AU"/>
        </w:rPr>
        <w:t>, for a list of the excipients.</w:t>
      </w:r>
    </w:p>
    <w:p w:rsidR="00DD67D7" w:rsidRPr="003F29C0" w:rsidRDefault="00DD67D7" w:rsidP="004475F5">
      <w:pPr>
        <w:jc w:val="both"/>
        <w:rPr>
          <w:sz w:val="22"/>
          <w:szCs w:val="22"/>
          <w:lang w:val="en-AU"/>
        </w:rPr>
      </w:pPr>
    </w:p>
    <w:p w:rsidR="00DD67D7" w:rsidRPr="003F29C0" w:rsidRDefault="00DD67D7" w:rsidP="007E5433">
      <w:pPr>
        <w:keepNext/>
        <w:jc w:val="both"/>
        <w:rPr>
          <w:sz w:val="22"/>
          <w:szCs w:val="22"/>
          <w:lang w:val="en-AU"/>
        </w:rPr>
      </w:pPr>
      <w:r w:rsidRPr="003F29C0">
        <w:rPr>
          <w:b/>
          <w:sz w:val="22"/>
          <w:szCs w:val="22"/>
          <w:lang w:val="en-AU"/>
        </w:rPr>
        <w:t>Storage conditions</w:t>
      </w:r>
    </w:p>
    <w:p w:rsidR="00DD67D7" w:rsidRPr="003F29C0" w:rsidRDefault="00DD67D7" w:rsidP="00843904">
      <w:pPr>
        <w:spacing w:before="120"/>
        <w:jc w:val="both"/>
        <w:rPr>
          <w:iCs/>
          <w:sz w:val="22"/>
          <w:szCs w:val="22"/>
          <w:lang w:val="en-AU"/>
        </w:rPr>
      </w:pPr>
      <w:r w:rsidRPr="003F29C0">
        <w:rPr>
          <w:iCs/>
          <w:sz w:val="22"/>
          <w:szCs w:val="22"/>
          <w:lang w:val="en-AU"/>
        </w:rPr>
        <w:t xml:space="preserve">Store below </w:t>
      </w:r>
      <w:r w:rsidR="00BE5713">
        <w:rPr>
          <w:iCs/>
          <w:sz w:val="22"/>
          <w:szCs w:val="22"/>
          <w:lang w:val="en-AU"/>
        </w:rPr>
        <w:t>30</w:t>
      </w:r>
      <w:r w:rsidRPr="003F29C0">
        <w:rPr>
          <w:iCs/>
          <w:sz w:val="22"/>
          <w:szCs w:val="22"/>
          <w:lang w:val="en-AU"/>
        </w:rPr>
        <w:sym w:font="Symbol" w:char="F0B0"/>
      </w:r>
      <w:r w:rsidRPr="003F29C0">
        <w:rPr>
          <w:iCs/>
          <w:sz w:val="22"/>
          <w:szCs w:val="22"/>
          <w:lang w:val="en-AU"/>
        </w:rPr>
        <w:t>C.</w:t>
      </w:r>
    </w:p>
    <w:p w:rsidR="00750B75" w:rsidRPr="003F29C0" w:rsidRDefault="00750B75" w:rsidP="004475F5">
      <w:pPr>
        <w:jc w:val="both"/>
        <w:rPr>
          <w:sz w:val="22"/>
          <w:szCs w:val="22"/>
          <w:lang w:val="en-AU"/>
        </w:rPr>
      </w:pPr>
    </w:p>
    <w:p w:rsidR="00DD67D7" w:rsidRPr="003F29C0" w:rsidRDefault="00DD67D7" w:rsidP="007E5433">
      <w:pPr>
        <w:keepNext/>
        <w:jc w:val="both"/>
        <w:rPr>
          <w:sz w:val="22"/>
          <w:szCs w:val="22"/>
          <w:lang w:val="en-AU"/>
        </w:rPr>
      </w:pPr>
      <w:r w:rsidRPr="003F29C0">
        <w:rPr>
          <w:b/>
          <w:sz w:val="22"/>
          <w:szCs w:val="22"/>
          <w:lang w:val="en-AU"/>
        </w:rPr>
        <w:t>Container type</w:t>
      </w:r>
    </w:p>
    <w:p w:rsidR="00504230" w:rsidRDefault="005842D2" w:rsidP="00DF005E">
      <w:pPr>
        <w:spacing w:before="120"/>
        <w:rPr>
          <w:sz w:val="22"/>
          <w:szCs w:val="22"/>
          <w:lang w:val="en-AU"/>
        </w:rPr>
      </w:pPr>
      <w:r w:rsidRPr="00BE5713">
        <w:rPr>
          <w:sz w:val="22"/>
          <w:szCs w:val="22"/>
          <w:lang w:val="en-AU"/>
        </w:rPr>
        <w:t xml:space="preserve">The tablets are provided in polyvinylchloride (PVC) blisters with push through </w:t>
      </w:r>
      <w:r w:rsidR="00FA0C28">
        <w:rPr>
          <w:sz w:val="22"/>
          <w:szCs w:val="22"/>
          <w:lang w:val="en-AU"/>
        </w:rPr>
        <w:t>aluminium</w:t>
      </w:r>
      <w:r w:rsidR="00FA0C28" w:rsidRPr="00BE5713">
        <w:rPr>
          <w:sz w:val="22"/>
          <w:szCs w:val="22"/>
          <w:lang w:val="en-AU"/>
        </w:rPr>
        <w:t xml:space="preserve"> </w:t>
      </w:r>
      <w:r w:rsidRPr="00BE5713">
        <w:rPr>
          <w:sz w:val="22"/>
          <w:szCs w:val="22"/>
          <w:lang w:val="en-AU"/>
        </w:rPr>
        <w:t>foil</w:t>
      </w:r>
      <w:r w:rsidR="0008704C">
        <w:rPr>
          <w:sz w:val="22"/>
          <w:szCs w:val="22"/>
          <w:lang w:val="en-AU"/>
        </w:rPr>
        <w:t>.</w:t>
      </w:r>
    </w:p>
    <w:p w:rsidR="00DD67D7" w:rsidRPr="003F29C0" w:rsidRDefault="00DD67D7" w:rsidP="004475F5">
      <w:pPr>
        <w:jc w:val="both"/>
        <w:rPr>
          <w:sz w:val="22"/>
          <w:szCs w:val="22"/>
          <w:lang w:val="en-AU"/>
        </w:rPr>
      </w:pPr>
    </w:p>
    <w:p w:rsidR="00DD67D7" w:rsidRPr="003F29C0" w:rsidRDefault="00DD67D7" w:rsidP="004475F5">
      <w:pPr>
        <w:jc w:val="both"/>
        <w:rPr>
          <w:sz w:val="22"/>
          <w:szCs w:val="22"/>
          <w:lang w:val="en-AU"/>
        </w:rPr>
      </w:pPr>
    </w:p>
    <w:p w:rsidR="00EC36C1" w:rsidRDefault="00DD67D7">
      <w:pPr>
        <w:pStyle w:val="ListParagraph"/>
        <w:keepNext/>
        <w:numPr>
          <w:ilvl w:val="0"/>
          <w:numId w:val="4"/>
        </w:numPr>
        <w:ind w:left="720"/>
        <w:jc w:val="both"/>
        <w:rPr>
          <w:sz w:val="28"/>
          <w:szCs w:val="28"/>
          <w:lang w:val="en-AU"/>
        </w:rPr>
      </w:pPr>
      <w:r w:rsidRPr="003F29C0">
        <w:rPr>
          <w:b/>
          <w:sz w:val="28"/>
          <w:szCs w:val="28"/>
          <w:lang w:val="en-AU"/>
        </w:rPr>
        <w:t xml:space="preserve">Name and </w:t>
      </w:r>
      <w:r w:rsidR="00215DC0" w:rsidRPr="003F29C0">
        <w:rPr>
          <w:b/>
          <w:sz w:val="28"/>
          <w:szCs w:val="28"/>
          <w:lang w:val="en-AU"/>
        </w:rPr>
        <w:t>a</w:t>
      </w:r>
      <w:r w:rsidRPr="003F29C0">
        <w:rPr>
          <w:b/>
          <w:sz w:val="28"/>
          <w:szCs w:val="28"/>
          <w:lang w:val="en-AU"/>
        </w:rPr>
        <w:t>ddress of the sponso</w:t>
      </w:r>
      <w:r w:rsidR="00F71750" w:rsidRPr="003F29C0">
        <w:rPr>
          <w:b/>
          <w:sz w:val="28"/>
          <w:szCs w:val="28"/>
          <w:lang w:val="en-AU"/>
        </w:rPr>
        <w:t>r</w:t>
      </w:r>
    </w:p>
    <w:p w:rsidR="001225AD" w:rsidRPr="003F29C0" w:rsidRDefault="001225AD" w:rsidP="00DF005E">
      <w:pPr>
        <w:spacing w:before="120"/>
        <w:rPr>
          <w:lang w:val="en-AU"/>
        </w:rPr>
      </w:pPr>
      <w:r w:rsidRPr="003F29C0">
        <w:rPr>
          <w:lang w:val="en-AU"/>
        </w:rPr>
        <w:t>Sponsored in Australia by:</w:t>
      </w:r>
    </w:p>
    <w:p w:rsidR="00DD67D7" w:rsidRPr="003F29C0" w:rsidRDefault="00DD67D7" w:rsidP="000905E5">
      <w:pPr>
        <w:spacing w:before="120"/>
        <w:jc w:val="both"/>
        <w:rPr>
          <w:sz w:val="22"/>
          <w:szCs w:val="22"/>
          <w:lang w:val="en-AU"/>
        </w:rPr>
      </w:pPr>
      <w:r w:rsidRPr="003F29C0">
        <w:rPr>
          <w:sz w:val="22"/>
          <w:szCs w:val="22"/>
          <w:lang w:val="en-AU"/>
        </w:rPr>
        <w:t>Celgene Pty Limited</w:t>
      </w:r>
    </w:p>
    <w:p w:rsidR="00750B75" w:rsidRPr="003F29C0" w:rsidRDefault="00750B75" w:rsidP="004475F5">
      <w:pPr>
        <w:rPr>
          <w:sz w:val="22"/>
          <w:szCs w:val="22"/>
          <w:lang w:val="en-AU"/>
        </w:rPr>
      </w:pPr>
      <w:r w:rsidRPr="003F29C0">
        <w:rPr>
          <w:sz w:val="22"/>
          <w:szCs w:val="22"/>
          <w:lang w:val="en-AU"/>
        </w:rPr>
        <w:t>Level 7, 607 St Kilda Road,</w:t>
      </w:r>
    </w:p>
    <w:p w:rsidR="002B072F" w:rsidRPr="003F29C0" w:rsidRDefault="00750B75" w:rsidP="004475F5">
      <w:pPr>
        <w:rPr>
          <w:sz w:val="22"/>
          <w:szCs w:val="22"/>
          <w:lang w:val="en-AU"/>
        </w:rPr>
      </w:pPr>
      <w:r w:rsidRPr="003F29C0">
        <w:rPr>
          <w:sz w:val="22"/>
          <w:szCs w:val="22"/>
          <w:lang w:val="en-AU"/>
        </w:rPr>
        <w:t>Melbourne</w:t>
      </w:r>
      <w:r w:rsidR="002B072F" w:rsidRPr="003F29C0">
        <w:rPr>
          <w:sz w:val="22"/>
          <w:szCs w:val="22"/>
          <w:lang w:val="en-AU"/>
        </w:rPr>
        <w:t>,</w:t>
      </w:r>
      <w:r w:rsidRPr="003F29C0">
        <w:rPr>
          <w:sz w:val="22"/>
          <w:szCs w:val="22"/>
          <w:lang w:val="en-AU"/>
        </w:rPr>
        <w:t xml:space="preserve"> V</w:t>
      </w:r>
      <w:r w:rsidR="002B072F" w:rsidRPr="003F29C0">
        <w:rPr>
          <w:sz w:val="22"/>
          <w:szCs w:val="22"/>
          <w:lang w:val="en-AU"/>
        </w:rPr>
        <w:t>IC</w:t>
      </w:r>
      <w:r w:rsidRPr="003F29C0">
        <w:rPr>
          <w:sz w:val="22"/>
          <w:szCs w:val="22"/>
          <w:lang w:val="en-AU"/>
        </w:rPr>
        <w:t xml:space="preserve"> 3004</w:t>
      </w:r>
      <w:r w:rsidR="002B072F" w:rsidRPr="003F29C0">
        <w:rPr>
          <w:sz w:val="22"/>
          <w:szCs w:val="22"/>
          <w:lang w:val="en-AU"/>
        </w:rPr>
        <w:t>,</w:t>
      </w:r>
    </w:p>
    <w:p w:rsidR="00DD67D7" w:rsidRPr="003F29C0" w:rsidRDefault="00750B75" w:rsidP="004475F5">
      <w:pPr>
        <w:rPr>
          <w:bCs/>
          <w:sz w:val="22"/>
          <w:szCs w:val="22"/>
          <w:lang w:val="en-AU"/>
        </w:rPr>
      </w:pPr>
      <w:r w:rsidRPr="003F29C0">
        <w:rPr>
          <w:sz w:val="22"/>
          <w:szCs w:val="22"/>
          <w:lang w:val="en-AU"/>
        </w:rPr>
        <w:t>Australia</w:t>
      </w:r>
      <w:r w:rsidR="00DD67D7" w:rsidRPr="003F29C0">
        <w:rPr>
          <w:bCs/>
          <w:sz w:val="22"/>
          <w:szCs w:val="22"/>
          <w:lang w:val="en-AU"/>
        </w:rPr>
        <w:t>.</w:t>
      </w:r>
    </w:p>
    <w:p w:rsidR="001225AD" w:rsidRPr="003F29C0" w:rsidRDefault="001225AD" w:rsidP="001225AD">
      <w:pPr>
        <w:rPr>
          <w:sz w:val="22"/>
          <w:szCs w:val="22"/>
          <w:lang w:val="en-AU"/>
        </w:rPr>
      </w:pPr>
      <w:r w:rsidRPr="003F29C0">
        <w:rPr>
          <w:sz w:val="22"/>
          <w:szCs w:val="22"/>
          <w:lang w:val="en-AU"/>
        </w:rPr>
        <w:t>Telephone: 1800 CELGENE (1800 235 4363)</w:t>
      </w:r>
    </w:p>
    <w:p w:rsidR="001225AD" w:rsidRPr="003F29C0" w:rsidRDefault="001225AD" w:rsidP="004475F5">
      <w:pPr>
        <w:rPr>
          <w:sz w:val="22"/>
          <w:szCs w:val="22"/>
          <w:lang w:val="en-AU"/>
        </w:rPr>
      </w:pPr>
    </w:p>
    <w:p w:rsidR="001225AD" w:rsidRPr="003F29C0" w:rsidRDefault="001225AD" w:rsidP="004475F5">
      <w:pPr>
        <w:rPr>
          <w:sz w:val="22"/>
          <w:szCs w:val="22"/>
          <w:lang w:val="en-AU"/>
        </w:rPr>
      </w:pPr>
    </w:p>
    <w:p w:rsidR="00EC36C1" w:rsidRDefault="00F71750" w:rsidP="00E80957">
      <w:pPr>
        <w:pStyle w:val="ListParagraph"/>
        <w:keepNext/>
        <w:numPr>
          <w:ilvl w:val="0"/>
          <w:numId w:val="4"/>
        </w:numPr>
        <w:tabs>
          <w:tab w:val="left" w:pos="709"/>
        </w:tabs>
        <w:ind w:hanging="1530"/>
        <w:jc w:val="both"/>
        <w:rPr>
          <w:sz w:val="28"/>
          <w:szCs w:val="28"/>
          <w:lang w:val="en-AU"/>
        </w:rPr>
      </w:pPr>
      <w:r w:rsidRPr="003F29C0">
        <w:rPr>
          <w:b/>
          <w:bCs/>
          <w:sz w:val="28"/>
          <w:szCs w:val="28"/>
          <w:lang w:val="en-AU"/>
        </w:rPr>
        <w:t>Poison Schedule of the medicine</w:t>
      </w:r>
    </w:p>
    <w:p w:rsidR="00DD67D7" w:rsidRPr="003F29C0" w:rsidRDefault="00DD67D7" w:rsidP="00843904">
      <w:pPr>
        <w:spacing w:before="120"/>
        <w:jc w:val="both"/>
        <w:rPr>
          <w:sz w:val="22"/>
          <w:szCs w:val="22"/>
          <w:lang w:val="en-AU"/>
        </w:rPr>
      </w:pPr>
      <w:r w:rsidRPr="003F29C0">
        <w:rPr>
          <w:sz w:val="22"/>
          <w:szCs w:val="22"/>
          <w:lang w:val="en-AU"/>
        </w:rPr>
        <w:t>Schedule 4</w:t>
      </w:r>
      <w:r w:rsidR="002B072F" w:rsidRPr="003F29C0">
        <w:rPr>
          <w:sz w:val="22"/>
          <w:szCs w:val="22"/>
          <w:lang w:val="en-AU"/>
        </w:rPr>
        <w:t xml:space="preserve"> (Prescription Only Medicine)</w:t>
      </w:r>
    </w:p>
    <w:p w:rsidR="00446564" w:rsidRPr="003F29C0" w:rsidRDefault="00446564" w:rsidP="004475F5">
      <w:pPr>
        <w:jc w:val="both"/>
        <w:rPr>
          <w:sz w:val="22"/>
          <w:szCs w:val="22"/>
          <w:lang w:val="en-AU"/>
        </w:rPr>
      </w:pPr>
    </w:p>
    <w:p w:rsidR="00446564" w:rsidRPr="003F29C0" w:rsidRDefault="00446564" w:rsidP="004475F5">
      <w:pPr>
        <w:jc w:val="both"/>
        <w:rPr>
          <w:sz w:val="22"/>
          <w:szCs w:val="22"/>
          <w:lang w:val="en-AU"/>
        </w:rPr>
      </w:pPr>
    </w:p>
    <w:p w:rsidR="00EC36C1" w:rsidRDefault="00DD67D7" w:rsidP="00E80957">
      <w:pPr>
        <w:pStyle w:val="ListParagraph"/>
        <w:keepNext/>
        <w:numPr>
          <w:ilvl w:val="0"/>
          <w:numId w:val="4"/>
        </w:numPr>
        <w:tabs>
          <w:tab w:val="left" w:pos="709"/>
        </w:tabs>
        <w:ind w:left="709" w:hanging="709"/>
        <w:jc w:val="both"/>
        <w:rPr>
          <w:b/>
          <w:sz w:val="28"/>
          <w:szCs w:val="28"/>
          <w:lang w:val="en-AU"/>
        </w:rPr>
      </w:pPr>
      <w:r w:rsidRPr="003F29C0">
        <w:rPr>
          <w:b/>
          <w:sz w:val="28"/>
          <w:szCs w:val="28"/>
          <w:lang w:val="en-AU"/>
        </w:rPr>
        <w:t xml:space="preserve">Date of </w:t>
      </w:r>
      <w:r w:rsidR="00215DC0" w:rsidRPr="003F29C0">
        <w:rPr>
          <w:b/>
          <w:sz w:val="28"/>
          <w:szCs w:val="28"/>
          <w:lang w:val="en-AU"/>
        </w:rPr>
        <w:t>first inclusion in the Australian Register of Therapeutic Goods (the ARTG)</w:t>
      </w:r>
    </w:p>
    <w:p w:rsidR="00BD387F" w:rsidRPr="003F29C0" w:rsidRDefault="00647E9A" w:rsidP="000905E5">
      <w:pPr>
        <w:spacing w:before="120"/>
        <w:jc w:val="both"/>
        <w:rPr>
          <w:bCs/>
          <w:sz w:val="22"/>
          <w:szCs w:val="22"/>
          <w:lang w:val="en-AU"/>
        </w:rPr>
      </w:pPr>
      <w:r>
        <w:rPr>
          <w:bCs/>
          <w:sz w:val="22"/>
          <w:szCs w:val="22"/>
          <w:lang w:val="en-AU"/>
        </w:rPr>
        <w:t>19 March 2015</w:t>
      </w:r>
    </w:p>
    <w:sectPr w:rsidR="00BD387F" w:rsidRPr="003F29C0" w:rsidSect="006717B8">
      <w:headerReference w:type="default" r:id="rId12"/>
      <w:footerReference w:type="even" r:id="rId13"/>
      <w:footerReference w:type="default" r:id="rId14"/>
      <w:pgSz w:w="11906" w:h="16838" w:code="9"/>
      <w:pgMar w:top="1080" w:right="1281" w:bottom="1276" w:left="1418" w:header="578" w:footer="5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976" w:rsidRDefault="00790976">
      <w:r>
        <w:separator/>
      </w:r>
    </w:p>
    <w:p w:rsidR="00790976" w:rsidRDefault="00790976"/>
  </w:endnote>
  <w:endnote w:type="continuationSeparator" w:id="0">
    <w:p w:rsidR="00790976" w:rsidRDefault="00790976">
      <w:r>
        <w:continuationSeparator/>
      </w:r>
    </w:p>
    <w:p w:rsidR="00790976" w:rsidRDefault="007909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Univers LT Std 57 Cn">
    <w:altName w:val="Univers LT Std 57 Cn"/>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A1"/>
    <w:family w:val="auto"/>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8DB" w:rsidRDefault="00E113D7" w:rsidP="00706930">
    <w:pPr>
      <w:pStyle w:val="Footer"/>
      <w:framePr w:wrap="around" w:vAnchor="text" w:hAnchor="margin" w:xAlign="right" w:y="1"/>
      <w:rPr>
        <w:rStyle w:val="PageNumber"/>
      </w:rPr>
    </w:pPr>
    <w:r>
      <w:rPr>
        <w:rStyle w:val="PageNumber"/>
      </w:rPr>
      <w:fldChar w:fldCharType="begin"/>
    </w:r>
    <w:r w:rsidR="001B68DB">
      <w:rPr>
        <w:rStyle w:val="PageNumber"/>
      </w:rPr>
      <w:instrText xml:space="preserve">PAGE  </w:instrText>
    </w:r>
    <w:r>
      <w:rPr>
        <w:rStyle w:val="PageNumber"/>
      </w:rPr>
      <w:fldChar w:fldCharType="separate"/>
    </w:r>
    <w:r w:rsidR="001B68DB">
      <w:rPr>
        <w:rStyle w:val="PageNumber"/>
        <w:noProof/>
      </w:rPr>
      <w:t>16</w:t>
    </w:r>
    <w:r>
      <w:rPr>
        <w:rStyle w:val="PageNumber"/>
      </w:rPr>
      <w:fldChar w:fldCharType="end"/>
    </w:r>
  </w:p>
  <w:p w:rsidR="001B68DB" w:rsidRDefault="001B68DB" w:rsidP="00706930">
    <w:pPr>
      <w:pStyle w:val="Footer"/>
      <w:ind w:right="360"/>
    </w:pPr>
  </w:p>
  <w:p w:rsidR="001B68DB" w:rsidRDefault="001B68D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8DB" w:rsidRPr="00706930" w:rsidRDefault="00E113D7" w:rsidP="00706930">
    <w:pPr>
      <w:pStyle w:val="Footer"/>
      <w:framePr w:wrap="around" w:vAnchor="text" w:hAnchor="margin" w:xAlign="right" w:y="1"/>
      <w:rPr>
        <w:rStyle w:val="PageNumber"/>
        <w:sz w:val="20"/>
        <w:szCs w:val="20"/>
      </w:rPr>
    </w:pPr>
    <w:r w:rsidRPr="00706930">
      <w:rPr>
        <w:rStyle w:val="PageNumber"/>
        <w:sz w:val="20"/>
        <w:szCs w:val="20"/>
      </w:rPr>
      <w:fldChar w:fldCharType="begin"/>
    </w:r>
    <w:r w:rsidR="001B68DB" w:rsidRPr="00706930">
      <w:rPr>
        <w:rStyle w:val="PageNumber"/>
        <w:sz w:val="20"/>
        <w:szCs w:val="20"/>
      </w:rPr>
      <w:instrText xml:space="preserve">PAGE  </w:instrText>
    </w:r>
    <w:r w:rsidRPr="00706930">
      <w:rPr>
        <w:rStyle w:val="PageNumber"/>
        <w:sz w:val="20"/>
        <w:szCs w:val="20"/>
      </w:rPr>
      <w:fldChar w:fldCharType="separate"/>
    </w:r>
    <w:r w:rsidR="0004454B">
      <w:rPr>
        <w:rStyle w:val="PageNumber"/>
        <w:noProof/>
        <w:sz w:val="20"/>
        <w:szCs w:val="20"/>
      </w:rPr>
      <w:t>8</w:t>
    </w:r>
    <w:r w:rsidRPr="00706930">
      <w:rPr>
        <w:rStyle w:val="PageNumber"/>
        <w:sz w:val="20"/>
        <w:szCs w:val="20"/>
      </w:rPr>
      <w:fldChar w:fldCharType="end"/>
    </w:r>
  </w:p>
  <w:p w:rsidR="001B68DB" w:rsidRPr="00B01096" w:rsidRDefault="001B68DB" w:rsidP="00957B30">
    <w:pPr>
      <w:rPr>
        <w:sz w:val="18"/>
        <w:szCs w:val="18"/>
        <w:lang w:val="en-US"/>
      </w:rPr>
    </w:pPr>
    <w:r w:rsidRPr="00B01096">
      <w:rPr>
        <w:sz w:val="18"/>
        <w:szCs w:val="18"/>
        <w:lang w:val="en-US"/>
      </w:rPr>
      <w:t>Otezla</w:t>
    </w:r>
    <w:r w:rsidRPr="00B01096">
      <w:rPr>
        <w:sz w:val="18"/>
        <w:szCs w:val="18"/>
        <w:vertAlign w:val="superscript"/>
        <w:lang w:val="en-US"/>
      </w:rPr>
      <w:t>®</w:t>
    </w:r>
    <w:r w:rsidRPr="00B01096">
      <w:rPr>
        <w:sz w:val="18"/>
        <w:szCs w:val="18"/>
        <w:lang w:val="en-US"/>
      </w:rPr>
      <w:t xml:space="preserve"> (apremilast) film coated tablets – Product Information</w:t>
    </w:r>
  </w:p>
  <w:p w:rsidR="001B68DB" w:rsidRPr="00B01096" w:rsidRDefault="00795957">
    <w:pPr>
      <w:rPr>
        <w:sz w:val="8"/>
        <w:szCs w:val="8"/>
        <w:lang w:val="en-US"/>
      </w:rPr>
    </w:pPr>
    <w:r>
      <w:rPr>
        <w:sz w:val="8"/>
        <w:szCs w:val="8"/>
        <w:lang w:val="en-US"/>
      </w:rPr>
      <w:t>Celgene V1.0 –</w:t>
    </w:r>
    <w:r w:rsidR="001B68DB">
      <w:rPr>
        <w:sz w:val="8"/>
        <w:szCs w:val="8"/>
        <w:lang w:val="en-US"/>
      </w:rPr>
      <w:t xml:space="preserve"> March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976" w:rsidRDefault="00790976">
      <w:r>
        <w:separator/>
      </w:r>
    </w:p>
    <w:p w:rsidR="00790976" w:rsidRDefault="00790976"/>
  </w:footnote>
  <w:footnote w:type="continuationSeparator" w:id="0">
    <w:p w:rsidR="00790976" w:rsidRDefault="00790976">
      <w:r>
        <w:continuationSeparator/>
      </w:r>
    </w:p>
    <w:p w:rsidR="00790976" w:rsidRDefault="007909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A57292" w:rsidTr="00E94521">
      <w:tc>
        <w:tcPr>
          <w:tcW w:w="8720" w:type="dxa"/>
          <w:shd w:val="clear" w:color="auto" w:fill="E4F2E0"/>
        </w:tcPr>
        <w:p w:rsidR="00A57292" w:rsidRPr="00D361CA" w:rsidRDefault="00A57292" w:rsidP="00E94521">
          <w:pPr>
            <w:spacing w:before="40" w:after="40"/>
            <w:rPr>
              <w:b/>
              <w:sz w:val="20"/>
              <w:szCs w:val="20"/>
            </w:rPr>
          </w:pPr>
          <w:r w:rsidRPr="00D361CA">
            <w:rPr>
              <w:b/>
              <w:sz w:val="20"/>
              <w:szCs w:val="20"/>
            </w:rPr>
            <w:t xml:space="preserve">Attachment 1: Product information for </w:t>
          </w:r>
          <w:proofErr w:type="spellStart"/>
          <w:r w:rsidRPr="00102DCC">
            <w:rPr>
              <w:b/>
              <w:sz w:val="20"/>
              <w:szCs w:val="20"/>
            </w:rPr>
            <w:t>AusPAR</w:t>
          </w:r>
          <w:proofErr w:type="spellEnd"/>
          <w:r w:rsidRPr="00102DCC">
            <w:rPr>
              <w:b/>
              <w:sz w:val="20"/>
              <w:szCs w:val="20"/>
            </w:rPr>
            <w:t xml:space="preserve"> </w:t>
          </w:r>
          <w:proofErr w:type="spellStart"/>
          <w:r w:rsidRPr="00102DCC">
            <w:rPr>
              <w:b/>
              <w:sz w:val="20"/>
              <w:szCs w:val="20"/>
            </w:rPr>
            <w:t>Apremilast</w:t>
          </w:r>
          <w:proofErr w:type="spellEnd"/>
          <w:r w:rsidRPr="00102DCC">
            <w:rPr>
              <w:b/>
              <w:sz w:val="20"/>
              <w:szCs w:val="20"/>
            </w:rPr>
            <w:t xml:space="preserve"> (</w:t>
          </w:r>
          <w:proofErr w:type="spellStart"/>
          <w:r w:rsidRPr="00102DCC">
            <w:rPr>
              <w:b/>
              <w:sz w:val="20"/>
              <w:szCs w:val="20"/>
            </w:rPr>
            <w:t>Otezla</w:t>
          </w:r>
          <w:proofErr w:type="spellEnd"/>
          <w:r w:rsidRPr="00102DCC">
            <w:rPr>
              <w:b/>
              <w:sz w:val="20"/>
              <w:szCs w:val="20"/>
            </w:rPr>
            <w:t>) Celgene Pty Ltd PM-2013-04920-1-3 Final 22 October 2015</w:t>
          </w:r>
          <w:r w:rsidRPr="00D361CA">
            <w:rPr>
              <w:b/>
              <w:sz w:val="20"/>
              <w:szCs w:val="20"/>
            </w:rPr>
            <w:t xml:space="preserve">. This Product Information was approved at the time this </w:t>
          </w:r>
          <w:proofErr w:type="spellStart"/>
          <w:r w:rsidRPr="00D361CA">
            <w:rPr>
              <w:b/>
              <w:sz w:val="20"/>
              <w:szCs w:val="20"/>
            </w:rPr>
            <w:t>AusPAR</w:t>
          </w:r>
          <w:proofErr w:type="spellEnd"/>
          <w:r w:rsidRPr="00D361CA">
            <w:rPr>
              <w:b/>
              <w:sz w:val="20"/>
              <w:szCs w:val="20"/>
            </w:rPr>
            <w:t xml:space="preserve"> was published.</w:t>
          </w:r>
        </w:p>
      </w:tc>
    </w:tr>
  </w:tbl>
  <w:p w:rsidR="00A57292" w:rsidRDefault="00A572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810D1"/>
    <w:multiLevelType w:val="hybridMultilevel"/>
    <w:tmpl w:val="2F2AEB9C"/>
    <w:lvl w:ilvl="0" w:tplc="6A001E54">
      <w:start w:val="1"/>
      <w:numFmt w:val="decimal"/>
      <w:lvlText w:val="%1."/>
      <w:lvlJc w:val="left"/>
      <w:pPr>
        <w:ind w:left="360" w:hanging="360"/>
      </w:pPr>
      <w:rPr>
        <w:rFonts w:hint="default"/>
        <w:b/>
        <w:cap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86D3591"/>
    <w:multiLevelType w:val="multilevel"/>
    <w:tmpl w:val="734C8A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21114BE2"/>
    <w:multiLevelType w:val="hybridMultilevel"/>
    <w:tmpl w:val="90101A2A"/>
    <w:lvl w:ilvl="0" w:tplc="54F473EE">
      <w:start w:val="1"/>
      <w:numFmt w:val="lowerRoman"/>
      <w:lvlText w:val="%1)"/>
      <w:lvlJc w:val="left"/>
      <w:pPr>
        <w:ind w:left="360" w:hanging="360"/>
      </w:pPr>
      <w:rPr>
        <w:rFonts w:hint="default"/>
        <w:b/>
        <w:caps w:val="0"/>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7CE3BEC"/>
    <w:multiLevelType w:val="hybridMultilevel"/>
    <w:tmpl w:val="BE9841B4"/>
    <w:lvl w:ilvl="0" w:tplc="04090001">
      <w:start w:val="1"/>
      <w:numFmt w:val="bullet"/>
      <w:pStyle w:val="C-Heading1nopagebreak"/>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C43488D"/>
    <w:multiLevelType w:val="hybridMultilevel"/>
    <w:tmpl w:val="1A080A3E"/>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5">
    <w:nsid w:val="391773A0"/>
    <w:multiLevelType w:val="hybridMultilevel"/>
    <w:tmpl w:val="6FC2C0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641A9"/>
    <w:multiLevelType w:val="multilevel"/>
    <w:tmpl w:val="6AD02EFE"/>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320"/>
        </w:tabs>
        <w:ind w:left="1320" w:hanging="1080"/>
      </w:pPr>
      <w:rPr>
        <w:rFonts w:hint="default"/>
      </w:rPr>
    </w:lvl>
    <w:lvl w:ilvl="2">
      <w:start w:val="1"/>
      <w:numFmt w:val="decimal"/>
      <w:pStyle w:val="C-Heading3"/>
      <w:lvlText w:val="%1.%2.%3."/>
      <w:lvlJc w:val="left"/>
      <w:pPr>
        <w:tabs>
          <w:tab w:val="num" w:pos="1080"/>
        </w:tabs>
        <w:ind w:left="1080" w:hanging="1080"/>
      </w:pPr>
      <w:rPr>
        <w:rFonts w:ascii="Times New Roman" w:hAnsi="Times New Roman" w:cs="Times New Roman" w:hint="default"/>
      </w:rPr>
    </w:lvl>
    <w:lvl w:ilvl="3">
      <w:start w:val="1"/>
      <w:numFmt w:val="decimal"/>
      <w:pStyle w:val="C-Heading4"/>
      <w:lvlText w:val="%1.%2.%3.%4."/>
      <w:lvlJc w:val="left"/>
      <w:pPr>
        <w:tabs>
          <w:tab w:val="num" w:pos="1080"/>
        </w:tabs>
        <w:ind w:left="1080" w:hanging="1080"/>
      </w:pPr>
      <w:rPr>
        <w:rFonts w:ascii="Times New Roman" w:hAnsi="Times New Roman" w:cs="Times New Roman"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7">
    <w:nsid w:val="4EE609CA"/>
    <w:multiLevelType w:val="hybridMultilevel"/>
    <w:tmpl w:val="F89C2FC2"/>
    <w:lvl w:ilvl="0" w:tplc="8B304580">
      <w:start w:val="13"/>
      <w:numFmt w:val="lowerRoman"/>
      <w:lvlText w:val="%1)"/>
      <w:lvlJc w:val="left"/>
      <w:pPr>
        <w:ind w:left="1530" w:hanging="72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72B15220"/>
    <w:multiLevelType w:val="hybridMultilevel"/>
    <w:tmpl w:val="7130C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7"/>
  </w:num>
  <w:num w:numId="5">
    <w:abstractNumId w:val="6"/>
  </w:num>
  <w:num w:numId="6">
    <w:abstractNumId w:val="5"/>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rawingGridHorizontalSpacing w:val="120"/>
  <w:displayHorizontalDrawingGridEvery w:val="2"/>
  <w:noPunctuationKerning/>
  <w:characterSpacingControl w:val="doNotCompress"/>
  <w:hdrShapeDefaults>
    <o:shapedefaults v:ext="edit" spidmax="183297"/>
  </w:hdrShapeDefaults>
  <w:footnotePr>
    <w:footnote w:id="-1"/>
    <w:footnote w:id="0"/>
  </w:footnotePr>
  <w:endnotePr>
    <w:endnote w:id="-1"/>
    <w:endnote w:id="0"/>
  </w:endnotePr>
  <w:compat>
    <w:compatSetting w:name="compatibilityMode" w:uri="http://schemas.microsoft.com/office/word" w:val="12"/>
  </w:compat>
  <w:rsids>
    <w:rsidRoot w:val="00184223"/>
    <w:rsid w:val="0000047E"/>
    <w:rsid w:val="00000519"/>
    <w:rsid w:val="00002C2B"/>
    <w:rsid w:val="00002FF1"/>
    <w:rsid w:val="00004341"/>
    <w:rsid w:val="0000497D"/>
    <w:rsid w:val="00005260"/>
    <w:rsid w:val="00007084"/>
    <w:rsid w:val="000105F4"/>
    <w:rsid w:val="000108D9"/>
    <w:rsid w:val="00010A2A"/>
    <w:rsid w:val="00011626"/>
    <w:rsid w:val="00011732"/>
    <w:rsid w:val="0001234D"/>
    <w:rsid w:val="00012B7B"/>
    <w:rsid w:val="00012FB1"/>
    <w:rsid w:val="00013D3C"/>
    <w:rsid w:val="0001430E"/>
    <w:rsid w:val="0001461C"/>
    <w:rsid w:val="00015622"/>
    <w:rsid w:val="00015647"/>
    <w:rsid w:val="000158F6"/>
    <w:rsid w:val="00015A81"/>
    <w:rsid w:val="000160F8"/>
    <w:rsid w:val="00017DFC"/>
    <w:rsid w:val="0002183B"/>
    <w:rsid w:val="0002229B"/>
    <w:rsid w:val="0002246C"/>
    <w:rsid w:val="000231B9"/>
    <w:rsid w:val="000236CE"/>
    <w:rsid w:val="00025B63"/>
    <w:rsid w:val="000275E4"/>
    <w:rsid w:val="00030940"/>
    <w:rsid w:val="00030BEC"/>
    <w:rsid w:val="000322BE"/>
    <w:rsid w:val="00032C96"/>
    <w:rsid w:val="000333FE"/>
    <w:rsid w:val="00033646"/>
    <w:rsid w:val="00033949"/>
    <w:rsid w:val="000342AF"/>
    <w:rsid w:val="00034733"/>
    <w:rsid w:val="000347C1"/>
    <w:rsid w:val="00034806"/>
    <w:rsid w:val="00034B77"/>
    <w:rsid w:val="00034E8D"/>
    <w:rsid w:val="00035635"/>
    <w:rsid w:val="00036913"/>
    <w:rsid w:val="00036F04"/>
    <w:rsid w:val="00037777"/>
    <w:rsid w:val="0004023C"/>
    <w:rsid w:val="00040806"/>
    <w:rsid w:val="00040859"/>
    <w:rsid w:val="00041E7F"/>
    <w:rsid w:val="00042E78"/>
    <w:rsid w:val="0004454B"/>
    <w:rsid w:val="0004615B"/>
    <w:rsid w:val="0004727A"/>
    <w:rsid w:val="00050122"/>
    <w:rsid w:val="0005090C"/>
    <w:rsid w:val="0005093E"/>
    <w:rsid w:val="00050DA3"/>
    <w:rsid w:val="00052F00"/>
    <w:rsid w:val="0005410E"/>
    <w:rsid w:val="000547F1"/>
    <w:rsid w:val="000554EE"/>
    <w:rsid w:val="000578F3"/>
    <w:rsid w:val="00060164"/>
    <w:rsid w:val="00060744"/>
    <w:rsid w:val="000608FC"/>
    <w:rsid w:val="00061B30"/>
    <w:rsid w:val="00061F58"/>
    <w:rsid w:val="00063689"/>
    <w:rsid w:val="00063921"/>
    <w:rsid w:val="00064FBE"/>
    <w:rsid w:val="00065318"/>
    <w:rsid w:val="00065420"/>
    <w:rsid w:val="00065FAF"/>
    <w:rsid w:val="00066025"/>
    <w:rsid w:val="00067C9B"/>
    <w:rsid w:val="00067DB9"/>
    <w:rsid w:val="00071A6B"/>
    <w:rsid w:val="00072316"/>
    <w:rsid w:val="000725ED"/>
    <w:rsid w:val="00072AEA"/>
    <w:rsid w:val="00072E5F"/>
    <w:rsid w:val="0007381C"/>
    <w:rsid w:val="00073853"/>
    <w:rsid w:val="000738A6"/>
    <w:rsid w:val="0007629C"/>
    <w:rsid w:val="000764B4"/>
    <w:rsid w:val="000776D5"/>
    <w:rsid w:val="00080511"/>
    <w:rsid w:val="00080A83"/>
    <w:rsid w:val="000815F7"/>
    <w:rsid w:val="00083514"/>
    <w:rsid w:val="000835AA"/>
    <w:rsid w:val="000837E3"/>
    <w:rsid w:val="00083977"/>
    <w:rsid w:val="00083EED"/>
    <w:rsid w:val="000843CA"/>
    <w:rsid w:val="000851A3"/>
    <w:rsid w:val="00085607"/>
    <w:rsid w:val="00085D7A"/>
    <w:rsid w:val="00086206"/>
    <w:rsid w:val="0008704C"/>
    <w:rsid w:val="00087838"/>
    <w:rsid w:val="000905E5"/>
    <w:rsid w:val="000915B0"/>
    <w:rsid w:val="00091B18"/>
    <w:rsid w:val="00093A81"/>
    <w:rsid w:val="00093C5C"/>
    <w:rsid w:val="00093E0A"/>
    <w:rsid w:val="000943B3"/>
    <w:rsid w:val="0009476E"/>
    <w:rsid w:val="00094D4D"/>
    <w:rsid w:val="00095343"/>
    <w:rsid w:val="00096DA0"/>
    <w:rsid w:val="00097C2A"/>
    <w:rsid w:val="00097E58"/>
    <w:rsid w:val="000A02E8"/>
    <w:rsid w:val="000A0872"/>
    <w:rsid w:val="000A17E0"/>
    <w:rsid w:val="000A1B00"/>
    <w:rsid w:val="000A2487"/>
    <w:rsid w:val="000A3196"/>
    <w:rsid w:val="000A3729"/>
    <w:rsid w:val="000A3A58"/>
    <w:rsid w:val="000A46C8"/>
    <w:rsid w:val="000A52E3"/>
    <w:rsid w:val="000A620D"/>
    <w:rsid w:val="000A6C62"/>
    <w:rsid w:val="000A7231"/>
    <w:rsid w:val="000A72AF"/>
    <w:rsid w:val="000A731D"/>
    <w:rsid w:val="000A7A97"/>
    <w:rsid w:val="000B0D23"/>
    <w:rsid w:val="000B22E4"/>
    <w:rsid w:val="000B2BCA"/>
    <w:rsid w:val="000B2EEF"/>
    <w:rsid w:val="000B36A0"/>
    <w:rsid w:val="000B3E6F"/>
    <w:rsid w:val="000B47A3"/>
    <w:rsid w:val="000B47C6"/>
    <w:rsid w:val="000B6871"/>
    <w:rsid w:val="000B6DBE"/>
    <w:rsid w:val="000B7603"/>
    <w:rsid w:val="000C01C3"/>
    <w:rsid w:val="000C05FC"/>
    <w:rsid w:val="000C0DE3"/>
    <w:rsid w:val="000C1CE5"/>
    <w:rsid w:val="000C5B7D"/>
    <w:rsid w:val="000C627B"/>
    <w:rsid w:val="000C6A32"/>
    <w:rsid w:val="000C7C0D"/>
    <w:rsid w:val="000D0057"/>
    <w:rsid w:val="000D0D2A"/>
    <w:rsid w:val="000D2581"/>
    <w:rsid w:val="000D26E3"/>
    <w:rsid w:val="000D31F8"/>
    <w:rsid w:val="000D3B7E"/>
    <w:rsid w:val="000D401B"/>
    <w:rsid w:val="000D4E5B"/>
    <w:rsid w:val="000D4EB1"/>
    <w:rsid w:val="000D51FF"/>
    <w:rsid w:val="000D5B3E"/>
    <w:rsid w:val="000D5D0E"/>
    <w:rsid w:val="000D5D86"/>
    <w:rsid w:val="000D5F35"/>
    <w:rsid w:val="000D5F67"/>
    <w:rsid w:val="000D691C"/>
    <w:rsid w:val="000E0F88"/>
    <w:rsid w:val="000E1ACF"/>
    <w:rsid w:val="000E2025"/>
    <w:rsid w:val="000E249A"/>
    <w:rsid w:val="000E35BB"/>
    <w:rsid w:val="000E379E"/>
    <w:rsid w:val="000E5EDA"/>
    <w:rsid w:val="000E64F1"/>
    <w:rsid w:val="000E6961"/>
    <w:rsid w:val="000E6CE7"/>
    <w:rsid w:val="000E7F38"/>
    <w:rsid w:val="000F2AA5"/>
    <w:rsid w:val="000F2FDB"/>
    <w:rsid w:val="000F356E"/>
    <w:rsid w:val="000F4D1F"/>
    <w:rsid w:val="000F4D40"/>
    <w:rsid w:val="000F630E"/>
    <w:rsid w:val="000F71ED"/>
    <w:rsid w:val="000F76EB"/>
    <w:rsid w:val="000F7CB2"/>
    <w:rsid w:val="000F7DCD"/>
    <w:rsid w:val="0010022A"/>
    <w:rsid w:val="00100A62"/>
    <w:rsid w:val="001014AE"/>
    <w:rsid w:val="00101AD6"/>
    <w:rsid w:val="00101E7A"/>
    <w:rsid w:val="00102418"/>
    <w:rsid w:val="001028B0"/>
    <w:rsid w:val="00102A15"/>
    <w:rsid w:val="00102F1E"/>
    <w:rsid w:val="00103B9D"/>
    <w:rsid w:val="00103DCD"/>
    <w:rsid w:val="001044F6"/>
    <w:rsid w:val="00104546"/>
    <w:rsid w:val="001047E8"/>
    <w:rsid w:val="001049A9"/>
    <w:rsid w:val="00105245"/>
    <w:rsid w:val="00105961"/>
    <w:rsid w:val="00106078"/>
    <w:rsid w:val="001062EC"/>
    <w:rsid w:val="0010647E"/>
    <w:rsid w:val="00106C18"/>
    <w:rsid w:val="00106C6D"/>
    <w:rsid w:val="001076B4"/>
    <w:rsid w:val="00110D66"/>
    <w:rsid w:val="001114D3"/>
    <w:rsid w:val="00112309"/>
    <w:rsid w:val="00112316"/>
    <w:rsid w:val="00112E36"/>
    <w:rsid w:val="001130D2"/>
    <w:rsid w:val="00113128"/>
    <w:rsid w:val="0011318D"/>
    <w:rsid w:val="001141F5"/>
    <w:rsid w:val="00115442"/>
    <w:rsid w:val="001157B7"/>
    <w:rsid w:val="00115966"/>
    <w:rsid w:val="00116A89"/>
    <w:rsid w:val="0012026F"/>
    <w:rsid w:val="001204CB"/>
    <w:rsid w:val="00120F34"/>
    <w:rsid w:val="00121945"/>
    <w:rsid w:val="00121EF0"/>
    <w:rsid w:val="001225AD"/>
    <w:rsid w:val="00123195"/>
    <w:rsid w:val="0012324E"/>
    <w:rsid w:val="001238C6"/>
    <w:rsid w:val="00123A30"/>
    <w:rsid w:val="0012451A"/>
    <w:rsid w:val="001250C3"/>
    <w:rsid w:val="0012565E"/>
    <w:rsid w:val="001260A8"/>
    <w:rsid w:val="00126BF1"/>
    <w:rsid w:val="00126CBC"/>
    <w:rsid w:val="00126CBD"/>
    <w:rsid w:val="00126D8B"/>
    <w:rsid w:val="001314E1"/>
    <w:rsid w:val="00132087"/>
    <w:rsid w:val="00132B59"/>
    <w:rsid w:val="001338A5"/>
    <w:rsid w:val="0013442D"/>
    <w:rsid w:val="001350C8"/>
    <w:rsid w:val="00135A02"/>
    <w:rsid w:val="00136419"/>
    <w:rsid w:val="00140142"/>
    <w:rsid w:val="00140901"/>
    <w:rsid w:val="00140E4C"/>
    <w:rsid w:val="0014196F"/>
    <w:rsid w:val="00141ADF"/>
    <w:rsid w:val="0014201F"/>
    <w:rsid w:val="00142AF8"/>
    <w:rsid w:val="00143243"/>
    <w:rsid w:val="001442A7"/>
    <w:rsid w:val="001442BD"/>
    <w:rsid w:val="00144932"/>
    <w:rsid w:val="001452CF"/>
    <w:rsid w:val="001454A6"/>
    <w:rsid w:val="0014577F"/>
    <w:rsid w:val="00145D29"/>
    <w:rsid w:val="0014665A"/>
    <w:rsid w:val="00150577"/>
    <w:rsid w:val="00150C42"/>
    <w:rsid w:val="001519B3"/>
    <w:rsid w:val="00151BBC"/>
    <w:rsid w:val="00151D7D"/>
    <w:rsid w:val="00151F66"/>
    <w:rsid w:val="0015212B"/>
    <w:rsid w:val="00152296"/>
    <w:rsid w:val="0015266B"/>
    <w:rsid w:val="00152743"/>
    <w:rsid w:val="00153882"/>
    <w:rsid w:val="00153CB6"/>
    <w:rsid w:val="00153E5D"/>
    <w:rsid w:val="00154189"/>
    <w:rsid w:val="00154957"/>
    <w:rsid w:val="0015496D"/>
    <w:rsid w:val="001555F6"/>
    <w:rsid w:val="001577B6"/>
    <w:rsid w:val="00157D42"/>
    <w:rsid w:val="00157DA0"/>
    <w:rsid w:val="00160601"/>
    <w:rsid w:val="0016090C"/>
    <w:rsid w:val="00160D2E"/>
    <w:rsid w:val="00160E55"/>
    <w:rsid w:val="0016151C"/>
    <w:rsid w:val="00162FA9"/>
    <w:rsid w:val="00163F09"/>
    <w:rsid w:val="0016446D"/>
    <w:rsid w:val="00164473"/>
    <w:rsid w:val="001666F2"/>
    <w:rsid w:val="0016774E"/>
    <w:rsid w:val="001706BE"/>
    <w:rsid w:val="00170768"/>
    <w:rsid w:val="00170C95"/>
    <w:rsid w:val="00171B28"/>
    <w:rsid w:val="00173B1E"/>
    <w:rsid w:val="00173CCB"/>
    <w:rsid w:val="00174BE4"/>
    <w:rsid w:val="00176F56"/>
    <w:rsid w:val="00177F9A"/>
    <w:rsid w:val="00181B84"/>
    <w:rsid w:val="00182480"/>
    <w:rsid w:val="00184223"/>
    <w:rsid w:val="0018521D"/>
    <w:rsid w:val="00185ADD"/>
    <w:rsid w:val="00185B76"/>
    <w:rsid w:val="00186257"/>
    <w:rsid w:val="00186DD6"/>
    <w:rsid w:val="00187702"/>
    <w:rsid w:val="00190631"/>
    <w:rsid w:val="00190AED"/>
    <w:rsid w:val="001910F0"/>
    <w:rsid w:val="0019169C"/>
    <w:rsid w:val="001925B9"/>
    <w:rsid w:val="00192F47"/>
    <w:rsid w:val="001931C3"/>
    <w:rsid w:val="001941E0"/>
    <w:rsid w:val="00196948"/>
    <w:rsid w:val="00197568"/>
    <w:rsid w:val="00197924"/>
    <w:rsid w:val="00197DF1"/>
    <w:rsid w:val="001A1AA7"/>
    <w:rsid w:val="001A1EBC"/>
    <w:rsid w:val="001A2746"/>
    <w:rsid w:val="001A298F"/>
    <w:rsid w:val="001A3846"/>
    <w:rsid w:val="001A45B0"/>
    <w:rsid w:val="001A4B75"/>
    <w:rsid w:val="001A572A"/>
    <w:rsid w:val="001A5B7F"/>
    <w:rsid w:val="001A648C"/>
    <w:rsid w:val="001A66E0"/>
    <w:rsid w:val="001A6EA0"/>
    <w:rsid w:val="001A6F07"/>
    <w:rsid w:val="001B0B31"/>
    <w:rsid w:val="001B1A94"/>
    <w:rsid w:val="001B1D96"/>
    <w:rsid w:val="001B3340"/>
    <w:rsid w:val="001B37B7"/>
    <w:rsid w:val="001B4540"/>
    <w:rsid w:val="001B4CDA"/>
    <w:rsid w:val="001B4EF1"/>
    <w:rsid w:val="001B55E6"/>
    <w:rsid w:val="001B6634"/>
    <w:rsid w:val="001B68DB"/>
    <w:rsid w:val="001C08F4"/>
    <w:rsid w:val="001C0E25"/>
    <w:rsid w:val="001C1A87"/>
    <w:rsid w:val="001C1BF8"/>
    <w:rsid w:val="001C238B"/>
    <w:rsid w:val="001C28DF"/>
    <w:rsid w:val="001C29E6"/>
    <w:rsid w:val="001C3077"/>
    <w:rsid w:val="001C30C1"/>
    <w:rsid w:val="001C3221"/>
    <w:rsid w:val="001C334A"/>
    <w:rsid w:val="001C3499"/>
    <w:rsid w:val="001C3B1A"/>
    <w:rsid w:val="001C5A27"/>
    <w:rsid w:val="001C610A"/>
    <w:rsid w:val="001C6202"/>
    <w:rsid w:val="001D065A"/>
    <w:rsid w:val="001D10C4"/>
    <w:rsid w:val="001D1CA0"/>
    <w:rsid w:val="001D230C"/>
    <w:rsid w:val="001D36DC"/>
    <w:rsid w:val="001D408A"/>
    <w:rsid w:val="001D5B04"/>
    <w:rsid w:val="001D601A"/>
    <w:rsid w:val="001D6A6C"/>
    <w:rsid w:val="001D6C58"/>
    <w:rsid w:val="001D7C1C"/>
    <w:rsid w:val="001E0D89"/>
    <w:rsid w:val="001E1250"/>
    <w:rsid w:val="001E1EFF"/>
    <w:rsid w:val="001E209E"/>
    <w:rsid w:val="001E264E"/>
    <w:rsid w:val="001E294E"/>
    <w:rsid w:val="001E2D1E"/>
    <w:rsid w:val="001E326F"/>
    <w:rsid w:val="001E36C6"/>
    <w:rsid w:val="001E37A5"/>
    <w:rsid w:val="001E393C"/>
    <w:rsid w:val="001E3A2C"/>
    <w:rsid w:val="001E4DA7"/>
    <w:rsid w:val="001E512F"/>
    <w:rsid w:val="001E520A"/>
    <w:rsid w:val="001E685E"/>
    <w:rsid w:val="001F074A"/>
    <w:rsid w:val="001F0799"/>
    <w:rsid w:val="001F1142"/>
    <w:rsid w:val="001F13A5"/>
    <w:rsid w:val="001F2BBA"/>
    <w:rsid w:val="001F3267"/>
    <w:rsid w:val="001F36F9"/>
    <w:rsid w:val="001F3DB6"/>
    <w:rsid w:val="001F3FA3"/>
    <w:rsid w:val="001F78FE"/>
    <w:rsid w:val="00200F4D"/>
    <w:rsid w:val="00200F89"/>
    <w:rsid w:val="002019B6"/>
    <w:rsid w:val="002019C5"/>
    <w:rsid w:val="00201E27"/>
    <w:rsid w:val="00202C3B"/>
    <w:rsid w:val="00204F32"/>
    <w:rsid w:val="002065CC"/>
    <w:rsid w:val="00206B5B"/>
    <w:rsid w:val="00207267"/>
    <w:rsid w:val="002072CF"/>
    <w:rsid w:val="00207834"/>
    <w:rsid w:val="00207D9A"/>
    <w:rsid w:val="00207FCA"/>
    <w:rsid w:val="00210422"/>
    <w:rsid w:val="00211A89"/>
    <w:rsid w:val="00213CBF"/>
    <w:rsid w:val="00214D98"/>
    <w:rsid w:val="00214DBA"/>
    <w:rsid w:val="002159E8"/>
    <w:rsid w:val="00215AC2"/>
    <w:rsid w:val="00215C10"/>
    <w:rsid w:val="00215DC0"/>
    <w:rsid w:val="0021690A"/>
    <w:rsid w:val="002178FB"/>
    <w:rsid w:val="0022001A"/>
    <w:rsid w:val="00220DBE"/>
    <w:rsid w:val="00220F42"/>
    <w:rsid w:val="00221853"/>
    <w:rsid w:val="00221B39"/>
    <w:rsid w:val="00222B20"/>
    <w:rsid w:val="002237A6"/>
    <w:rsid w:val="00223CFA"/>
    <w:rsid w:val="00225A10"/>
    <w:rsid w:val="00225B29"/>
    <w:rsid w:val="00225FC1"/>
    <w:rsid w:val="00227865"/>
    <w:rsid w:val="00227D4A"/>
    <w:rsid w:val="00227F59"/>
    <w:rsid w:val="00230135"/>
    <w:rsid w:val="0023093E"/>
    <w:rsid w:val="00232256"/>
    <w:rsid w:val="00232425"/>
    <w:rsid w:val="00232581"/>
    <w:rsid w:val="002344D9"/>
    <w:rsid w:val="0023620A"/>
    <w:rsid w:val="00236328"/>
    <w:rsid w:val="002375AF"/>
    <w:rsid w:val="00237CEC"/>
    <w:rsid w:val="00240397"/>
    <w:rsid w:val="002408DB"/>
    <w:rsid w:val="00240993"/>
    <w:rsid w:val="0024190F"/>
    <w:rsid w:val="0024209B"/>
    <w:rsid w:val="00242F37"/>
    <w:rsid w:val="00243256"/>
    <w:rsid w:val="002437EB"/>
    <w:rsid w:val="002438DF"/>
    <w:rsid w:val="00243C3C"/>
    <w:rsid w:val="00243F2A"/>
    <w:rsid w:val="0024429D"/>
    <w:rsid w:val="00244A68"/>
    <w:rsid w:val="002453B2"/>
    <w:rsid w:val="0024661B"/>
    <w:rsid w:val="0025107D"/>
    <w:rsid w:val="00251875"/>
    <w:rsid w:val="002528F3"/>
    <w:rsid w:val="00252917"/>
    <w:rsid w:val="00256055"/>
    <w:rsid w:val="00256962"/>
    <w:rsid w:val="002572BF"/>
    <w:rsid w:val="002572E2"/>
    <w:rsid w:val="002576B0"/>
    <w:rsid w:val="002577AC"/>
    <w:rsid w:val="00261076"/>
    <w:rsid w:val="00262178"/>
    <w:rsid w:val="0026283D"/>
    <w:rsid w:val="0026297B"/>
    <w:rsid w:val="00262D40"/>
    <w:rsid w:val="00264288"/>
    <w:rsid w:val="00264814"/>
    <w:rsid w:val="0026493C"/>
    <w:rsid w:val="00264C97"/>
    <w:rsid w:val="00265841"/>
    <w:rsid w:val="00265B0F"/>
    <w:rsid w:val="002678BD"/>
    <w:rsid w:val="00270C88"/>
    <w:rsid w:val="00272553"/>
    <w:rsid w:val="00272BD4"/>
    <w:rsid w:val="00272EBC"/>
    <w:rsid w:val="002731CB"/>
    <w:rsid w:val="00273740"/>
    <w:rsid w:val="00273DED"/>
    <w:rsid w:val="00273F5C"/>
    <w:rsid w:val="00274685"/>
    <w:rsid w:val="00274A15"/>
    <w:rsid w:val="0027585E"/>
    <w:rsid w:val="00275C68"/>
    <w:rsid w:val="0027609E"/>
    <w:rsid w:val="002800EE"/>
    <w:rsid w:val="00280242"/>
    <w:rsid w:val="00280607"/>
    <w:rsid w:val="00281715"/>
    <w:rsid w:val="002817DA"/>
    <w:rsid w:val="00282F6A"/>
    <w:rsid w:val="00283BAA"/>
    <w:rsid w:val="002840E3"/>
    <w:rsid w:val="00284183"/>
    <w:rsid w:val="002856BC"/>
    <w:rsid w:val="0028636D"/>
    <w:rsid w:val="00286A9B"/>
    <w:rsid w:val="00286D7C"/>
    <w:rsid w:val="0028727A"/>
    <w:rsid w:val="002901E3"/>
    <w:rsid w:val="00292E33"/>
    <w:rsid w:val="002932D3"/>
    <w:rsid w:val="00293468"/>
    <w:rsid w:val="00293D3B"/>
    <w:rsid w:val="00293EE0"/>
    <w:rsid w:val="00293F83"/>
    <w:rsid w:val="00294249"/>
    <w:rsid w:val="00294F35"/>
    <w:rsid w:val="00295239"/>
    <w:rsid w:val="0029588E"/>
    <w:rsid w:val="00296A54"/>
    <w:rsid w:val="0029790E"/>
    <w:rsid w:val="00297ABC"/>
    <w:rsid w:val="00297FF1"/>
    <w:rsid w:val="002A0243"/>
    <w:rsid w:val="002A063A"/>
    <w:rsid w:val="002A0FE8"/>
    <w:rsid w:val="002A1197"/>
    <w:rsid w:val="002A2594"/>
    <w:rsid w:val="002A2C67"/>
    <w:rsid w:val="002A49EB"/>
    <w:rsid w:val="002A4D10"/>
    <w:rsid w:val="002A6064"/>
    <w:rsid w:val="002A6407"/>
    <w:rsid w:val="002A6415"/>
    <w:rsid w:val="002A65E6"/>
    <w:rsid w:val="002A69B5"/>
    <w:rsid w:val="002A6A11"/>
    <w:rsid w:val="002A6B1F"/>
    <w:rsid w:val="002A6C0B"/>
    <w:rsid w:val="002A6E8A"/>
    <w:rsid w:val="002B038A"/>
    <w:rsid w:val="002B057F"/>
    <w:rsid w:val="002B072F"/>
    <w:rsid w:val="002B1215"/>
    <w:rsid w:val="002B1A5B"/>
    <w:rsid w:val="002B1A8C"/>
    <w:rsid w:val="002B25E2"/>
    <w:rsid w:val="002B27F1"/>
    <w:rsid w:val="002B2C3D"/>
    <w:rsid w:val="002B45BC"/>
    <w:rsid w:val="002B470B"/>
    <w:rsid w:val="002B61C4"/>
    <w:rsid w:val="002B6896"/>
    <w:rsid w:val="002B6E65"/>
    <w:rsid w:val="002B70FC"/>
    <w:rsid w:val="002C000D"/>
    <w:rsid w:val="002C0078"/>
    <w:rsid w:val="002C0803"/>
    <w:rsid w:val="002C2777"/>
    <w:rsid w:val="002C2807"/>
    <w:rsid w:val="002C33DA"/>
    <w:rsid w:val="002C3D88"/>
    <w:rsid w:val="002C493A"/>
    <w:rsid w:val="002C4B94"/>
    <w:rsid w:val="002C518A"/>
    <w:rsid w:val="002C567A"/>
    <w:rsid w:val="002C66CF"/>
    <w:rsid w:val="002C6928"/>
    <w:rsid w:val="002C7265"/>
    <w:rsid w:val="002C7786"/>
    <w:rsid w:val="002C7A45"/>
    <w:rsid w:val="002D0326"/>
    <w:rsid w:val="002D0BA8"/>
    <w:rsid w:val="002D1C3F"/>
    <w:rsid w:val="002D37CC"/>
    <w:rsid w:val="002D3BB7"/>
    <w:rsid w:val="002D4177"/>
    <w:rsid w:val="002D4D75"/>
    <w:rsid w:val="002D5199"/>
    <w:rsid w:val="002D5FFA"/>
    <w:rsid w:val="002D6272"/>
    <w:rsid w:val="002D710F"/>
    <w:rsid w:val="002D775B"/>
    <w:rsid w:val="002D7A7A"/>
    <w:rsid w:val="002E12C9"/>
    <w:rsid w:val="002E1960"/>
    <w:rsid w:val="002E1C20"/>
    <w:rsid w:val="002E1F7B"/>
    <w:rsid w:val="002E2AAC"/>
    <w:rsid w:val="002E35B5"/>
    <w:rsid w:val="002E400B"/>
    <w:rsid w:val="002E4AC9"/>
    <w:rsid w:val="002E4CDA"/>
    <w:rsid w:val="002E5D74"/>
    <w:rsid w:val="002E628D"/>
    <w:rsid w:val="002E6AB3"/>
    <w:rsid w:val="002E6C5C"/>
    <w:rsid w:val="002E6E6E"/>
    <w:rsid w:val="002E71F2"/>
    <w:rsid w:val="002F0835"/>
    <w:rsid w:val="002F0A65"/>
    <w:rsid w:val="002F1438"/>
    <w:rsid w:val="002F25A4"/>
    <w:rsid w:val="002F2773"/>
    <w:rsid w:val="002F32EE"/>
    <w:rsid w:val="002F35BA"/>
    <w:rsid w:val="002F3ED1"/>
    <w:rsid w:val="002F442D"/>
    <w:rsid w:val="002F46A4"/>
    <w:rsid w:val="002F4F4A"/>
    <w:rsid w:val="002F60B9"/>
    <w:rsid w:val="002F6849"/>
    <w:rsid w:val="002F779D"/>
    <w:rsid w:val="002F7C57"/>
    <w:rsid w:val="003013A3"/>
    <w:rsid w:val="00301762"/>
    <w:rsid w:val="003018FF"/>
    <w:rsid w:val="00301F1B"/>
    <w:rsid w:val="00302A30"/>
    <w:rsid w:val="00302CB4"/>
    <w:rsid w:val="00304152"/>
    <w:rsid w:val="0030549F"/>
    <w:rsid w:val="00305A76"/>
    <w:rsid w:val="003067D8"/>
    <w:rsid w:val="00306A6E"/>
    <w:rsid w:val="003075C0"/>
    <w:rsid w:val="00307630"/>
    <w:rsid w:val="003103F0"/>
    <w:rsid w:val="003108EB"/>
    <w:rsid w:val="00312D77"/>
    <w:rsid w:val="00312F9C"/>
    <w:rsid w:val="00313387"/>
    <w:rsid w:val="00313940"/>
    <w:rsid w:val="003161EE"/>
    <w:rsid w:val="0031676C"/>
    <w:rsid w:val="003168FE"/>
    <w:rsid w:val="003174D1"/>
    <w:rsid w:val="00320C1A"/>
    <w:rsid w:val="00320EEA"/>
    <w:rsid w:val="0032134C"/>
    <w:rsid w:val="00322797"/>
    <w:rsid w:val="003227A8"/>
    <w:rsid w:val="003227E4"/>
    <w:rsid w:val="00324226"/>
    <w:rsid w:val="003243CA"/>
    <w:rsid w:val="00324AD1"/>
    <w:rsid w:val="00325935"/>
    <w:rsid w:val="00326AC9"/>
    <w:rsid w:val="00326CFF"/>
    <w:rsid w:val="00332697"/>
    <w:rsid w:val="00333E7C"/>
    <w:rsid w:val="003345A5"/>
    <w:rsid w:val="00334777"/>
    <w:rsid w:val="00334934"/>
    <w:rsid w:val="00334940"/>
    <w:rsid w:val="0033727B"/>
    <w:rsid w:val="00337CF8"/>
    <w:rsid w:val="0034128A"/>
    <w:rsid w:val="003416F4"/>
    <w:rsid w:val="00341757"/>
    <w:rsid w:val="0034189E"/>
    <w:rsid w:val="00341AEE"/>
    <w:rsid w:val="00341D88"/>
    <w:rsid w:val="00342ADF"/>
    <w:rsid w:val="00342F86"/>
    <w:rsid w:val="00344002"/>
    <w:rsid w:val="00344325"/>
    <w:rsid w:val="00345117"/>
    <w:rsid w:val="00345C2E"/>
    <w:rsid w:val="00346E31"/>
    <w:rsid w:val="00347035"/>
    <w:rsid w:val="00347CFF"/>
    <w:rsid w:val="00350651"/>
    <w:rsid w:val="00350F48"/>
    <w:rsid w:val="00351CF1"/>
    <w:rsid w:val="0035282A"/>
    <w:rsid w:val="00352FE3"/>
    <w:rsid w:val="003540CB"/>
    <w:rsid w:val="00356297"/>
    <w:rsid w:val="00356824"/>
    <w:rsid w:val="00357432"/>
    <w:rsid w:val="003576A1"/>
    <w:rsid w:val="003614ED"/>
    <w:rsid w:val="00361EDF"/>
    <w:rsid w:val="0036208E"/>
    <w:rsid w:val="0036269F"/>
    <w:rsid w:val="003626AA"/>
    <w:rsid w:val="00362F77"/>
    <w:rsid w:val="00363649"/>
    <w:rsid w:val="0036389F"/>
    <w:rsid w:val="00363EF0"/>
    <w:rsid w:val="00364074"/>
    <w:rsid w:val="00364D37"/>
    <w:rsid w:val="00366258"/>
    <w:rsid w:val="00366665"/>
    <w:rsid w:val="00366DB7"/>
    <w:rsid w:val="00366EDB"/>
    <w:rsid w:val="0036735B"/>
    <w:rsid w:val="00370863"/>
    <w:rsid w:val="00371157"/>
    <w:rsid w:val="00371782"/>
    <w:rsid w:val="0037223F"/>
    <w:rsid w:val="0037228C"/>
    <w:rsid w:val="00372DB6"/>
    <w:rsid w:val="00372E92"/>
    <w:rsid w:val="003735ED"/>
    <w:rsid w:val="00373E5A"/>
    <w:rsid w:val="00374D93"/>
    <w:rsid w:val="00376B2E"/>
    <w:rsid w:val="00376F7F"/>
    <w:rsid w:val="003770B2"/>
    <w:rsid w:val="00377129"/>
    <w:rsid w:val="00377894"/>
    <w:rsid w:val="00380C78"/>
    <w:rsid w:val="00381CB9"/>
    <w:rsid w:val="00381D11"/>
    <w:rsid w:val="00381E0C"/>
    <w:rsid w:val="0038203F"/>
    <w:rsid w:val="0038296A"/>
    <w:rsid w:val="00386190"/>
    <w:rsid w:val="003863D2"/>
    <w:rsid w:val="00386E04"/>
    <w:rsid w:val="00387B8B"/>
    <w:rsid w:val="003920DB"/>
    <w:rsid w:val="00392643"/>
    <w:rsid w:val="003934FF"/>
    <w:rsid w:val="00393851"/>
    <w:rsid w:val="00393EED"/>
    <w:rsid w:val="00394918"/>
    <w:rsid w:val="003951F7"/>
    <w:rsid w:val="00395F9A"/>
    <w:rsid w:val="00395FD8"/>
    <w:rsid w:val="003973B9"/>
    <w:rsid w:val="003976F1"/>
    <w:rsid w:val="00397A87"/>
    <w:rsid w:val="003A0247"/>
    <w:rsid w:val="003A1370"/>
    <w:rsid w:val="003A3543"/>
    <w:rsid w:val="003A36A1"/>
    <w:rsid w:val="003A397D"/>
    <w:rsid w:val="003A39D5"/>
    <w:rsid w:val="003A71E5"/>
    <w:rsid w:val="003A75DF"/>
    <w:rsid w:val="003B0997"/>
    <w:rsid w:val="003B21B9"/>
    <w:rsid w:val="003B2BCD"/>
    <w:rsid w:val="003B3331"/>
    <w:rsid w:val="003B3DA5"/>
    <w:rsid w:val="003B4649"/>
    <w:rsid w:val="003B48D7"/>
    <w:rsid w:val="003B4C8A"/>
    <w:rsid w:val="003B4DD6"/>
    <w:rsid w:val="003B6D50"/>
    <w:rsid w:val="003B76FA"/>
    <w:rsid w:val="003C03D7"/>
    <w:rsid w:val="003C11C5"/>
    <w:rsid w:val="003C146B"/>
    <w:rsid w:val="003C18A6"/>
    <w:rsid w:val="003C18C8"/>
    <w:rsid w:val="003C3736"/>
    <w:rsid w:val="003C3DD7"/>
    <w:rsid w:val="003C4F5F"/>
    <w:rsid w:val="003C54E7"/>
    <w:rsid w:val="003C6A48"/>
    <w:rsid w:val="003D05BA"/>
    <w:rsid w:val="003D1DF0"/>
    <w:rsid w:val="003D253F"/>
    <w:rsid w:val="003D2790"/>
    <w:rsid w:val="003D29EC"/>
    <w:rsid w:val="003D2FCD"/>
    <w:rsid w:val="003D303D"/>
    <w:rsid w:val="003D445C"/>
    <w:rsid w:val="003D5209"/>
    <w:rsid w:val="003D527C"/>
    <w:rsid w:val="003D5C79"/>
    <w:rsid w:val="003D736E"/>
    <w:rsid w:val="003E042C"/>
    <w:rsid w:val="003E0B1D"/>
    <w:rsid w:val="003E0D3D"/>
    <w:rsid w:val="003E39A8"/>
    <w:rsid w:val="003E4EA9"/>
    <w:rsid w:val="003E7AE2"/>
    <w:rsid w:val="003F0D9B"/>
    <w:rsid w:val="003F181B"/>
    <w:rsid w:val="003F1AED"/>
    <w:rsid w:val="003F29C0"/>
    <w:rsid w:val="003F315F"/>
    <w:rsid w:val="003F35AA"/>
    <w:rsid w:val="003F3B05"/>
    <w:rsid w:val="003F3CE0"/>
    <w:rsid w:val="003F46C6"/>
    <w:rsid w:val="003F4F87"/>
    <w:rsid w:val="003F5361"/>
    <w:rsid w:val="004001EE"/>
    <w:rsid w:val="0040022D"/>
    <w:rsid w:val="00400533"/>
    <w:rsid w:val="00400CA4"/>
    <w:rsid w:val="004011A0"/>
    <w:rsid w:val="004020DA"/>
    <w:rsid w:val="00402CE2"/>
    <w:rsid w:val="00403EA6"/>
    <w:rsid w:val="00404641"/>
    <w:rsid w:val="00404B7B"/>
    <w:rsid w:val="00405775"/>
    <w:rsid w:val="00405DCB"/>
    <w:rsid w:val="00407D7A"/>
    <w:rsid w:val="00407FED"/>
    <w:rsid w:val="00410C44"/>
    <w:rsid w:val="00411140"/>
    <w:rsid w:val="00411F30"/>
    <w:rsid w:val="004148FF"/>
    <w:rsid w:val="00414ABB"/>
    <w:rsid w:val="0041561B"/>
    <w:rsid w:val="00415C94"/>
    <w:rsid w:val="00415D5D"/>
    <w:rsid w:val="0041641C"/>
    <w:rsid w:val="00416FCA"/>
    <w:rsid w:val="004178BA"/>
    <w:rsid w:val="004204A3"/>
    <w:rsid w:val="004207DB"/>
    <w:rsid w:val="00420E26"/>
    <w:rsid w:val="00420F46"/>
    <w:rsid w:val="00420F9B"/>
    <w:rsid w:val="0042159F"/>
    <w:rsid w:val="00422614"/>
    <w:rsid w:val="00422869"/>
    <w:rsid w:val="00423044"/>
    <w:rsid w:val="00424447"/>
    <w:rsid w:val="0042566F"/>
    <w:rsid w:val="00425ADF"/>
    <w:rsid w:val="0042653C"/>
    <w:rsid w:val="004271FF"/>
    <w:rsid w:val="00430765"/>
    <w:rsid w:val="00430A9E"/>
    <w:rsid w:val="00431F40"/>
    <w:rsid w:val="004327C0"/>
    <w:rsid w:val="00433C0D"/>
    <w:rsid w:val="00434A52"/>
    <w:rsid w:val="00434A64"/>
    <w:rsid w:val="004354AD"/>
    <w:rsid w:val="00435C72"/>
    <w:rsid w:val="00435C96"/>
    <w:rsid w:val="00437A93"/>
    <w:rsid w:val="00437FBE"/>
    <w:rsid w:val="00440401"/>
    <w:rsid w:val="00440BC7"/>
    <w:rsid w:val="0044163C"/>
    <w:rsid w:val="0044193C"/>
    <w:rsid w:val="004423E8"/>
    <w:rsid w:val="00442613"/>
    <w:rsid w:val="00442F4B"/>
    <w:rsid w:val="00443C45"/>
    <w:rsid w:val="00444358"/>
    <w:rsid w:val="004450FE"/>
    <w:rsid w:val="00446299"/>
    <w:rsid w:val="00446564"/>
    <w:rsid w:val="004475F5"/>
    <w:rsid w:val="00450028"/>
    <w:rsid w:val="00450A5A"/>
    <w:rsid w:val="0045173B"/>
    <w:rsid w:val="00452034"/>
    <w:rsid w:val="00453405"/>
    <w:rsid w:val="00453E1E"/>
    <w:rsid w:val="0045530E"/>
    <w:rsid w:val="00455343"/>
    <w:rsid w:val="00455CFC"/>
    <w:rsid w:val="0045656F"/>
    <w:rsid w:val="00457972"/>
    <w:rsid w:val="004605C0"/>
    <w:rsid w:val="0046080E"/>
    <w:rsid w:val="00460E3B"/>
    <w:rsid w:val="004618B7"/>
    <w:rsid w:val="0046194B"/>
    <w:rsid w:val="00461C8B"/>
    <w:rsid w:val="00463595"/>
    <w:rsid w:val="00463C7F"/>
    <w:rsid w:val="00463E9D"/>
    <w:rsid w:val="00467A50"/>
    <w:rsid w:val="004704F1"/>
    <w:rsid w:val="00470913"/>
    <w:rsid w:val="0047192A"/>
    <w:rsid w:val="00471EFB"/>
    <w:rsid w:val="0047510E"/>
    <w:rsid w:val="00476CA6"/>
    <w:rsid w:val="0047744B"/>
    <w:rsid w:val="004804A1"/>
    <w:rsid w:val="0048073F"/>
    <w:rsid w:val="00481373"/>
    <w:rsid w:val="00481542"/>
    <w:rsid w:val="00482215"/>
    <w:rsid w:val="004824F2"/>
    <w:rsid w:val="004829C5"/>
    <w:rsid w:val="00482FDD"/>
    <w:rsid w:val="00483169"/>
    <w:rsid w:val="00483746"/>
    <w:rsid w:val="004838D9"/>
    <w:rsid w:val="00483F41"/>
    <w:rsid w:val="00484BB2"/>
    <w:rsid w:val="00484E7C"/>
    <w:rsid w:val="00485B1E"/>
    <w:rsid w:val="0048622F"/>
    <w:rsid w:val="00486EC5"/>
    <w:rsid w:val="0048735C"/>
    <w:rsid w:val="00491322"/>
    <w:rsid w:val="0049170B"/>
    <w:rsid w:val="00492688"/>
    <w:rsid w:val="004930A2"/>
    <w:rsid w:val="00493B86"/>
    <w:rsid w:val="0049446B"/>
    <w:rsid w:val="00495E2C"/>
    <w:rsid w:val="0049662A"/>
    <w:rsid w:val="00497069"/>
    <w:rsid w:val="00497311"/>
    <w:rsid w:val="00497E06"/>
    <w:rsid w:val="004A08A9"/>
    <w:rsid w:val="004A129A"/>
    <w:rsid w:val="004A355E"/>
    <w:rsid w:val="004A4056"/>
    <w:rsid w:val="004A4B55"/>
    <w:rsid w:val="004A4B75"/>
    <w:rsid w:val="004A4D17"/>
    <w:rsid w:val="004A4E03"/>
    <w:rsid w:val="004A4E0D"/>
    <w:rsid w:val="004A6239"/>
    <w:rsid w:val="004A626F"/>
    <w:rsid w:val="004A6498"/>
    <w:rsid w:val="004A64F0"/>
    <w:rsid w:val="004A764B"/>
    <w:rsid w:val="004A7B8E"/>
    <w:rsid w:val="004B0AE9"/>
    <w:rsid w:val="004B1168"/>
    <w:rsid w:val="004B1DB7"/>
    <w:rsid w:val="004B1F4C"/>
    <w:rsid w:val="004B2322"/>
    <w:rsid w:val="004B25C3"/>
    <w:rsid w:val="004B543E"/>
    <w:rsid w:val="004B58D6"/>
    <w:rsid w:val="004B5B57"/>
    <w:rsid w:val="004B6456"/>
    <w:rsid w:val="004B68CB"/>
    <w:rsid w:val="004B703B"/>
    <w:rsid w:val="004B71E7"/>
    <w:rsid w:val="004B7B1C"/>
    <w:rsid w:val="004B7E2E"/>
    <w:rsid w:val="004C0758"/>
    <w:rsid w:val="004C08BD"/>
    <w:rsid w:val="004C1AB8"/>
    <w:rsid w:val="004C2E4F"/>
    <w:rsid w:val="004C3E76"/>
    <w:rsid w:val="004C3FBB"/>
    <w:rsid w:val="004C5A03"/>
    <w:rsid w:val="004C6A43"/>
    <w:rsid w:val="004C6AD7"/>
    <w:rsid w:val="004C76A0"/>
    <w:rsid w:val="004C7D78"/>
    <w:rsid w:val="004C7DAB"/>
    <w:rsid w:val="004D01E4"/>
    <w:rsid w:val="004D0425"/>
    <w:rsid w:val="004D0674"/>
    <w:rsid w:val="004D091D"/>
    <w:rsid w:val="004D1F25"/>
    <w:rsid w:val="004D2A06"/>
    <w:rsid w:val="004D38F9"/>
    <w:rsid w:val="004D4E37"/>
    <w:rsid w:val="004D5283"/>
    <w:rsid w:val="004D583E"/>
    <w:rsid w:val="004D598E"/>
    <w:rsid w:val="004D640D"/>
    <w:rsid w:val="004D6903"/>
    <w:rsid w:val="004D69F1"/>
    <w:rsid w:val="004D7291"/>
    <w:rsid w:val="004D7895"/>
    <w:rsid w:val="004D7E31"/>
    <w:rsid w:val="004E0BF4"/>
    <w:rsid w:val="004E0E94"/>
    <w:rsid w:val="004E1E4E"/>
    <w:rsid w:val="004E28A1"/>
    <w:rsid w:val="004E2A0F"/>
    <w:rsid w:val="004E2B94"/>
    <w:rsid w:val="004E2E2A"/>
    <w:rsid w:val="004E42B7"/>
    <w:rsid w:val="004E4339"/>
    <w:rsid w:val="004E669E"/>
    <w:rsid w:val="004E6D90"/>
    <w:rsid w:val="004E7E9E"/>
    <w:rsid w:val="004F038A"/>
    <w:rsid w:val="004F084C"/>
    <w:rsid w:val="004F18F3"/>
    <w:rsid w:val="004F3824"/>
    <w:rsid w:val="004F39BC"/>
    <w:rsid w:val="004F3F2E"/>
    <w:rsid w:val="004F45F6"/>
    <w:rsid w:val="004F5370"/>
    <w:rsid w:val="004F53D0"/>
    <w:rsid w:val="004F6857"/>
    <w:rsid w:val="004F6E1C"/>
    <w:rsid w:val="004F6FC1"/>
    <w:rsid w:val="004F7A0A"/>
    <w:rsid w:val="00501F41"/>
    <w:rsid w:val="005026F0"/>
    <w:rsid w:val="005027CE"/>
    <w:rsid w:val="00503870"/>
    <w:rsid w:val="005039AE"/>
    <w:rsid w:val="005041F3"/>
    <w:rsid w:val="00504230"/>
    <w:rsid w:val="00504772"/>
    <w:rsid w:val="00505747"/>
    <w:rsid w:val="00505A3F"/>
    <w:rsid w:val="00506555"/>
    <w:rsid w:val="0050776B"/>
    <w:rsid w:val="00510179"/>
    <w:rsid w:val="00512FA8"/>
    <w:rsid w:val="00513D3B"/>
    <w:rsid w:val="005149D1"/>
    <w:rsid w:val="00514C74"/>
    <w:rsid w:val="00516941"/>
    <w:rsid w:val="00516F19"/>
    <w:rsid w:val="00517167"/>
    <w:rsid w:val="00517217"/>
    <w:rsid w:val="00517AB3"/>
    <w:rsid w:val="00517BA6"/>
    <w:rsid w:val="0052075B"/>
    <w:rsid w:val="00521343"/>
    <w:rsid w:val="00521DAC"/>
    <w:rsid w:val="00521F3F"/>
    <w:rsid w:val="005228CA"/>
    <w:rsid w:val="00525303"/>
    <w:rsid w:val="005258DA"/>
    <w:rsid w:val="00527DA0"/>
    <w:rsid w:val="00530162"/>
    <w:rsid w:val="00530196"/>
    <w:rsid w:val="00530818"/>
    <w:rsid w:val="00530E69"/>
    <w:rsid w:val="005310B6"/>
    <w:rsid w:val="005313F2"/>
    <w:rsid w:val="00531EF0"/>
    <w:rsid w:val="00532503"/>
    <w:rsid w:val="0053283F"/>
    <w:rsid w:val="005330FF"/>
    <w:rsid w:val="005340A9"/>
    <w:rsid w:val="00534583"/>
    <w:rsid w:val="005347CF"/>
    <w:rsid w:val="005352C5"/>
    <w:rsid w:val="005360C4"/>
    <w:rsid w:val="00536106"/>
    <w:rsid w:val="00536645"/>
    <w:rsid w:val="005407AD"/>
    <w:rsid w:val="005408D3"/>
    <w:rsid w:val="005410FD"/>
    <w:rsid w:val="005414AC"/>
    <w:rsid w:val="0054206D"/>
    <w:rsid w:val="00542082"/>
    <w:rsid w:val="00542B11"/>
    <w:rsid w:val="00542E0C"/>
    <w:rsid w:val="00543151"/>
    <w:rsid w:val="00543D5A"/>
    <w:rsid w:val="00544120"/>
    <w:rsid w:val="005442DE"/>
    <w:rsid w:val="00546286"/>
    <w:rsid w:val="00546614"/>
    <w:rsid w:val="00546DC2"/>
    <w:rsid w:val="00547B5F"/>
    <w:rsid w:val="0055131C"/>
    <w:rsid w:val="005513E4"/>
    <w:rsid w:val="005514CC"/>
    <w:rsid w:val="0055186A"/>
    <w:rsid w:val="00551F25"/>
    <w:rsid w:val="005527D4"/>
    <w:rsid w:val="00553D48"/>
    <w:rsid w:val="005545D1"/>
    <w:rsid w:val="005545D6"/>
    <w:rsid w:val="00556AAA"/>
    <w:rsid w:val="00557A47"/>
    <w:rsid w:val="00557A74"/>
    <w:rsid w:val="00560AA5"/>
    <w:rsid w:val="00561515"/>
    <w:rsid w:val="0056156E"/>
    <w:rsid w:val="00562415"/>
    <w:rsid w:val="005626A2"/>
    <w:rsid w:val="00563F66"/>
    <w:rsid w:val="0056485B"/>
    <w:rsid w:val="005668A3"/>
    <w:rsid w:val="00567A8B"/>
    <w:rsid w:val="00570D99"/>
    <w:rsid w:val="00571670"/>
    <w:rsid w:val="005717FC"/>
    <w:rsid w:val="00571938"/>
    <w:rsid w:val="005734FB"/>
    <w:rsid w:val="00574115"/>
    <w:rsid w:val="00575C06"/>
    <w:rsid w:val="00577BA2"/>
    <w:rsid w:val="00580181"/>
    <w:rsid w:val="00580183"/>
    <w:rsid w:val="00580F9F"/>
    <w:rsid w:val="00581927"/>
    <w:rsid w:val="00581AB0"/>
    <w:rsid w:val="00582589"/>
    <w:rsid w:val="00582679"/>
    <w:rsid w:val="00582997"/>
    <w:rsid w:val="00582ADD"/>
    <w:rsid w:val="005831CE"/>
    <w:rsid w:val="005842D2"/>
    <w:rsid w:val="00584502"/>
    <w:rsid w:val="005863D0"/>
    <w:rsid w:val="00587811"/>
    <w:rsid w:val="00587C21"/>
    <w:rsid w:val="00587C69"/>
    <w:rsid w:val="005900B8"/>
    <w:rsid w:val="00590B98"/>
    <w:rsid w:val="005910A5"/>
    <w:rsid w:val="005915C5"/>
    <w:rsid w:val="0059241D"/>
    <w:rsid w:val="005925C5"/>
    <w:rsid w:val="005928FF"/>
    <w:rsid w:val="00593743"/>
    <w:rsid w:val="0059389D"/>
    <w:rsid w:val="00594830"/>
    <w:rsid w:val="00596556"/>
    <w:rsid w:val="005A047A"/>
    <w:rsid w:val="005A0882"/>
    <w:rsid w:val="005A3053"/>
    <w:rsid w:val="005A3D03"/>
    <w:rsid w:val="005A3E98"/>
    <w:rsid w:val="005A52B5"/>
    <w:rsid w:val="005A5B5C"/>
    <w:rsid w:val="005A73DE"/>
    <w:rsid w:val="005A7440"/>
    <w:rsid w:val="005A7B0C"/>
    <w:rsid w:val="005B07D3"/>
    <w:rsid w:val="005B0CE3"/>
    <w:rsid w:val="005B16FD"/>
    <w:rsid w:val="005B186C"/>
    <w:rsid w:val="005B24CE"/>
    <w:rsid w:val="005B26AE"/>
    <w:rsid w:val="005B27F4"/>
    <w:rsid w:val="005B2D41"/>
    <w:rsid w:val="005B34E6"/>
    <w:rsid w:val="005B362A"/>
    <w:rsid w:val="005B438D"/>
    <w:rsid w:val="005B52D0"/>
    <w:rsid w:val="005B5482"/>
    <w:rsid w:val="005B69C3"/>
    <w:rsid w:val="005B6BDB"/>
    <w:rsid w:val="005B7050"/>
    <w:rsid w:val="005B7320"/>
    <w:rsid w:val="005B7533"/>
    <w:rsid w:val="005B75F1"/>
    <w:rsid w:val="005B7788"/>
    <w:rsid w:val="005B7DF3"/>
    <w:rsid w:val="005C045D"/>
    <w:rsid w:val="005C159D"/>
    <w:rsid w:val="005C4287"/>
    <w:rsid w:val="005C48F8"/>
    <w:rsid w:val="005C503A"/>
    <w:rsid w:val="005C57A3"/>
    <w:rsid w:val="005C5A89"/>
    <w:rsid w:val="005C6716"/>
    <w:rsid w:val="005C77FC"/>
    <w:rsid w:val="005C7FEA"/>
    <w:rsid w:val="005D1672"/>
    <w:rsid w:val="005D17DA"/>
    <w:rsid w:val="005D1D23"/>
    <w:rsid w:val="005D220C"/>
    <w:rsid w:val="005D2764"/>
    <w:rsid w:val="005D3154"/>
    <w:rsid w:val="005D3324"/>
    <w:rsid w:val="005D3813"/>
    <w:rsid w:val="005D485C"/>
    <w:rsid w:val="005D54B4"/>
    <w:rsid w:val="005D54CC"/>
    <w:rsid w:val="005D594B"/>
    <w:rsid w:val="005D5B6C"/>
    <w:rsid w:val="005D66CE"/>
    <w:rsid w:val="005D6C41"/>
    <w:rsid w:val="005D7572"/>
    <w:rsid w:val="005D7FBB"/>
    <w:rsid w:val="005E28E6"/>
    <w:rsid w:val="005E2B6C"/>
    <w:rsid w:val="005E3644"/>
    <w:rsid w:val="005E5758"/>
    <w:rsid w:val="005E5BF5"/>
    <w:rsid w:val="005E631C"/>
    <w:rsid w:val="005E719D"/>
    <w:rsid w:val="005E7563"/>
    <w:rsid w:val="005E767F"/>
    <w:rsid w:val="005F0EEB"/>
    <w:rsid w:val="005F101C"/>
    <w:rsid w:val="005F1AA8"/>
    <w:rsid w:val="005F2ACD"/>
    <w:rsid w:val="005F3EAB"/>
    <w:rsid w:val="005F437F"/>
    <w:rsid w:val="005F487D"/>
    <w:rsid w:val="005F4EAB"/>
    <w:rsid w:val="005F5737"/>
    <w:rsid w:val="005F5C0E"/>
    <w:rsid w:val="006001B9"/>
    <w:rsid w:val="0060077A"/>
    <w:rsid w:val="0060180D"/>
    <w:rsid w:val="006027E4"/>
    <w:rsid w:val="006032E6"/>
    <w:rsid w:val="00604B13"/>
    <w:rsid w:val="00604F1C"/>
    <w:rsid w:val="0060500D"/>
    <w:rsid w:val="006050A7"/>
    <w:rsid w:val="006054A5"/>
    <w:rsid w:val="00607AAC"/>
    <w:rsid w:val="006109CA"/>
    <w:rsid w:val="00610A73"/>
    <w:rsid w:val="00611600"/>
    <w:rsid w:val="00612634"/>
    <w:rsid w:val="00612C4C"/>
    <w:rsid w:val="006139D7"/>
    <w:rsid w:val="00613D83"/>
    <w:rsid w:val="006150D6"/>
    <w:rsid w:val="0061722F"/>
    <w:rsid w:val="00620E74"/>
    <w:rsid w:val="00621091"/>
    <w:rsid w:val="006210B1"/>
    <w:rsid w:val="00621405"/>
    <w:rsid w:val="00622F30"/>
    <w:rsid w:val="00623DE2"/>
    <w:rsid w:val="0062606F"/>
    <w:rsid w:val="006263C5"/>
    <w:rsid w:val="0063038A"/>
    <w:rsid w:val="00630499"/>
    <w:rsid w:val="00630AA5"/>
    <w:rsid w:val="00630C88"/>
    <w:rsid w:val="00631E6B"/>
    <w:rsid w:val="00632312"/>
    <w:rsid w:val="00632C74"/>
    <w:rsid w:val="00633528"/>
    <w:rsid w:val="00633E88"/>
    <w:rsid w:val="00634F8C"/>
    <w:rsid w:val="006354C5"/>
    <w:rsid w:val="00636125"/>
    <w:rsid w:val="006368B6"/>
    <w:rsid w:val="0063694E"/>
    <w:rsid w:val="00637413"/>
    <w:rsid w:val="00637AD0"/>
    <w:rsid w:val="00637F02"/>
    <w:rsid w:val="006402DD"/>
    <w:rsid w:val="00640433"/>
    <w:rsid w:val="00642162"/>
    <w:rsid w:val="00642510"/>
    <w:rsid w:val="0064283C"/>
    <w:rsid w:val="006437B2"/>
    <w:rsid w:val="00643878"/>
    <w:rsid w:val="006443F2"/>
    <w:rsid w:val="00644E20"/>
    <w:rsid w:val="00644EE8"/>
    <w:rsid w:val="00645151"/>
    <w:rsid w:val="00645AA1"/>
    <w:rsid w:val="006469A5"/>
    <w:rsid w:val="00646D90"/>
    <w:rsid w:val="00647E9A"/>
    <w:rsid w:val="0065142E"/>
    <w:rsid w:val="00651834"/>
    <w:rsid w:val="00653327"/>
    <w:rsid w:val="0065423A"/>
    <w:rsid w:val="00655179"/>
    <w:rsid w:val="00655DD0"/>
    <w:rsid w:val="00655E4D"/>
    <w:rsid w:val="00655EF3"/>
    <w:rsid w:val="0066127E"/>
    <w:rsid w:val="00661593"/>
    <w:rsid w:val="006615C0"/>
    <w:rsid w:val="00662AE5"/>
    <w:rsid w:val="00662C35"/>
    <w:rsid w:val="00663F09"/>
    <w:rsid w:val="00665B07"/>
    <w:rsid w:val="00665EC4"/>
    <w:rsid w:val="00666939"/>
    <w:rsid w:val="006670FF"/>
    <w:rsid w:val="0066749C"/>
    <w:rsid w:val="006676DB"/>
    <w:rsid w:val="0066774C"/>
    <w:rsid w:val="006679B4"/>
    <w:rsid w:val="00667F6C"/>
    <w:rsid w:val="006717B8"/>
    <w:rsid w:val="00671809"/>
    <w:rsid w:val="0067208F"/>
    <w:rsid w:val="006725C5"/>
    <w:rsid w:val="006728C7"/>
    <w:rsid w:val="00672ED0"/>
    <w:rsid w:val="0067333A"/>
    <w:rsid w:val="006737D9"/>
    <w:rsid w:val="0067394E"/>
    <w:rsid w:val="00673AC7"/>
    <w:rsid w:val="00675AC8"/>
    <w:rsid w:val="0067616B"/>
    <w:rsid w:val="00676490"/>
    <w:rsid w:val="006770FF"/>
    <w:rsid w:val="006805CB"/>
    <w:rsid w:val="00680CE8"/>
    <w:rsid w:val="00680E76"/>
    <w:rsid w:val="00681AF1"/>
    <w:rsid w:val="00681D76"/>
    <w:rsid w:val="0068475C"/>
    <w:rsid w:val="00684EC7"/>
    <w:rsid w:val="006856BE"/>
    <w:rsid w:val="006876F3"/>
    <w:rsid w:val="00690039"/>
    <w:rsid w:val="0069055A"/>
    <w:rsid w:val="006914EB"/>
    <w:rsid w:val="00691B61"/>
    <w:rsid w:val="00693E1C"/>
    <w:rsid w:val="00694AB5"/>
    <w:rsid w:val="00694E69"/>
    <w:rsid w:val="00695216"/>
    <w:rsid w:val="00695CEE"/>
    <w:rsid w:val="00695FF3"/>
    <w:rsid w:val="0069697C"/>
    <w:rsid w:val="00696AB1"/>
    <w:rsid w:val="006A00FD"/>
    <w:rsid w:val="006A0183"/>
    <w:rsid w:val="006A48DE"/>
    <w:rsid w:val="006A5621"/>
    <w:rsid w:val="006A7DFE"/>
    <w:rsid w:val="006A7EF6"/>
    <w:rsid w:val="006B1BA7"/>
    <w:rsid w:val="006B1D59"/>
    <w:rsid w:val="006B2040"/>
    <w:rsid w:val="006B2641"/>
    <w:rsid w:val="006B2651"/>
    <w:rsid w:val="006B29A6"/>
    <w:rsid w:val="006B40FB"/>
    <w:rsid w:val="006B4E3E"/>
    <w:rsid w:val="006B51FA"/>
    <w:rsid w:val="006B553D"/>
    <w:rsid w:val="006B617E"/>
    <w:rsid w:val="006B6D2B"/>
    <w:rsid w:val="006B72DC"/>
    <w:rsid w:val="006B7504"/>
    <w:rsid w:val="006C002A"/>
    <w:rsid w:val="006C2983"/>
    <w:rsid w:val="006C2B37"/>
    <w:rsid w:val="006C3210"/>
    <w:rsid w:val="006C3388"/>
    <w:rsid w:val="006C3A8F"/>
    <w:rsid w:val="006C3EE9"/>
    <w:rsid w:val="006C44FA"/>
    <w:rsid w:val="006C5065"/>
    <w:rsid w:val="006C5499"/>
    <w:rsid w:val="006C6166"/>
    <w:rsid w:val="006C6CFE"/>
    <w:rsid w:val="006C71F0"/>
    <w:rsid w:val="006C797F"/>
    <w:rsid w:val="006D0511"/>
    <w:rsid w:val="006D1A2D"/>
    <w:rsid w:val="006D20FE"/>
    <w:rsid w:val="006D3683"/>
    <w:rsid w:val="006D39BC"/>
    <w:rsid w:val="006D44C1"/>
    <w:rsid w:val="006D7054"/>
    <w:rsid w:val="006E0564"/>
    <w:rsid w:val="006E0AF4"/>
    <w:rsid w:val="006E111E"/>
    <w:rsid w:val="006E1C8D"/>
    <w:rsid w:val="006E21E7"/>
    <w:rsid w:val="006E25BB"/>
    <w:rsid w:val="006E2B17"/>
    <w:rsid w:val="006E2C73"/>
    <w:rsid w:val="006E2E50"/>
    <w:rsid w:val="006E3613"/>
    <w:rsid w:val="006E3834"/>
    <w:rsid w:val="006E4EEA"/>
    <w:rsid w:val="006E51F4"/>
    <w:rsid w:val="006E5DD4"/>
    <w:rsid w:val="006E651D"/>
    <w:rsid w:val="006E6695"/>
    <w:rsid w:val="006F0BE9"/>
    <w:rsid w:val="006F1101"/>
    <w:rsid w:val="006F2071"/>
    <w:rsid w:val="006F239F"/>
    <w:rsid w:val="006F2532"/>
    <w:rsid w:val="006F2E96"/>
    <w:rsid w:val="006F33E3"/>
    <w:rsid w:val="006F3CA6"/>
    <w:rsid w:val="006F42D4"/>
    <w:rsid w:val="006F4599"/>
    <w:rsid w:val="006F473B"/>
    <w:rsid w:val="006F4D25"/>
    <w:rsid w:val="006F5B7C"/>
    <w:rsid w:val="006F5D66"/>
    <w:rsid w:val="00702069"/>
    <w:rsid w:val="007020A7"/>
    <w:rsid w:val="007038C6"/>
    <w:rsid w:val="007047B4"/>
    <w:rsid w:val="00704F49"/>
    <w:rsid w:val="007056B1"/>
    <w:rsid w:val="00706622"/>
    <w:rsid w:val="00706930"/>
    <w:rsid w:val="007072E3"/>
    <w:rsid w:val="00707650"/>
    <w:rsid w:val="00710910"/>
    <w:rsid w:val="00710D11"/>
    <w:rsid w:val="00710E26"/>
    <w:rsid w:val="0071108A"/>
    <w:rsid w:val="0071142E"/>
    <w:rsid w:val="00711517"/>
    <w:rsid w:val="00713015"/>
    <w:rsid w:val="00713071"/>
    <w:rsid w:val="007137D8"/>
    <w:rsid w:val="00713B24"/>
    <w:rsid w:val="00714023"/>
    <w:rsid w:val="007159F0"/>
    <w:rsid w:val="0071692F"/>
    <w:rsid w:val="00717146"/>
    <w:rsid w:val="00720CEE"/>
    <w:rsid w:val="00721587"/>
    <w:rsid w:val="007224A8"/>
    <w:rsid w:val="00722B6F"/>
    <w:rsid w:val="0072452B"/>
    <w:rsid w:val="0072573E"/>
    <w:rsid w:val="00727CDD"/>
    <w:rsid w:val="00730F2F"/>
    <w:rsid w:val="00731485"/>
    <w:rsid w:val="00731703"/>
    <w:rsid w:val="007318C7"/>
    <w:rsid w:val="007318DC"/>
    <w:rsid w:val="00731C1E"/>
    <w:rsid w:val="007329BA"/>
    <w:rsid w:val="00736FA3"/>
    <w:rsid w:val="007371ED"/>
    <w:rsid w:val="00737453"/>
    <w:rsid w:val="00737A1D"/>
    <w:rsid w:val="007402A1"/>
    <w:rsid w:val="00740456"/>
    <w:rsid w:val="007404E4"/>
    <w:rsid w:val="00740A96"/>
    <w:rsid w:val="00741148"/>
    <w:rsid w:val="00741A62"/>
    <w:rsid w:val="00741E4D"/>
    <w:rsid w:val="007424D1"/>
    <w:rsid w:val="0074277F"/>
    <w:rsid w:val="00742D88"/>
    <w:rsid w:val="007432E9"/>
    <w:rsid w:val="00743A7F"/>
    <w:rsid w:val="007445EF"/>
    <w:rsid w:val="0074509A"/>
    <w:rsid w:val="00746F7F"/>
    <w:rsid w:val="0074746A"/>
    <w:rsid w:val="007501B3"/>
    <w:rsid w:val="00750B75"/>
    <w:rsid w:val="007521A4"/>
    <w:rsid w:val="007525C3"/>
    <w:rsid w:val="00752603"/>
    <w:rsid w:val="00752E82"/>
    <w:rsid w:val="0075344A"/>
    <w:rsid w:val="00753E14"/>
    <w:rsid w:val="007540B7"/>
    <w:rsid w:val="00755CA4"/>
    <w:rsid w:val="007563BA"/>
    <w:rsid w:val="007567C9"/>
    <w:rsid w:val="0075693A"/>
    <w:rsid w:val="00756BCE"/>
    <w:rsid w:val="0075747F"/>
    <w:rsid w:val="00757CC7"/>
    <w:rsid w:val="00760046"/>
    <w:rsid w:val="007600E0"/>
    <w:rsid w:val="00760A7E"/>
    <w:rsid w:val="007612A5"/>
    <w:rsid w:val="007614A0"/>
    <w:rsid w:val="007622C2"/>
    <w:rsid w:val="007640AB"/>
    <w:rsid w:val="0076439F"/>
    <w:rsid w:val="00764B2B"/>
    <w:rsid w:val="00766CD9"/>
    <w:rsid w:val="007677C6"/>
    <w:rsid w:val="0076791C"/>
    <w:rsid w:val="0077070C"/>
    <w:rsid w:val="00770A5A"/>
    <w:rsid w:val="00771537"/>
    <w:rsid w:val="00771824"/>
    <w:rsid w:val="00771F03"/>
    <w:rsid w:val="00771F72"/>
    <w:rsid w:val="0077242B"/>
    <w:rsid w:val="0077250A"/>
    <w:rsid w:val="007727FB"/>
    <w:rsid w:val="00773186"/>
    <w:rsid w:val="0077326C"/>
    <w:rsid w:val="007733DC"/>
    <w:rsid w:val="007746D3"/>
    <w:rsid w:val="0077496E"/>
    <w:rsid w:val="00774D30"/>
    <w:rsid w:val="00775124"/>
    <w:rsid w:val="00776A9A"/>
    <w:rsid w:val="00776B12"/>
    <w:rsid w:val="00776F1F"/>
    <w:rsid w:val="0078001D"/>
    <w:rsid w:val="00781D49"/>
    <w:rsid w:val="00781FBD"/>
    <w:rsid w:val="00783911"/>
    <w:rsid w:val="00783B84"/>
    <w:rsid w:val="0078404E"/>
    <w:rsid w:val="0078470D"/>
    <w:rsid w:val="00784A62"/>
    <w:rsid w:val="00784D65"/>
    <w:rsid w:val="00785548"/>
    <w:rsid w:val="0078733B"/>
    <w:rsid w:val="007874BA"/>
    <w:rsid w:val="0079088C"/>
    <w:rsid w:val="00790976"/>
    <w:rsid w:val="007911AC"/>
    <w:rsid w:val="00791A22"/>
    <w:rsid w:val="00791BDC"/>
    <w:rsid w:val="00791C4E"/>
    <w:rsid w:val="00791C89"/>
    <w:rsid w:val="00792CDD"/>
    <w:rsid w:val="007931CD"/>
    <w:rsid w:val="00793CC4"/>
    <w:rsid w:val="00794221"/>
    <w:rsid w:val="00794442"/>
    <w:rsid w:val="00795957"/>
    <w:rsid w:val="00796C3D"/>
    <w:rsid w:val="00797270"/>
    <w:rsid w:val="007976CF"/>
    <w:rsid w:val="007A0D50"/>
    <w:rsid w:val="007A229A"/>
    <w:rsid w:val="007A3AC8"/>
    <w:rsid w:val="007A40B5"/>
    <w:rsid w:val="007A57CB"/>
    <w:rsid w:val="007A5CF3"/>
    <w:rsid w:val="007A5E63"/>
    <w:rsid w:val="007A6E7A"/>
    <w:rsid w:val="007A6F4D"/>
    <w:rsid w:val="007A7655"/>
    <w:rsid w:val="007B0463"/>
    <w:rsid w:val="007B0862"/>
    <w:rsid w:val="007B2A40"/>
    <w:rsid w:val="007B2D1C"/>
    <w:rsid w:val="007B5C00"/>
    <w:rsid w:val="007B67D5"/>
    <w:rsid w:val="007B69FD"/>
    <w:rsid w:val="007B6F15"/>
    <w:rsid w:val="007B7515"/>
    <w:rsid w:val="007B7573"/>
    <w:rsid w:val="007B75B7"/>
    <w:rsid w:val="007B7660"/>
    <w:rsid w:val="007C1875"/>
    <w:rsid w:val="007C198A"/>
    <w:rsid w:val="007C1A26"/>
    <w:rsid w:val="007C2162"/>
    <w:rsid w:val="007C2707"/>
    <w:rsid w:val="007C27F4"/>
    <w:rsid w:val="007C2BC3"/>
    <w:rsid w:val="007C44EA"/>
    <w:rsid w:val="007C5BFD"/>
    <w:rsid w:val="007C67C7"/>
    <w:rsid w:val="007C69A9"/>
    <w:rsid w:val="007C7424"/>
    <w:rsid w:val="007D0267"/>
    <w:rsid w:val="007D0AC0"/>
    <w:rsid w:val="007D0B42"/>
    <w:rsid w:val="007D0BF0"/>
    <w:rsid w:val="007D1818"/>
    <w:rsid w:val="007D20CF"/>
    <w:rsid w:val="007D3639"/>
    <w:rsid w:val="007D36CE"/>
    <w:rsid w:val="007D36D8"/>
    <w:rsid w:val="007D3F28"/>
    <w:rsid w:val="007D6498"/>
    <w:rsid w:val="007D6524"/>
    <w:rsid w:val="007D6A4A"/>
    <w:rsid w:val="007D6BF2"/>
    <w:rsid w:val="007D713D"/>
    <w:rsid w:val="007D77D1"/>
    <w:rsid w:val="007D79BE"/>
    <w:rsid w:val="007E0B6D"/>
    <w:rsid w:val="007E1E23"/>
    <w:rsid w:val="007E2776"/>
    <w:rsid w:val="007E29C3"/>
    <w:rsid w:val="007E307E"/>
    <w:rsid w:val="007E3AC7"/>
    <w:rsid w:val="007E46F9"/>
    <w:rsid w:val="007E5433"/>
    <w:rsid w:val="007E593C"/>
    <w:rsid w:val="007E5C25"/>
    <w:rsid w:val="007E5EB7"/>
    <w:rsid w:val="007E6749"/>
    <w:rsid w:val="007E68E8"/>
    <w:rsid w:val="007E762C"/>
    <w:rsid w:val="007E7696"/>
    <w:rsid w:val="007F0261"/>
    <w:rsid w:val="007F0615"/>
    <w:rsid w:val="007F0C77"/>
    <w:rsid w:val="007F0D11"/>
    <w:rsid w:val="007F12E9"/>
    <w:rsid w:val="007F13AB"/>
    <w:rsid w:val="007F1411"/>
    <w:rsid w:val="007F1521"/>
    <w:rsid w:val="007F17A5"/>
    <w:rsid w:val="007F1A92"/>
    <w:rsid w:val="007F23A8"/>
    <w:rsid w:val="007F2562"/>
    <w:rsid w:val="007F34FC"/>
    <w:rsid w:val="007F3850"/>
    <w:rsid w:val="007F4459"/>
    <w:rsid w:val="007F5BB1"/>
    <w:rsid w:val="007F5D93"/>
    <w:rsid w:val="00800E8F"/>
    <w:rsid w:val="00800F55"/>
    <w:rsid w:val="00801A4A"/>
    <w:rsid w:val="00801F4C"/>
    <w:rsid w:val="00802835"/>
    <w:rsid w:val="00802ADD"/>
    <w:rsid w:val="0080360F"/>
    <w:rsid w:val="00803AC4"/>
    <w:rsid w:val="00804412"/>
    <w:rsid w:val="008044DA"/>
    <w:rsid w:val="0080454C"/>
    <w:rsid w:val="00810BAE"/>
    <w:rsid w:val="00810BDF"/>
    <w:rsid w:val="00810C4F"/>
    <w:rsid w:val="0081122A"/>
    <w:rsid w:val="00812949"/>
    <w:rsid w:val="008139EB"/>
    <w:rsid w:val="00813F5A"/>
    <w:rsid w:val="00814413"/>
    <w:rsid w:val="00815476"/>
    <w:rsid w:val="008167F4"/>
    <w:rsid w:val="008169AE"/>
    <w:rsid w:val="00817905"/>
    <w:rsid w:val="00817FA2"/>
    <w:rsid w:val="008203E0"/>
    <w:rsid w:val="00820C5E"/>
    <w:rsid w:val="008210B4"/>
    <w:rsid w:val="00821181"/>
    <w:rsid w:val="0082131F"/>
    <w:rsid w:val="0082249B"/>
    <w:rsid w:val="00822FE2"/>
    <w:rsid w:val="00823EDE"/>
    <w:rsid w:val="0082402D"/>
    <w:rsid w:val="008264CA"/>
    <w:rsid w:val="00826907"/>
    <w:rsid w:val="00826F44"/>
    <w:rsid w:val="008307C0"/>
    <w:rsid w:val="0083080A"/>
    <w:rsid w:val="00830D06"/>
    <w:rsid w:val="00831590"/>
    <w:rsid w:val="00831EDB"/>
    <w:rsid w:val="00832ACE"/>
    <w:rsid w:val="008332D8"/>
    <w:rsid w:val="00833549"/>
    <w:rsid w:val="00834DDE"/>
    <w:rsid w:val="00834E9F"/>
    <w:rsid w:val="0083521A"/>
    <w:rsid w:val="0083639D"/>
    <w:rsid w:val="008370D4"/>
    <w:rsid w:val="00837CEF"/>
    <w:rsid w:val="00837DB6"/>
    <w:rsid w:val="00837F57"/>
    <w:rsid w:val="00841F8E"/>
    <w:rsid w:val="00842C37"/>
    <w:rsid w:val="00843837"/>
    <w:rsid w:val="00843904"/>
    <w:rsid w:val="008449C3"/>
    <w:rsid w:val="0084516A"/>
    <w:rsid w:val="008456D2"/>
    <w:rsid w:val="00845C50"/>
    <w:rsid w:val="00846D88"/>
    <w:rsid w:val="00847337"/>
    <w:rsid w:val="00847C46"/>
    <w:rsid w:val="008502EF"/>
    <w:rsid w:val="00850BD8"/>
    <w:rsid w:val="00850FD5"/>
    <w:rsid w:val="008511FC"/>
    <w:rsid w:val="008518CF"/>
    <w:rsid w:val="00851BBD"/>
    <w:rsid w:val="00851EDC"/>
    <w:rsid w:val="00852D07"/>
    <w:rsid w:val="008534B6"/>
    <w:rsid w:val="00853817"/>
    <w:rsid w:val="00853A59"/>
    <w:rsid w:val="0085418B"/>
    <w:rsid w:val="00854B0E"/>
    <w:rsid w:val="00855458"/>
    <w:rsid w:val="008554DC"/>
    <w:rsid w:val="008559AE"/>
    <w:rsid w:val="00856451"/>
    <w:rsid w:val="008564B3"/>
    <w:rsid w:val="008611EE"/>
    <w:rsid w:val="0086181C"/>
    <w:rsid w:val="00861ED5"/>
    <w:rsid w:val="008621DF"/>
    <w:rsid w:val="00863370"/>
    <w:rsid w:val="0086491D"/>
    <w:rsid w:val="00865D5E"/>
    <w:rsid w:val="00865D7B"/>
    <w:rsid w:val="00866CA7"/>
    <w:rsid w:val="00866D05"/>
    <w:rsid w:val="00867333"/>
    <w:rsid w:val="00867A73"/>
    <w:rsid w:val="008713E9"/>
    <w:rsid w:val="00871CBF"/>
    <w:rsid w:val="008737A7"/>
    <w:rsid w:val="00873EB7"/>
    <w:rsid w:val="008757DF"/>
    <w:rsid w:val="00876535"/>
    <w:rsid w:val="00876F06"/>
    <w:rsid w:val="00877373"/>
    <w:rsid w:val="00877775"/>
    <w:rsid w:val="00877851"/>
    <w:rsid w:val="008801B8"/>
    <w:rsid w:val="00881019"/>
    <w:rsid w:val="0088163B"/>
    <w:rsid w:val="00882BF7"/>
    <w:rsid w:val="00882F24"/>
    <w:rsid w:val="0088411B"/>
    <w:rsid w:val="00884AA8"/>
    <w:rsid w:val="008850F1"/>
    <w:rsid w:val="0088527F"/>
    <w:rsid w:val="00885E89"/>
    <w:rsid w:val="00886318"/>
    <w:rsid w:val="00886A32"/>
    <w:rsid w:val="00886FBE"/>
    <w:rsid w:val="008873BB"/>
    <w:rsid w:val="00890A08"/>
    <w:rsid w:val="0089147F"/>
    <w:rsid w:val="008924A2"/>
    <w:rsid w:val="008932A4"/>
    <w:rsid w:val="008936D7"/>
    <w:rsid w:val="00893FCC"/>
    <w:rsid w:val="00894416"/>
    <w:rsid w:val="00894881"/>
    <w:rsid w:val="00894B6D"/>
    <w:rsid w:val="00894D19"/>
    <w:rsid w:val="008954B6"/>
    <w:rsid w:val="00895ACB"/>
    <w:rsid w:val="00896389"/>
    <w:rsid w:val="008967C3"/>
    <w:rsid w:val="00896AF4"/>
    <w:rsid w:val="008974F4"/>
    <w:rsid w:val="008A17C7"/>
    <w:rsid w:val="008A231E"/>
    <w:rsid w:val="008A239D"/>
    <w:rsid w:val="008A28D6"/>
    <w:rsid w:val="008A2906"/>
    <w:rsid w:val="008A30D2"/>
    <w:rsid w:val="008A3C01"/>
    <w:rsid w:val="008A50C5"/>
    <w:rsid w:val="008A5C22"/>
    <w:rsid w:val="008A759D"/>
    <w:rsid w:val="008A77FE"/>
    <w:rsid w:val="008A7D1C"/>
    <w:rsid w:val="008B00F3"/>
    <w:rsid w:val="008B04C2"/>
    <w:rsid w:val="008B2E76"/>
    <w:rsid w:val="008B3776"/>
    <w:rsid w:val="008B3ACD"/>
    <w:rsid w:val="008B3EF0"/>
    <w:rsid w:val="008B4AD6"/>
    <w:rsid w:val="008B4E7D"/>
    <w:rsid w:val="008B5721"/>
    <w:rsid w:val="008B596F"/>
    <w:rsid w:val="008B5D5A"/>
    <w:rsid w:val="008B6FDC"/>
    <w:rsid w:val="008C0261"/>
    <w:rsid w:val="008C121C"/>
    <w:rsid w:val="008C13D3"/>
    <w:rsid w:val="008C1466"/>
    <w:rsid w:val="008C2D6C"/>
    <w:rsid w:val="008C3792"/>
    <w:rsid w:val="008C441C"/>
    <w:rsid w:val="008C55BD"/>
    <w:rsid w:val="008C6246"/>
    <w:rsid w:val="008C6C92"/>
    <w:rsid w:val="008D05C4"/>
    <w:rsid w:val="008D1B8A"/>
    <w:rsid w:val="008D2FE2"/>
    <w:rsid w:val="008D343C"/>
    <w:rsid w:val="008D34F2"/>
    <w:rsid w:val="008D3AB8"/>
    <w:rsid w:val="008D3BC0"/>
    <w:rsid w:val="008D572B"/>
    <w:rsid w:val="008D5750"/>
    <w:rsid w:val="008D5AA4"/>
    <w:rsid w:val="008E0559"/>
    <w:rsid w:val="008E0630"/>
    <w:rsid w:val="008E21DF"/>
    <w:rsid w:val="008E2743"/>
    <w:rsid w:val="008E2C39"/>
    <w:rsid w:val="008E3BAA"/>
    <w:rsid w:val="008E5B2C"/>
    <w:rsid w:val="008E5F61"/>
    <w:rsid w:val="008E5F85"/>
    <w:rsid w:val="008E5FE7"/>
    <w:rsid w:val="008E62A8"/>
    <w:rsid w:val="008E69D5"/>
    <w:rsid w:val="008F0051"/>
    <w:rsid w:val="008F0C03"/>
    <w:rsid w:val="008F149E"/>
    <w:rsid w:val="008F2092"/>
    <w:rsid w:val="008F20FA"/>
    <w:rsid w:val="008F234C"/>
    <w:rsid w:val="008F296B"/>
    <w:rsid w:val="008F2A37"/>
    <w:rsid w:val="008F34B8"/>
    <w:rsid w:val="008F3DBB"/>
    <w:rsid w:val="008F4D4A"/>
    <w:rsid w:val="008F5261"/>
    <w:rsid w:val="008F52B7"/>
    <w:rsid w:val="008F543E"/>
    <w:rsid w:val="008F6411"/>
    <w:rsid w:val="009003B6"/>
    <w:rsid w:val="00900635"/>
    <w:rsid w:val="0090072D"/>
    <w:rsid w:val="009007CE"/>
    <w:rsid w:val="00900824"/>
    <w:rsid w:val="00901662"/>
    <w:rsid w:val="0090170C"/>
    <w:rsid w:val="00901DE2"/>
    <w:rsid w:val="00902114"/>
    <w:rsid w:val="00902487"/>
    <w:rsid w:val="00903A4A"/>
    <w:rsid w:val="009045D6"/>
    <w:rsid w:val="00904FBC"/>
    <w:rsid w:val="00905C97"/>
    <w:rsid w:val="0090627D"/>
    <w:rsid w:val="009067D5"/>
    <w:rsid w:val="00907044"/>
    <w:rsid w:val="009070BA"/>
    <w:rsid w:val="009119EE"/>
    <w:rsid w:val="00912109"/>
    <w:rsid w:val="009122C0"/>
    <w:rsid w:val="00916003"/>
    <w:rsid w:val="009164B2"/>
    <w:rsid w:val="009179C2"/>
    <w:rsid w:val="00917A0E"/>
    <w:rsid w:val="009204A1"/>
    <w:rsid w:val="00920608"/>
    <w:rsid w:val="00920DC1"/>
    <w:rsid w:val="0092116B"/>
    <w:rsid w:val="00922871"/>
    <w:rsid w:val="0092409C"/>
    <w:rsid w:val="009249CD"/>
    <w:rsid w:val="00925633"/>
    <w:rsid w:val="0092624D"/>
    <w:rsid w:val="00926326"/>
    <w:rsid w:val="009278EF"/>
    <w:rsid w:val="00927C08"/>
    <w:rsid w:val="00930C8F"/>
    <w:rsid w:val="00931758"/>
    <w:rsid w:val="0093322C"/>
    <w:rsid w:val="00933231"/>
    <w:rsid w:val="0093560D"/>
    <w:rsid w:val="00935686"/>
    <w:rsid w:val="009357FC"/>
    <w:rsid w:val="009362AE"/>
    <w:rsid w:val="00937771"/>
    <w:rsid w:val="00937B48"/>
    <w:rsid w:val="00941228"/>
    <w:rsid w:val="009414F0"/>
    <w:rsid w:val="009414F8"/>
    <w:rsid w:val="009419C7"/>
    <w:rsid w:val="00941EFE"/>
    <w:rsid w:val="0094293E"/>
    <w:rsid w:val="00943247"/>
    <w:rsid w:val="00943C78"/>
    <w:rsid w:val="00943D7C"/>
    <w:rsid w:val="00951CF5"/>
    <w:rsid w:val="00952F94"/>
    <w:rsid w:val="00953234"/>
    <w:rsid w:val="00953DC3"/>
    <w:rsid w:val="009541F4"/>
    <w:rsid w:val="00954C50"/>
    <w:rsid w:val="0095580D"/>
    <w:rsid w:val="00957898"/>
    <w:rsid w:val="00957B30"/>
    <w:rsid w:val="00960826"/>
    <w:rsid w:val="009616F7"/>
    <w:rsid w:val="00961D7D"/>
    <w:rsid w:val="00962B5A"/>
    <w:rsid w:val="00963047"/>
    <w:rsid w:val="00964727"/>
    <w:rsid w:val="0096492D"/>
    <w:rsid w:val="009651A0"/>
    <w:rsid w:val="00965232"/>
    <w:rsid w:val="0096672C"/>
    <w:rsid w:val="009667A1"/>
    <w:rsid w:val="00966C28"/>
    <w:rsid w:val="00967BB6"/>
    <w:rsid w:val="00970009"/>
    <w:rsid w:val="00970B5A"/>
    <w:rsid w:val="00970C4B"/>
    <w:rsid w:val="00971BD1"/>
    <w:rsid w:val="009735AD"/>
    <w:rsid w:val="0097381F"/>
    <w:rsid w:val="00973961"/>
    <w:rsid w:val="00973BD0"/>
    <w:rsid w:val="00973D13"/>
    <w:rsid w:val="00974136"/>
    <w:rsid w:val="009747FF"/>
    <w:rsid w:val="00974F35"/>
    <w:rsid w:val="0097537A"/>
    <w:rsid w:val="009762D1"/>
    <w:rsid w:val="00976BF9"/>
    <w:rsid w:val="009772CA"/>
    <w:rsid w:val="009773B6"/>
    <w:rsid w:val="00977494"/>
    <w:rsid w:val="00977920"/>
    <w:rsid w:val="00981132"/>
    <w:rsid w:val="00981E3B"/>
    <w:rsid w:val="00982016"/>
    <w:rsid w:val="00984F70"/>
    <w:rsid w:val="009854D2"/>
    <w:rsid w:val="00985882"/>
    <w:rsid w:val="009861F8"/>
    <w:rsid w:val="00986466"/>
    <w:rsid w:val="00987EA9"/>
    <w:rsid w:val="00990128"/>
    <w:rsid w:val="00990D63"/>
    <w:rsid w:val="00991414"/>
    <w:rsid w:val="00992CEF"/>
    <w:rsid w:val="00993FD1"/>
    <w:rsid w:val="009957DC"/>
    <w:rsid w:val="00996CDB"/>
    <w:rsid w:val="00997056"/>
    <w:rsid w:val="00997083"/>
    <w:rsid w:val="00997D2A"/>
    <w:rsid w:val="009A18E9"/>
    <w:rsid w:val="009A207E"/>
    <w:rsid w:val="009A2723"/>
    <w:rsid w:val="009A2C9E"/>
    <w:rsid w:val="009A2E95"/>
    <w:rsid w:val="009A361C"/>
    <w:rsid w:val="009A78A8"/>
    <w:rsid w:val="009A7E79"/>
    <w:rsid w:val="009B0400"/>
    <w:rsid w:val="009B0451"/>
    <w:rsid w:val="009B048A"/>
    <w:rsid w:val="009B0CE8"/>
    <w:rsid w:val="009B0E11"/>
    <w:rsid w:val="009B18AD"/>
    <w:rsid w:val="009B1C28"/>
    <w:rsid w:val="009B1FEF"/>
    <w:rsid w:val="009B200E"/>
    <w:rsid w:val="009B2579"/>
    <w:rsid w:val="009B3155"/>
    <w:rsid w:val="009B3997"/>
    <w:rsid w:val="009B4139"/>
    <w:rsid w:val="009B523D"/>
    <w:rsid w:val="009B571E"/>
    <w:rsid w:val="009B6258"/>
    <w:rsid w:val="009B6510"/>
    <w:rsid w:val="009B6950"/>
    <w:rsid w:val="009B6FEC"/>
    <w:rsid w:val="009B7097"/>
    <w:rsid w:val="009B72A4"/>
    <w:rsid w:val="009B7DDB"/>
    <w:rsid w:val="009C02B2"/>
    <w:rsid w:val="009C05F3"/>
    <w:rsid w:val="009C0DFA"/>
    <w:rsid w:val="009C0F60"/>
    <w:rsid w:val="009C22E8"/>
    <w:rsid w:val="009C2479"/>
    <w:rsid w:val="009C2A45"/>
    <w:rsid w:val="009C2EEA"/>
    <w:rsid w:val="009C30D9"/>
    <w:rsid w:val="009C436E"/>
    <w:rsid w:val="009C4690"/>
    <w:rsid w:val="009C4E9C"/>
    <w:rsid w:val="009C4EA4"/>
    <w:rsid w:val="009C5AED"/>
    <w:rsid w:val="009C75B3"/>
    <w:rsid w:val="009C7C6C"/>
    <w:rsid w:val="009D0054"/>
    <w:rsid w:val="009D02BF"/>
    <w:rsid w:val="009D09D0"/>
    <w:rsid w:val="009D146D"/>
    <w:rsid w:val="009D1860"/>
    <w:rsid w:val="009D2381"/>
    <w:rsid w:val="009D29AF"/>
    <w:rsid w:val="009D2FA2"/>
    <w:rsid w:val="009D31C2"/>
    <w:rsid w:val="009D4154"/>
    <w:rsid w:val="009D4651"/>
    <w:rsid w:val="009D5777"/>
    <w:rsid w:val="009D59A1"/>
    <w:rsid w:val="009D631C"/>
    <w:rsid w:val="009E019B"/>
    <w:rsid w:val="009E0B7B"/>
    <w:rsid w:val="009E0C5A"/>
    <w:rsid w:val="009E12DC"/>
    <w:rsid w:val="009E229D"/>
    <w:rsid w:val="009E270E"/>
    <w:rsid w:val="009E38C8"/>
    <w:rsid w:val="009E47D9"/>
    <w:rsid w:val="009E5E03"/>
    <w:rsid w:val="009E6A6E"/>
    <w:rsid w:val="009E7322"/>
    <w:rsid w:val="009F0B08"/>
    <w:rsid w:val="009F1393"/>
    <w:rsid w:val="009F2A85"/>
    <w:rsid w:val="009F3195"/>
    <w:rsid w:val="009F3772"/>
    <w:rsid w:val="009F555D"/>
    <w:rsid w:val="009F5E0F"/>
    <w:rsid w:val="009F6F49"/>
    <w:rsid w:val="009F76F3"/>
    <w:rsid w:val="009F7B4A"/>
    <w:rsid w:val="009F7FF8"/>
    <w:rsid w:val="009F7FFB"/>
    <w:rsid w:val="00A00569"/>
    <w:rsid w:val="00A00A1A"/>
    <w:rsid w:val="00A0142B"/>
    <w:rsid w:val="00A01712"/>
    <w:rsid w:val="00A032AA"/>
    <w:rsid w:val="00A0682C"/>
    <w:rsid w:val="00A06ECD"/>
    <w:rsid w:val="00A10576"/>
    <w:rsid w:val="00A109B5"/>
    <w:rsid w:val="00A112D9"/>
    <w:rsid w:val="00A112FD"/>
    <w:rsid w:val="00A12040"/>
    <w:rsid w:val="00A1386F"/>
    <w:rsid w:val="00A151B8"/>
    <w:rsid w:val="00A1723F"/>
    <w:rsid w:val="00A176EF"/>
    <w:rsid w:val="00A177A6"/>
    <w:rsid w:val="00A17B4C"/>
    <w:rsid w:val="00A20973"/>
    <w:rsid w:val="00A21426"/>
    <w:rsid w:val="00A21478"/>
    <w:rsid w:val="00A22F77"/>
    <w:rsid w:val="00A23435"/>
    <w:rsid w:val="00A24689"/>
    <w:rsid w:val="00A26DA6"/>
    <w:rsid w:val="00A279A6"/>
    <w:rsid w:val="00A313D0"/>
    <w:rsid w:val="00A31F32"/>
    <w:rsid w:val="00A325A1"/>
    <w:rsid w:val="00A32991"/>
    <w:rsid w:val="00A33337"/>
    <w:rsid w:val="00A33BC0"/>
    <w:rsid w:val="00A35868"/>
    <w:rsid w:val="00A35C7E"/>
    <w:rsid w:val="00A36843"/>
    <w:rsid w:val="00A37098"/>
    <w:rsid w:val="00A404AB"/>
    <w:rsid w:val="00A40B8B"/>
    <w:rsid w:val="00A41091"/>
    <w:rsid w:val="00A4157F"/>
    <w:rsid w:val="00A41789"/>
    <w:rsid w:val="00A4384D"/>
    <w:rsid w:val="00A44908"/>
    <w:rsid w:val="00A454E2"/>
    <w:rsid w:val="00A456E3"/>
    <w:rsid w:val="00A45976"/>
    <w:rsid w:val="00A45FF6"/>
    <w:rsid w:val="00A474F4"/>
    <w:rsid w:val="00A50FD6"/>
    <w:rsid w:val="00A52C91"/>
    <w:rsid w:val="00A537FA"/>
    <w:rsid w:val="00A5460A"/>
    <w:rsid w:val="00A5548D"/>
    <w:rsid w:val="00A55A40"/>
    <w:rsid w:val="00A5655F"/>
    <w:rsid w:val="00A570F7"/>
    <w:rsid w:val="00A57292"/>
    <w:rsid w:val="00A5788D"/>
    <w:rsid w:val="00A60048"/>
    <w:rsid w:val="00A621FA"/>
    <w:rsid w:val="00A636C0"/>
    <w:rsid w:val="00A64997"/>
    <w:rsid w:val="00A649D3"/>
    <w:rsid w:val="00A64D53"/>
    <w:rsid w:val="00A65CFF"/>
    <w:rsid w:val="00A66467"/>
    <w:rsid w:val="00A66DDD"/>
    <w:rsid w:val="00A67137"/>
    <w:rsid w:val="00A67227"/>
    <w:rsid w:val="00A67DC4"/>
    <w:rsid w:val="00A707D6"/>
    <w:rsid w:val="00A70EE1"/>
    <w:rsid w:val="00A74255"/>
    <w:rsid w:val="00A74B31"/>
    <w:rsid w:val="00A766CA"/>
    <w:rsid w:val="00A7696F"/>
    <w:rsid w:val="00A76C14"/>
    <w:rsid w:val="00A76F30"/>
    <w:rsid w:val="00A8043C"/>
    <w:rsid w:val="00A8345C"/>
    <w:rsid w:val="00A84009"/>
    <w:rsid w:val="00A84FD1"/>
    <w:rsid w:val="00A85C9C"/>
    <w:rsid w:val="00A85E02"/>
    <w:rsid w:val="00A86306"/>
    <w:rsid w:val="00A86847"/>
    <w:rsid w:val="00A87227"/>
    <w:rsid w:val="00A9013E"/>
    <w:rsid w:val="00A902EB"/>
    <w:rsid w:val="00A909DF"/>
    <w:rsid w:val="00A90F03"/>
    <w:rsid w:val="00A91047"/>
    <w:rsid w:val="00A92766"/>
    <w:rsid w:val="00A93460"/>
    <w:rsid w:val="00A939E8"/>
    <w:rsid w:val="00A944FE"/>
    <w:rsid w:val="00A96A16"/>
    <w:rsid w:val="00A9758A"/>
    <w:rsid w:val="00AA04E0"/>
    <w:rsid w:val="00AA06A1"/>
    <w:rsid w:val="00AA18E5"/>
    <w:rsid w:val="00AA192D"/>
    <w:rsid w:val="00AA2AD6"/>
    <w:rsid w:val="00AA2C64"/>
    <w:rsid w:val="00AA4B82"/>
    <w:rsid w:val="00AA5D69"/>
    <w:rsid w:val="00AA618D"/>
    <w:rsid w:val="00AA64B1"/>
    <w:rsid w:val="00AA6586"/>
    <w:rsid w:val="00AA74F2"/>
    <w:rsid w:val="00AB0144"/>
    <w:rsid w:val="00AB0DD1"/>
    <w:rsid w:val="00AB106F"/>
    <w:rsid w:val="00AB1118"/>
    <w:rsid w:val="00AB291D"/>
    <w:rsid w:val="00AB2D8E"/>
    <w:rsid w:val="00AB2F45"/>
    <w:rsid w:val="00AB3283"/>
    <w:rsid w:val="00AB3C21"/>
    <w:rsid w:val="00AB4231"/>
    <w:rsid w:val="00AB4C8C"/>
    <w:rsid w:val="00AB4CF2"/>
    <w:rsid w:val="00AB4F77"/>
    <w:rsid w:val="00AB5EF9"/>
    <w:rsid w:val="00AB6094"/>
    <w:rsid w:val="00AB66CF"/>
    <w:rsid w:val="00AB7225"/>
    <w:rsid w:val="00AB78F7"/>
    <w:rsid w:val="00AB7E0C"/>
    <w:rsid w:val="00AC0A67"/>
    <w:rsid w:val="00AC0C0A"/>
    <w:rsid w:val="00AC0F73"/>
    <w:rsid w:val="00AC15D4"/>
    <w:rsid w:val="00AC19AF"/>
    <w:rsid w:val="00AC19FD"/>
    <w:rsid w:val="00AC317B"/>
    <w:rsid w:val="00AC57EB"/>
    <w:rsid w:val="00AC5A19"/>
    <w:rsid w:val="00AC6C93"/>
    <w:rsid w:val="00AC6EC1"/>
    <w:rsid w:val="00AC6EE7"/>
    <w:rsid w:val="00AC6FC2"/>
    <w:rsid w:val="00AC7DAD"/>
    <w:rsid w:val="00AD05AE"/>
    <w:rsid w:val="00AD0B7E"/>
    <w:rsid w:val="00AD0E60"/>
    <w:rsid w:val="00AD1346"/>
    <w:rsid w:val="00AD1450"/>
    <w:rsid w:val="00AD19F1"/>
    <w:rsid w:val="00AD2839"/>
    <w:rsid w:val="00AD2D58"/>
    <w:rsid w:val="00AD3180"/>
    <w:rsid w:val="00AD3E28"/>
    <w:rsid w:val="00AD458D"/>
    <w:rsid w:val="00AD5527"/>
    <w:rsid w:val="00AD5EBC"/>
    <w:rsid w:val="00AD7804"/>
    <w:rsid w:val="00AE0267"/>
    <w:rsid w:val="00AE1398"/>
    <w:rsid w:val="00AE16AE"/>
    <w:rsid w:val="00AE17E1"/>
    <w:rsid w:val="00AE1E13"/>
    <w:rsid w:val="00AE22C2"/>
    <w:rsid w:val="00AE2C7F"/>
    <w:rsid w:val="00AE3D0E"/>
    <w:rsid w:val="00AE547D"/>
    <w:rsid w:val="00AE698D"/>
    <w:rsid w:val="00AF1466"/>
    <w:rsid w:val="00AF14C7"/>
    <w:rsid w:val="00AF2817"/>
    <w:rsid w:val="00AF2BE3"/>
    <w:rsid w:val="00AF3139"/>
    <w:rsid w:val="00AF33F4"/>
    <w:rsid w:val="00AF3B15"/>
    <w:rsid w:val="00AF5F25"/>
    <w:rsid w:val="00AF62F9"/>
    <w:rsid w:val="00B00348"/>
    <w:rsid w:val="00B01096"/>
    <w:rsid w:val="00B031B8"/>
    <w:rsid w:val="00B047CC"/>
    <w:rsid w:val="00B0538E"/>
    <w:rsid w:val="00B053B8"/>
    <w:rsid w:val="00B05490"/>
    <w:rsid w:val="00B07BC6"/>
    <w:rsid w:val="00B10238"/>
    <w:rsid w:val="00B102CE"/>
    <w:rsid w:val="00B11920"/>
    <w:rsid w:val="00B11959"/>
    <w:rsid w:val="00B1232C"/>
    <w:rsid w:val="00B14090"/>
    <w:rsid w:val="00B159AD"/>
    <w:rsid w:val="00B179FD"/>
    <w:rsid w:val="00B20134"/>
    <w:rsid w:val="00B21027"/>
    <w:rsid w:val="00B21517"/>
    <w:rsid w:val="00B21AA0"/>
    <w:rsid w:val="00B2395D"/>
    <w:rsid w:val="00B24C49"/>
    <w:rsid w:val="00B24C8C"/>
    <w:rsid w:val="00B254F2"/>
    <w:rsid w:val="00B302C0"/>
    <w:rsid w:val="00B3038C"/>
    <w:rsid w:val="00B304F3"/>
    <w:rsid w:val="00B311F1"/>
    <w:rsid w:val="00B3287D"/>
    <w:rsid w:val="00B32953"/>
    <w:rsid w:val="00B33653"/>
    <w:rsid w:val="00B339E6"/>
    <w:rsid w:val="00B34414"/>
    <w:rsid w:val="00B3471D"/>
    <w:rsid w:val="00B35582"/>
    <w:rsid w:val="00B35DD7"/>
    <w:rsid w:val="00B3653A"/>
    <w:rsid w:val="00B36693"/>
    <w:rsid w:val="00B369D3"/>
    <w:rsid w:val="00B37003"/>
    <w:rsid w:val="00B370A3"/>
    <w:rsid w:val="00B37692"/>
    <w:rsid w:val="00B37C34"/>
    <w:rsid w:val="00B40ABE"/>
    <w:rsid w:val="00B40EC7"/>
    <w:rsid w:val="00B43FBD"/>
    <w:rsid w:val="00B44D05"/>
    <w:rsid w:val="00B467AD"/>
    <w:rsid w:val="00B47500"/>
    <w:rsid w:val="00B47752"/>
    <w:rsid w:val="00B47C14"/>
    <w:rsid w:val="00B47D1F"/>
    <w:rsid w:val="00B503F3"/>
    <w:rsid w:val="00B50B1B"/>
    <w:rsid w:val="00B50D60"/>
    <w:rsid w:val="00B514BC"/>
    <w:rsid w:val="00B51A39"/>
    <w:rsid w:val="00B51D98"/>
    <w:rsid w:val="00B5231B"/>
    <w:rsid w:val="00B52337"/>
    <w:rsid w:val="00B52874"/>
    <w:rsid w:val="00B5306D"/>
    <w:rsid w:val="00B53A53"/>
    <w:rsid w:val="00B54548"/>
    <w:rsid w:val="00B54D87"/>
    <w:rsid w:val="00B5649F"/>
    <w:rsid w:val="00B60169"/>
    <w:rsid w:val="00B60A45"/>
    <w:rsid w:val="00B60D0E"/>
    <w:rsid w:val="00B61009"/>
    <w:rsid w:val="00B6327D"/>
    <w:rsid w:val="00B6352A"/>
    <w:rsid w:val="00B64208"/>
    <w:rsid w:val="00B64838"/>
    <w:rsid w:val="00B6520C"/>
    <w:rsid w:val="00B6774D"/>
    <w:rsid w:val="00B70274"/>
    <w:rsid w:val="00B704C9"/>
    <w:rsid w:val="00B70D1B"/>
    <w:rsid w:val="00B70E9A"/>
    <w:rsid w:val="00B71B9B"/>
    <w:rsid w:val="00B73562"/>
    <w:rsid w:val="00B753F0"/>
    <w:rsid w:val="00B76254"/>
    <w:rsid w:val="00B80219"/>
    <w:rsid w:val="00B80760"/>
    <w:rsid w:val="00B80B5C"/>
    <w:rsid w:val="00B81C11"/>
    <w:rsid w:val="00B81C9E"/>
    <w:rsid w:val="00B81D90"/>
    <w:rsid w:val="00B82112"/>
    <w:rsid w:val="00B8282C"/>
    <w:rsid w:val="00B83C3F"/>
    <w:rsid w:val="00B83DBF"/>
    <w:rsid w:val="00B84E20"/>
    <w:rsid w:val="00B85093"/>
    <w:rsid w:val="00B85984"/>
    <w:rsid w:val="00B8633C"/>
    <w:rsid w:val="00B86916"/>
    <w:rsid w:val="00B90BD2"/>
    <w:rsid w:val="00B90F6B"/>
    <w:rsid w:val="00B92004"/>
    <w:rsid w:val="00B923EF"/>
    <w:rsid w:val="00B9245E"/>
    <w:rsid w:val="00B929BD"/>
    <w:rsid w:val="00B92E25"/>
    <w:rsid w:val="00B9321F"/>
    <w:rsid w:val="00B93850"/>
    <w:rsid w:val="00B940C7"/>
    <w:rsid w:val="00B9415B"/>
    <w:rsid w:val="00B95118"/>
    <w:rsid w:val="00B954E4"/>
    <w:rsid w:val="00B95B0A"/>
    <w:rsid w:val="00B95D4D"/>
    <w:rsid w:val="00B971AA"/>
    <w:rsid w:val="00B97F58"/>
    <w:rsid w:val="00BA13AB"/>
    <w:rsid w:val="00BA241C"/>
    <w:rsid w:val="00BA248B"/>
    <w:rsid w:val="00BA2490"/>
    <w:rsid w:val="00BA2725"/>
    <w:rsid w:val="00BA2B9E"/>
    <w:rsid w:val="00BA31C3"/>
    <w:rsid w:val="00BA3F7C"/>
    <w:rsid w:val="00BA414C"/>
    <w:rsid w:val="00BA4544"/>
    <w:rsid w:val="00BA46B4"/>
    <w:rsid w:val="00BA4B99"/>
    <w:rsid w:val="00BA4DD8"/>
    <w:rsid w:val="00BA6242"/>
    <w:rsid w:val="00BA6FF7"/>
    <w:rsid w:val="00BA7E51"/>
    <w:rsid w:val="00BB0E1D"/>
    <w:rsid w:val="00BB1224"/>
    <w:rsid w:val="00BB173F"/>
    <w:rsid w:val="00BB284A"/>
    <w:rsid w:val="00BB28B7"/>
    <w:rsid w:val="00BB37D7"/>
    <w:rsid w:val="00BB49BB"/>
    <w:rsid w:val="00BB54B6"/>
    <w:rsid w:val="00BB699B"/>
    <w:rsid w:val="00BB7621"/>
    <w:rsid w:val="00BC00D0"/>
    <w:rsid w:val="00BC0571"/>
    <w:rsid w:val="00BC1BB9"/>
    <w:rsid w:val="00BC29E5"/>
    <w:rsid w:val="00BC35DD"/>
    <w:rsid w:val="00BC47A0"/>
    <w:rsid w:val="00BC4A60"/>
    <w:rsid w:val="00BC69C1"/>
    <w:rsid w:val="00BC71C3"/>
    <w:rsid w:val="00BC7BD2"/>
    <w:rsid w:val="00BC7E76"/>
    <w:rsid w:val="00BD00CF"/>
    <w:rsid w:val="00BD1059"/>
    <w:rsid w:val="00BD1429"/>
    <w:rsid w:val="00BD1AFE"/>
    <w:rsid w:val="00BD29F7"/>
    <w:rsid w:val="00BD2F59"/>
    <w:rsid w:val="00BD3120"/>
    <w:rsid w:val="00BD387F"/>
    <w:rsid w:val="00BD3A6F"/>
    <w:rsid w:val="00BD3C16"/>
    <w:rsid w:val="00BD3CD5"/>
    <w:rsid w:val="00BD3FC0"/>
    <w:rsid w:val="00BD5BDB"/>
    <w:rsid w:val="00BD5E23"/>
    <w:rsid w:val="00BD6C9B"/>
    <w:rsid w:val="00BD70E5"/>
    <w:rsid w:val="00BD78E3"/>
    <w:rsid w:val="00BD7C95"/>
    <w:rsid w:val="00BE186B"/>
    <w:rsid w:val="00BE1D7F"/>
    <w:rsid w:val="00BE1E1A"/>
    <w:rsid w:val="00BE1F9C"/>
    <w:rsid w:val="00BE1FD4"/>
    <w:rsid w:val="00BE2100"/>
    <w:rsid w:val="00BE2BB0"/>
    <w:rsid w:val="00BE2DC4"/>
    <w:rsid w:val="00BE3284"/>
    <w:rsid w:val="00BE3A32"/>
    <w:rsid w:val="00BE40B8"/>
    <w:rsid w:val="00BE424B"/>
    <w:rsid w:val="00BE4802"/>
    <w:rsid w:val="00BE48B2"/>
    <w:rsid w:val="00BE5173"/>
    <w:rsid w:val="00BE5526"/>
    <w:rsid w:val="00BE563D"/>
    <w:rsid w:val="00BE5713"/>
    <w:rsid w:val="00BE6BB3"/>
    <w:rsid w:val="00BE6C7F"/>
    <w:rsid w:val="00BF0A6F"/>
    <w:rsid w:val="00BF33AF"/>
    <w:rsid w:val="00BF3FDE"/>
    <w:rsid w:val="00BF4488"/>
    <w:rsid w:val="00BF5252"/>
    <w:rsid w:val="00BF5A8C"/>
    <w:rsid w:val="00BF67BC"/>
    <w:rsid w:val="00BF6B5B"/>
    <w:rsid w:val="00C005A3"/>
    <w:rsid w:val="00C01294"/>
    <w:rsid w:val="00C01E2C"/>
    <w:rsid w:val="00C029B2"/>
    <w:rsid w:val="00C02DC8"/>
    <w:rsid w:val="00C039AF"/>
    <w:rsid w:val="00C03FF4"/>
    <w:rsid w:val="00C04956"/>
    <w:rsid w:val="00C05EB4"/>
    <w:rsid w:val="00C06776"/>
    <w:rsid w:val="00C07999"/>
    <w:rsid w:val="00C100B5"/>
    <w:rsid w:val="00C1022F"/>
    <w:rsid w:val="00C102A9"/>
    <w:rsid w:val="00C1063E"/>
    <w:rsid w:val="00C1151F"/>
    <w:rsid w:val="00C11C1E"/>
    <w:rsid w:val="00C12919"/>
    <w:rsid w:val="00C13DD4"/>
    <w:rsid w:val="00C1480F"/>
    <w:rsid w:val="00C1554C"/>
    <w:rsid w:val="00C160B3"/>
    <w:rsid w:val="00C1781B"/>
    <w:rsid w:val="00C17FAC"/>
    <w:rsid w:val="00C2075A"/>
    <w:rsid w:val="00C20D39"/>
    <w:rsid w:val="00C22205"/>
    <w:rsid w:val="00C22942"/>
    <w:rsid w:val="00C22F65"/>
    <w:rsid w:val="00C23968"/>
    <w:rsid w:val="00C23C70"/>
    <w:rsid w:val="00C249E0"/>
    <w:rsid w:val="00C2585E"/>
    <w:rsid w:val="00C26044"/>
    <w:rsid w:val="00C27022"/>
    <w:rsid w:val="00C2754B"/>
    <w:rsid w:val="00C27E0C"/>
    <w:rsid w:val="00C30950"/>
    <w:rsid w:val="00C31E4D"/>
    <w:rsid w:val="00C32485"/>
    <w:rsid w:val="00C329B2"/>
    <w:rsid w:val="00C34EF6"/>
    <w:rsid w:val="00C350CC"/>
    <w:rsid w:val="00C3546A"/>
    <w:rsid w:val="00C359A2"/>
    <w:rsid w:val="00C37A24"/>
    <w:rsid w:val="00C40387"/>
    <w:rsid w:val="00C4093A"/>
    <w:rsid w:val="00C41DE1"/>
    <w:rsid w:val="00C42504"/>
    <w:rsid w:val="00C43D34"/>
    <w:rsid w:val="00C44C2C"/>
    <w:rsid w:val="00C44CD6"/>
    <w:rsid w:val="00C44FAC"/>
    <w:rsid w:val="00C453B2"/>
    <w:rsid w:val="00C45F08"/>
    <w:rsid w:val="00C45F3E"/>
    <w:rsid w:val="00C46989"/>
    <w:rsid w:val="00C46C2A"/>
    <w:rsid w:val="00C50246"/>
    <w:rsid w:val="00C502BB"/>
    <w:rsid w:val="00C518F0"/>
    <w:rsid w:val="00C51B32"/>
    <w:rsid w:val="00C52EF8"/>
    <w:rsid w:val="00C537D7"/>
    <w:rsid w:val="00C53D33"/>
    <w:rsid w:val="00C5414F"/>
    <w:rsid w:val="00C5567F"/>
    <w:rsid w:val="00C56E63"/>
    <w:rsid w:val="00C570E6"/>
    <w:rsid w:val="00C57DFE"/>
    <w:rsid w:val="00C606DD"/>
    <w:rsid w:val="00C60ECF"/>
    <w:rsid w:val="00C6142D"/>
    <w:rsid w:val="00C62305"/>
    <w:rsid w:val="00C626FD"/>
    <w:rsid w:val="00C62FBF"/>
    <w:rsid w:val="00C633F5"/>
    <w:rsid w:val="00C6422F"/>
    <w:rsid w:val="00C6587A"/>
    <w:rsid w:val="00C658CF"/>
    <w:rsid w:val="00C65D6D"/>
    <w:rsid w:val="00C6620F"/>
    <w:rsid w:val="00C66634"/>
    <w:rsid w:val="00C66831"/>
    <w:rsid w:val="00C700F8"/>
    <w:rsid w:val="00C70C8A"/>
    <w:rsid w:val="00C71AEF"/>
    <w:rsid w:val="00C71E5F"/>
    <w:rsid w:val="00C724F7"/>
    <w:rsid w:val="00C72853"/>
    <w:rsid w:val="00C75DF4"/>
    <w:rsid w:val="00C75F6C"/>
    <w:rsid w:val="00C76D8D"/>
    <w:rsid w:val="00C80494"/>
    <w:rsid w:val="00C808D8"/>
    <w:rsid w:val="00C80A5F"/>
    <w:rsid w:val="00C81705"/>
    <w:rsid w:val="00C82498"/>
    <w:rsid w:val="00C82649"/>
    <w:rsid w:val="00C84718"/>
    <w:rsid w:val="00C84AD9"/>
    <w:rsid w:val="00C8520E"/>
    <w:rsid w:val="00C87299"/>
    <w:rsid w:val="00C876C4"/>
    <w:rsid w:val="00C9012F"/>
    <w:rsid w:val="00C9073F"/>
    <w:rsid w:val="00C92F8C"/>
    <w:rsid w:val="00C939D7"/>
    <w:rsid w:val="00C941AC"/>
    <w:rsid w:val="00C94647"/>
    <w:rsid w:val="00C96190"/>
    <w:rsid w:val="00C96F5C"/>
    <w:rsid w:val="00C96FEE"/>
    <w:rsid w:val="00C9767D"/>
    <w:rsid w:val="00C97731"/>
    <w:rsid w:val="00CA0924"/>
    <w:rsid w:val="00CA25F3"/>
    <w:rsid w:val="00CA3257"/>
    <w:rsid w:val="00CA4303"/>
    <w:rsid w:val="00CA45FD"/>
    <w:rsid w:val="00CA5902"/>
    <w:rsid w:val="00CA615F"/>
    <w:rsid w:val="00CA6B3E"/>
    <w:rsid w:val="00CA7064"/>
    <w:rsid w:val="00CB05D9"/>
    <w:rsid w:val="00CB06B4"/>
    <w:rsid w:val="00CB14D7"/>
    <w:rsid w:val="00CB2618"/>
    <w:rsid w:val="00CB5DF2"/>
    <w:rsid w:val="00CB624C"/>
    <w:rsid w:val="00CB7185"/>
    <w:rsid w:val="00CC0BBA"/>
    <w:rsid w:val="00CC16EB"/>
    <w:rsid w:val="00CC21FC"/>
    <w:rsid w:val="00CC2327"/>
    <w:rsid w:val="00CC2708"/>
    <w:rsid w:val="00CC2E4F"/>
    <w:rsid w:val="00CC41D5"/>
    <w:rsid w:val="00CC5553"/>
    <w:rsid w:val="00CC7C7E"/>
    <w:rsid w:val="00CD1090"/>
    <w:rsid w:val="00CD235D"/>
    <w:rsid w:val="00CD3CCB"/>
    <w:rsid w:val="00CD4809"/>
    <w:rsid w:val="00CD4B4E"/>
    <w:rsid w:val="00CD5213"/>
    <w:rsid w:val="00CD5265"/>
    <w:rsid w:val="00CD5AF4"/>
    <w:rsid w:val="00CD6086"/>
    <w:rsid w:val="00CD6762"/>
    <w:rsid w:val="00CD6874"/>
    <w:rsid w:val="00CD76E9"/>
    <w:rsid w:val="00CD7A62"/>
    <w:rsid w:val="00CD7D8F"/>
    <w:rsid w:val="00CE050E"/>
    <w:rsid w:val="00CE0CC1"/>
    <w:rsid w:val="00CE10C6"/>
    <w:rsid w:val="00CE10D8"/>
    <w:rsid w:val="00CE1147"/>
    <w:rsid w:val="00CE197C"/>
    <w:rsid w:val="00CE2478"/>
    <w:rsid w:val="00CE32D8"/>
    <w:rsid w:val="00CE3ED5"/>
    <w:rsid w:val="00CE42AE"/>
    <w:rsid w:val="00CE49F5"/>
    <w:rsid w:val="00CE4B46"/>
    <w:rsid w:val="00CE58A2"/>
    <w:rsid w:val="00CE5D87"/>
    <w:rsid w:val="00CE607C"/>
    <w:rsid w:val="00CE66EC"/>
    <w:rsid w:val="00CE7823"/>
    <w:rsid w:val="00CE7AC0"/>
    <w:rsid w:val="00CE7F10"/>
    <w:rsid w:val="00CF032A"/>
    <w:rsid w:val="00CF0715"/>
    <w:rsid w:val="00CF1380"/>
    <w:rsid w:val="00CF1990"/>
    <w:rsid w:val="00CF2273"/>
    <w:rsid w:val="00CF2A3E"/>
    <w:rsid w:val="00CF2E19"/>
    <w:rsid w:val="00CF3307"/>
    <w:rsid w:val="00CF471D"/>
    <w:rsid w:val="00CF5382"/>
    <w:rsid w:val="00CF5621"/>
    <w:rsid w:val="00CF5F6C"/>
    <w:rsid w:val="00CF79D6"/>
    <w:rsid w:val="00D01906"/>
    <w:rsid w:val="00D025FF"/>
    <w:rsid w:val="00D03BB2"/>
    <w:rsid w:val="00D04BB0"/>
    <w:rsid w:val="00D05484"/>
    <w:rsid w:val="00D057C0"/>
    <w:rsid w:val="00D05D7D"/>
    <w:rsid w:val="00D05E65"/>
    <w:rsid w:val="00D07BA8"/>
    <w:rsid w:val="00D10049"/>
    <w:rsid w:val="00D101AD"/>
    <w:rsid w:val="00D10214"/>
    <w:rsid w:val="00D111CA"/>
    <w:rsid w:val="00D11573"/>
    <w:rsid w:val="00D1180A"/>
    <w:rsid w:val="00D120E9"/>
    <w:rsid w:val="00D1222A"/>
    <w:rsid w:val="00D1282E"/>
    <w:rsid w:val="00D137E4"/>
    <w:rsid w:val="00D137FA"/>
    <w:rsid w:val="00D14291"/>
    <w:rsid w:val="00D15469"/>
    <w:rsid w:val="00D156CC"/>
    <w:rsid w:val="00D15798"/>
    <w:rsid w:val="00D162E8"/>
    <w:rsid w:val="00D166C4"/>
    <w:rsid w:val="00D17972"/>
    <w:rsid w:val="00D20F0C"/>
    <w:rsid w:val="00D212A1"/>
    <w:rsid w:val="00D2163B"/>
    <w:rsid w:val="00D21927"/>
    <w:rsid w:val="00D2234C"/>
    <w:rsid w:val="00D225E6"/>
    <w:rsid w:val="00D234F4"/>
    <w:rsid w:val="00D23FDB"/>
    <w:rsid w:val="00D2477A"/>
    <w:rsid w:val="00D26138"/>
    <w:rsid w:val="00D262BE"/>
    <w:rsid w:val="00D2682B"/>
    <w:rsid w:val="00D27A31"/>
    <w:rsid w:val="00D309FD"/>
    <w:rsid w:val="00D30B4E"/>
    <w:rsid w:val="00D318F7"/>
    <w:rsid w:val="00D3214C"/>
    <w:rsid w:val="00D32C7C"/>
    <w:rsid w:val="00D3363B"/>
    <w:rsid w:val="00D3466C"/>
    <w:rsid w:val="00D34725"/>
    <w:rsid w:val="00D34B13"/>
    <w:rsid w:val="00D35C8A"/>
    <w:rsid w:val="00D35D8F"/>
    <w:rsid w:val="00D378C6"/>
    <w:rsid w:val="00D40D48"/>
    <w:rsid w:val="00D43416"/>
    <w:rsid w:val="00D43931"/>
    <w:rsid w:val="00D43C18"/>
    <w:rsid w:val="00D44060"/>
    <w:rsid w:val="00D44722"/>
    <w:rsid w:val="00D45007"/>
    <w:rsid w:val="00D452D8"/>
    <w:rsid w:val="00D45F36"/>
    <w:rsid w:val="00D470D4"/>
    <w:rsid w:val="00D47F2C"/>
    <w:rsid w:val="00D50634"/>
    <w:rsid w:val="00D516FA"/>
    <w:rsid w:val="00D5178B"/>
    <w:rsid w:val="00D52EC4"/>
    <w:rsid w:val="00D53290"/>
    <w:rsid w:val="00D533E0"/>
    <w:rsid w:val="00D5365F"/>
    <w:rsid w:val="00D5402E"/>
    <w:rsid w:val="00D5498C"/>
    <w:rsid w:val="00D54B1E"/>
    <w:rsid w:val="00D55E76"/>
    <w:rsid w:val="00D57039"/>
    <w:rsid w:val="00D60C89"/>
    <w:rsid w:val="00D6343A"/>
    <w:rsid w:val="00D63B9E"/>
    <w:rsid w:val="00D64317"/>
    <w:rsid w:val="00D65820"/>
    <w:rsid w:val="00D65DD5"/>
    <w:rsid w:val="00D662D7"/>
    <w:rsid w:val="00D663FB"/>
    <w:rsid w:val="00D66A9D"/>
    <w:rsid w:val="00D67512"/>
    <w:rsid w:val="00D67FE8"/>
    <w:rsid w:val="00D70000"/>
    <w:rsid w:val="00D70A91"/>
    <w:rsid w:val="00D7112D"/>
    <w:rsid w:val="00D72A1E"/>
    <w:rsid w:val="00D7363D"/>
    <w:rsid w:val="00D74B89"/>
    <w:rsid w:val="00D7502D"/>
    <w:rsid w:val="00D763A0"/>
    <w:rsid w:val="00D76E65"/>
    <w:rsid w:val="00D772CA"/>
    <w:rsid w:val="00D77B8F"/>
    <w:rsid w:val="00D77FC6"/>
    <w:rsid w:val="00D809F9"/>
    <w:rsid w:val="00D80B37"/>
    <w:rsid w:val="00D80F3F"/>
    <w:rsid w:val="00D81BA4"/>
    <w:rsid w:val="00D82621"/>
    <w:rsid w:val="00D83755"/>
    <w:rsid w:val="00D83A92"/>
    <w:rsid w:val="00D85906"/>
    <w:rsid w:val="00D86573"/>
    <w:rsid w:val="00D865F9"/>
    <w:rsid w:val="00D90075"/>
    <w:rsid w:val="00D93236"/>
    <w:rsid w:val="00D936DA"/>
    <w:rsid w:val="00D945CA"/>
    <w:rsid w:val="00D94A62"/>
    <w:rsid w:val="00D94DD2"/>
    <w:rsid w:val="00D956C1"/>
    <w:rsid w:val="00D9594A"/>
    <w:rsid w:val="00D95DC3"/>
    <w:rsid w:val="00D96703"/>
    <w:rsid w:val="00D968CE"/>
    <w:rsid w:val="00DA24E5"/>
    <w:rsid w:val="00DA298E"/>
    <w:rsid w:val="00DA345A"/>
    <w:rsid w:val="00DA368F"/>
    <w:rsid w:val="00DA4D60"/>
    <w:rsid w:val="00DA55CE"/>
    <w:rsid w:val="00DA5CFD"/>
    <w:rsid w:val="00DA5FB8"/>
    <w:rsid w:val="00DA7776"/>
    <w:rsid w:val="00DB05CF"/>
    <w:rsid w:val="00DB0E39"/>
    <w:rsid w:val="00DB11E6"/>
    <w:rsid w:val="00DB1420"/>
    <w:rsid w:val="00DB1546"/>
    <w:rsid w:val="00DB1A95"/>
    <w:rsid w:val="00DB23B7"/>
    <w:rsid w:val="00DB2BDA"/>
    <w:rsid w:val="00DB48AF"/>
    <w:rsid w:val="00DB5328"/>
    <w:rsid w:val="00DB5E63"/>
    <w:rsid w:val="00DB6415"/>
    <w:rsid w:val="00DB654B"/>
    <w:rsid w:val="00DB7ABA"/>
    <w:rsid w:val="00DC09FF"/>
    <w:rsid w:val="00DC0BDF"/>
    <w:rsid w:val="00DC0FBA"/>
    <w:rsid w:val="00DC1349"/>
    <w:rsid w:val="00DC1D48"/>
    <w:rsid w:val="00DC22A8"/>
    <w:rsid w:val="00DC3B91"/>
    <w:rsid w:val="00DC5C77"/>
    <w:rsid w:val="00DC6B9C"/>
    <w:rsid w:val="00DC6CC3"/>
    <w:rsid w:val="00DC6FE3"/>
    <w:rsid w:val="00DC7906"/>
    <w:rsid w:val="00DD13E9"/>
    <w:rsid w:val="00DD275E"/>
    <w:rsid w:val="00DD3F11"/>
    <w:rsid w:val="00DD3F29"/>
    <w:rsid w:val="00DD4546"/>
    <w:rsid w:val="00DD498B"/>
    <w:rsid w:val="00DD4A94"/>
    <w:rsid w:val="00DD4EF1"/>
    <w:rsid w:val="00DD67D7"/>
    <w:rsid w:val="00DD71C1"/>
    <w:rsid w:val="00DD7667"/>
    <w:rsid w:val="00DE01A8"/>
    <w:rsid w:val="00DE0A75"/>
    <w:rsid w:val="00DE1ED3"/>
    <w:rsid w:val="00DE2A22"/>
    <w:rsid w:val="00DE2BC8"/>
    <w:rsid w:val="00DE2EA7"/>
    <w:rsid w:val="00DE3B49"/>
    <w:rsid w:val="00DE4F37"/>
    <w:rsid w:val="00DE6003"/>
    <w:rsid w:val="00DE6714"/>
    <w:rsid w:val="00DE6F3B"/>
    <w:rsid w:val="00DE7341"/>
    <w:rsid w:val="00DE76A4"/>
    <w:rsid w:val="00DE7E6E"/>
    <w:rsid w:val="00DF002E"/>
    <w:rsid w:val="00DF005E"/>
    <w:rsid w:val="00DF0C41"/>
    <w:rsid w:val="00DF1938"/>
    <w:rsid w:val="00DF1C2C"/>
    <w:rsid w:val="00DF225F"/>
    <w:rsid w:val="00DF243D"/>
    <w:rsid w:val="00DF3B4A"/>
    <w:rsid w:val="00DF3CB6"/>
    <w:rsid w:val="00DF40C9"/>
    <w:rsid w:val="00DF4524"/>
    <w:rsid w:val="00DF4D25"/>
    <w:rsid w:val="00DF4F03"/>
    <w:rsid w:val="00DF4FF3"/>
    <w:rsid w:val="00DF5389"/>
    <w:rsid w:val="00DF57BE"/>
    <w:rsid w:val="00DF6CAE"/>
    <w:rsid w:val="00DF7262"/>
    <w:rsid w:val="00E00586"/>
    <w:rsid w:val="00E00E8C"/>
    <w:rsid w:val="00E0117F"/>
    <w:rsid w:val="00E02167"/>
    <w:rsid w:val="00E02618"/>
    <w:rsid w:val="00E03254"/>
    <w:rsid w:val="00E03ADC"/>
    <w:rsid w:val="00E06E2E"/>
    <w:rsid w:val="00E06EA1"/>
    <w:rsid w:val="00E07A6A"/>
    <w:rsid w:val="00E07E50"/>
    <w:rsid w:val="00E07EFD"/>
    <w:rsid w:val="00E113D7"/>
    <w:rsid w:val="00E11C17"/>
    <w:rsid w:val="00E1270D"/>
    <w:rsid w:val="00E1311C"/>
    <w:rsid w:val="00E13397"/>
    <w:rsid w:val="00E13416"/>
    <w:rsid w:val="00E15ABE"/>
    <w:rsid w:val="00E15C45"/>
    <w:rsid w:val="00E163D6"/>
    <w:rsid w:val="00E166CC"/>
    <w:rsid w:val="00E16927"/>
    <w:rsid w:val="00E174B6"/>
    <w:rsid w:val="00E21935"/>
    <w:rsid w:val="00E22F9A"/>
    <w:rsid w:val="00E2344F"/>
    <w:rsid w:val="00E2546C"/>
    <w:rsid w:val="00E2560B"/>
    <w:rsid w:val="00E2569C"/>
    <w:rsid w:val="00E259CA"/>
    <w:rsid w:val="00E25C50"/>
    <w:rsid w:val="00E270A6"/>
    <w:rsid w:val="00E27136"/>
    <w:rsid w:val="00E27162"/>
    <w:rsid w:val="00E274CD"/>
    <w:rsid w:val="00E30B9E"/>
    <w:rsid w:val="00E3257A"/>
    <w:rsid w:val="00E326BC"/>
    <w:rsid w:val="00E32751"/>
    <w:rsid w:val="00E32A3F"/>
    <w:rsid w:val="00E330F3"/>
    <w:rsid w:val="00E33242"/>
    <w:rsid w:val="00E33469"/>
    <w:rsid w:val="00E338AC"/>
    <w:rsid w:val="00E33C9F"/>
    <w:rsid w:val="00E345C7"/>
    <w:rsid w:val="00E35498"/>
    <w:rsid w:val="00E35759"/>
    <w:rsid w:val="00E35E71"/>
    <w:rsid w:val="00E35EC2"/>
    <w:rsid w:val="00E37809"/>
    <w:rsid w:val="00E40C41"/>
    <w:rsid w:val="00E40DA5"/>
    <w:rsid w:val="00E4137E"/>
    <w:rsid w:val="00E41790"/>
    <w:rsid w:val="00E437ED"/>
    <w:rsid w:val="00E43F1E"/>
    <w:rsid w:val="00E4488C"/>
    <w:rsid w:val="00E448DE"/>
    <w:rsid w:val="00E44ADB"/>
    <w:rsid w:val="00E44C5F"/>
    <w:rsid w:val="00E450EB"/>
    <w:rsid w:val="00E46E06"/>
    <w:rsid w:val="00E47C8D"/>
    <w:rsid w:val="00E50980"/>
    <w:rsid w:val="00E5140F"/>
    <w:rsid w:val="00E52B64"/>
    <w:rsid w:val="00E540AF"/>
    <w:rsid w:val="00E54B3B"/>
    <w:rsid w:val="00E54BF4"/>
    <w:rsid w:val="00E54F15"/>
    <w:rsid w:val="00E54FB6"/>
    <w:rsid w:val="00E572F9"/>
    <w:rsid w:val="00E61EC9"/>
    <w:rsid w:val="00E62B90"/>
    <w:rsid w:val="00E63408"/>
    <w:rsid w:val="00E638EE"/>
    <w:rsid w:val="00E63946"/>
    <w:rsid w:val="00E63CF2"/>
    <w:rsid w:val="00E65E56"/>
    <w:rsid w:val="00E66E08"/>
    <w:rsid w:val="00E6769E"/>
    <w:rsid w:val="00E70951"/>
    <w:rsid w:val="00E731BA"/>
    <w:rsid w:val="00E742BA"/>
    <w:rsid w:val="00E75447"/>
    <w:rsid w:val="00E75746"/>
    <w:rsid w:val="00E75D8A"/>
    <w:rsid w:val="00E76140"/>
    <w:rsid w:val="00E76471"/>
    <w:rsid w:val="00E76642"/>
    <w:rsid w:val="00E7672D"/>
    <w:rsid w:val="00E77532"/>
    <w:rsid w:val="00E7779C"/>
    <w:rsid w:val="00E77A42"/>
    <w:rsid w:val="00E77B16"/>
    <w:rsid w:val="00E80227"/>
    <w:rsid w:val="00E8082B"/>
    <w:rsid w:val="00E80957"/>
    <w:rsid w:val="00E80BFB"/>
    <w:rsid w:val="00E80F7F"/>
    <w:rsid w:val="00E81108"/>
    <w:rsid w:val="00E8142C"/>
    <w:rsid w:val="00E816EE"/>
    <w:rsid w:val="00E82826"/>
    <w:rsid w:val="00E8328B"/>
    <w:rsid w:val="00E83304"/>
    <w:rsid w:val="00E85552"/>
    <w:rsid w:val="00E865E7"/>
    <w:rsid w:val="00E875E5"/>
    <w:rsid w:val="00E8779E"/>
    <w:rsid w:val="00E87D8D"/>
    <w:rsid w:val="00E9035D"/>
    <w:rsid w:val="00E9100D"/>
    <w:rsid w:val="00E91146"/>
    <w:rsid w:val="00E91BFB"/>
    <w:rsid w:val="00E9204E"/>
    <w:rsid w:val="00E92832"/>
    <w:rsid w:val="00E9351C"/>
    <w:rsid w:val="00E93857"/>
    <w:rsid w:val="00E93A7D"/>
    <w:rsid w:val="00E93A87"/>
    <w:rsid w:val="00E93C71"/>
    <w:rsid w:val="00E9546D"/>
    <w:rsid w:val="00E9746F"/>
    <w:rsid w:val="00E97F95"/>
    <w:rsid w:val="00EA19A8"/>
    <w:rsid w:val="00EA1EEA"/>
    <w:rsid w:val="00EA24E1"/>
    <w:rsid w:val="00EA32DE"/>
    <w:rsid w:val="00EA3990"/>
    <w:rsid w:val="00EA5755"/>
    <w:rsid w:val="00EA7449"/>
    <w:rsid w:val="00EA7DDD"/>
    <w:rsid w:val="00EB03F4"/>
    <w:rsid w:val="00EB1671"/>
    <w:rsid w:val="00EB2081"/>
    <w:rsid w:val="00EB3415"/>
    <w:rsid w:val="00EB3A09"/>
    <w:rsid w:val="00EB4A48"/>
    <w:rsid w:val="00EB4EDF"/>
    <w:rsid w:val="00EB4F4A"/>
    <w:rsid w:val="00EB51A1"/>
    <w:rsid w:val="00EB51FF"/>
    <w:rsid w:val="00EB566E"/>
    <w:rsid w:val="00EB6C81"/>
    <w:rsid w:val="00EB70D2"/>
    <w:rsid w:val="00EB7668"/>
    <w:rsid w:val="00EC0F36"/>
    <w:rsid w:val="00EC0F74"/>
    <w:rsid w:val="00EC1A19"/>
    <w:rsid w:val="00EC1D53"/>
    <w:rsid w:val="00EC2751"/>
    <w:rsid w:val="00EC279E"/>
    <w:rsid w:val="00EC36C1"/>
    <w:rsid w:val="00EC3D47"/>
    <w:rsid w:val="00EC5AB6"/>
    <w:rsid w:val="00EC5FE5"/>
    <w:rsid w:val="00EC640E"/>
    <w:rsid w:val="00EC7343"/>
    <w:rsid w:val="00ED26E9"/>
    <w:rsid w:val="00ED3122"/>
    <w:rsid w:val="00ED5278"/>
    <w:rsid w:val="00ED7DC7"/>
    <w:rsid w:val="00EE0591"/>
    <w:rsid w:val="00EE1A4F"/>
    <w:rsid w:val="00EE3193"/>
    <w:rsid w:val="00EE5EDB"/>
    <w:rsid w:val="00EE6701"/>
    <w:rsid w:val="00EE6DAA"/>
    <w:rsid w:val="00EE6DDF"/>
    <w:rsid w:val="00EE6F32"/>
    <w:rsid w:val="00EE75CB"/>
    <w:rsid w:val="00EE7837"/>
    <w:rsid w:val="00EE78BD"/>
    <w:rsid w:val="00EF04EA"/>
    <w:rsid w:val="00EF1072"/>
    <w:rsid w:val="00EF23BC"/>
    <w:rsid w:val="00EF2506"/>
    <w:rsid w:val="00EF2C37"/>
    <w:rsid w:val="00EF3C08"/>
    <w:rsid w:val="00EF3E8D"/>
    <w:rsid w:val="00EF4EAF"/>
    <w:rsid w:val="00EF66C5"/>
    <w:rsid w:val="00EF6FB1"/>
    <w:rsid w:val="00F00249"/>
    <w:rsid w:val="00F0084F"/>
    <w:rsid w:val="00F01636"/>
    <w:rsid w:val="00F0182D"/>
    <w:rsid w:val="00F01969"/>
    <w:rsid w:val="00F03501"/>
    <w:rsid w:val="00F036E4"/>
    <w:rsid w:val="00F03BDE"/>
    <w:rsid w:val="00F03F97"/>
    <w:rsid w:val="00F045AF"/>
    <w:rsid w:val="00F04962"/>
    <w:rsid w:val="00F109A2"/>
    <w:rsid w:val="00F1198C"/>
    <w:rsid w:val="00F12580"/>
    <w:rsid w:val="00F12960"/>
    <w:rsid w:val="00F12979"/>
    <w:rsid w:val="00F135FC"/>
    <w:rsid w:val="00F14246"/>
    <w:rsid w:val="00F1489F"/>
    <w:rsid w:val="00F14E26"/>
    <w:rsid w:val="00F1505A"/>
    <w:rsid w:val="00F15C66"/>
    <w:rsid w:val="00F15E3A"/>
    <w:rsid w:val="00F1713A"/>
    <w:rsid w:val="00F209FF"/>
    <w:rsid w:val="00F2196D"/>
    <w:rsid w:val="00F236C7"/>
    <w:rsid w:val="00F2405B"/>
    <w:rsid w:val="00F24AC3"/>
    <w:rsid w:val="00F24E3A"/>
    <w:rsid w:val="00F254D2"/>
    <w:rsid w:val="00F25655"/>
    <w:rsid w:val="00F260E8"/>
    <w:rsid w:val="00F265CB"/>
    <w:rsid w:val="00F275AD"/>
    <w:rsid w:val="00F279C0"/>
    <w:rsid w:val="00F30743"/>
    <w:rsid w:val="00F31C51"/>
    <w:rsid w:val="00F3317E"/>
    <w:rsid w:val="00F332D6"/>
    <w:rsid w:val="00F34B1E"/>
    <w:rsid w:val="00F34B4A"/>
    <w:rsid w:val="00F3607B"/>
    <w:rsid w:val="00F366BA"/>
    <w:rsid w:val="00F36FC7"/>
    <w:rsid w:val="00F37172"/>
    <w:rsid w:val="00F37AA2"/>
    <w:rsid w:val="00F37AC1"/>
    <w:rsid w:val="00F40FEE"/>
    <w:rsid w:val="00F41425"/>
    <w:rsid w:val="00F42F5E"/>
    <w:rsid w:val="00F43A26"/>
    <w:rsid w:val="00F43DDD"/>
    <w:rsid w:val="00F44654"/>
    <w:rsid w:val="00F44F74"/>
    <w:rsid w:val="00F45A0D"/>
    <w:rsid w:val="00F46AB1"/>
    <w:rsid w:val="00F52E5D"/>
    <w:rsid w:val="00F53623"/>
    <w:rsid w:val="00F549A9"/>
    <w:rsid w:val="00F54AF1"/>
    <w:rsid w:val="00F55A15"/>
    <w:rsid w:val="00F562ED"/>
    <w:rsid w:val="00F6055C"/>
    <w:rsid w:val="00F6066F"/>
    <w:rsid w:val="00F62BCD"/>
    <w:rsid w:val="00F63AD3"/>
    <w:rsid w:val="00F640A3"/>
    <w:rsid w:val="00F65E98"/>
    <w:rsid w:val="00F65F81"/>
    <w:rsid w:val="00F67BEC"/>
    <w:rsid w:val="00F70B32"/>
    <w:rsid w:val="00F71750"/>
    <w:rsid w:val="00F717FC"/>
    <w:rsid w:val="00F71922"/>
    <w:rsid w:val="00F727D0"/>
    <w:rsid w:val="00F72DF1"/>
    <w:rsid w:val="00F73408"/>
    <w:rsid w:val="00F734A5"/>
    <w:rsid w:val="00F7398C"/>
    <w:rsid w:val="00F73AEB"/>
    <w:rsid w:val="00F7532B"/>
    <w:rsid w:val="00F75D28"/>
    <w:rsid w:val="00F770ED"/>
    <w:rsid w:val="00F77C2C"/>
    <w:rsid w:val="00F77E74"/>
    <w:rsid w:val="00F80F51"/>
    <w:rsid w:val="00F8181B"/>
    <w:rsid w:val="00F81AC5"/>
    <w:rsid w:val="00F82EE0"/>
    <w:rsid w:val="00F83270"/>
    <w:rsid w:val="00F8356A"/>
    <w:rsid w:val="00F83D6F"/>
    <w:rsid w:val="00F8429A"/>
    <w:rsid w:val="00F84564"/>
    <w:rsid w:val="00F8694B"/>
    <w:rsid w:val="00F86E46"/>
    <w:rsid w:val="00F871BD"/>
    <w:rsid w:val="00F87BCE"/>
    <w:rsid w:val="00F902AC"/>
    <w:rsid w:val="00F9049E"/>
    <w:rsid w:val="00F9094A"/>
    <w:rsid w:val="00F913CB"/>
    <w:rsid w:val="00F92481"/>
    <w:rsid w:val="00F92CEA"/>
    <w:rsid w:val="00F93F52"/>
    <w:rsid w:val="00F948F6"/>
    <w:rsid w:val="00F94C11"/>
    <w:rsid w:val="00F96336"/>
    <w:rsid w:val="00F96974"/>
    <w:rsid w:val="00F971C8"/>
    <w:rsid w:val="00F97215"/>
    <w:rsid w:val="00F97245"/>
    <w:rsid w:val="00F977A4"/>
    <w:rsid w:val="00FA026C"/>
    <w:rsid w:val="00FA061E"/>
    <w:rsid w:val="00FA069F"/>
    <w:rsid w:val="00FA0C28"/>
    <w:rsid w:val="00FA0DF8"/>
    <w:rsid w:val="00FA1A57"/>
    <w:rsid w:val="00FA1BC8"/>
    <w:rsid w:val="00FA1D96"/>
    <w:rsid w:val="00FA32A7"/>
    <w:rsid w:val="00FA3987"/>
    <w:rsid w:val="00FA3B78"/>
    <w:rsid w:val="00FA4343"/>
    <w:rsid w:val="00FA4363"/>
    <w:rsid w:val="00FA44D3"/>
    <w:rsid w:val="00FA4979"/>
    <w:rsid w:val="00FA54F8"/>
    <w:rsid w:val="00FA616D"/>
    <w:rsid w:val="00FA620D"/>
    <w:rsid w:val="00FA62BA"/>
    <w:rsid w:val="00FA69A6"/>
    <w:rsid w:val="00FA6B38"/>
    <w:rsid w:val="00FA6B4C"/>
    <w:rsid w:val="00FA6D41"/>
    <w:rsid w:val="00FA7343"/>
    <w:rsid w:val="00FA762A"/>
    <w:rsid w:val="00FA78A3"/>
    <w:rsid w:val="00FA7F0B"/>
    <w:rsid w:val="00FB0D86"/>
    <w:rsid w:val="00FB11D6"/>
    <w:rsid w:val="00FB135B"/>
    <w:rsid w:val="00FB185C"/>
    <w:rsid w:val="00FB1E63"/>
    <w:rsid w:val="00FB2215"/>
    <w:rsid w:val="00FB2498"/>
    <w:rsid w:val="00FB35C7"/>
    <w:rsid w:val="00FB36FC"/>
    <w:rsid w:val="00FB41CD"/>
    <w:rsid w:val="00FB5526"/>
    <w:rsid w:val="00FB56E6"/>
    <w:rsid w:val="00FB5770"/>
    <w:rsid w:val="00FB5A8D"/>
    <w:rsid w:val="00FB6D30"/>
    <w:rsid w:val="00FB6E75"/>
    <w:rsid w:val="00FC0C21"/>
    <w:rsid w:val="00FC11DF"/>
    <w:rsid w:val="00FC137B"/>
    <w:rsid w:val="00FC1E4F"/>
    <w:rsid w:val="00FC1EAB"/>
    <w:rsid w:val="00FC2428"/>
    <w:rsid w:val="00FC3CDC"/>
    <w:rsid w:val="00FC4575"/>
    <w:rsid w:val="00FC7A7D"/>
    <w:rsid w:val="00FD13F3"/>
    <w:rsid w:val="00FD1E04"/>
    <w:rsid w:val="00FD324B"/>
    <w:rsid w:val="00FD527B"/>
    <w:rsid w:val="00FD5B63"/>
    <w:rsid w:val="00FD6CFE"/>
    <w:rsid w:val="00FE136E"/>
    <w:rsid w:val="00FE1BEC"/>
    <w:rsid w:val="00FE23F2"/>
    <w:rsid w:val="00FE2F98"/>
    <w:rsid w:val="00FE31BA"/>
    <w:rsid w:val="00FE345A"/>
    <w:rsid w:val="00FE3711"/>
    <w:rsid w:val="00FE3EAD"/>
    <w:rsid w:val="00FE4701"/>
    <w:rsid w:val="00FE4870"/>
    <w:rsid w:val="00FE5252"/>
    <w:rsid w:val="00FE60EC"/>
    <w:rsid w:val="00FE6E88"/>
    <w:rsid w:val="00FE7623"/>
    <w:rsid w:val="00FF0988"/>
    <w:rsid w:val="00FF3853"/>
    <w:rsid w:val="00FF3F0B"/>
    <w:rsid w:val="00FF4014"/>
    <w:rsid w:val="00FF44F7"/>
    <w:rsid w:val="00FF486A"/>
    <w:rsid w:val="00FF4C47"/>
    <w:rsid w:val="00FF4D7E"/>
    <w:rsid w:val="00FF6068"/>
    <w:rsid w:val="00FF6832"/>
    <w:rsid w:val="00FF74FA"/>
    <w:rsid w:val="00FF79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3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46B"/>
    <w:rPr>
      <w:sz w:val="24"/>
      <w:szCs w:val="24"/>
      <w:lang w:val="en-GB"/>
    </w:rPr>
  </w:style>
  <w:style w:type="paragraph" w:styleId="Heading2">
    <w:name w:val="heading 2"/>
    <w:basedOn w:val="Normal"/>
    <w:next w:val="Normal"/>
    <w:qFormat/>
    <w:rsid w:val="00DD67D7"/>
    <w:pPr>
      <w:keepNext/>
      <w:tabs>
        <w:tab w:val="left" w:pos="567"/>
      </w:tabs>
      <w:spacing w:before="240" w:after="60" w:line="260" w:lineRule="exact"/>
      <w:outlineLvl w:val="1"/>
    </w:pPr>
    <w:rPr>
      <w:rFonts w:ascii="Helvetica" w:hAnsi="Helvetica"/>
      <w:b/>
      <w:i/>
      <w:szCs w:val="20"/>
    </w:rPr>
  </w:style>
  <w:style w:type="paragraph" w:styleId="Heading3">
    <w:name w:val="heading 3"/>
    <w:basedOn w:val="Normal"/>
    <w:next w:val="Normal"/>
    <w:link w:val="Heading3Char"/>
    <w:qFormat/>
    <w:rsid w:val="00FE31B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702069"/>
    <w:pPr>
      <w:keepNext/>
      <w:keepLines/>
      <w:spacing w:before="200"/>
      <w:outlineLvl w:val="3"/>
    </w:pPr>
    <w:rPr>
      <w:rFonts w:ascii="Cambria" w:hAnsi="Cambria"/>
      <w:b/>
      <w:bCs/>
      <w:i/>
      <w:iCs/>
      <w:color w:val="4F81BD"/>
    </w:rPr>
  </w:style>
  <w:style w:type="paragraph" w:styleId="Heading6">
    <w:name w:val="heading 6"/>
    <w:basedOn w:val="Normal"/>
    <w:next w:val="Normal"/>
    <w:qFormat/>
    <w:rsid w:val="00DD67D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DD67D7"/>
    <w:pPr>
      <w:jc w:val="center"/>
    </w:pPr>
    <w:rPr>
      <w:i/>
      <w:iCs/>
      <w:sz w:val="48"/>
      <w:szCs w:val="20"/>
    </w:rPr>
  </w:style>
  <w:style w:type="paragraph" w:customStyle="1" w:styleId="C-TableHeader">
    <w:name w:val="C-Table Header"/>
    <w:next w:val="C-TableText"/>
    <w:link w:val="C-TableHeaderChar"/>
    <w:rsid w:val="00DD67D7"/>
    <w:pPr>
      <w:keepNext/>
      <w:spacing w:before="60" w:after="60"/>
    </w:pPr>
    <w:rPr>
      <w:b/>
      <w:sz w:val="22"/>
    </w:rPr>
  </w:style>
  <w:style w:type="paragraph" w:customStyle="1" w:styleId="C-TableText">
    <w:name w:val="C-Table Text"/>
    <w:link w:val="C-TableTextChar"/>
    <w:rsid w:val="00DD67D7"/>
    <w:pPr>
      <w:spacing w:before="60" w:after="60"/>
    </w:pPr>
    <w:rPr>
      <w:sz w:val="22"/>
    </w:rPr>
  </w:style>
  <w:style w:type="character" w:customStyle="1" w:styleId="C-BodyTextChar">
    <w:name w:val="C-Body Text Char"/>
    <w:basedOn w:val="DefaultParagraphFont"/>
    <w:link w:val="C-BodyText"/>
    <w:rsid w:val="00DD67D7"/>
    <w:rPr>
      <w:sz w:val="24"/>
      <w:lang w:val="en-US" w:eastAsia="en-US" w:bidi="ar-SA"/>
    </w:rPr>
  </w:style>
  <w:style w:type="paragraph" w:styleId="BodyText2">
    <w:name w:val="Body Text 2"/>
    <w:basedOn w:val="Normal"/>
    <w:rsid w:val="00DD67D7"/>
    <w:pPr>
      <w:tabs>
        <w:tab w:val="left" w:pos="567"/>
      </w:tabs>
      <w:spacing w:line="260" w:lineRule="exact"/>
    </w:pPr>
    <w:rPr>
      <w:b/>
      <w:bCs/>
      <w:sz w:val="22"/>
      <w:szCs w:val="20"/>
    </w:rPr>
  </w:style>
  <w:style w:type="paragraph" w:styleId="Title">
    <w:name w:val="Title"/>
    <w:basedOn w:val="Normal"/>
    <w:qFormat/>
    <w:rsid w:val="00DD67D7"/>
    <w:pPr>
      <w:autoSpaceDE w:val="0"/>
      <w:autoSpaceDN w:val="0"/>
      <w:adjustRightInd w:val="0"/>
      <w:jc w:val="center"/>
    </w:pPr>
    <w:rPr>
      <w:b/>
      <w:bCs/>
      <w:i/>
      <w:iCs/>
      <w:sz w:val="20"/>
      <w:szCs w:val="20"/>
      <w:lang w:val="en-US"/>
    </w:rPr>
  </w:style>
  <w:style w:type="paragraph" w:styleId="Header">
    <w:name w:val="header"/>
    <w:basedOn w:val="Normal"/>
    <w:rsid w:val="00DD67D7"/>
    <w:pPr>
      <w:tabs>
        <w:tab w:val="left" w:pos="567"/>
        <w:tab w:val="center" w:pos="4153"/>
        <w:tab w:val="right" w:pos="8306"/>
      </w:tabs>
    </w:pPr>
    <w:rPr>
      <w:rFonts w:ascii="Helvetica" w:hAnsi="Helvetica"/>
      <w:sz w:val="20"/>
      <w:szCs w:val="20"/>
    </w:rPr>
  </w:style>
  <w:style w:type="paragraph" w:styleId="Caption">
    <w:name w:val="caption"/>
    <w:aliases w:val="Char1, Char1"/>
    <w:basedOn w:val="Normal"/>
    <w:next w:val="Normal"/>
    <w:link w:val="CaptionChar"/>
    <w:qFormat/>
    <w:rsid w:val="00DD67D7"/>
    <w:pPr>
      <w:suppressAutoHyphens/>
      <w:spacing w:before="120" w:after="120"/>
    </w:pPr>
    <w:rPr>
      <w:rFonts w:ascii="Arial" w:hAnsi="Arial"/>
      <w:b/>
      <w:bCs/>
      <w:sz w:val="20"/>
      <w:szCs w:val="20"/>
      <w:lang w:val="en-US"/>
    </w:rPr>
  </w:style>
  <w:style w:type="paragraph" w:customStyle="1" w:styleId="C-Bullet">
    <w:name w:val="C-Bullet"/>
    <w:rsid w:val="00DD67D7"/>
    <w:pPr>
      <w:tabs>
        <w:tab w:val="num" w:pos="720"/>
      </w:tabs>
      <w:spacing w:before="120" w:after="120" w:line="280" w:lineRule="atLeast"/>
      <w:ind w:left="720" w:hanging="360"/>
    </w:pPr>
    <w:rPr>
      <w:sz w:val="24"/>
    </w:rPr>
  </w:style>
  <w:style w:type="paragraph" w:styleId="BodyText">
    <w:name w:val="Body Text"/>
    <w:basedOn w:val="Normal"/>
    <w:rsid w:val="00DD67D7"/>
    <w:pPr>
      <w:spacing w:after="120"/>
    </w:pPr>
  </w:style>
  <w:style w:type="paragraph" w:customStyle="1" w:styleId="C-TableFootnote">
    <w:name w:val="C-Table Footnote"/>
    <w:next w:val="Normal"/>
    <w:link w:val="C-TableFootnoteChar"/>
    <w:rsid w:val="00DD67D7"/>
    <w:pPr>
      <w:tabs>
        <w:tab w:val="left" w:pos="432"/>
      </w:tabs>
      <w:ind w:left="432" w:hanging="432"/>
    </w:pPr>
    <w:rPr>
      <w:rFonts w:cs="Arial"/>
    </w:rPr>
  </w:style>
  <w:style w:type="paragraph" w:styleId="BalloonText">
    <w:name w:val="Balloon Text"/>
    <w:basedOn w:val="Normal"/>
    <w:semiHidden/>
    <w:rsid w:val="00DD67D7"/>
    <w:rPr>
      <w:rFonts w:ascii="Tahoma" w:hAnsi="Tahoma" w:cs="Tahoma"/>
      <w:sz w:val="16"/>
      <w:szCs w:val="16"/>
    </w:rPr>
  </w:style>
  <w:style w:type="paragraph" w:styleId="Footer">
    <w:name w:val="footer"/>
    <w:basedOn w:val="Normal"/>
    <w:link w:val="FooterChar"/>
    <w:uiPriority w:val="99"/>
    <w:rsid w:val="00F94C11"/>
    <w:pPr>
      <w:tabs>
        <w:tab w:val="center" w:pos="4153"/>
        <w:tab w:val="right" w:pos="8306"/>
      </w:tabs>
    </w:pPr>
  </w:style>
  <w:style w:type="paragraph" w:customStyle="1" w:styleId="text">
    <w:name w:val="text"/>
    <w:basedOn w:val="Normal"/>
    <w:rsid w:val="00F94C11"/>
    <w:rPr>
      <w:szCs w:val="20"/>
      <w:lang w:eastAsia="de-DE"/>
    </w:rPr>
  </w:style>
  <w:style w:type="character" w:styleId="PageNumber">
    <w:name w:val="page number"/>
    <w:basedOn w:val="DefaultParagraphFont"/>
    <w:rsid w:val="00706930"/>
  </w:style>
  <w:style w:type="table" w:styleId="TableGrid">
    <w:name w:val="Table Grid"/>
    <w:basedOn w:val="TableNormal"/>
    <w:uiPriority w:val="59"/>
    <w:rsid w:val="00E25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1322"/>
    <w:pPr>
      <w:autoSpaceDE w:val="0"/>
      <w:autoSpaceDN w:val="0"/>
      <w:adjustRightInd w:val="0"/>
    </w:pPr>
    <w:rPr>
      <w:rFonts w:eastAsia="SimSun"/>
      <w:color w:val="000000"/>
      <w:sz w:val="24"/>
      <w:szCs w:val="24"/>
      <w:lang w:val="en-AU" w:eastAsia="zh-CN"/>
    </w:rPr>
  </w:style>
  <w:style w:type="paragraph" w:styleId="NormalWeb">
    <w:name w:val="Normal (Web)"/>
    <w:basedOn w:val="Normal"/>
    <w:uiPriority w:val="99"/>
    <w:unhideWhenUsed/>
    <w:rsid w:val="00363EF0"/>
    <w:pPr>
      <w:spacing w:before="100" w:beforeAutospacing="1" w:after="100" w:afterAutospacing="1"/>
    </w:pPr>
    <w:rPr>
      <w:rFonts w:eastAsia="Calibri"/>
      <w:lang w:val="en-AU" w:eastAsia="en-AU"/>
    </w:rPr>
  </w:style>
  <w:style w:type="character" w:styleId="CommentReference">
    <w:name w:val="annotation reference"/>
    <w:basedOn w:val="DefaultParagraphFont"/>
    <w:uiPriority w:val="99"/>
    <w:rsid w:val="00034806"/>
    <w:rPr>
      <w:sz w:val="16"/>
      <w:szCs w:val="16"/>
    </w:rPr>
  </w:style>
  <w:style w:type="paragraph" w:styleId="CommentText">
    <w:name w:val="annotation text"/>
    <w:basedOn w:val="Normal"/>
    <w:link w:val="CommentTextChar"/>
    <w:uiPriority w:val="99"/>
    <w:rsid w:val="00034806"/>
    <w:rPr>
      <w:sz w:val="20"/>
      <w:szCs w:val="20"/>
    </w:rPr>
  </w:style>
  <w:style w:type="paragraph" w:styleId="CommentSubject">
    <w:name w:val="annotation subject"/>
    <w:basedOn w:val="CommentText"/>
    <w:next w:val="CommentText"/>
    <w:semiHidden/>
    <w:rsid w:val="00034806"/>
    <w:rPr>
      <w:b/>
      <w:bCs/>
    </w:rPr>
  </w:style>
  <w:style w:type="paragraph" w:styleId="PlainText">
    <w:name w:val="Plain Text"/>
    <w:basedOn w:val="Normal"/>
    <w:rsid w:val="00B514BC"/>
    <w:rPr>
      <w:rFonts w:ascii="Arial" w:hAnsi="Arial" w:cs="Arial"/>
      <w:sz w:val="20"/>
      <w:szCs w:val="20"/>
      <w:lang w:val="en-AU" w:eastAsia="en-AU"/>
    </w:rPr>
  </w:style>
  <w:style w:type="paragraph" w:customStyle="1" w:styleId="C-BodyText">
    <w:name w:val="C-Body Text"/>
    <w:link w:val="C-BodyTextChar"/>
    <w:rsid w:val="00164473"/>
    <w:pPr>
      <w:spacing w:before="120" w:after="120" w:line="280" w:lineRule="atLeast"/>
    </w:pPr>
    <w:rPr>
      <w:sz w:val="24"/>
    </w:rPr>
  </w:style>
  <w:style w:type="character" w:customStyle="1" w:styleId="C-TableTextChar">
    <w:name w:val="C-Table Text Char"/>
    <w:basedOn w:val="DefaultParagraphFont"/>
    <w:link w:val="C-TableText"/>
    <w:locked/>
    <w:rsid w:val="006C3A8F"/>
    <w:rPr>
      <w:sz w:val="22"/>
      <w:lang w:val="en-US" w:eastAsia="en-US" w:bidi="ar-SA"/>
    </w:rPr>
  </w:style>
  <w:style w:type="character" w:customStyle="1" w:styleId="C-TableHeaderChar">
    <w:name w:val="C-Table Header Char"/>
    <w:basedOn w:val="DefaultParagraphFont"/>
    <w:link w:val="C-TableHeader"/>
    <w:rsid w:val="006C3A8F"/>
    <w:rPr>
      <w:b/>
      <w:sz w:val="22"/>
      <w:lang w:val="en-US" w:eastAsia="en-US" w:bidi="ar-SA"/>
    </w:rPr>
  </w:style>
  <w:style w:type="character" w:customStyle="1" w:styleId="Heading3Char">
    <w:name w:val="Heading 3 Char"/>
    <w:basedOn w:val="DefaultParagraphFont"/>
    <w:link w:val="Heading3"/>
    <w:rsid w:val="00FE31BA"/>
    <w:rPr>
      <w:rFonts w:ascii="Arial" w:hAnsi="Arial" w:cs="Arial"/>
      <w:b/>
      <w:bCs/>
      <w:sz w:val="26"/>
      <w:szCs w:val="26"/>
      <w:lang w:val="en-GB" w:eastAsia="en-US" w:bidi="ar-SA"/>
    </w:rPr>
  </w:style>
  <w:style w:type="paragraph" w:styleId="ListParagraph">
    <w:name w:val="List Paragraph"/>
    <w:basedOn w:val="Normal"/>
    <w:uiPriority w:val="34"/>
    <w:qFormat/>
    <w:rsid w:val="00215DC0"/>
    <w:pPr>
      <w:ind w:left="720"/>
      <w:contextualSpacing/>
    </w:pPr>
  </w:style>
  <w:style w:type="paragraph" w:styleId="Revision">
    <w:name w:val="Revision"/>
    <w:hidden/>
    <w:uiPriority w:val="99"/>
    <w:semiHidden/>
    <w:rsid w:val="00920DC1"/>
    <w:rPr>
      <w:sz w:val="24"/>
      <w:szCs w:val="24"/>
      <w:lang w:val="en-GB"/>
    </w:rPr>
  </w:style>
  <w:style w:type="character" w:customStyle="1" w:styleId="CaptionChar">
    <w:name w:val="Caption Char"/>
    <w:aliases w:val="Char1 Char, Char1 Char"/>
    <w:basedOn w:val="DefaultParagraphFont"/>
    <w:link w:val="Caption"/>
    <w:rsid w:val="004F3824"/>
    <w:rPr>
      <w:rFonts w:ascii="Arial" w:hAnsi="Arial"/>
      <w:b/>
      <w:bCs/>
      <w:lang w:eastAsia="en-US"/>
    </w:rPr>
  </w:style>
  <w:style w:type="character" w:customStyle="1" w:styleId="C-TableFootnoteChar">
    <w:name w:val="C-Table Footnote Char"/>
    <w:basedOn w:val="DefaultParagraphFont"/>
    <w:link w:val="C-TableFootnote"/>
    <w:rsid w:val="004F3824"/>
    <w:rPr>
      <w:rFonts w:cs="Arial"/>
      <w:lang w:val="en-US" w:eastAsia="en-US" w:bidi="ar-SA"/>
    </w:rPr>
  </w:style>
  <w:style w:type="character" w:customStyle="1" w:styleId="CommentTextChar">
    <w:name w:val="Comment Text Char"/>
    <w:basedOn w:val="DefaultParagraphFont"/>
    <w:link w:val="CommentText"/>
    <w:uiPriority w:val="99"/>
    <w:rsid w:val="003174D1"/>
    <w:rPr>
      <w:lang w:val="en-GB" w:eastAsia="en-US"/>
    </w:rPr>
  </w:style>
  <w:style w:type="paragraph" w:customStyle="1" w:styleId="C-Heading1">
    <w:name w:val="C-Heading 1"/>
    <w:next w:val="C-BodyText"/>
    <w:rsid w:val="001B37B7"/>
    <w:pPr>
      <w:keepNext/>
      <w:pageBreakBefore/>
      <w:numPr>
        <w:numId w:val="5"/>
      </w:numPr>
      <w:spacing w:before="480" w:after="120"/>
      <w:outlineLvl w:val="0"/>
    </w:pPr>
    <w:rPr>
      <w:b/>
      <w:bCs/>
      <w:caps/>
      <w:sz w:val="28"/>
      <w:szCs w:val="28"/>
    </w:rPr>
  </w:style>
  <w:style w:type="paragraph" w:customStyle="1" w:styleId="C-Heading2">
    <w:name w:val="C-Heading 2"/>
    <w:next w:val="C-BodyText"/>
    <w:rsid w:val="001B37B7"/>
    <w:pPr>
      <w:keepNext/>
      <w:numPr>
        <w:ilvl w:val="1"/>
        <w:numId w:val="5"/>
      </w:numPr>
      <w:tabs>
        <w:tab w:val="num" w:pos="1080"/>
      </w:tabs>
      <w:spacing w:before="240"/>
      <w:ind w:left="1080"/>
      <w:outlineLvl w:val="1"/>
    </w:pPr>
    <w:rPr>
      <w:b/>
      <w:bCs/>
      <w:sz w:val="28"/>
      <w:szCs w:val="28"/>
    </w:rPr>
  </w:style>
  <w:style w:type="paragraph" w:customStyle="1" w:styleId="C-Heading3">
    <w:name w:val="C-Heading 3"/>
    <w:next w:val="C-BodyText"/>
    <w:rsid w:val="001B37B7"/>
    <w:pPr>
      <w:keepNext/>
      <w:numPr>
        <w:ilvl w:val="2"/>
        <w:numId w:val="5"/>
      </w:numPr>
      <w:spacing w:before="240"/>
      <w:outlineLvl w:val="2"/>
    </w:pPr>
    <w:rPr>
      <w:b/>
      <w:bCs/>
      <w:sz w:val="24"/>
      <w:szCs w:val="24"/>
    </w:rPr>
  </w:style>
  <w:style w:type="paragraph" w:customStyle="1" w:styleId="C-Heading4">
    <w:name w:val="C-Heading 4"/>
    <w:next w:val="C-BodyText"/>
    <w:rsid w:val="001B37B7"/>
    <w:pPr>
      <w:keepNext/>
      <w:numPr>
        <w:ilvl w:val="3"/>
        <w:numId w:val="5"/>
      </w:numPr>
      <w:spacing w:before="240"/>
      <w:outlineLvl w:val="3"/>
    </w:pPr>
    <w:rPr>
      <w:b/>
      <w:bCs/>
      <w:sz w:val="24"/>
      <w:szCs w:val="24"/>
    </w:rPr>
  </w:style>
  <w:style w:type="paragraph" w:customStyle="1" w:styleId="C-Heading5">
    <w:name w:val="C-Heading 5"/>
    <w:next w:val="C-BodyText"/>
    <w:rsid w:val="001B37B7"/>
    <w:pPr>
      <w:keepNext/>
      <w:numPr>
        <w:ilvl w:val="4"/>
        <w:numId w:val="5"/>
      </w:numPr>
      <w:spacing w:before="240"/>
      <w:outlineLvl w:val="4"/>
    </w:pPr>
    <w:rPr>
      <w:b/>
      <w:bCs/>
      <w:sz w:val="24"/>
      <w:szCs w:val="24"/>
    </w:rPr>
  </w:style>
  <w:style w:type="paragraph" w:customStyle="1" w:styleId="C-Heading6">
    <w:name w:val="C-Heading 6"/>
    <w:next w:val="C-BodyText"/>
    <w:rsid w:val="001B37B7"/>
    <w:pPr>
      <w:keepNext/>
      <w:numPr>
        <w:ilvl w:val="5"/>
        <w:numId w:val="5"/>
      </w:numPr>
      <w:tabs>
        <w:tab w:val="num" w:pos="1224"/>
        <w:tab w:val="num" w:pos="1309"/>
      </w:tabs>
      <w:spacing w:before="240"/>
      <w:ind w:left="1224" w:hanging="1224"/>
      <w:outlineLvl w:val="5"/>
    </w:pPr>
    <w:rPr>
      <w:b/>
      <w:bCs/>
      <w:sz w:val="24"/>
      <w:szCs w:val="24"/>
    </w:rPr>
  </w:style>
  <w:style w:type="character" w:styleId="Hyperlink">
    <w:name w:val="Hyperlink"/>
    <w:basedOn w:val="DefaultParagraphFont"/>
    <w:rsid w:val="00974F35"/>
    <w:rPr>
      <w:color w:val="0000FF"/>
      <w:u w:val="single"/>
    </w:rPr>
  </w:style>
  <w:style w:type="character" w:customStyle="1" w:styleId="FooterChar">
    <w:name w:val="Footer Char"/>
    <w:basedOn w:val="DefaultParagraphFont"/>
    <w:link w:val="Footer"/>
    <w:uiPriority w:val="99"/>
    <w:rsid w:val="0046080E"/>
    <w:rPr>
      <w:sz w:val="24"/>
      <w:szCs w:val="24"/>
      <w:lang w:val="en-GB" w:eastAsia="en-US"/>
    </w:rPr>
  </w:style>
  <w:style w:type="paragraph" w:styleId="TOC1">
    <w:name w:val="toc 1"/>
    <w:next w:val="C-BodyText"/>
    <w:semiHidden/>
    <w:rsid w:val="00357432"/>
    <w:pPr>
      <w:tabs>
        <w:tab w:val="left" w:pos="1152"/>
        <w:tab w:val="right" w:leader="dot" w:pos="9360"/>
      </w:tabs>
      <w:spacing w:before="120"/>
      <w:ind w:left="1152" w:right="792" w:hanging="1152"/>
    </w:pPr>
    <w:rPr>
      <w:rFonts w:cs="Arial"/>
      <w:caps/>
      <w:sz w:val="24"/>
      <w:szCs w:val="24"/>
    </w:rPr>
  </w:style>
  <w:style w:type="paragraph" w:styleId="TOC6">
    <w:name w:val="toc 6"/>
    <w:basedOn w:val="Normal"/>
    <w:next w:val="Normal"/>
    <w:autoRedefine/>
    <w:uiPriority w:val="39"/>
    <w:semiHidden/>
    <w:unhideWhenUsed/>
    <w:rsid w:val="0068475C"/>
    <w:pPr>
      <w:spacing w:after="100"/>
      <w:ind w:left="1200"/>
    </w:pPr>
  </w:style>
  <w:style w:type="paragraph" w:customStyle="1" w:styleId="Pa8">
    <w:name w:val="Pa8"/>
    <w:basedOn w:val="Normal"/>
    <w:uiPriority w:val="99"/>
    <w:rsid w:val="00B9321F"/>
    <w:pPr>
      <w:autoSpaceDE w:val="0"/>
      <w:autoSpaceDN w:val="0"/>
      <w:spacing w:line="241" w:lineRule="atLeast"/>
    </w:pPr>
    <w:rPr>
      <w:rFonts w:ascii="Univers LT Std 57 Cn" w:eastAsia="Calibri" w:hAnsi="Univers LT Std 57 Cn"/>
      <w:lang w:val="en-US"/>
    </w:rPr>
  </w:style>
  <w:style w:type="character" w:customStyle="1" w:styleId="A0">
    <w:name w:val="A0"/>
    <w:basedOn w:val="DefaultParagraphFont"/>
    <w:uiPriority w:val="99"/>
    <w:rsid w:val="00B9321F"/>
    <w:rPr>
      <w:rFonts w:ascii="Univers LT Std 57 Cn" w:hAnsi="Univers LT Std 57 Cn" w:hint="default"/>
      <w:b/>
      <w:bCs/>
      <w:i/>
      <w:iCs/>
      <w:color w:val="221E1F"/>
    </w:rPr>
  </w:style>
  <w:style w:type="character" w:customStyle="1" w:styleId="Heading4Char">
    <w:name w:val="Heading 4 Char"/>
    <w:basedOn w:val="DefaultParagraphFont"/>
    <w:link w:val="Heading4"/>
    <w:uiPriority w:val="9"/>
    <w:semiHidden/>
    <w:rsid w:val="00702069"/>
    <w:rPr>
      <w:rFonts w:ascii="Cambria" w:eastAsia="Times New Roman" w:hAnsi="Cambria" w:cs="Times New Roman"/>
      <w:b/>
      <w:bCs/>
      <w:i/>
      <w:iCs/>
      <w:color w:val="4F81BD"/>
      <w:sz w:val="24"/>
      <w:szCs w:val="24"/>
      <w:lang w:val="en-GB" w:eastAsia="en-US"/>
    </w:rPr>
  </w:style>
  <w:style w:type="paragraph" w:customStyle="1" w:styleId="C-Heading1nopagebreak0">
    <w:name w:val="C-Heading 1 (no page break"/>
    <w:aliases w:val="non-numbered)"/>
    <w:basedOn w:val="Normal"/>
    <w:next w:val="C-BodyText"/>
    <w:rsid w:val="00684EC7"/>
    <w:pPr>
      <w:keepNext/>
      <w:tabs>
        <w:tab w:val="left" w:pos="1080"/>
      </w:tabs>
      <w:spacing w:before="480" w:after="120"/>
      <w:ind w:left="1080" w:hanging="1080"/>
      <w:outlineLvl w:val="0"/>
    </w:pPr>
    <w:rPr>
      <w:b/>
      <w:caps/>
      <w:sz w:val="28"/>
      <w:szCs w:val="20"/>
      <w:lang w:val="en-US"/>
    </w:rPr>
  </w:style>
  <w:style w:type="paragraph" w:customStyle="1" w:styleId="C-Heading1nopagebreak">
    <w:name w:val="C-Heading 1 (no page break)"/>
    <w:basedOn w:val="C-Heading1"/>
    <w:next w:val="C-BodyText"/>
    <w:rsid w:val="00446299"/>
    <w:pPr>
      <w:pageBreakBefore w:val="0"/>
      <w:numPr>
        <w:numId w:val="1"/>
      </w:numPr>
    </w:pPr>
    <w:rPr>
      <w:bCs w:val="0"/>
      <w:szCs w:val="20"/>
    </w:rPr>
  </w:style>
  <w:style w:type="character" w:customStyle="1" w:styleId="C-Hyperlink">
    <w:name w:val="C-Hyperlink"/>
    <w:basedOn w:val="DefaultParagraphFont"/>
    <w:rsid w:val="00DD3F29"/>
    <w:rPr>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8668">
      <w:bodyDiv w:val="1"/>
      <w:marLeft w:val="0"/>
      <w:marRight w:val="0"/>
      <w:marTop w:val="0"/>
      <w:marBottom w:val="0"/>
      <w:divBdr>
        <w:top w:val="none" w:sz="0" w:space="0" w:color="auto"/>
        <w:left w:val="none" w:sz="0" w:space="0" w:color="auto"/>
        <w:bottom w:val="none" w:sz="0" w:space="0" w:color="auto"/>
        <w:right w:val="none" w:sz="0" w:space="0" w:color="auto"/>
      </w:divBdr>
    </w:div>
    <w:div w:id="34626804">
      <w:bodyDiv w:val="1"/>
      <w:marLeft w:val="0"/>
      <w:marRight w:val="0"/>
      <w:marTop w:val="0"/>
      <w:marBottom w:val="0"/>
      <w:divBdr>
        <w:top w:val="none" w:sz="0" w:space="0" w:color="auto"/>
        <w:left w:val="none" w:sz="0" w:space="0" w:color="auto"/>
        <w:bottom w:val="none" w:sz="0" w:space="0" w:color="auto"/>
        <w:right w:val="none" w:sz="0" w:space="0" w:color="auto"/>
      </w:divBdr>
    </w:div>
    <w:div w:id="350643601">
      <w:bodyDiv w:val="1"/>
      <w:marLeft w:val="0"/>
      <w:marRight w:val="0"/>
      <w:marTop w:val="0"/>
      <w:marBottom w:val="0"/>
      <w:divBdr>
        <w:top w:val="none" w:sz="0" w:space="0" w:color="auto"/>
        <w:left w:val="none" w:sz="0" w:space="0" w:color="auto"/>
        <w:bottom w:val="none" w:sz="0" w:space="0" w:color="auto"/>
        <w:right w:val="none" w:sz="0" w:space="0" w:color="auto"/>
      </w:divBdr>
    </w:div>
    <w:div w:id="383531846">
      <w:bodyDiv w:val="1"/>
      <w:marLeft w:val="0"/>
      <w:marRight w:val="0"/>
      <w:marTop w:val="0"/>
      <w:marBottom w:val="0"/>
      <w:divBdr>
        <w:top w:val="none" w:sz="0" w:space="0" w:color="auto"/>
        <w:left w:val="none" w:sz="0" w:space="0" w:color="auto"/>
        <w:bottom w:val="none" w:sz="0" w:space="0" w:color="auto"/>
        <w:right w:val="none" w:sz="0" w:space="0" w:color="auto"/>
      </w:divBdr>
    </w:div>
    <w:div w:id="392003355">
      <w:bodyDiv w:val="1"/>
      <w:marLeft w:val="0"/>
      <w:marRight w:val="0"/>
      <w:marTop w:val="0"/>
      <w:marBottom w:val="0"/>
      <w:divBdr>
        <w:top w:val="none" w:sz="0" w:space="0" w:color="auto"/>
        <w:left w:val="none" w:sz="0" w:space="0" w:color="auto"/>
        <w:bottom w:val="none" w:sz="0" w:space="0" w:color="auto"/>
        <w:right w:val="none" w:sz="0" w:space="0" w:color="auto"/>
      </w:divBdr>
    </w:div>
    <w:div w:id="427652609">
      <w:bodyDiv w:val="1"/>
      <w:marLeft w:val="0"/>
      <w:marRight w:val="0"/>
      <w:marTop w:val="0"/>
      <w:marBottom w:val="0"/>
      <w:divBdr>
        <w:top w:val="none" w:sz="0" w:space="0" w:color="auto"/>
        <w:left w:val="none" w:sz="0" w:space="0" w:color="auto"/>
        <w:bottom w:val="none" w:sz="0" w:space="0" w:color="auto"/>
        <w:right w:val="none" w:sz="0" w:space="0" w:color="auto"/>
      </w:divBdr>
      <w:divsChild>
        <w:div w:id="50078059">
          <w:marLeft w:val="0"/>
          <w:marRight w:val="0"/>
          <w:marTop w:val="0"/>
          <w:marBottom w:val="0"/>
          <w:divBdr>
            <w:top w:val="none" w:sz="0" w:space="0" w:color="auto"/>
            <w:left w:val="none" w:sz="0" w:space="0" w:color="auto"/>
            <w:bottom w:val="none" w:sz="0" w:space="0" w:color="auto"/>
            <w:right w:val="none" w:sz="0" w:space="0" w:color="auto"/>
          </w:divBdr>
        </w:div>
      </w:divsChild>
    </w:div>
    <w:div w:id="496729851">
      <w:bodyDiv w:val="1"/>
      <w:marLeft w:val="0"/>
      <w:marRight w:val="0"/>
      <w:marTop w:val="0"/>
      <w:marBottom w:val="0"/>
      <w:divBdr>
        <w:top w:val="none" w:sz="0" w:space="0" w:color="auto"/>
        <w:left w:val="none" w:sz="0" w:space="0" w:color="auto"/>
        <w:bottom w:val="none" w:sz="0" w:space="0" w:color="auto"/>
        <w:right w:val="none" w:sz="0" w:space="0" w:color="auto"/>
      </w:divBdr>
    </w:div>
    <w:div w:id="542179614">
      <w:bodyDiv w:val="1"/>
      <w:marLeft w:val="0"/>
      <w:marRight w:val="0"/>
      <w:marTop w:val="0"/>
      <w:marBottom w:val="0"/>
      <w:divBdr>
        <w:top w:val="none" w:sz="0" w:space="0" w:color="auto"/>
        <w:left w:val="none" w:sz="0" w:space="0" w:color="auto"/>
        <w:bottom w:val="none" w:sz="0" w:space="0" w:color="auto"/>
        <w:right w:val="none" w:sz="0" w:space="0" w:color="auto"/>
      </w:divBdr>
    </w:div>
    <w:div w:id="676033171">
      <w:bodyDiv w:val="1"/>
      <w:marLeft w:val="0"/>
      <w:marRight w:val="0"/>
      <w:marTop w:val="0"/>
      <w:marBottom w:val="0"/>
      <w:divBdr>
        <w:top w:val="none" w:sz="0" w:space="0" w:color="auto"/>
        <w:left w:val="none" w:sz="0" w:space="0" w:color="auto"/>
        <w:bottom w:val="none" w:sz="0" w:space="0" w:color="auto"/>
        <w:right w:val="none" w:sz="0" w:space="0" w:color="auto"/>
      </w:divBdr>
    </w:div>
    <w:div w:id="687759584">
      <w:bodyDiv w:val="1"/>
      <w:marLeft w:val="0"/>
      <w:marRight w:val="0"/>
      <w:marTop w:val="0"/>
      <w:marBottom w:val="0"/>
      <w:divBdr>
        <w:top w:val="none" w:sz="0" w:space="0" w:color="auto"/>
        <w:left w:val="none" w:sz="0" w:space="0" w:color="auto"/>
        <w:bottom w:val="none" w:sz="0" w:space="0" w:color="auto"/>
        <w:right w:val="none" w:sz="0" w:space="0" w:color="auto"/>
      </w:divBdr>
    </w:div>
    <w:div w:id="870999626">
      <w:bodyDiv w:val="1"/>
      <w:marLeft w:val="0"/>
      <w:marRight w:val="0"/>
      <w:marTop w:val="0"/>
      <w:marBottom w:val="0"/>
      <w:divBdr>
        <w:top w:val="none" w:sz="0" w:space="0" w:color="auto"/>
        <w:left w:val="none" w:sz="0" w:space="0" w:color="auto"/>
        <w:bottom w:val="none" w:sz="0" w:space="0" w:color="auto"/>
        <w:right w:val="none" w:sz="0" w:space="0" w:color="auto"/>
      </w:divBdr>
    </w:div>
    <w:div w:id="1031301213">
      <w:bodyDiv w:val="1"/>
      <w:marLeft w:val="0"/>
      <w:marRight w:val="0"/>
      <w:marTop w:val="0"/>
      <w:marBottom w:val="0"/>
      <w:divBdr>
        <w:top w:val="none" w:sz="0" w:space="0" w:color="auto"/>
        <w:left w:val="none" w:sz="0" w:space="0" w:color="auto"/>
        <w:bottom w:val="none" w:sz="0" w:space="0" w:color="auto"/>
        <w:right w:val="none" w:sz="0" w:space="0" w:color="auto"/>
      </w:divBdr>
    </w:div>
    <w:div w:id="1036733257">
      <w:bodyDiv w:val="1"/>
      <w:marLeft w:val="0"/>
      <w:marRight w:val="0"/>
      <w:marTop w:val="0"/>
      <w:marBottom w:val="0"/>
      <w:divBdr>
        <w:top w:val="none" w:sz="0" w:space="0" w:color="auto"/>
        <w:left w:val="none" w:sz="0" w:space="0" w:color="auto"/>
        <w:bottom w:val="none" w:sz="0" w:space="0" w:color="auto"/>
        <w:right w:val="none" w:sz="0" w:space="0" w:color="auto"/>
      </w:divBdr>
    </w:div>
    <w:div w:id="1265655071">
      <w:bodyDiv w:val="1"/>
      <w:marLeft w:val="0"/>
      <w:marRight w:val="0"/>
      <w:marTop w:val="0"/>
      <w:marBottom w:val="0"/>
      <w:divBdr>
        <w:top w:val="none" w:sz="0" w:space="0" w:color="auto"/>
        <w:left w:val="none" w:sz="0" w:space="0" w:color="auto"/>
        <w:bottom w:val="none" w:sz="0" w:space="0" w:color="auto"/>
        <w:right w:val="none" w:sz="0" w:space="0" w:color="auto"/>
      </w:divBdr>
    </w:div>
    <w:div w:id="1453018421">
      <w:bodyDiv w:val="1"/>
      <w:marLeft w:val="0"/>
      <w:marRight w:val="0"/>
      <w:marTop w:val="0"/>
      <w:marBottom w:val="0"/>
      <w:divBdr>
        <w:top w:val="none" w:sz="0" w:space="0" w:color="auto"/>
        <w:left w:val="none" w:sz="0" w:space="0" w:color="auto"/>
        <w:bottom w:val="none" w:sz="0" w:space="0" w:color="auto"/>
        <w:right w:val="none" w:sz="0" w:space="0" w:color="auto"/>
      </w:divBdr>
    </w:div>
    <w:div w:id="1553150787">
      <w:bodyDiv w:val="1"/>
      <w:marLeft w:val="0"/>
      <w:marRight w:val="0"/>
      <w:marTop w:val="0"/>
      <w:marBottom w:val="0"/>
      <w:divBdr>
        <w:top w:val="none" w:sz="0" w:space="0" w:color="auto"/>
        <w:left w:val="none" w:sz="0" w:space="0" w:color="auto"/>
        <w:bottom w:val="none" w:sz="0" w:space="0" w:color="auto"/>
        <w:right w:val="none" w:sz="0" w:space="0" w:color="auto"/>
      </w:divBdr>
    </w:div>
    <w:div w:id="1776559104">
      <w:bodyDiv w:val="1"/>
      <w:marLeft w:val="0"/>
      <w:marRight w:val="0"/>
      <w:marTop w:val="0"/>
      <w:marBottom w:val="0"/>
      <w:divBdr>
        <w:top w:val="none" w:sz="0" w:space="0" w:color="auto"/>
        <w:left w:val="none" w:sz="0" w:space="0" w:color="auto"/>
        <w:bottom w:val="none" w:sz="0" w:space="0" w:color="auto"/>
        <w:right w:val="none" w:sz="0" w:space="0" w:color="auto"/>
      </w:divBdr>
    </w:div>
    <w:div w:id="1796370287">
      <w:bodyDiv w:val="1"/>
      <w:marLeft w:val="0"/>
      <w:marRight w:val="0"/>
      <w:marTop w:val="0"/>
      <w:marBottom w:val="0"/>
      <w:divBdr>
        <w:top w:val="none" w:sz="0" w:space="0" w:color="auto"/>
        <w:left w:val="none" w:sz="0" w:space="0" w:color="auto"/>
        <w:bottom w:val="none" w:sz="0" w:space="0" w:color="auto"/>
        <w:right w:val="none" w:sz="0" w:space="0" w:color="auto"/>
      </w:divBdr>
    </w:div>
    <w:div w:id="1823622218">
      <w:bodyDiv w:val="1"/>
      <w:marLeft w:val="0"/>
      <w:marRight w:val="0"/>
      <w:marTop w:val="0"/>
      <w:marBottom w:val="0"/>
      <w:divBdr>
        <w:top w:val="none" w:sz="0" w:space="0" w:color="auto"/>
        <w:left w:val="none" w:sz="0" w:space="0" w:color="auto"/>
        <w:bottom w:val="none" w:sz="0" w:space="0" w:color="auto"/>
        <w:right w:val="none" w:sz="0" w:space="0" w:color="auto"/>
      </w:divBdr>
    </w:div>
    <w:div w:id="1890922259">
      <w:bodyDiv w:val="1"/>
      <w:marLeft w:val="0"/>
      <w:marRight w:val="0"/>
      <w:marTop w:val="0"/>
      <w:marBottom w:val="0"/>
      <w:divBdr>
        <w:top w:val="none" w:sz="0" w:space="0" w:color="auto"/>
        <w:left w:val="none" w:sz="0" w:space="0" w:color="auto"/>
        <w:bottom w:val="none" w:sz="0" w:space="0" w:color="auto"/>
        <w:right w:val="none" w:sz="0" w:space="0" w:color="auto"/>
      </w:divBdr>
    </w:div>
    <w:div w:id="1950158019">
      <w:bodyDiv w:val="1"/>
      <w:marLeft w:val="0"/>
      <w:marRight w:val="0"/>
      <w:marTop w:val="0"/>
      <w:marBottom w:val="0"/>
      <w:divBdr>
        <w:top w:val="none" w:sz="0" w:space="0" w:color="auto"/>
        <w:left w:val="none" w:sz="0" w:space="0" w:color="auto"/>
        <w:bottom w:val="none" w:sz="0" w:space="0" w:color="auto"/>
        <w:right w:val="none" w:sz="0" w:space="0" w:color="auto"/>
      </w:divBdr>
    </w:div>
    <w:div w:id="1989825357">
      <w:bodyDiv w:val="1"/>
      <w:marLeft w:val="0"/>
      <w:marRight w:val="0"/>
      <w:marTop w:val="0"/>
      <w:marBottom w:val="0"/>
      <w:divBdr>
        <w:top w:val="none" w:sz="0" w:space="0" w:color="auto"/>
        <w:left w:val="none" w:sz="0" w:space="0" w:color="auto"/>
        <w:bottom w:val="none" w:sz="0" w:space="0" w:color="auto"/>
        <w:right w:val="none" w:sz="0" w:space="0" w:color="auto"/>
      </w:divBdr>
    </w:div>
    <w:div w:id="1993287492">
      <w:bodyDiv w:val="1"/>
      <w:marLeft w:val="0"/>
      <w:marRight w:val="0"/>
      <w:marTop w:val="0"/>
      <w:marBottom w:val="0"/>
      <w:divBdr>
        <w:top w:val="none" w:sz="0" w:space="0" w:color="auto"/>
        <w:left w:val="none" w:sz="0" w:space="0" w:color="auto"/>
        <w:bottom w:val="none" w:sz="0" w:space="0" w:color="auto"/>
        <w:right w:val="none" w:sz="0" w:space="0" w:color="auto"/>
      </w:divBdr>
    </w:div>
    <w:div w:id="2023629297">
      <w:bodyDiv w:val="1"/>
      <w:marLeft w:val="0"/>
      <w:marRight w:val="0"/>
      <w:marTop w:val="0"/>
      <w:marBottom w:val="0"/>
      <w:divBdr>
        <w:top w:val="none" w:sz="0" w:space="0" w:color="auto"/>
        <w:left w:val="none" w:sz="0" w:space="0" w:color="auto"/>
        <w:bottom w:val="none" w:sz="0" w:space="0" w:color="auto"/>
        <w:right w:val="none" w:sz="0" w:space="0" w:color="auto"/>
      </w:divBdr>
    </w:div>
    <w:div w:id="2031714194">
      <w:bodyDiv w:val="1"/>
      <w:marLeft w:val="0"/>
      <w:marRight w:val="0"/>
      <w:marTop w:val="0"/>
      <w:marBottom w:val="0"/>
      <w:divBdr>
        <w:top w:val="none" w:sz="0" w:space="0" w:color="auto"/>
        <w:left w:val="none" w:sz="0" w:space="0" w:color="auto"/>
        <w:bottom w:val="none" w:sz="0" w:space="0" w:color="auto"/>
        <w:right w:val="none" w:sz="0" w:space="0" w:color="auto"/>
      </w:divBdr>
    </w:div>
    <w:div w:id="2103644661">
      <w:bodyDiv w:val="1"/>
      <w:marLeft w:val="0"/>
      <w:marRight w:val="0"/>
      <w:marTop w:val="0"/>
      <w:marBottom w:val="0"/>
      <w:divBdr>
        <w:top w:val="none" w:sz="0" w:space="0" w:color="auto"/>
        <w:left w:val="none" w:sz="0" w:space="0" w:color="auto"/>
        <w:bottom w:val="none" w:sz="0" w:space="0" w:color="auto"/>
        <w:right w:val="none" w:sz="0" w:space="0" w:color="auto"/>
      </w:divBdr>
    </w:div>
    <w:div w:id="2131703878">
      <w:bodyDiv w:val="1"/>
      <w:marLeft w:val="0"/>
      <w:marRight w:val="0"/>
      <w:marTop w:val="0"/>
      <w:marBottom w:val="0"/>
      <w:divBdr>
        <w:top w:val="none" w:sz="0" w:space="0" w:color="auto"/>
        <w:left w:val="none" w:sz="0" w:space="0" w:color="auto"/>
        <w:bottom w:val="none" w:sz="0" w:space="0" w:color="auto"/>
        <w:right w:val="none" w:sz="0" w:space="0" w:color="auto"/>
      </w:divBdr>
    </w:div>
    <w:div w:id="213925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2215D-2482-4A25-9585-231A4DF11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8151</Words>
  <Characters>44393</Characters>
  <Application>Microsoft Office Word</Application>
  <DocSecurity>0</DocSecurity>
  <Lines>1168</Lines>
  <Paragraphs>603</Paragraphs>
  <ScaleCrop>false</ScaleCrop>
  <HeadingPairs>
    <vt:vector size="2" baseType="variant">
      <vt:variant>
        <vt:lpstr>Title</vt:lpstr>
      </vt:variant>
      <vt:variant>
        <vt:i4>1</vt:i4>
      </vt:variant>
    </vt:vector>
  </HeadingPairs>
  <TitlesOfParts>
    <vt:vector size="1" baseType="lpstr">
      <vt:lpstr>AusPAR Attachment 1: Product Information for Otezla</vt:lpstr>
    </vt:vector>
  </TitlesOfParts>
  <Company/>
  <LinksUpToDate>false</LinksUpToDate>
  <CharactersWithSpaces>51941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Otezla</dc:title>
  <dc:subject>Prescription medicines</dc:subject>
  <dc:creator>Celgene Pty Ltd</dc:creator>
  <cp:keywords>AusPARs</cp:keywords>
  <cp:lastModifiedBy>Searson, Lisa</cp:lastModifiedBy>
  <cp:revision>32</cp:revision>
  <cp:lastPrinted>2015-03-02T00:32:00Z</cp:lastPrinted>
  <dcterms:created xsi:type="dcterms:W3CDTF">2015-02-25T02:11:00Z</dcterms:created>
  <dcterms:modified xsi:type="dcterms:W3CDTF">2015-11-25T00:59:00Z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