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tblGrid>
      <w:tr w:rsidR="008E7846" w:rsidRPr="00487162" w:rsidTr="001532FE">
        <w:trPr>
          <w:trHeight w:val="1863"/>
        </w:trPr>
        <w:tc>
          <w:tcPr>
            <w:tcW w:w="8755" w:type="dxa"/>
            <w:tcBorders>
              <w:top w:val="nil"/>
              <w:left w:val="nil"/>
              <w:bottom w:val="nil"/>
              <w:right w:val="nil"/>
            </w:tcBorders>
          </w:tcPr>
          <w:p w:rsidR="008E7846" w:rsidRPr="00E34E4B" w:rsidRDefault="00E34E4B" w:rsidP="00E34E4B">
            <w:pPr>
              <w:pStyle w:val="Date"/>
              <w:framePr w:hSpace="0" w:wrap="auto" w:vAnchor="margin" w:hAnchor="text" w:yAlign="inline"/>
              <w:suppressOverlap w:val="0"/>
            </w:pPr>
            <w:bookmarkStart w:id="0" w:name="_GoBack"/>
            <w:bookmarkEnd w:id="0"/>
            <w:r w:rsidRPr="00E34E4B">
              <w:t>First r</w:t>
            </w:r>
            <w:r w:rsidR="001532FE" w:rsidRPr="00E34E4B">
              <w:t>ound CER report: 31 July 2014</w:t>
            </w:r>
          </w:p>
          <w:p w:rsidR="001532FE" w:rsidRPr="0017078F" w:rsidRDefault="00E34E4B" w:rsidP="00E34E4B">
            <w:pPr>
              <w:pStyle w:val="Date"/>
              <w:framePr w:hSpace="0" w:wrap="auto" w:vAnchor="margin" w:hAnchor="text" w:yAlign="inline"/>
              <w:suppressOverlap w:val="0"/>
            </w:pPr>
            <w:r w:rsidRPr="00E34E4B">
              <w:t>Second r</w:t>
            </w:r>
            <w:r w:rsidR="001532FE" w:rsidRPr="00E34E4B">
              <w:t>ound CER report: 31 December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E34E4B">
            <w:pPr>
              <w:pStyle w:val="Title"/>
              <w:framePr w:hSpace="0" w:wrap="auto" w:vAnchor="margin" w:yAlign="inline"/>
            </w:pPr>
            <w:r>
              <w:t xml:space="preserve">AusPAR </w:t>
            </w:r>
            <w:r w:rsidRPr="00E34E4B">
              <w:t>Attachment</w:t>
            </w:r>
            <w:r>
              <w:t xml:space="preserve"> 2</w:t>
            </w:r>
          </w:p>
        </w:tc>
      </w:tr>
      <w:tr w:rsidR="00E07F15" w:rsidRPr="00A964D1" w:rsidTr="00E07F15">
        <w:trPr>
          <w:trHeight w:val="868"/>
        </w:trPr>
        <w:tc>
          <w:tcPr>
            <w:tcW w:w="9079" w:type="dxa"/>
          </w:tcPr>
          <w:p w:rsidR="00E07F15" w:rsidRPr="00A964D1" w:rsidRDefault="00E07F15" w:rsidP="00E34E4B">
            <w:pPr>
              <w:pStyle w:val="Title"/>
              <w:framePr w:hSpace="0" w:wrap="auto" w:vAnchor="margin" w:yAlign="inline"/>
            </w:pPr>
            <w:r>
              <w:t>Extract from the Clinical Evaluation Report</w:t>
            </w:r>
            <w:r w:rsidRPr="00A964D1">
              <w:t xml:space="preserve"> for </w:t>
            </w:r>
            <w:r w:rsidR="00181B07">
              <w:t>Apixaban</w:t>
            </w:r>
          </w:p>
        </w:tc>
      </w:tr>
      <w:tr w:rsidR="00E07F15" w:rsidRPr="00B64760" w:rsidTr="00E07F15">
        <w:tc>
          <w:tcPr>
            <w:tcW w:w="9079" w:type="dxa"/>
          </w:tcPr>
          <w:p w:rsidR="00E07F15" w:rsidRPr="008E7846" w:rsidRDefault="00E07F15" w:rsidP="00E34E4B">
            <w:pPr>
              <w:pStyle w:val="Subtitle"/>
              <w:framePr w:hSpace="0" w:wrap="auto" w:vAnchor="margin" w:yAlign="inline"/>
            </w:pPr>
            <w:r w:rsidRPr="008E7846">
              <w:t xml:space="preserve">Proprietary Product </w:t>
            </w:r>
            <w:r w:rsidRPr="00E34E4B">
              <w:t>Name</w:t>
            </w:r>
            <w:r w:rsidRPr="008E7846">
              <w:t xml:space="preserve">: </w:t>
            </w:r>
            <w:r w:rsidR="00181B07">
              <w:t>Eliquis</w:t>
            </w:r>
          </w:p>
        </w:tc>
      </w:tr>
      <w:tr w:rsidR="00E07F15" w:rsidRPr="00B64760" w:rsidTr="00E07F15">
        <w:trPr>
          <w:trHeight w:val="486"/>
        </w:trPr>
        <w:tc>
          <w:tcPr>
            <w:tcW w:w="9079" w:type="dxa"/>
          </w:tcPr>
          <w:p w:rsidR="00E07F15" w:rsidRPr="008E7846" w:rsidRDefault="00E07F15" w:rsidP="00E34E4B">
            <w:pPr>
              <w:pStyle w:val="Subtitle"/>
              <w:framePr w:hSpace="0" w:wrap="auto" w:vAnchor="margin" w:yAlign="inline"/>
            </w:pPr>
            <w:r w:rsidRPr="008E7846">
              <w:t xml:space="preserve">Sponsor: </w:t>
            </w:r>
            <w:r w:rsidR="00181B07">
              <w:t>Bristol-Myers Squibb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566D7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566D7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566D7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66D7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566D7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87961">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D2E93"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6383317" w:history="1">
            <w:r w:rsidR="005D2E93" w:rsidRPr="00887F14">
              <w:rPr>
                <w:rStyle w:val="Hyperlink"/>
                <w:noProof/>
              </w:rPr>
              <w:t>List of abbreviations</w:t>
            </w:r>
            <w:r w:rsidR="005D2E93">
              <w:rPr>
                <w:noProof/>
                <w:webHidden/>
              </w:rPr>
              <w:tab/>
            </w:r>
            <w:r w:rsidR="005D2E93">
              <w:rPr>
                <w:noProof/>
                <w:webHidden/>
              </w:rPr>
              <w:fldChar w:fldCharType="begin"/>
            </w:r>
            <w:r w:rsidR="005D2E93">
              <w:rPr>
                <w:noProof/>
                <w:webHidden/>
              </w:rPr>
              <w:instrText xml:space="preserve"> PAGEREF _Toc436383317 \h </w:instrText>
            </w:r>
            <w:r w:rsidR="005D2E93">
              <w:rPr>
                <w:noProof/>
                <w:webHidden/>
              </w:rPr>
            </w:r>
            <w:r w:rsidR="005D2E93">
              <w:rPr>
                <w:noProof/>
                <w:webHidden/>
              </w:rPr>
              <w:fldChar w:fldCharType="separate"/>
            </w:r>
            <w:r w:rsidR="005D2E93">
              <w:rPr>
                <w:noProof/>
                <w:webHidden/>
              </w:rPr>
              <w:t>5</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18" w:history="1">
            <w:r w:rsidR="005D2E93" w:rsidRPr="00887F14">
              <w:rPr>
                <w:rStyle w:val="Hyperlink"/>
                <w:noProof/>
                <w:lang w:eastAsia="en-AU"/>
              </w:rPr>
              <w:t>1.</w:t>
            </w:r>
            <w:r w:rsidR="005D2E93">
              <w:rPr>
                <w:rFonts w:asciiTheme="minorHAnsi" w:eastAsiaTheme="minorEastAsia" w:hAnsiTheme="minorHAnsi" w:cstheme="minorBidi"/>
                <w:b w:val="0"/>
                <w:noProof/>
                <w:sz w:val="22"/>
                <w:lang w:eastAsia="en-AU"/>
              </w:rPr>
              <w:tab/>
            </w:r>
            <w:r w:rsidR="005D2E93" w:rsidRPr="00887F14">
              <w:rPr>
                <w:rStyle w:val="Hyperlink"/>
                <w:noProof/>
                <w:lang w:eastAsia="en-AU"/>
              </w:rPr>
              <w:t>Introduction</w:t>
            </w:r>
            <w:r w:rsidR="005D2E93">
              <w:rPr>
                <w:noProof/>
                <w:webHidden/>
              </w:rPr>
              <w:tab/>
            </w:r>
            <w:r w:rsidR="005D2E93">
              <w:rPr>
                <w:noProof/>
                <w:webHidden/>
              </w:rPr>
              <w:fldChar w:fldCharType="begin"/>
            </w:r>
            <w:r w:rsidR="005D2E93">
              <w:rPr>
                <w:noProof/>
                <w:webHidden/>
              </w:rPr>
              <w:instrText xml:space="preserve"> PAGEREF _Toc436383318 \h </w:instrText>
            </w:r>
            <w:r w:rsidR="005D2E93">
              <w:rPr>
                <w:noProof/>
                <w:webHidden/>
              </w:rPr>
            </w:r>
            <w:r w:rsidR="005D2E93">
              <w:rPr>
                <w:noProof/>
                <w:webHidden/>
              </w:rPr>
              <w:fldChar w:fldCharType="separate"/>
            </w:r>
            <w:r w:rsidR="005D2E93">
              <w:rPr>
                <w:noProof/>
                <w:webHidden/>
              </w:rPr>
              <w:t>8</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19" w:history="1">
            <w:r w:rsidR="005D2E93" w:rsidRPr="00887F14">
              <w:rPr>
                <w:rStyle w:val="Hyperlink"/>
                <w:noProof/>
              </w:rPr>
              <w:t>1.1.</w:t>
            </w:r>
            <w:r w:rsidR="005D2E93">
              <w:rPr>
                <w:rFonts w:asciiTheme="minorHAnsi" w:eastAsiaTheme="minorEastAsia" w:hAnsiTheme="minorHAnsi" w:cstheme="minorBidi"/>
                <w:noProof/>
                <w:lang w:eastAsia="en-AU"/>
              </w:rPr>
              <w:tab/>
            </w:r>
            <w:r w:rsidR="005D2E93" w:rsidRPr="00887F14">
              <w:rPr>
                <w:rStyle w:val="Hyperlink"/>
                <w:noProof/>
              </w:rPr>
              <w:t>Submission type</w:t>
            </w:r>
            <w:r w:rsidR="005D2E93">
              <w:rPr>
                <w:noProof/>
                <w:webHidden/>
              </w:rPr>
              <w:tab/>
            </w:r>
            <w:r w:rsidR="005D2E93">
              <w:rPr>
                <w:noProof/>
                <w:webHidden/>
              </w:rPr>
              <w:fldChar w:fldCharType="begin"/>
            </w:r>
            <w:r w:rsidR="005D2E93">
              <w:rPr>
                <w:noProof/>
                <w:webHidden/>
              </w:rPr>
              <w:instrText xml:space="preserve"> PAGEREF _Toc436383319 \h </w:instrText>
            </w:r>
            <w:r w:rsidR="005D2E93">
              <w:rPr>
                <w:noProof/>
                <w:webHidden/>
              </w:rPr>
            </w:r>
            <w:r w:rsidR="005D2E93">
              <w:rPr>
                <w:noProof/>
                <w:webHidden/>
              </w:rPr>
              <w:fldChar w:fldCharType="separate"/>
            </w:r>
            <w:r w:rsidR="005D2E93">
              <w:rPr>
                <w:noProof/>
                <w:webHidden/>
              </w:rPr>
              <w:t>8</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20" w:history="1">
            <w:r w:rsidR="005D2E93" w:rsidRPr="00887F14">
              <w:rPr>
                <w:rStyle w:val="Hyperlink"/>
                <w:noProof/>
              </w:rPr>
              <w:t>1.2.</w:t>
            </w:r>
            <w:r w:rsidR="005D2E93">
              <w:rPr>
                <w:rFonts w:asciiTheme="minorHAnsi" w:eastAsiaTheme="minorEastAsia" w:hAnsiTheme="minorHAnsi" w:cstheme="minorBidi"/>
                <w:noProof/>
                <w:lang w:eastAsia="en-AU"/>
              </w:rPr>
              <w:tab/>
            </w:r>
            <w:r w:rsidR="005D2E93" w:rsidRPr="00887F14">
              <w:rPr>
                <w:rStyle w:val="Hyperlink"/>
                <w:noProof/>
              </w:rPr>
              <w:t>Drug class and therapeutic indication</w:t>
            </w:r>
            <w:r w:rsidR="005D2E93">
              <w:rPr>
                <w:noProof/>
                <w:webHidden/>
              </w:rPr>
              <w:tab/>
            </w:r>
            <w:r w:rsidR="005D2E93">
              <w:rPr>
                <w:noProof/>
                <w:webHidden/>
              </w:rPr>
              <w:fldChar w:fldCharType="begin"/>
            </w:r>
            <w:r w:rsidR="005D2E93">
              <w:rPr>
                <w:noProof/>
                <w:webHidden/>
              </w:rPr>
              <w:instrText xml:space="preserve"> PAGEREF _Toc436383320 \h </w:instrText>
            </w:r>
            <w:r w:rsidR="005D2E93">
              <w:rPr>
                <w:noProof/>
                <w:webHidden/>
              </w:rPr>
            </w:r>
            <w:r w:rsidR="005D2E93">
              <w:rPr>
                <w:noProof/>
                <w:webHidden/>
              </w:rPr>
              <w:fldChar w:fldCharType="separate"/>
            </w:r>
            <w:r w:rsidR="005D2E93">
              <w:rPr>
                <w:noProof/>
                <w:webHidden/>
              </w:rPr>
              <w:t>8</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21" w:history="1">
            <w:r w:rsidR="005D2E93" w:rsidRPr="00887F14">
              <w:rPr>
                <w:rStyle w:val="Hyperlink"/>
                <w:noProof/>
              </w:rPr>
              <w:t>1.3.</w:t>
            </w:r>
            <w:r w:rsidR="005D2E93">
              <w:rPr>
                <w:rFonts w:asciiTheme="minorHAnsi" w:eastAsiaTheme="minorEastAsia" w:hAnsiTheme="minorHAnsi" w:cstheme="minorBidi"/>
                <w:noProof/>
                <w:lang w:eastAsia="en-AU"/>
              </w:rPr>
              <w:tab/>
            </w:r>
            <w:r w:rsidR="005D2E93" w:rsidRPr="00887F14">
              <w:rPr>
                <w:rStyle w:val="Hyperlink"/>
                <w:noProof/>
              </w:rPr>
              <w:t>Dosage forms and strengths</w:t>
            </w:r>
            <w:r w:rsidR="005D2E93">
              <w:rPr>
                <w:noProof/>
                <w:webHidden/>
              </w:rPr>
              <w:tab/>
            </w:r>
            <w:r w:rsidR="005D2E93">
              <w:rPr>
                <w:noProof/>
                <w:webHidden/>
              </w:rPr>
              <w:fldChar w:fldCharType="begin"/>
            </w:r>
            <w:r w:rsidR="005D2E93">
              <w:rPr>
                <w:noProof/>
                <w:webHidden/>
              </w:rPr>
              <w:instrText xml:space="preserve"> PAGEREF _Toc436383321 \h </w:instrText>
            </w:r>
            <w:r w:rsidR="005D2E93">
              <w:rPr>
                <w:noProof/>
                <w:webHidden/>
              </w:rPr>
            </w:r>
            <w:r w:rsidR="005D2E93">
              <w:rPr>
                <w:noProof/>
                <w:webHidden/>
              </w:rPr>
              <w:fldChar w:fldCharType="separate"/>
            </w:r>
            <w:r w:rsidR="005D2E93">
              <w:rPr>
                <w:noProof/>
                <w:webHidden/>
              </w:rPr>
              <w:t>8</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22" w:history="1">
            <w:r w:rsidR="005D2E93" w:rsidRPr="00887F14">
              <w:rPr>
                <w:rStyle w:val="Hyperlink"/>
                <w:noProof/>
              </w:rPr>
              <w:t>1.4.</w:t>
            </w:r>
            <w:r w:rsidR="005D2E93">
              <w:rPr>
                <w:rFonts w:asciiTheme="minorHAnsi" w:eastAsiaTheme="minorEastAsia" w:hAnsiTheme="minorHAnsi" w:cstheme="minorBidi"/>
                <w:noProof/>
                <w:lang w:eastAsia="en-AU"/>
              </w:rPr>
              <w:tab/>
            </w:r>
            <w:r w:rsidR="005D2E93" w:rsidRPr="00887F14">
              <w:rPr>
                <w:rStyle w:val="Hyperlink"/>
                <w:noProof/>
              </w:rPr>
              <w:t>Dosage and administration</w:t>
            </w:r>
            <w:r w:rsidR="005D2E93">
              <w:rPr>
                <w:noProof/>
                <w:webHidden/>
              </w:rPr>
              <w:tab/>
            </w:r>
            <w:r w:rsidR="005D2E93">
              <w:rPr>
                <w:noProof/>
                <w:webHidden/>
              </w:rPr>
              <w:fldChar w:fldCharType="begin"/>
            </w:r>
            <w:r w:rsidR="005D2E93">
              <w:rPr>
                <w:noProof/>
                <w:webHidden/>
              </w:rPr>
              <w:instrText xml:space="preserve"> PAGEREF _Toc436383322 \h </w:instrText>
            </w:r>
            <w:r w:rsidR="005D2E93">
              <w:rPr>
                <w:noProof/>
                <w:webHidden/>
              </w:rPr>
            </w:r>
            <w:r w:rsidR="005D2E93">
              <w:rPr>
                <w:noProof/>
                <w:webHidden/>
              </w:rPr>
              <w:fldChar w:fldCharType="separate"/>
            </w:r>
            <w:r w:rsidR="005D2E93">
              <w:rPr>
                <w:noProof/>
                <w:webHidden/>
              </w:rPr>
              <w:t>9</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23" w:history="1">
            <w:r w:rsidR="005D2E93" w:rsidRPr="00887F14">
              <w:rPr>
                <w:rStyle w:val="Hyperlink"/>
                <w:noProof/>
              </w:rPr>
              <w:t>2.</w:t>
            </w:r>
            <w:r w:rsidR="005D2E93">
              <w:rPr>
                <w:rFonts w:asciiTheme="minorHAnsi" w:eastAsiaTheme="minorEastAsia" w:hAnsiTheme="minorHAnsi" w:cstheme="minorBidi"/>
                <w:b w:val="0"/>
                <w:noProof/>
                <w:sz w:val="22"/>
                <w:lang w:eastAsia="en-AU"/>
              </w:rPr>
              <w:tab/>
            </w:r>
            <w:r w:rsidR="005D2E93" w:rsidRPr="00887F14">
              <w:rPr>
                <w:rStyle w:val="Hyperlink"/>
                <w:noProof/>
              </w:rPr>
              <w:t>Clinical rationale</w:t>
            </w:r>
            <w:r w:rsidR="005D2E93">
              <w:rPr>
                <w:noProof/>
                <w:webHidden/>
              </w:rPr>
              <w:tab/>
            </w:r>
            <w:r w:rsidR="005D2E93">
              <w:rPr>
                <w:noProof/>
                <w:webHidden/>
              </w:rPr>
              <w:fldChar w:fldCharType="begin"/>
            </w:r>
            <w:r w:rsidR="005D2E93">
              <w:rPr>
                <w:noProof/>
                <w:webHidden/>
              </w:rPr>
              <w:instrText xml:space="preserve"> PAGEREF _Toc436383323 \h </w:instrText>
            </w:r>
            <w:r w:rsidR="005D2E93">
              <w:rPr>
                <w:noProof/>
                <w:webHidden/>
              </w:rPr>
            </w:r>
            <w:r w:rsidR="005D2E93">
              <w:rPr>
                <w:noProof/>
                <w:webHidden/>
              </w:rPr>
              <w:fldChar w:fldCharType="separate"/>
            </w:r>
            <w:r w:rsidR="005D2E93">
              <w:rPr>
                <w:noProof/>
                <w:webHidden/>
              </w:rPr>
              <w:t>9</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24" w:history="1">
            <w:r w:rsidR="005D2E93" w:rsidRPr="00887F14">
              <w:rPr>
                <w:rStyle w:val="Hyperlink"/>
                <w:noProof/>
                <w:lang w:eastAsia="en-AU"/>
              </w:rPr>
              <w:t>3.</w:t>
            </w:r>
            <w:r w:rsidR="005D2E93">
              <w:rPr>
                <w:rFonts w:asciiTheme="minorHAnsi" w:eastAsiaTheme="minorEastAsia" w:hAnsiTheme="minorHAnsi" w:cstheme="minorBidi"/>
                <w:b w:val="0"/>
                <w:noProof/>
                <w:sz w:val="22"/>
                <w:lang w:eastAsia="en-AU"/>
              </w:rPr>
              <w:tab/>
            </w:r>
            <w:r w:rsidR="005D2E93" w:rsidRPr="00887F14">
              <w:rPr>
                <w:rStyle w:val="Hyperlink"/>
                <w:noProof/>
                <w:lang w:eastAsia="en-AU"/>
              </w:rPr>
              <w:t>Contents of the clinical dossier</w:t>
            </w:r>
            <w:r w:rsidR="005D2E93">
              <w:rPr>
                <w:noProof/>
                <w:webHidden/>
              </w:rPr>
              <w:tab/>
            </w:r>
            <w:r w:rsidR="005D2E93">
              <w:rPr>
                <w:noProof/>
                <w:webHidden/>
              </w:rPr>
              <w:fldChar w:fldCharType="begin"/>
            </w:r>
            <w:r w:rsidR="005D2E93">
              <w:rPr>
                <w:noProof/>
                <w:webHidden/>
              </w:rPr>
              <w:instrText xml:space="preserve"> PAGEREF _Toc436383324 \h </w:instrText>
            </w:r>
            <w:r w:rsidR="005D2E93">
              <w:rPr>
                <w:noProof/>
                <w:webHidden/>
              </w:rPr>
            </w:r>
            <w:r w:rsidR="005D2E93">
              <w:rPr>
                <w:noProof/>
                <w:webHidden/>
              </w:rPr>
              <w:fldChar w:fldCharType="separate"/>
            </w:r>
            <w:r w:rsidR="005D2E93">
              <w:rPr>
                <w:noProof/>
                <w:webHidden/>
              </w:rPr>
              <w:t>9</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25" w:history="1">
            <w:r w:rsidR="005D2E93" w:rsidRPr="00887F14">
              <w:rPr>
                <w:rStyle w:val="Hyperlink"/>
                <w:noProof/>
              </w:rPr>
              <w:t>3.1.</w:t>
            </w:r>
            <w:r w:rsidR="005D2E93">
              <w:rPr>
                <w:rFonts w:asciiTheme="minorHAnsi" w:eastAsiaTheme="minorEastAsia" w:hAnsiTheme="minorHAnsi" w:cstheme="minorBidi"/>
                <w:noProof/>
                <w:lang w:eastAsia="en-AU"/>
              </w:rPr>
              <w:tab/>
            </w:r>
            <w:r w:rsidR="005D2E93" w:rsidRPr="00887F14">
              <w:rPr>
                <w:rStyle w:val="Hyperlink"/>
                <w:noProof/>
              </w:rPr>
              <w:t>Scope of the clinical dossier</w:t>
            </w:r>
            <w:r w:rsidR="005D2E93">
              <w:rPr>
                <w:noProof/>
                <w:webHidden/>
              </w:rPr>
              <w:tab/>
            </w:r>
            <w:r w:rsidR="005D2E93">
              <w:rPr>
                <w:noProof/>
                <w:webHidden/>
              </w:rPr>
              <w:fldChar w:fldCharType="begin"/>
            </w:r>
            <w:r w:rsidR="005D2E93">
              <w:rPr>
                <w:noProof/>
                <w:webHidden/>
              </w:rPr>
              <w:instrText xml:space="preserve"> PAGEREF _Toc436383325 \h </w:instrText>
            </w:r>
            <w:r w:rsidR="005D2E93">
              <w:rPr>
                <w:noProof/>
                <w:webHidden/>
              </w:rPr>
            </w:r>
            <w:r w:rsidR="005D2E93">
              <w:rPr>
                <w:noProof/>
                <w:webHidden/>
              </w:rPr>
              <w:fldChar w:fldCharType="separate"/>
            </w:r>
            <w:r w:rsidR="005D2E93">
              <w:rPr>
                <w:noProof/>
                <w:webHidden/>
              </w:rPr>
              <w:t>9</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26" w:history="1">
            <w:r w:rsidR="005D2E93" w:rsidRPr="00887F14">
              <w:rPr>
                <w:rStyle w:val="Hyperlink"/>
                <w:noProof/>
              </w:rPr>
              <w:t>3.2.</w:t>
            </w:r>
            <w:r w:rsidR="005D2E93">
              <w:rPr>
                <w:rFonts w:asciiTheme="minorHAnsi" w:eastAsiaTheme="minorEastAsia" w:hAnsiTheme="minorHAnsi" w:cstheme="minorBidi"/>
                <w:noProof/>
                <w:lang w:eastAsia="en-AU"/>
              </w:rPr>
              <w:tab/>
            </w:r>
            <w:r w:rsidR="005D2E93" w:rsidRPr="00887F14">
              <w:rPr>
                <w:rStyle w:val="Hyperlink"/>
                <w:noProof/>
              </w:rPr>
              <w:t>Paediatric data</w:t>
            </w:r>
            <w:r w:rsidR="005D2E93">
              <w:rPr>
                <w:noProof/>
                <w:webHidden/>
              </w:rPr>
              <w:tab/>
            </w:r>
            <w:r w:rsidR="005D2E93">
              <w:rPr>
                <w:noProof/>
                <w:webHidden/>
              </w:rPr>
              <w:fldChar w:fldCharType="begin"/>
            </w:r>
            <w:r w:rsidR="005D2E93">
              <w:rPr>
                <w:noProof/>
                <w:webHidden/>
              </w:rPr>
              <w:instrText xml:space="preserve"> PAGEREF _Toc436383326 \h </w:instrText>
            </w:r>
            <w:r w:rsidR="005D2E93">
              <w:rPr>
                <w:noProof/>
                <w:webHidden/>
              </w:rPr>
            </w:r>
            <w:r w:rsidR="005D2E93">
              <w:rPr>
                <w:noProof/>
                <w:webHidden/>
              </w:rPr>
              <w:fldChar w:fldCharType="separate"/>
            </w:r>
            <w:r w:rsidR="005D2E93">
              <w:rPr>
                <w:noProof/>
                <w:webHidden/>
              </w:rPr>
              <w:t>10</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27" w:history="1">
            <w:r w:rsidR="005D2E93" w:rsidRPr="00887F14">
              <w:rPr>
                <w:rStyle w:val="Hyperlink"/>
                <w:noProof/>
              </w:rPr>
              <w:t>3.3.</w:t>
            </w:r>
            <w:r w:rsidR="005D2E93">
              <w:rPr>
                <w:rFonts w:asciiTheme="minorHAnsi" w:eastAsiaTheme="minorEastAsia" w:hAnsiTheme="minorHAnsi" w:cstheme="minorBidi"/>
                <w:noProof/>
                <w:lang w:eastAsia="en-AU"/>
              </w:rPr>
              <w:tab/>
            </w:r>
            <w:r w:rsidR="005D2E93" w:rsidRPr="00887F14">
              <w:rPr>
                <w:rStyle w:val="Hyperlink"/>
                <w:noProof/>
              </w:rPr>
              <w:t>Good clinical practice</w:t>
            </w:r>
            <w:r w:rsidR="005D2E93">
              <w:rPr>
                <w:noProof/>
                <w:webHidden/>
              </w:rPr>
              <w:tab/>
            </w:r>
            <w:r w:rsidR="005D2E93">
              <w:rPr>
                <w:noProof/>
                <w:webHidden/>
              </w:rPr>
              <w:fldChar w:fldCharType="begin"/>
            </w:r>
            <w:r w:rsidR="005D2E93">
              <w:rPr>
                <w:noProof/>
                <w:webHidden/>
              </w:rPr>
              <w:instrText xml:space="preserve"> PAGEREF _Toc436383327 \h </w:instrText>
            </w:r>
            <w:r w:rsidR="005D2E93">
              <w:rPr>
                <w:noProof/>
                <w:webHidden/>
              </w:rPr>
            </w:r>
            <w:r w:rsidR="005D2E93">
              <w:rPr>
                <w:noProof/>
                <w:webHidden/>
              </w:rPr>
              <w:fldChar w:fldCharType="separate"/>
            </w:r>
            <w:r w:rsidR="005D2E93">
              <w:rPr>
                <w:noProof/>
                <w:webHidden/>
              </w:rPr>
              <w:t>10</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28" w:history="1">
            <w:r w:rsidR="005D2E93" w:rsidRPr="00887F14">
              <w:rPr>
                <w:rStyle w:val="Hyperlink"/>
                <w:noProof/>
              </w:rPr>
              <w:t>4.</w:t>
            </w:r>
            <w:r w:rsidR="005D2E93">
              <w:rPr>
                <w:rFonts w:asciiTheme="minorHAnsi" w:eastAsiaTheme="minorEastAsia" w:hAnsiTheme="minorHAnsi" w:cstheme="minorBidi"/>
                <w:b w:val="0"/>
                <w:noProof/>
                <w:sz w:val="22"/>
                <w:lang w:eastAsia="en-AU"/>
              </w:rPr>
              <w:tab/>
            </w:r>
            <w:r w:rsidR="005D2E93" w:rsidRPr="00887F14">
              <w:rPr>
                <w:rStyle w:val="Hyperlink"/>
                <w:noProof/>
              </w:rPr>
              <w:t>Pharmacokinetics</w:t>
            </w:r>
            <w:r w:rsidR="005D2E93">
              <w:rPr>
                <w:noProof/>
                <w:webHidden/>
              </w:rPr>
              <w:tab/>
            </w:r>
            <w:r w:rsidR="005D2E93">
              <w:rPr>
                <w:noProof/>
                <w:webHidden/>
              </w:rPr>
              <w:fldChar w:fldCharType="begin"/>
            </w:r>
            <w:r w:rsidR="005D2E93">
              <w:rPr>
                <w:noProof/>
                <w:webHidden/>
              </w:rPr>
              <w:instrText xml:space="preserve"> PAGEREF _Toc436383328 \h </w:instrText>
            </w:r>
            <w:r w:rsidR="005D2E93">
              <w:rPr>
                <w:noProof/>
                <w:webHidden/>
              </w:rPr>
            </w:r>
            <w:r w:rsidR="005D2E93">
              <w:rPr>
                <w:noProof/>
                <w:webHidden/>
              </w:rPr>
              <w:fldChar w:fldCharType="separate"/>
            </w:r>
            <w:r w:rsidR="005D2E93">
              <w:rPr>
                <w:noProof/>
                <w:webHidden/>
              </w:rPr>
              <w:t>10</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29" w:history="1">
            <w:r w:rsidR="005D2E93" w:rsidRPr="00887F14">
              <w:rPr>
                <w:rStyle w:val="Hyperlink"/>
                <w:noProof/>
              </w:rPr>
              <w:t>4.1.</w:t>
            </w:r>
            <w:r w:rsidR="005D2E93">
              <w:rPr>
                <w:rFonts w:asciiTheme="minorHAnsi" w:eastAsiaTheme="minorEastAsia" w:hAnsiTheme="minorHAnsi" w:cstheme="minorBidi"/>
                <w:noProof/>
                <w:lang w:eastAsia="en-AU"/>
              </w:rPr>
              <w:tab/>
            </w:r>
            <w:r w:rsidR="005D2E93" w:rsidRPr="00887F14">
              <w:rPr>
                <w:rStyle w:val="Hyperlink"/>
                <w:noProof/>
              </w:rPr>
              <w:t>Studies providing pharmacokinetic data</w:t>
            </w:r>
            <w:r w:rsidR="005D2E93">
              <w:rPr>
                <w:noProof/>
                <w:webHidden/>
              </w:rPr>
              <w:tab/>
            </w:r>
            <w:r w:rsidR="005D2E93">
              <w:rPr>
                <w:noProof/>
                <w:webHidden/>
              </w:rPr>
              <w:fldChar w:fldCharType="begin"/>
            </w:r>
            <w:r w:rsidR="005D2E93">
              <w:rPr>
                <w:noProof/>
                <w:webHidden/>
              </w:rPr>
              <w:instrText xml:space="preserve"> PAGEREF _Toc436383329 \h </w:instrText>
            </w:r>
            <w:r w:rsidR="005D2E93">
              <w:rPr>
                <w:noProof/>
                <w:webHidden/>
              </w:rPr>
            </w:r>
            <w:r w:rsidR="005D2E93">
              <w:rPr>
                <w:noProof/>
                <w:webHidden/>
              </w:rPr>
              <w:fldChar w:fldCharType="separate"/>
            </w:r>
            <w:r w:rsidR="005D2E93">
              <w:rPr>
                <w:noProof/>
                <w:webHidden/>
              </w:rPr>
              <w:t>10</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30" w:history="1">
            <w:r w:rsidR="005D2E93" w:rsidRPr="00887F14">
              <w:rPr>
                <w:rStyle w:val="Hyperlink"/>
                <w:noProof/>
              </w:rPr>
              <w:t>4.2.</w:t>
            </w:r>
            <w:r w:rsidR="005D2E93">
              <w:rPr>
                <w:rFonts w:asciiTheme="minorHAnsi" w:eastAsiaTheme="minorEastAsia" w:hAnsiTheme="minorHAnsi" w:cstheme="minorBidi"/>
                <w:noProof/>
                <w:lang w:eastAsia="en-AU"/>
              </w:rPr>
              <w:tab/>
            </w:r>
            <w:r w:rsidR="005D2E93" w:rsidRPr="00887F14">
              <w:rPr>
                <w:rStyle w:val="Hyperlink"/>
                <w:noProof/>
              </w:rPr>
              <w:t>Summary of pharmacokinetics</w:t>
            </w:r>
            <w:r w:rsidR="005D2E93">
              <w:rPr>
                <w:noProof/>
                <w:webHidden/>
              </w:rPr>
              <w:tab/>
            </w:r>
            <w:r w:rsidR="005D2E93">
              <w:rPr>
                <w:noProof/>
                <w:webHidden/>
              </w:rPr>
              <w:fldChar w:fldCharType="begin"/>
            </w:r>
            <w:r w:rsidR="005D2E93">
              <w:rPr>
                <w:noProof/>
                <w:webHidden/>
              </w:rPr>
              <w:instrText xml:space="preserve"> PAGEREF _Toc436383330 \h </w:instrText>
            </w:r>
            <w:r w:rsidR="005D2E93">
              <w:rPr>
                <w:noProof/>
                <w:webHidden/>
              </w:rPr>
            </w:r>
            <w:r w:rsidR="005D2E93">
              <w:rPr>
                <w:noProof/>
                <w:webHidden/>
              </w:rPr>
              <w:fldChar w:fldCharType="separate"/>
            </w:r>
            <w:r w:rsidR="005D2E93">
              <w:rPr>
                <w:noProof/>
                <w:webHidden/>
              </w:rPr>
              <w:t>11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31" w:history="1">
            <w:r w:rsidR="005D2E93" w:rsidRPr="00887F14">
              <w:rPr>
                <w:rStyle w:val="Hyperlink"/>
                <w:noProof/>
              </w:rPr>
              <w:t>4.3.</w:t>
            </w:r>
            <w:r w:rsidR="005D2E93">
              <w:rPr>
                <w:rFonts w:asciiTheme="minorHAnsi" w:eastAsiaTheme="minorEastAsia" w:hAnsiTheme="minorHAnsi" w:cstheme="minorBidi"/>
                <w:noProof/>
                <w:lang w:eastAsia="en-AU"/>
              </w:rPr>
              <w:tab/>
            </w:r>
            <w:r w:rsidR="005D2E93" w:rsidRPr="00887F14">
              <w:rPr>
                <w:rStyle w:val="Hyperlink"/>
                <w:noProof/>
              </w:rPr>
              <w:t>Evaluator’s overall conclusions on pharmacokinetics</w:t>
            </w:r>
            <w:r w:rsidR="005D2E93">
              <w:rPr>
                <w:noProof/>
                <w:webHidden/>
              </w:rPr>
              <w:tab/>
            </w:r>
            <w:r w:rsidR="005D2E93">
              <w:rPr>
                <w:noProof/>
                <w:webHidden/>
              </w:rPr>
              <w:fldChar w:fldCharType="begin"/>
            </w:r>
            <w:r w:rsidR="005D2E93">
              <w:rPr>
                <w:noProof/>
                <w:webHidden/>
              </w:rPr>
              <w:instrText xml:space="preserve"> PAGEREF _Toc436383331 \h </w:instrText>
            </w:r>
            <w:r w:rsidR="005D2E93">
              <w:rPr>
                <w:noProof/>
                <w:webHidden/>
              </w:rPr>
            </w:r>
            <w:r w:rsidR="005D2E93">
              <w:rPr>
                <w:noProof/>
                <w:webHidden/>
              </w:rPr>
              <w:fldChar w:fldCharType="separate"/>
            </w:r>
            <w:r w:rsidR="005D2E93">
              <w:rPr>
                <w:noProof/>
                <w:webHidden/>
              </w:rPr>
              <w:t>12</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32" w:history="1">
            <w:r w:rsidR="005D2E93" w:rsidRPr="00887F14">
              <w:rPr>
                <w:rStyle w:val="Hyperlink"/>
                <w:noProof/>
              </w:rPr>
              <w:t>5.</w:t>
            </w:r>
            <w:r w:rsidR="005D2E93">
              <w:rPr>
                <w:rFonts w:asciiTheme="minorHAnsi" w:eastAsiaTheme="minorEastAsia" w:hAnsiTheme="minorHAnsi" w:cstheme="minorBidi"/>
                <w:b w:val="0"/>
                <w:noProof/>
                <w:sz w:val="22"/>
                <w:lang w:eastAsia="en-AU"/>
              </w:rPr>
              <w:tab/>
            </w:r>
            <w:r w:rsidR="005D2E93" w:rsidRPr="00887F14">
              <w:rPr>
                <w:rStyle w:val="Hyperlink"/>
                <w:noProof/>
              </w:rPr>
              <w:t>Pharmacodynamics</w:t>
            </w:r>
            <w:r w:rsidR="005D2E93">
              <w:rPr>
                <w:noProof/>
                <w:webHidden/>
              </w:rPr>
              <w:tab/>
            </w:r>
            <w:r w:rsidR="005D2E93">
              <w:rPr>
                <w:noProof/>
                <w:webHidden/>
              </w:rPr>
              <w:fldChar w:fldCharType="begin"/>
            </w:r>
            <w:r w:rsidR="005D2E93">
              <w:rPr>
                <w:noProof/>
                <w:webHidden/>
              </w:rPr>
              <w:instrText xml:space="preserve"> PAGEREF _Toc436383332 \h </w:instrText>
            </w:r>
            <w:r w:rsidR="005D2E93">
              <w:rPr>
                <w:noProof/>
                <w:webHidden/>
              </w:rPr>
            </w:r>
            <w:r w:rsidR="005D2E93">
              <w:rPr>
                <w:noProof/>
                <w:webHidden/>
              </w:rPr>
              <w:fldChar w:fldCharType="separate"/>
            </w:r>
            <w:r w:rsidR="005D2E93">
              <w:rPr>
                <w:noProof/>
                <w:webHidden/>
              </w:rPr>
              <w:t>13</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33" w:history="1">
            <w:r w:rsidR="005D2E93" w:rsidRPr="00887F14">
              <w:rPr>
                <w:rStyle w:val="Hyperlink"/>
                <w:noProof/>
              </w:rPr>
              <w:t>5.1.</w:t>
            </w:r>
            <w:r w:rsidR="005D2E93">
              <w:rPr>
                <w:rFonts w:asciiTheme="minorHAnsi" w:eastAsiaTheme="minorEastAsia" w:hAnsiTheme="minorHAnsi" w:cstheme="minorBidi"/>
                <w:noProof/>
                <w:lang w:eastAsia="en-AU"/>
              </w:rPr>
              <w:tab/>
            </w:r>
            <w:r w:rsidR="005D2E93" w:rsidRPr="00887F14">
              <w:rPr>
                <w:rStyle w:val="Hyperlink"/>
                <w:noProof/>
              </w:rPr>
              <w:t>Studies providing pharmacodynamic data</w:t>
            </w:r>
            <w:r w:rsidR="005D2E93">
              <w:rPr>
                <w:noProof/>
                <w:webHidden/>
              </w:rPr>
              <w:tab/>
            </w:r>
            <w:r w:rsidR="005D2E93">
              <w:rPr>
                <w:noProof/>
                <w:webHidden/>
              </w:rPr>
              <w:fldChar w:fldCharType="begin"/>
            </w:r>
            <w:r w:rsidR="005D2E93">
              <w:rPr>
                <w:noProof/>
                <w:webHidden/>
              </w:rPr>
              <w:instrText xml:space="preserve"> PAGEREF _Toc436383333 \h </w:instrText>
            </w:r>
            <w:r w:rsidR="005D2E93">
              <w:rPr>
                <w:noProof/>
                <w:webHidden/>
              </w:rPr>
            </w:r>
            <w:r w:rsidR="005D2E93">
              <w:rPr>
                <w:noProof/>
                <w:webHidden/>
              </w:rPr>
              <w:fldChar w:fldCharType="separate"/>
            </w:r>
            <w:r w:rsidR="005D2E93">
              <w:rPr>
                <w:noProof/>
                <w:webHidden/>
              </w:rPr>
              <w:t>13</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34" w:history="1">
            <w:r w:rsidR="005D2E93" w:rsidRPr="00887F14">
              <w:rPr>
                <w:rStyle w:val="Hyperlink"/>
                <w:noProof/>
              </w:rPr>
              <w:t>5.2.</w:t>
            </w:r>
            <w:r w:rsidR="005D2E93">
              <w:rPr>
                <w:rFonts w:asciiTheme="minorHAnsi" w:eastAsiaTheme="minorEastAsia" w:hAnsiTheme="minorHAnsi" w:cstheme="minorBidi"/>
                <w:noProof/>
                <w:lang w:eastAsia="en-AU"/>
              </w:rPr>
              <w:tab/>
            </w:r>
            <w:r w:rsidR="005D2E93" w:rsidRPr="00887F14">
              <w:rPr>
                <w:rStyle w:val="Hyperlink"/>
                <w:noProof/>
              </w:rPr>
              <w:t>Summary of pharmacodynamics</w:t>
            </w:r>
            <w:r w:rsidR="005D2E93">
              <w:rPr>
                <w:noProof/>
                <w:webHidden/>
              </w:rPr>
              <w:tab/>
            </w:r>
            <w:r w:rsidR="005D2E93">
              <w:rPr>
                <w:noProof/>
                <w:webHidden/>
              </w:rPr>
              <w:fldChar w:fldCharType="begin"/>
            </w:r>
            <w:r w:rsidR="005D2E93">
              <w:rPr>
                <w:noProof/>
                <w:webHidden/>
              </w:rPr>
              <w:instrText xml:space="preserve"> PAGEREF _Toc436383334 \h </w:instrText>
            </w:r>
            <w:r w:rsidR="005D2E93">
              <w:rPr>
                <w:noProof/>
                <w:webHidden/>
              </w:rPr>
            </w:r>
            <w:r w:rsidR="005D2E93">
              <w:rPr>
                <w:noProof/>
                <w:webHidden/>
              </w:rPr>
              <w:fldChar w:fldCharType="separate"/>
            </w:r>
            <w:r w:rsidR="005D2E93">
              <w:rPr>
                <w:noProof/>
                <w:webHidden/>
              </w:rPr>
              <w:t>13</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35" w:history="1">
            <w:r w:rsidR="005D2E93" w:rsidRPr="00887F14">
              <w:rPr>
                <w:rStyle w:val="Hyperlink"/>
                <w:noProof/>
              </w:rPr>
              <w:t>5.3.</w:t>
            </w:r>
            <w:r w:rsidR="005D2E93">
              <w:rPr>
                <w:rFonts w:asciiTheme="minorHAnsi" w:eastAsiaTheme="minorEastAsia" w:hAnsiTheme="minorHAnsi" w:cstheme="minorBidi"/>
                <w:noProof/>
                <w:lang w:eastAsia="en-AU"/>
              </w:rPr>
              <w:tab/>
            </w:r>
            <w:r w:rsidR="005D2E93" w:rsidRPr="00887F14">
              <w:rPr>
                <w:rStyle w:val="Hyperlink"/>
                <w:noProof/>
              </w:rPr>
              <w:t>Evaluator’s overall conclusions on pharmacodynamics</w:t>
            </w:r>
            <w:r w:rsidR="005D2E93">
              <w:rPr>
                <w:noProof/>
                <w:webHidden/>
              </w:rPr>
              <w:tab/>
            </w:r>
            <w:r w:rsidR="005D2E93">
              <w:rPr>
                <w:noProof/>
                <w:webHidden/>
              </w:rPr>
              <w:fldChar w:fldCharType="begin"/>
            </w:r>
            <w:r w:rsidR="005D2E93">
              <w:rPr>
                <w:noProof/>
                <w:webHidden/>
              </w:rPr>
              <w:instrText xml:space="preserve"> PAGEREF _Toc436383335 \h </w:instrText>
            </w:r>
            <w:r w:rsidR="005D2E93">
              <w:rPr>
                <w:noProof/>
                <w:webHidden/>
              </w:rPr>
            </w:r>
            <w:r w:rsidR="005D2E93">
              <w:rPr>
                <w:noProof/>
                <w:webHidden/>
              </w:rPr>
              <w:fldChar w:fldCharType="separate"/>
            </w:r>
            <w:r w:rsidR="005D2E93">
              <w:rPr>
                <w:noProof/>
                <w:webHidden/>
              </w:rPr>
              <w:t>16</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36" w:history="1">
            <w:r w:rsidR="005D2E93" w:rsidRPr="00887F14">
              <w:rPr>
                <w:rStyle w:val="Hyperlink"/>
                <w:noProof/>
              </w:rPr>
              <w:t>6.</w:t>
            </w:r>
            <w:r w:rsidR="005D2E93">
              <w:rPr>
                <w:rFonts w:asciiTheme="minorHAnsi" w:eastAsiaTheme="minorEastAsia" w:hAnsiTheme="minorHAnsi" w:cstheme="minorBidi"/>
                <w:b w:val="0"/>
                <w:noProof/>
                <w:sz w:val="22"/>
                <w:lang w:eastAsia="en-AU"/>
              </w:rPr>
              <w:tab/>
            </w:r>
            <w:r w:rsidR="005D2E93" w:rsidRPr="00887F14">
              <w:rPr>
                <w:rStyle w:val="Hyperlink"/>
                <w:noProof/>
              </w:rPr>
              <w:t>Dosage selection for the pivotal studies</w:t>
            </w:r>
            <w:r w:rsidR="005D2E93">
              <w:rPr>
                <w:noProof/>
                <w:webHidden/>
              </w:rPr>
              <w:tab/>
            </w:r>
            <w:r w:rsidR="005D2E93">
              <w:rPr>
                <w:noProof/>
                <w:webHidden/>
              </w:rPr>
              <w:fldChar w:fldCharType="begin"/>
            </w:r>
            <w:r w:rsidR="005D2E93">
              <w:rPr>
                <w:noProof/>
                <w:webHidden/>
              </w:rPr>
              <w:instrText xml:space="preserve"> PAGEREF _Toc436383336 \h </w:instrText>
            </w:r>
            <w:r w:rsidR="005D2E93">
              <w:rPr>
                <w:noProof/>
                <w:webHidden/>
              </w:rPr>
            </w:r>
            <w:r w:rsidR="005D2E93">
              <w:rPr>
                <w:noProof/>
                <w:webHidden/>
              </w:rPr>
              <w:fldChar w:fldCharType="separate"/>
            </w:r>
            <w:r w:rsidR="005D2E93">
              <w:rPr>
                <w:noProof/>
                <w:webHidden/>
              </w:rPr>
              <w:t>16</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37" w:history="1">
            <w:r w:rsidR="005D2E93" w:rsidRPr="00887F14">
              <w:rPr>
                <w:rStyle w:val="Hyperlink"/>
                <w:noProof/>
              </w:rPr>
              <w:t>6.1.</w:t>
            </w:r>
            <w:r w:rsidR="005D2E93">
              <w:rPr>
                <w:rFonts w:asciiTheme="minorHAnsi" w:eastAsiaTheme="minorEastAsia" w:hAnsiTheme="minorHAnsi" w:cstheme="minorBidi"/>
                <w:noProof/>
                <w:lang w:eastAsia="en-AU"/>
              </w:rPr>
              <w:tab/>
            </w:r>
            <w:r w:rsidR="005D2E93" w:rsidRPr="00887F14">
              <w:rPr>
                <w:rStyle w:val="Hyperlink"/>
                <w:noProof/>
              </w:rPr>
              <w:t>Treatment of deep vein thrombosis (DVT) and pulmonary embolism (PE)</w:t>
            </w:r>
            <w:r w:rsidR="005D2E93">
              <w:rPr>
                <w:noProof/>
                <w:webHidden/>
              </w:rPr>
              <w:tab/>
            </w:r>
            <w:r w:rsidR="005D2E93">
              <w:rPr>
                <w:noProof/>
                <w:webHidden/>
              </w:rPr>
              <w:fldChar w:fldCharType="begin"/>
            </w:r>
            <w:r w:rsidR="005D2E93">
              <w:rPr>
                <w:noProof/>
                <w:webHidden/>
              </w:rPr>
              <w:instrText xml:space="preserve"> PAGEREF _Toc436383337 \h </w:instrText>
            </w:r>
            <w:r w:rsidR="005D2E93">
              <w:rPr>
                <w:noProof/>
                <w:webHidden/>
              </w:rPr>
            </w:r>
            <w:r w:rsidR="005D2E93">
              <w:rPr>
                <w:noProof/>
                <w:webHidden/>
              </w:rPr>
              <w:fldChar w:fldCharType="separate"/>
            </w:r>
            <w:r w:rsidR="005D2E93">
              <w:rPr>
                <w:noProof/>
                <w:webHidden/>
              </w:rPr>
              <w:t>16</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38" w:history="1">
            <w:r w:rsidR="005D2E93" w:rsidRPr="00887F14">
              <w:rPr>
                <w:rStyle w:val="Hyperlink"/>
                <w:noProof/>
              </w:rPr>
              <w:t>7.</w:t>
            </w:r>
            <w:r w:rsidR="005D2E93">
              <w:rPr>
                <w:rFonts w:asciiTheme="minorHAnsi" w:eastAsiaTheme="minorEastAsia" w:hAnsiTheme="minorHAnsi" w:cstheme="minorBidi"/>
                <w:b w:val="0"/>
                <w:noProof/>
                <w:sz w:val="22"/>
                <w:lang w:eastAsia="en-AU"/>
              </w:rPr>
              <w:tab/>
            </w:r>
            <w:r w:rsidR="005D2E93" w:rsidRPr="00887F14">
              <w:rPr>
                <w:rStyle w:val="Hyperlink"/>
                <w:noProof/>
              </w:rPr>
              <w:t>Clinical efficacy</w:t>
            </w:r>
            <w:r w:rsidR="005D2E93">
              <w:rPr>
                <w:noProof/>
                <w:webHidden/>
              </w:rPr>
              <w:tab/>
            </w:r>
            <w:r w:rsidR="005D2E93">
              <w:rPr>
                <w:noProof/>
                <w:webHidden/>
              </w:rPr>
              <w:fldChar w:fldCharType="begin"/>
            </w:r>
            <w:r w:rsidR="005D2E93">
              <w:rPr>
                <w:noProof/>
                <w:webHidden/>
              </w:rPr>
              <w:instrText xml:space="preserve"> PAGEREF _Toc436383338 \h </w:instrText>
            </w:r>
            <w:r w:rsidR="005D2E93">
              <w:rPr>
                <w:noProof/>
                <w:webHidden/>
              </w:rPr>
            </w:r>
            <w:r w:rsidR="005D2E93">
              <w:rPr>
                <w:noProof/>
                <w:webHidden/>
              </w:rPr>
              <w:fldChar w:fldCharType="separate"/>
            </w:r>
            <w:r w:rsidR="005D2E93">
              <w:rPr>
                <w:noProof/>
                <w:webHidden/>
              </w:rPr>
              <w:t>21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39" w:history="1">
            <w:r w:rsidR="005D2E93" w:rsidRPr="00887F14">
              <w:rPr>
                <w:rStyle w:val="Hyperlink"/>
                <w:noProof/>
              </w:rPr>
              <w:t>7.1.</w:t>
            </w:r>
            <w:r w:rsidR="005D2E93">
              <w:rPr>
                <w:rFonts w:asciiTheme="minorHAnsi" w:eastAsiaTheme="minorEastAsia" w:hAnsiTheme="minorHAnsi" w:cstheme="minorBidi"/>
                <w:noProof/>
                <w:lang w:eastAsia="en-AU"/>
              </w:rPr>
              <w:tab/>
            </w:r>
            <w:r w:rsidR="005D2E93" w:rsidRPr="00887F14">
              <w:rPr>
                <w:rStyle w:val="Hyperlink"/>
                <w:noProof/>
              </w:rPr>
              <w:t>Treatment of deep vein thrombosis (DVT) and pulmonary embolism (PE)</w:t>
            </w:r>
            <w:r w:rsidR="005D2E93">
              <w:rPr>
                <w:noProof/>
                <w:webHidden/>
              </w:rPr>
              <w:tab/>
            </w:r>
            <w:r w:rsidR="005D2E93">
              <w:rPr>
                <w:noProof/>
                <w:webHidden/>
              </w:rPr>
              <w:fldChar w:fldCharType="begin"/>
            </w:r>
            <w:r w:rsidR="005D2E93">
              <w:rPr>
                <w:noProof/>
                <w:webHidden/>
              </w:rPr>
              <w:instrText xml:space="preserve"> PAGEREF _Toc436383339 \h </w:instrText>
            </w:r>
            <w:r w:rsidR="005D2E93">
              <w:rPr>
                <w:noProof/>
                <w:webHidden/>
              </w:rPr>
            </w:r>
            <w:r w:rsidR="005D2E93">
              <w:rPr>
                <w:noProof/>
                <w:webHidden/>
              </w:rPr>
              <w:fldChar w:fldCharType="separate"/>
            </w:r>
            <w:r w:rsidR="005D2E93">
              <w:rPr>
                <w:noProof/>
                <w:webHidden/>
              </w:rPr>
              <w:t>21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0" w:history="1">
            <w:r w:rsidR="005D2E93" w:rsidRPr="00887F14">
              <w:rPr>
                <w:rStyle w:val="Hyperlink"/>
                <w:noProof/>
              </w:rPr>
              <w:t>7.2.</w:t>
            </w:r>
            <w:r w:rsidR="005D2E93">
              <w:rPr>
                <w:rFonts w:asciiTheme="minorHAnsi" w:eastAsiaTheme="minorEastAsia" w:hAnsiTheme="minorHAnsi" w:cstheme="minorBidi"/>
                <w:noProof/>
                <w:lang w:eastAsia="en-AU"/>
              </w:rPr>
              <w:tab/>
            </w:r>
            <w:r w:rsidR="005D2E93" w:rsidRPr="00887F14">
              <w:rPr>
                <w:rStyle w:val="Hyperlink"/>
                <w:noProof/>
              </w:rPr>
              <w:t>Prevention of recurrent DVT and PE</w:t>
            </w:r>
            <w:r w:rsidR="005D2E93">
              <w:rPr>
                <w:noProof/>
                <w:webHidden/>
              </w:rPr>
              <w:tab/>
            </w:r>
            <w:r w:rsidR="005D2E93">
              <w:rPr>
                <w:noProof/>
                <w:webHidden/>
              </w:rPr>
              <w:fldChar w:fldCharType="begin"/>
            </w:r>
            <w:r w:rsidR="005D2E93">
              <w:rPr>
                <w:noProof/>
                <w:webHidden/>
              </w:rPr>
              <w:instrText xml:space="preserve"> PAGEREF _Toc436383340 \h </w:instrText>
            </w:r>
            <w:r w:rsidR="005D2E93">
              <w:rPr>
                <w:noProof/>
                <w:webHidden/>
              </w:rPr>
            </w:r>
            <w:r w:rsidR="005D2E93">
              <w:rPr>
                <w:noProof/>
                <w:webHidden/>
              </w:rPr>
              <w:fldChar w:fldCharType="separate"/>
            </w:r>
            <w:r w:rsidR="005D2E93">
              <w:rPr>
                <w:noProof/>
                <w:webHidden/>
              </w:rPr>
              <w:t>33</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41" w:history="1">
            <w:r w:rsidR="005D2E93" w:rsidRPr="00887F14">
              <w:rPr>
                <w:rStyle w:val="Hyperlink"/>
                <w:noProof/>
              </w:rPr>
              <w:t>8.</w:t>
            </w:r>
            <w:r w:rsidR="005D2E93">
              <w:rPr>
                <w:rFonts w:asciiTheme="minorHAnsi" w:eastAsiaTheme="minorEastAsia" w:hAnsiTheme="minorHAnsi" w:cstheme="minorBidi"/>
                <w:b w:val="0"/>
                <w:noProof/>
                <w:sz w:val="22"/>
                <w:lang w:eastAsia="en-AU"/>
              </w:rPr>
              <w:tab/>
            </w:r>
            <w:r w:rsidR="005D2E93" w:rsidRPr="00887F14">
              <w:rPr>
                <w:rStyle w:val="Hyperlink"/>
                <w:noProof/>
              </w:rPr>
              <w:t>Clinical safety</w:t>
            </w:r>
            <w:r w:rsidR="005D2E93">
              <w:rPr>
                <w:noProof/>
                <w:webHidden/>
              </w:rPr>
              <w:tab/>
            </w:r>
            <w:r w:rsidR="005D2E93">
              <w:rPr>
                <w:noProof/>
                <w:webHidden/>
              </w:rPr>
              <w:fldChar w:fldCharType="begin"/>
            </w:r>
            <w:r w:rsidR="005D2E93">
              <w:rPr>
                <w:noProof/>
                <w:webHidden/>
              </w:rPr>
              <w:instrText xml:space="preserve"> PAGEREF _Toc436383341 \h </w:instrText>
            </w:r>
            <w:r w:rsidR="005D2E93">
              <w:rPr>
                <w:noProof/>
                <w:webHidden/>
              </w:rPr>
            </w:r>
            <w:r w:rsidR="005D2E93">
              <w:rPr>
                <w:noProof/>
                <w:webHidden/>
              </w:rPr>
              <w:fldChar w:fldCharType="separate"/>
            </w:r>
            <w:r w:rsidR="005D2E93">
              <w:rPr>
                <w:noProof/>
                <w:webHidden/>
              </w:rPr>
              <w:t>41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2" w:history="1">
            <w:r w:rsidR="005D2E93" w:rsidRPr="00887F14">
              <w:rPr>
                <w:rStyle w:val="Hyperlink"/>
                <w:noProof/>
              </w:rPr>
              <w:t>8.1.</w:t>
            </w:r>
            <w:r w:rsidR="005D2E93">
              <w:rPr>
                <w:rFonts w:asciiTheme="minorHAnsi" w:eastAsiaTheme="minorEastAsia" w:hAnsiTheme="minorHAnsi" w:cstheme="minorBidi"/>
                <w:noProof/>
                <w:lang w:eastAsia="en-AU"/>
              </w:rPr>
              <w:tab/>
            </w:r>
            <w:r w:rsidR="005D2E93" w:rsidRPr="00887F14">
              <w:rPr>
                <w:rStyle w:val="Hyperlink"/>
                <w:noProof/>
              </w:rPr>
              <w:t>Studies providing evaluable safety data</w:t>
            </w:r>
            <w:r w:rsidR="005D2E93">
              <w:rPr>
                <w:noProof/>
                <w:webHidden/>
              </w:rPr>
              <w:tab/>
            </w:r>
            <w:r w:rsidR="005D2E93">
              <w:rPr>
                <w:noProof/>
                <w:webHidden/>
              </w:rPr>
              <w:fldChar w:fldCharType="begin"/>
            </w:r>
            <w:r w:rsidR="005D2E93">
              <w:rPr>
                <w:noProof/>
                <w:webHidden/>
              </w:rPr>
              <w:instrText xml:space="preserve"> PAGEREF _Toc436383342 \h </w:instrText>
            </w:r>
            <w:r w:rsidR="005D2E93">
              <w:rPr>
                <w:noProof/>
                <w:webHidden/>
              </w:rPr>
            </w:r>
            <w:r w:rsidR="005D2E93">
              <w:rPr>
                <w:noProof/>
                <w:webHidden/>
              </w:rPr>
              <w:fldChar w:fldCharType="separate"/>
            </w:r>
            <w:r w:rsidR="005D2E93">
              <w:rPr>
                <w:noProof/>
                <w:webHidden/>
              </w:rPr>
              <w:t>41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3" w:history="1">
            <w:r w:rsidR="005D2E93" w:rsidRPr="00887F14">
              <w:rPr>
                <w:rStyle w:val="Hyperlink"/>
                <w:noProof/>
              </w:rPr>
              <w:t>8.2.</w:t>
            </w:r>
            <w:r w:rsidR="005D2E93">
              <w:rPr>
                <w:rFonts w:asciiTheme="minorHAnsi" w:eastAsiaTheme="minorEastAsia" w:hAnsiTheme="minorHAnsi" w:cstheme="minorBidi"/>
                <w:noProof/>
                <w:lang w:eastAsia="en-AU"/>
              </w:rPr>
              <w:tab/>
            </w:r>
            <w:r w:rsidR="005D2E93" w:rsidRPr="00887F14">
              <w:rPr>
                <w:rStyle w:val="Hyperlink"/>
                <w:noProof/>
              </w:rPr>
              <w:t>Pivotal studies that assessed safety as a primary outcome</w:t>
            </w:r>
            <w:r w:rsidR="005D2E93">
              <w:rPr>
                <w:noProof/>
                <w:webHidden/>
              </w:rPr>
              <w:tab/>
            </w:r>
            <w:r w:rsidR="005D2E93">
              <w:rPr>
                <w:noProof/>
                <w:webHidden/>
              </w:rPr>
              <w:fldChar w:fldCharType="begin"/>
            </w:r>
            <w:r w:rsidR="005D2E93">
              <w:rPr>
                <w:noProof/>
                <w:webHidden/>
              </w:rPr>
              <w:instrText xml:space="preserve"> PAGEREF _Toc436383343 \h </w:instrText>
            </w:r>
            <w:r w:rsidR="005D2E93">
              <w:rPr>
                <w:noProof/>
                <w:webHidden/>
              </w:rPr>
            </w:r>
            <w:r w:rsidR="005D2E93">
              <w:rPr>
                <w:noProof/>
                <w:webHidden/>
              </w:rPr>
              <w:fldChar w:fldCharType="separate"/>
            </w:r>
            <w:r w:rsidR="005D2E93">
              <w:rPr>
                <w:noProof/>
                <w:webHidden/>
              </w:rPr>
              <w:t>41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4" w:history="1">
            <w:r w:rsidR="005D2E93" w:rsidRPr="00887F14">
              <w:rPr>
                <w:rStyle w:val="Hyperlink"/>
                <w:noProof/>
              </w:rPr>
              <w:t>8.3.</w:t>
            </w:r>
            <w:r w:rsidR="005D2E93">
              <w:rPr>
                <w:rFonts w:asciiTheme="minorHAnsi" w:eastAsiaTheme="minorEastAsia" w:hAnsiTheme="minorHAnsi" w:cstheme="minorBidi"/>
                <w:noProof/>
                <w:lang w:eastAsia="en-AU"/>
              </w:rPr>
              <w:tab/>
            </w:r>
            <w:r w:rsidR="005D2E93" w:rsidRPr="00887F14">
              <w:rPr>
                <w:rStyle w:val="Hyperlink"/>
                <w:noProof/>
              </w:rPr>
              <w:t>Patient exposure</w:t>
            </w:r>
            <w:r w:rsidR="005D2E93">
              <w:rPr>
                <w:noProof/>
                <w:webHidden/>
              </w:rPr>
              <w:tab/>
            </w:r>
            <w:r w:rsidR="005D2E93">
              <w:rPr>
                <w:noProof/>
                <w:webHidden/>
              </w:rPr>
              <w:fldChar w:fldCharType="begin"/>
            </w:r>
            <w:r w:rsidR="005D2E93">
              <w:rPr>
                <w:noProof/>
                <w:webHidden/>
              </w:rPr>
              <w:instrText xml:space="preserve"> PAGEREF _Toc436383344 \h </w:instrText>
            </w:r>
            <w:r w:rsidR="005D2E93">
              <w:rPr>
                <w:noProof/>
                <w:webHidden/>
              </w:rPr>
            </w:r>
            <w:r w:rsidR="005D2E93">
              <w:rPr>
                <w:noProof/>
                <w:webHidden/>
              </w:rPr>
              <w:fldChar w:fldCharType="separate"/>
            </w:r>
            <w:r w:rsidR="005D2E93">
              <w:rPr>
                <w:noProof/>
                <w:webHidden/>
              </w:rPr>
              <w:t>41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5" w:history="1">
            <w:r w:rsidR="005D2E93" w:rsidRPr="00887F14">
              <w:rPr>
                <w:rStyle w:val="Hyperlink"/>
                <w:noProof/>
              </w:rPr>
              <w:t>8.4.</w:t>
            </w:r>
            <w:r w:rsidR="005D2E93">
              <w:rPr>
                <w:rFonts w:asciiTheme="minorHAnsi" w:eastAsiaTheme="minorEastAsia" w:hAnsiTheme="minorHAnsi" w:cstheme="minorBidi"/>
                <w:noProof/>
                <w:lang w:eastAsia="en-AU"/>
              </w:rPr>
              <w:tab/>
            </w:r>
            <w:r w:rsidR="005D2E93" w:rsidRPr="00887F14">
              <w:rPr>
                <w:rStyle w:val="Hyperlink"/>
                <w:noProof/>
              </w:rPr>
              <w:t>Adverse events</w:t>
            </w:r>
            <w:r w:rsidR="005D2E93">
              <w:rPr>
                <w:noProof/>
                <w:webHidden/>
              </w:rPr>
              <w:tab/>
            </w:r>
            <w:r w:rsidR="005D2E93">
              <w:rPr>
                <w:noProof/>
                <w:webHidden/>
              </w:rPr>
              <w:fldChar w:fldCharType="begin"/>
            </w:r>
            <w:r w:rsidR="005D2E93">
              <w:rPr>
                <w:noProof/>
                <w:webHidden/>
              </w:rPr>
              <w:instrText xml:space="preserve"> PAGEREF _Toc436383345 \h </w:instrText>
            </w:r>
            <w:r w:rsidR="005D2E93">
              <w:rPr>
                <w:noProof/>
                <w:webHidden/>
              </w:rPr>
            </w:r>
            <w:r w:rsidR="005D2E93">
              <w:rPr>
                <w:noProof/>
                <w:webHidden/>
              </w:rPr>
              <w:fldChar w:fldCharType="separate"/>
            </w:r>
            <w:r w:rsidR="005D2E93">
              <w:rPr>
                <w:noProof/>
                <w:webHidden/>
              </w:rPr>
              <w:t>42</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6" w:history="1">
            <w:r w:rsidR="005D2E93" w:rsidRPr="00887F14">
              <w:rPr>
                <w:rStyle w:val="Hyperlink"/>
                <w:noProof/>
              </w:rPr>
              <w:t>8.5.</w:t>
            </w:r>
            <w:r w:rsidR="005D2E93">
              <w:rPr>
                <w:rFonts w:asciiTheme="minorHAnsi" w:eastAsiaTheme="minorEastAsia" w:hAnsiTheme="minorHAnsi" w:cstheme="minorBidi"/>
                <w:noProof/>
                <w:lang w:eastAsia="en-AU"/>
              </w:rPr>
              <w:tab/>
            </w:r>
            <w:r w:rsidR="005D2E93" w:rsidRPr="00887F14">
              <w:rPr>
                <w:rStyle w:val="Hyperlink"/>
                <w:noProof/>
              </w:rPr>
              <w:t>Laboratory tests</w:t>
            </w:r>
            <w:r w:rsidR="005D2E93">
              <w:rPr>
                <w:noProof/>
                <w:webHidden/>
              </w:rPr>
              <w:tab/>
            </w:r>
            <w:r w:rsidR="005D2E93">
              <w:rPr>
                <w:noProof/>
                <w:webHidden/>
              </w:rPr>
              <w:fldChar w:fldCharType="begin"/>
            </w:r>
            <w:r w:rsidR="005D2E93">
              <w:rPr>
                <w:noProof/>
                <w:webHidden/>
              </w:rPr>
              <w:instrText xml:space="preserve"> PAGEREF _Toc436383346 \h </w:instrText>
            </w:r>
            <w:r w:rsidR="005D2E93">
              <w:rPr>
                <w:noProof/>
                <w:webHidden/>
              </w:rPr>
            </w:r>
            <w:r w:rsidR="005D2E93">
              <w:rPr>
                <w:noProof/>
                <w:webHidden/>
              </w:rPr>
              <w:fldChar w:fldCharType="separate"/>
            </w:r>
            <w:r w:rsidR="005D2E93">
              <w:rPr>
                <w:noProof/>
                <w:webHidden/>
              </w:rPr>
              <w:t>52</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7" w:history="1">
            <w:r w:rsidR="005D2E93" w:rsidRPr="00887F14">
              <w:rPr>
                <w:rStyle w:val="Hyperlink"/>
                <w:noProof/>
              </w:rPr>
              <w:t>8.6.</w:t>
            </w:r>
            <w:r w:rsidR="005D2E93">
              <w:rPr>
                <w:rFonts w:asciiTheme="minorHAnsi" w:eastAsiaTheme="minorEastAsia" w:hAnsiTheme="minorHAnsi" w:cstheme="minorBidi"/>
                <w:noProof/>
                <w:lang w:eastAsia="en-AU"/>
              </w:rPr>
              <w:tab/>
            </w:r>
            <w:r w:rsidR="005D2E93" w:rsidRPr="00887F14">
              <w:rPr>
                <w:rStyle w:val="Hyperlink"/>
                <w:noProof/>
              </w:rPr>
              <w:t>Post-marketing experience</w:t>
            </w:r>
            <w:r w:rsidR="005D2E93">
              <w:rPr>
                <w:noProof/>
                <w:webHidden/>
              </w:rPr>
              <w:tab/>
            </w:r>
            <w:r w:rsidR="005D2E93">
              <w:rPr>
                <w:noProof/>
                <w:webHidden/>
              </w:rPr>
              <w:fldChar w:fldCharType="begin"/>
            </w:r>
            <w:r w:rsidR="005D2E93">
              <w:rPr>
                <w:noProof/>
                <w:webHidden/>
              </w:rPr>
              <w:instrText xml:space="preserve"> PAGEREF _Toc436383347 \h </w:instrText>
            </w:r>
            <w:r w:rsidR="005D2E93">
              <w:rPr>
                <w:noProof/>
                <w:webHidden/>
              </w:rPr>
            </w:r>
            <w:r w:rsidR="005D2E93">
              <w:rPr>
                <w:noProof/>
                <w:webHidden/>
              </w:rPr>
              <w:fldChar w:fldCharType="separate"/>
            </w:r>
            <w:r w:rsidR="005D2E93">
              <w:rPr>
                <w:noProof/>
                <w:webHidden/>
              </w:rPr>
              <w:t>53</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8" w:history="1">
            <w:r w:rsidR="005D2E93" w:rsidRPr="00887F14">
              <w:rPr>
                <w:rStyle w:val="Hyperlink"/>
                <w:noProof/>
              </w:rPr>
              <w:t>8.7.</w:t>
            </w:r>
            <w:r w:rsidR="005D2E93">
              <w:rPr>
                <w:rFonts w:asciiTheme="minorHAnsi" w:eastAsiaTheme="minorEastAsia" w:hAnsiTheme="minorHAnsi" w:cstheme="minorBidi"/>
                <w:noProof/>
                <w:lang w:eastAsia="en-AU"/>
              </w:rPr>
              <w:tab/>
            </w:r>
            <w:r w:rsidR="005D2E93" w:rsidRPr="00887F14">
              <w:rPr>
                <w:rStyle w:val="Hyperlink"/>
                <w:noProof/>
              </w:rPr>
              <w:t>Safety issues with the potential for major regulatory impact</w:t>
            </w:r>
            <w:r w:rsidR="005D2E93">
              <w:rPr>
                <w:noProof/>
                <w:webHidden/>
              </w:rPr>
              <w:tab/>
            </w:r>
            <w:r w:rsidR="005D2E93">
              <w:rPr>
                <w:noProof/>
                <w:webHidden/>
              </w:rPr>
              <w:fldChar w:fldCharType="begin"/>
            </w:r>
            <w:r w:rsidR="005D2E93">
              <w:rPr>
                <w:noProof/>
                <w:webHidden/>
              </w:rPr>
              <w:instrText xml:space="preserve"> PAGEREF _Toc436383348 \h </w:instrText>
            </w:r>
            <w:r w:rsidR="005D2E93">
              <w:rPr>
                <w:noProof/>
                <w:webHidden/>
              </w:rPr>
            </w:r>
            <w:r w:rsidR="005D2E93">
              <w:rPr>
                <w:noProof/>
                <w:webHidden/>
              </w:rPr>
              <w:fldChar w:fldCharType="separate"/>
            </w:r>
            <w:r w:rsidR="005D2E93">
              <w:rPr>
                <w:noProof/>
                <w:webHidden/>
              </w:rPr>
              <w:t>54</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49" w:history="1">
            <w:r w:rsidR="005D2E93" w:rsidRPr="00887F14">
              <w:rPr>
                <w:rStyle w:val="Hyperlink"/>
                <w:noProof/>
              </w:rPr>
              <w:t>8.8.</w:t>
            </w:r>
            <w:r w:rsidR="005D2E93">
              <w:rPr>
                <w:rFonts w:asciiTheme="minorHAnsi" w:eastAsiaTheme="minorEastAsia" w:hAnsiTheme="minorHAnsi" w:cstheme="minorBidi"/>
                <w:noProof/>
                <w:lang w:eastAsia="en-AU"/>
              </w:rPr>
              <w:tab/>
            </w:r>
            <w:r w:rsidR="005D2E93" w:rsidRPr="00887F14">
              <w:rPr>
                <w:rStyle w:val="Hyperlink"/>
                <w:noProof/>
              </w:rPr>
              <w:t>Other safety issues</w:t>
            </w:r>
            <w:r w:rsidR="005D2E93">
              <w:rPr>
                <w:noProof/>
                <w:webHidden/>
              </w:rPr>
              <w:tab/>
            </w:r>
            <w:r w:rsidR="005D2E93">
              <w:rPr>
                <w:noProof/>
                <w:webHidden/>
              </w:rPr>
              <w:fldChar w:fldCharType="begin"/>
            </w:r>
            <w:r w:rsidR="005D2E93">
              <w:rPr>
                <w:noProof/>
                <w:webHidden/>
              </w:rPr>
              <w:instrText xml:space="preserve"> PAGEREF _Toc436383349 \h </w:instrText>
            </w:r>
            <w:r w:rsidR="005D2E93">
              <w:rPr>
                <w:noProof/>
                <w:webHidden/>
              </w:rPr>
            </w:r>
            <w:r w:rsidR="005D2E93">
              <w:rPr>
                <w:noProof/>
                <w:webHidden/>
              </w:rPr>
              <w:fldChar w:fldCharType="separate"/>
            </w:r>
            <w:r w:rsidR="005D2E93">
              <w:rPr>
                <w:noProof/>
                <w:webHidden/>
              </w:rPr>
              <w:t>55</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50" w:history="1">
            <w:r w:rsidR="005D2E93" w:rsidRPr="00887F14">
              <w:rPr>
                <w:rStyle w:val="Hyperlink"/>
                <w:noProof/>
              </w:rPr>
              <w:t>8.9.</w:t>
            </w:r>
            <w:r w:rsidR="005D2E93">
              <w:rPr>
                <w:rFonts w:asciiTheme="minorHAnsi" w:eastAsiaTheme="minorEastAsia" w:hAnsiTheme="minorHAnsi" w:cstheme="minorBidi"/>
                <w:noProof/>
                <w:lang w:eastAsia="en-AU"/>
              </w:rPr>
              <w:tab/>
            </w:r>
            <w:r w:rsidR="005D2E93" w:rsidRPr="00887F14">
              <w:rPr>
                <w:rStyle w:val="Hyperlink"/>
                <w:noProof/>
              </w:rPr>
              <w:t>Evaluator’s overall conclusions on clinical safety</w:t>
            </w:r>
            <w:r w:rsidR="005D2E93">
              <w:rPr>
                <w:noProof/>
                <w:webHidden/>
              </w:rPr>
              <w:tab/>
            </w:r>
            <w:r w:rsidR="005D2E93">
              <w:rPr>
                <w:noProof/>
                <w:webHidden/>
              </w:rPr>
              <w:fldChar w:fldCharType="begin"/>
            </w:r>
            <w:r w:rsidR="005D2E93">
              <w:rPr>
                <w:noProof/>
                <w:webHidden/>
              </w:rPr>
              <w:instrText xml:space="preserve"> PAGEREF _Toc436383350 \h </w:instrText>
            </w:r>
            <w:r w:rsidR="005D2E93">
              <w:rPr>
                <w:noProof/>
                <w:webHidden/>
              </w:rPr>
            </w:r>
            <w:r w:rsidR="005D2E93">
              <w:rPr>
                <w:noProof/>
                <w:webHidden/>
              </w:rPr>
              <w:fldChar w:fldCharType="separate"/>
            </w:r>
            <w:r w:rsidR="005D2E93">
              <w:rPr>
                <w:noProof/>
                <w:webHidden/>
              </w:rPr>
              <w:t>55</w:t>
            </w:r>
            <w:r w:rsidR="005D2E93">
              <w:rPr>
                <w:noProof/>
                <w:webHidden/>
              </w:rPr>
              <w:fldChar w:fldCharType="end"/>
            </w:r>
          </w:hyperlink>
        </w:p>
        <w:p w:rsidR="005D2E93" w:rsidRDefault="00892E65">
          <w:pPr>
            <w:pStyle w:val="TOC2"/>
            <w:tabs>
              <w:tab w:val="left" w:pos="1100"/>
            </w:tabs>
            <w:rPr>
              <w:rFonts w:asciiTheme="minorHAnsi" w:eastAsiaTheme="minorEastAsia" w:hAnsiTheme="minorHAnsi" w:cstheme="minorBidi"/>
              <w:b w:val="0"/>
              <w:noProof/>
              <w:sz w:val="22"/>
              <w:lang w:eastAsia="en-AU"/>
            </w:rPr>
          </w:pPr>
          <w:hyperlink w:anchor="_Toc436383351" w:history="1">
            <w:r w:rsidR="005D2E93" w:rsidRPr="00887F14">
              <w:rPr>
                <w:rStyle w:val="Hyperlink"/>
                <w:noProof/>
              </w:rPr>
              <w:t>9.</w:t>
            </w:r>
            <w:r w:rsidR="005D2E93">
              <w:rPr>
                <w:rFonts w:asciiTheme="minorHAnsi" w:eastAsiaTheme="minorEastAsia" w:hAnsiTheme="minorHAnsi" w:cstheme="minorBidi"/>
                <w:b w:val="0"/>
                <w:noProof/>
                <w:sz w:val="22"/>
                <w:lang w:eastAsia="en-AU"/>
              </w:rPr>
              <w:tab/>
            </w:r>
            <w:r w:rsidR="005D2E93" w:rsidRPr="00887F14">
              <w:rPr>
                <w:rStyle w:val="Hyperlink"/>
                <w:noProof/>
              </w:rPr>
              <w:t>First round benefit-risk assessment</w:t>
            </w:r>
            <w:r w:rsidR="005D2E93">
              <w:rPr>
                <w:noProof/>
                <w:webHidden/>
              </w:rPr>
              <w:tab/>
            </w:r>
            <w:r w:rsidR="005D2E93">
              <w:rPr>
                <w:noProof/>
                <w:webHidden/>
              </w:rPr>
              <w:fldChar w:fldCharType="begin"/>
            </w:r>
            <w:r w:rsidR="005D2E93">
              <w:rPr>
                <w:noProof/>
                <w:webHidden/>
              </w:rPr>
              <w:instrText xml:space="preserve"> PAGEREF _Toc436383351 \h </w:instrText>
            </w:r>
            <w:r w:rsidR="005D2E93">
              <w:rPr>
                <w:noProof/>
                <w:webHidden/>
              </w:rPr>
            </w:r>
            <w:r w:rsidR="005D2E93">
              <w:rPr>
                <w:noProof/>
                <w:webHidden/>
              </w:rPr>
              <w:fldChar w:fldCharType="separate"/>
            </w:r>
            <w:r w:rsidR="005D2E93">
              <w:rPr>
                <w:noProof/>
                <w:webHidden/>
              </w:rPr>
              <w:t>56</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52" w:history="1">
            <w:r w:rsidR="005D2E93" w:rsidRPr="00887F14">
              <w:rPr>
                <w:rStyle w:val="Hyperlink"/>
                <w:noProof/>
              </w:rPr>
              <w:t>9.1.</w:t>
            </w:r>
            <w:r w:rsidR="005D2E93">
              <w:rPr>
                <w:rFonts w:asciiTheme="minorHAnsi" w:eastAsiaTheme="minorEastAsia" w:hAnsiTheme="minorHAnsi" w:cstheme="minorBidi"/>
                <w:noProof/>
                <w:lang w:eastAsia="en-AU"/>
              </w:rPr>
              <w:tab/>
            </w:r>
            <w:r w:rsidR="005D2E93" w:rsidRPr="00887F14">
              <w:rPr>
                <w:rStyle w:val="Hyperlink"/>
                <w:noProof/>
              </w:rPr>
              <w:t>First round assessment of benefits</w:t>
            </w:r>
            <w:r w:rsidR="005D2E93">
              <w:rPr>
                <w:noProof/>
                <w:webHidden/>
              </w:rPr>
              <w:tab/>
            </w:r>
            <w:r w:rsidR="005D2E93">
              <w:rPr>
                <w:noProof/>
                <w:webHidden/>
              </w:rPr>
              <w:fldChar w:fldCharType="begin"/>
            </w:r>
            <w:r w:rsidR="005D2E93">
              <w:rPr>
                <w:noProof/>
                <w:webHidden/>
              </w:rPr>
              <w:instrText xml:space="preserve"> PAGEREF _Toc436383352 \h </w:instrText>
            </w:r>
            <w:r w:rsidR="005D2E93">
              <w:rPr>
                <w:noProof/>
                <w:webHidden/>
              </w:rPr>
            </w:r>
            <w:r w:rsidR="005D2E93">
              <w:rPr>
                <w:noProof/>
                <w:webHidden/>
              </w:rPr>
              <w:fldChar w:fldCharType="separate"/>
            </w:r>
            <w:r w:rsidR="005D2E93">
              <w:rPr>
                <w:noProof/>
                <w:webHidden/>
              </w:rPr>
              <w:t>56</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53" w:history="1">
            <w:r w:rsidR="005D2E93" w:rsidRPr="00887F14">
              <w:rPr>
                <w:rStyle w:val="Hyperlink"/>
                <w:noProof/>
              </w:rPr>
              <w:t>9.2.</w:t>
            </w:r>
            <w:r w:rsidR="005D2E93">
              <w:rPr>
                <w:rFonts w:asciiTheme="minorHAnsi" w:eastAsiaTheme="minorEastAsia" w:hAnsiTheme="minorHAnsi" w:cstheme="minorBidi"/>
                <w:noProof/>
                <w:lang w:eastAsia="en-AU"/>
              </w:rPr>
              <w:tab/>
            </w:r>
            <w:r w:rsidR="005D2E93" w:rsidRPr="00887F14">
              <w:rPr>
                <w:rStyle w:val="Hyperlink"/>
                <w:noProof/>
              </w:rPr>
              <w:t>First round assessment of risks</w:t>
            </w:r>
            <w:r w:rsidR="005D2E93">
              <w:rPr>
                <w:noProof/>
                <w:webHidden/>
              </w:rPr>
              <w:tab/>
            </w:r>
            <w:r w:rsidR="005D2E93">
              <w:rPr>
                <w:noProof/>
                <w:webHidden/>
              </w:rPr>
              <w:fldChar w:fldCharType="begin"/>
            </w:r>
            <w:r w:rsidR="005D2E93">
              <w:rPr>
                <w:noProof/>
                <w:webHidden/>
              </w:rPr>
              <w:instrText xml:space="preserve"> PAGEREF _Toc436383353 \h </w:instrText>
            </w:r>
            <w:r w:rsidR="005D2E93">
              <w:rPr>
                <w:noProof/>
                <w:webHidden/>
              </w:rPr>
            </w:r>
            <w:r w:rsidR="005D2E93">
              <w:rPr>
                <w:noProof/>
                <w:webHidden/>
              </w:rPr>
              <w:fldChar w:fldCharType="separate"/>
            </w:r>
            <w:r w:rsidR="005D2E93">
              <w:rPr>
                <w:noProof/>
                <w:webHidden/>
              </w:rPr>
              <w:t>57</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54" w:history="1">
            <w:r w:rsidR="005D2E93" w:rsidRPr="00887F14">
              <w:rPr>
                <w:rStyle w:val="Hyperlink"/>
                <w:noProof/>
              </w:rPr>
              <w:t>9.3.</w:t>
            </w:r>
            <w:r w:rsidR="005D2E93">
              <w:rPr>
                <w:rFonts w:asciiTheme="minorHAnsi" w:eastAsiaTheme="minorEastAsia" w:hAnsiTheme="minorHAnsi" w:cstheme="minorBidi"/>
                <w:noProof/>
                <w:lang w:eastAsia="en-AU"/>
              </w:rPr>
              <w:tab/>
            </w:r>
            <w:r w:rsidR="005D2E93" w:rsidRPr="00887F14">
              <w:rPr>
                <w:rStyle w:val="Hyperlink"/>
                <w:noProof/>
              </w:rPr>
              <w:t>First round assessment of benefit-risk balance</w:t>
            </w:r>
            <w:r w:rsidR="005D2E93">
              <w:rPr>
                <w:noProof/>
                <w:webHidden/>
              </w:rPr>
              <w:tab/>
            </w:r>
            <w:r w:rsidR="005D2E93">
              <w:rPr>
                <w:noProof/>
                <w:webHidden/>
              </w:rPr>
              <w:fldChar w:fldCharType="begin"/>
            </w:r>
            <w:r w:rsidR="005D2E93">
              <w:rPr>
                <w:noProof/>
                <w:webHidden/>
              </w:rPr>
              <w:instrText xml:space="preserve"> PAGEREF _Toc436383354 \h </w:instrText>
            </w:r>
            <w:r w:rsidR="005D2E93">
              <w:rPr>
                <w:noProof/>
                <w:webHidden/>
              </w:rPr>
            </w:r>
            <w:r w:rsidR="005D2E93">
              <w:rPr>
                <w:noProof/>
                <w:webHidden/>
              </w:rPr>
              <w:fldChar w:fldCharType="separate"/>
            </w:r>
            <w:r w:rsidR="005D2E93">
              <w:rPr>
                <w:noProof/>
                <w:webHidden/>
              </w:rPr>
              <w:t>59</w:t>
            </w:r>
            <w:r w:rsidR="005D2E93">
              <w:rPr>
                <w:noProof/>
                <w:webHidden/>
              </w:rPr>
              <w:fldChar w:fldCharType="end"/>
            </w:r>
          </w:hyperlink>
        </w:p>
        <w:p w:rsidR="005D2E93" w:rsidRDefault="00892E65">
          <w:pPr>
            <w:pStyle w:val="TOC2"/>
            <w:tabs>
              <w:tab w:val="left" w:pos="1320"/>
            </w:tabs>
            <w:rPr>
              <w:rFonts w:asciiTheme="minorHAnsi" w:eastAsiaTheme="minorEastAsia" w:hAnsiTheme="minorHAnsi" w:cstheme="minorBidi"/>
              <w:b w:val="0"/>
              <w:noProof/>
              <w:sz w:val="22"/>
              <w:lang w:eastAsia="en-AU"/>
            </w:rPr>
          </w:pPr>
          <w:hyperlink w:anchor="_Toc436383355" w:history="1">
            <w:r w:rsidR="005D2E93" w:rsidRPr="00887F14">
              <w:rPr>
                <w:rStyle w:val="Hyperlink"/>
                <w:noProof/>
              </w:rPr>
              <w:t>10.</w:t>
            </w:r>
            <w:r w:rsidR="005D2E93">
              <w:rPr>
                <w:rFonts w:asciiTheme="minorHAnsi" w:eastAsiaTheme="minorEastAsia" w:hAnsiTheme="minorHAnsi" w:cstheme="minorBidi"/>
                <w:b w:val="0"/>
                <w:noProof/>
                <w:sz w:val="22"/>
                <w:lang w:eastAsia="en-AU"/>
              </w:rPr>
              <w:tab/>
            </w:r>
            <w:r w:rsidR="005D2E93" w:rsidRPr="00887F14">
              <w:rPr>
                <w:rStyle w:val="Hyperlink"/>
                <w:noProof/>
              </w:rPr>
              <w:t>First round recommendation regarding authorisation</w:t>
            </w:r>
            <w:r w:rsidR="005D2E93">
              <w:rPr>
                <w:noProof/>
                <w:webHidden/>
              </w:rPr>
              <w:tab/>
            </w:r>
            <w:r w:rsidR="005D2E93">
              <w:rPr>
                <w:noProof/>
                <w:webHidden/>
              </w:rPr>
              <w:fldChar w:fldCharType="begin"/>
            </w:r>
            <w:r w:rsidR="005D2E93">
              <w:rPr>
                <w:noProof/>
                <w:webHidden/>
              </w:rPr>
              <w:instrText xml:space="preserve"> PAGEREF _Toc436383355 \h </w:instrText>
            </w:r>
            <w:r w:rsidR="005D2E93">
              <w:rPr>
                <w:noProof/>
                <w:webHidden/>
              </w:rPr>
            </w:r>
            <w:r w:rsidR="005D2E93">
              <w:rPr>
                <w:noProof/>
                <w:webHidden/>
              </w:rPr>
              <w:fldChar w:fldCharType="separate"/>
            </w:r>
            <w:r w:rsidR="005D2E93">
              <w:rPr>
                <w:noProof/>
                <w:webHidden/>
              </w:rPr>
              <w:t>59</w:t>
            </w:r>
            <w:r w:rsidR="005D2E93">
              <w:rPr>
                <w:noProof/>
                <w:webHidden/>
              </w:rPr>
              <w:fldChar w:fldCharType="end"/>
            </w:r>
          </w:hyperlink>
        </w:p>
        <w:p w:rsidR="005D2E93" w:rsidRDefault="00892E65">
          <w:pPr>
            <w:pStyle w:val="TOC2"/>
            <w:tabs>
              <w:tab w:val="left" w:pos="1320"/>
            </w:tabs>
            <w:rPr>
              <w:rFonts w:asciiTheme="minorHAnsi" w:eastAsiaTheme="minorEastAsia" w:hAnsiTheme="minorHAnsi" w:cstheme="minorBidi"/>
              <w:b w:val="0"/>
              <w:noProof/>
              <w:sz w:val="22"/>
              <w:lang w:eastAsia="en-AU"/>
            </w:rPr>
          </w:pPr>
          <w:hyperlink w:anchor="_Toc436383356" w:history="1">
            <w:r w:rsidR="005D2E93" w:rsidRPr="00887F14">
              <w:rPr>
                <w:rStyle w:val="Hyperlink"/>
                <w:noProof/>
              </w:rPr>
              <w:t>11.</w:t>
            </w:r>
            <w:r w:rsidR="005D2E93">
              <w:rPr>
                <w:rFonts w:asciiTheme="minorHAnsi" w:eastAsiaTheme="minorEastAsia" w:hAnsiTheme="minorHAnsi" w:cstheme="minorBidi"/>
                <w:b w:val="0"/>
                <w:noProof/>
                <w:sz w:val="22"/>
                <w:lang w:eastAsia="en-AU"/>
              </w:rPr>
              <w:tab/>
            </w:r>
            <w:r w:rsidR="005D2E93" w:rsidRPr="00887F14">
              <w:rPr>
                <w:rStyle w:val="Hyperlink"/>
                <w:noProof/>
              </w:rPr>
              <w:t>Clinical questions</w:t>
            </w:r>
            <w:r w:rsidR="005D2E93">
              <w:rPr>
                <w:noProof/>
                <w:webHidden/>
              </w:rPr>
              <w:tab/>
            </w:r>
            <w:r w:rsidR="005D2E93">
              <w:rPr>
                <w:noProof/>
                <w:webHidden/>
              </w:rPr>
              <w:fldChar w:fldCharType="begin"/>
            </w:r>
            <w:r w:rsidR="005D2E93">
              <w:rPr>
                <w:noProof/>
                <w:webHidden/>
              </w:rPr>
              <w:instrText xml:space="preserve"> PAGEREF _Toc436383356 \h </w:instrText>
            </w:r>
            <w:r w:rsidR="005D2E93">
              <w:rPr>
                <w:noProof/>
                <w:webHidden/>
              </w:rPr>
            </w:r>
            <w:r w:rsidR="005D2E93">
              <w:rPr>
                <w:noProof/>
                <w:webHidden/>
              </w:rPr>
              <w:fldChar w:fldCharType="separate"/>
            </w:r>
            <w:r w:rsidR="005D2E93">
              <w:rPr>
                <w:noProof/>
                <w:webHidden/>
              </w:rPr>
              <w:t>59</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57" w:history="1">
            <w:r w:rsidR="005D2E93" w:rsidRPr="00887F14">
              <w:rPr>
                <w:rStyle w:val="Hyperlink"/>
                <w:noProof/>
              </w:rPr>
              <w:t>11.1.</w:t>
            </w:r>
            <w:r w:rsidR="005D2E93">
              <w:rPr>
                <w:rFonts w:asciiTheme="minorHAnsi" w:eastAsiaTheme="minorEastAsia" w:hAnsiTheme="minorHAnsi" w:cstheme="minorBidi"/>
                <w:noProof/>
                <w:lang w:eastAsia="en-AU"/>
              </w:rPr>
              <w:tab/>
            </w:r>
            <w:r w:rsidR="005D2E93" w:rsidRPr="00887F14">
              <w:rPr>
                <w:rStyle w:val="Hyperlink"/>
                <w:noProof/>
              </w:rPr>
              <w:t>Pharmacokinetics</w:t>
            </w:r>
            <w:r w:rsidR="005D2E93">
              <w:rPr>
                <w:noProof/>
                <w:webHidden/>
              </w:rPr>
              <w:tab/>
            </w:r>
            <w:r w:rsidR="005D2E93">
              <w:rPr>
                <w:noProof/>
                <w:webHidden/>
              </w:rPr>
              <w:fldChar w:fldCharType="begin"/>
            </w:r>
            <w:r w:rsidR="005D2E93">
              <w:rPr>
                <w:noProof/>
                <w:webHidden/>
              </w:rPr>
              <w:instrText xml:space="preserve"> PAGEREF _Toc436383357 \h </w:instrText>
            </w:r>
            <w:r w:rsidR="005D2E93">
              <w:rPr>
                <w:noProof/>
                <w:webHidden/>
              </w:rPr>
            </w:r>
            <w:r w:rsidR="005D2E93">
              <w:rPr>
                <w:noProof/>
                <w:webHidden/>
              </w:rPr>
              <w:fldChar w:fldCharType="separate"/>
            </w:r>
            <w:r w:rsidR="005D2E93">
              <w:rPr>
                <w:noProof/>
                <w:webHidden/>
              </w:rPr>
              <w:t>59</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58" w:history="1">
            <w:r w:rsidR="005D2E93" w:rsidRPr="00887F14">
              <w:rPr>
                <w:rStyle w:val="Hyperlink"/>
                <w:noProof/>
              </w:rPr>
              <w:t>11.2.</w:t>
            </w:r>
            <w:r w:rsidR="005D2E93">
              <w:rPr>
                <w:rFonts w:asciiTheme="minorHAnsi" w:eastAsiaTheme="minorEastAsia" w:hAnsiTheme="minorHAnsi" w:cstheme="minorBidi"/>
                <w:noProof/>
                <w:lang w:eastAsia="en-AU"/>
              </w:rPr>
              <w:tab/>
            </w:r>
            <w:r w:rsidR="005D2E93" w:rsidRPr="00887F14">
              <w:rPr>
                <w:rStyle w:val="Hyperlink"/>
                <w:noProof/>
              </w:rPr>
              <w:t>Pharmacodynamics</w:t>
            </w:r>
            <w:r w:rsidR="005D2E93">
              <w:rPr>
                <w:noProof/>
                <w:webHidden/>
              </w:rPr>
              <w:tab/>
            </w:r>
            <w:r w:rsidR="005D2E93">
              <w:rPr>
                <w:noProof/>
                <w:webHidden/>
              </w:rPr>
              <w:fldChar w:fldCharType="begin"/>
            </w:r>
            <w:r w:rsidR="005D2E93">
              <w:rPr>
                <w:noProof/>
                <w:webHidden/>
              </w:rPr>
              <w:instrText xml:space="preserve"> PAGEREF _Toc436383358 \h </w:instrText>
            </w:r>
            <w:r w:rsidR="005D2E93">
              <w:rPr>
                <w:noProof/>
                <w:webHidden/>
              </w:rPr>
            </w:r>
            <w:r w:rsidR="005D2E93">
              <w:rPr>
                <w:noProof/>
                <w:webHidden/>
              </w:rPr>
              <w:fldChar w:fldCharType="separate"/>
            </w:r>
            <w:r w:rsidR="005D2E93">
              <w:rPr>
                <w:noProof/>
                <w:webHidden/>
              </w:rPr>
              <w:t>60</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59" w:history="1">
            <w:r w:rsidR="005D2E93" w:rsidRPr="00887F14">
              <w:rPr>
                <w:rStyle w:val="Hyperlink"/>
                <w:noProof/>
              </w:rPr>
              <w:t>11.3.</w:t>
            </w:r>
            <w:r w:rsidR="005D2E93">
              <w:rPr>
                <w:rFonts w:asciiTheme="minorHAnsi" w:eastAsiaTheme="minorEastAsia" w:hAnsiTheme="minorHAnsi" w:cstheme="minorBidi"/>
                <w:noProof/>
                <w:lang w:eastAsia="en-AU"/>
              </w:rPr>
              <w:tab/>
            </w:r>
            <w:r w:rsidR="005D2E93" w:rsidRPr="00887F14">
              <w:rPr>
                <w:rStyle w:val="Hyperlink"/>
                <w:noProof/>
              </w:rPr>
              <w:t>Efficacy</w:t>
            </w:r>
            <w:r w:rsidR="005D2E93">
              <w:rPr>
                <w:noProof/>
                <w:webHidden/>
              </w:rPr>
              <w:tab/>
            </w:r>
            <w:r w:rsidR="005D2E93">
              <w:rPr>
                <w:noProof/>
                <w:webHidden/>
              </w:rPr>
              <w:fldChar w:fldCharType="begin"/>
            </w:r>
            <w:r w:rsidR="005D2E93">
              <w:rPr>
                <w:noProof/>
                <w:webHidden/>
              </w:rPr>
              <w:instrText xml:space="preserve"> PAGEREF _Toc436383359 \h </w:instrText>
            </w:r>
            <w:r w:rsidR="005D2E93">
              <w:rPr>
                <w:noProof/>
                <w:webHidden/>
              </w:rPr>
            </w:r>
            <w:r w:rsidR="005D2E93">
              <w:rPr>
                <w:noProof/>
                <w:webHidden/>
              </w:rPr>
              <w:fldChar w:fldCharType="separate"/>
            </w:r>
            <w:r w:rsidR="005D2E93">
              <w:rPr>
                <w:noProof/>
                <w:webHidden/>
              </w:rPr>
              <w:t>60</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0" w:history="1">
            <w:r w:rsidR="005D2E93" w:rsidRPr="00887F14">
              <w:rPr>
                <w:rStyle w:val="Hyperlink"/>
                <w:noProof/>
              </w:rPr>
              <w:t>11.4.</w:t>
            </w:r>
            <w:r w:rsidR="005D2E93">
              <w:rPr>
                <w:rFonts w:asciiTheme="minorHAnsi" w:eastAsiaTheme="minorEastAsia" w:hAnsiTheme="minorHAnsi" w:cstheme="minorBidi"/>
                <w:noProof/>
                <w:lang w:eastAsia="en-AU"/>
              </w:rPr>
              <w:tab/>
            </w:r>
            <w:r w:rsidR="005D2E93" w:rsidRPr="00887F14">
              <w:rPr>
                <w:rStyle w:val="Hyperlink"/>
                <w:noProof/>
              </w:rPr>
              <w:t>Safety</w:t>
            </w:r>
            <w:r w:rsidR="005D2E93">
              <w:rPr>
                <w:noProof/>
                <w:webHidden/>
              </w:rPr>
              <w:tab/>
            </w:r>
            <w:r w:rsidR="005D2E93">
              <w:rPr>
                <w:noProof/>
                <w:webHidden/>
              </w:rPr>
              <w:fldChar w:fldCharType="begin"/>
            </w:r>
            <w:r w:rsidR="005D2E93">
              <w:rPr>
                <w:noProof/>
                <w:webHidden/>
              </w:rPr>
              <w:instrText xml:space="preserve"> PAGEREF _Toc436383360 \h </w:instrText>
            </w:r>
            <w:r w:rsidR="005D2E93">
              <w:rPr>
                <w:noProof/>
                <w:webHidden/>
              </w:rPr>
            </w:r>
            <w:r w:rsidR="005D2E93">
              <w:rPr>
                <w:noProof/>
                <w:webHidden/>
              </w:rPr>
              <w:fldChar w:fldCharType="separate"/>
            </w:r>
            <w:r w:rsidR="005D2E93">
              <w:rPr>
                <w:noProof/>
                <w:webHidden/>
              </w:rPr>
              <w:t>60</w:t>
            </w:r>
            <w:r w:rsidR="005D2E93">
              <w:rPr>
                <w:noProof/>
                <w:webHidden/>
              </w:rPr>
              <w:fldChar w:fldCharType="end"/>
            </w:r>
          </w:hyperlink>
        </w:p>
        <w:p w:rsidR="005D2E93" w:rsidRDefault="00892E65">
          <w:pPr>
            <w:pStyle w:val="TOC2"/>
            <w:tabs>
              <w:tab w:val="left" w:pos="1320"/>
            </w:tabs>
            <w:rPr>
              <w:rFonts w:asciiTheme="minorHAnsi" w:eastAsiaTheme="minorEastAsia" w:hAnsiTheme="minorHAnsi" w:cstheme="minorBidi"/>
              <w:b w:val="0"/>
              <w:noProof/>
              <w:sz w:val="22"/>
              <w:lang w:eastAsia="en-AU"/>
            </w:rPr>
          </w:pPr>
          <w:hyperlink w:anchor="_Toc436383361" w:history="1">
            <w:r w:rsidR="005D2E93" w:rsidRPr="00887F14">
              <w:rPr>
                <w:rStyle w:val="Hyperlink"/>
                <w:noProof/>
              </w:rPr>
              <w:t>12.</w:t>
            </w:r>
            <w:r w:rsidR="005D2E93">
              <w:rPr>
                <w:rFonts w:asciiTheme="minorHAnsi" w:eastAsiaTheme="minorEastAsia" w:hAnsiTheme="minorHAnsi" w:cstheme="minorBidi"/>
                <w:b w:val="0"/>
                <w:noProof/>
                <w:sz w:val="22"/>
                <w:lang w:eastAsia="en-AU"/>
              </w:rPr>
              <w:tab/>
            </w:r>
            <w:r w:rsidR="005D2E93" w:rsidRPr="00887F14">
              <w:rPr>
                <w:rStyle w:val="Hyperlink"/>
                <w:noProof/>
              </w:rPr>
              <w:t>Second round evaluation of clinical data submitted in response to questions</w:t>
            </w:r>
            <w:r w:rsidR="005D2E93">
              <w:rPr>
                <w:noProof/>
                <w:webHidden/>
              </w:rPr>
              <w:tab/>
            </w:r>
            <w:r w:rsidR="005D2E93">
              <w:rPr>
                <w:noProof/>
                <w:webHidden/>
              </w:rPr>
              <w:fldChar w:fldCharType="begin"/>
            </w:r>
            <w:r w:rsidR="005D2E93">
              <w:rPr>
                <w:noProof/>
                <w:webHidden/>
              </w:rPr>
              <w:instrText xml:space="preserve"> PAGEREF _Toc436383361 \h </w:instrText>
            </w:r>
            <w:r w:rsidR="005D2E93">
              <w:rPr>
                <w:noProof/>
                <w:webHidden/>
              </w:rPr>
            </w:r>
            <w:r w:rsidR="005D2E93">
              <w:rPr>
                <w:noProof/>
                <w:webHidden/>
              </w:rPr>
              <w:fldChar w:fldCharType="separate"/>
            </w:r>
            <w:r w:rsidR="005D2E93">
              <w:rPr>
                <w:noProof/>
                <w:webHidden/>
              </w:rPr>
              <w:t>61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2" w:history="1">
            <w:r w:rsidR="005D2E93" w:rsidRPr="00887F14">
              <w:rPr>
                <w:rStyle w:val="Hyperlink"/>
                <w:noProof/>
              </w:rPr>
              <w:t>12.1.</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Clinical question 1</w:t>
            </w:r>
            <w:r w:rsidR="005D2E93" w:rsidRPr="00887F14">
              <w:rPr>
                <w:rStyle w:val="Hyperlink"/>
                <w:noProof/>
              </w:rPr>
              <w:t xml:space="preserve"> -</w:t>
            </w:r>
            <w:r w:rsidR="005D2E93" w:rsidRPr="00887F14">
              <w:rPr>
                <w:rStyle w:val="Hyperlink"/>
                <w:rFonts w:eastAsia="TimesNewRoman,BoldItalic"/>
                <w:noProof/>
              </w:rPr>
              <w:t xml:space="preserve"> Pharmacokinetics</w:t>
            </w:r>
            <w:r w:rsidR="005D2E93">
              <w:rPr>
                <w:noProof/>
                <w:webHidden/>
              </w:rPr>
              <w:tab/>
            </w:r>
            <w:r w:rsidR="005D2E93">
              <w:rPr>
                <w:noProof/>
                <w:webHidden/>
              </w:rPr>
              <w:fldChar w:fldCharType="begin"/>
            </w:r>
            <w:r w:rsidR="005D2E93">
              <w:rPr>
                <w:noProof/>
                <w:webHidden/>
              </w:rPr>
              <w:instrText xml:space="preserve"> PAGEREF _Toc436383362 \h </w:instrText>
            </w:r>
            <w:r w:rsidR="005D2E93">
              <w:rPr>
                <w:noProof/>
                <w:webHidden/>
              </w:rPr>
            </w:r>
            <w:r w:rsidR="005D2E93">
              <w:rPr>
                <w:noProof/>
                <w:webHidden/>
              </w:rPr>
              <w:fldChar w:fldCharType="separate"/>
            </w:r>
            <w:r w:rsidR="005D2E93">
              <w:rPr>
                <w:noProof/>
                <w:webHidden/>
              </w:rPr>
              <w:t>61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3" w:history="1">
            <w:r w:rsidR="005D2E93" w:rsidRPr="00887F14">
              <w:rPr>
                <w:rStyle w:val="Hyperlink"/>
                <w:rFonts w:eastAsia="TimesNewRoman,Bold"/>
                <w:noProof/>
              </w:rPr>
              <w:t>12.2.</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2 - </w:t>
            </w:r>
            <w:r w:rsidR="005D2E93" w:rsidRPr="00887F14">
              <w:rPr>
                <w:rStyle w:val="Hyperlink"/>
                <w:rFonts w:eastAsia="TimesNewRoman,BoldItalic"/>
                <w:noProof/>
              </w:rPr>
              <w:t>Pharmacodynamics</w:t>
            </w:r>
            <w:r w:rsidR="005D2E93">
              <w:rPr>
                <w:noProof/>
                <w:webHidden/>
              </w:rPr>
              <w:tab/>
            </w:r>
            <w:r w:rsidR="005D2E93">
              <w:rPr>
                <w:noProof/>
                <w:webHidden/>
              </w:rPr>
              <w:fldChar w:fldCharType="begin"/>
            </w:r>
            <w:r w:rsidR="005D2E93">
              <w:rPr>
                <w:noProof/>
                <w:webHidden/>
              </w:rPr>
              <w:instrText xml:space="preserve"> PAGEREF _Toc436383363 \h </w:instrText>
            </w:r>
            <w:r w:rsidR="005D2E93">
              <w:rPr>
                <w:noProof/>
                <w:webHidden/>
              </w:rPr>
            </w:r>
            <w:r w:rsidR="005D2E93">
              <w:rPr>
                <w:noProof/>
                <w:webHidden/>
              </w:rPr>
              <w:fldChar w:fldCharType="separate"/>
            </w:r>
            <w:r w:rsidR="005D2E93">
              <w:rPr>
                <w:noProof/>
                <w:webHidden/>
              </w:rPr>
              <w:t>61</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4" w:history="1">
            <w:r w:rsidR="005D2E93" w:rsidRPr="00887F14">
              <w:rPr>
                <w:rStyle w:val="Hyperlink"/>
                <w:rFonts w:eastAsia="TimesNewRoman,Bold"/>
                <w:noProof/>
              </w:rPr>
              <w:t>12.3.</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3 -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_Toc436383364 \h </w:instrText>
            </w:r>
            <w:r w:rsidR="005D2E93">
              <w:rPr>
                <w:noProof/>
                <w:webHidden/>
              </w:rPr>
            </w:r>
            <w:r w:rsidR="005D2E93">
              <w:rPr>
                <w:noProof/>
                <w:webHidden/>
              </w:rPr>
              <w:fldChar w:fldCharType="separate"/>
            </w:r>
            <w:r w:rsidR="005D2E93">
              <w:rPr>
                <w:noProof/>
                <w:webHidden/>
              </w:rPr>
              <w:t>62</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5" w:history="1">
            <w:r w:rsidR="005D2E93" w:rsidRPr="00887F14">
              <w:rPr>
                <w:rStyle w:val="Hyperlink"/>
                <w:rFonts w:eastAsia="TimesNewRoman,Bold"/>
                <w:noProof/>
              </w:rPr>
              <w:t>12.4.</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4 -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_Toc436383365 \h </w:instrText>
            </w:r>
            <w:r w:rsidR="005D2E93">
              <w:rPr>
                <w:noProof/>
                <w:webHidden/>
              </w:rPr>
            </w:r>
            <w:r w:rsidR="005D2E93">
              <w:rPr>
                <w:noProof/>
                <w:webHidden/>
              </w:rPr>
              <w:fldChar w:fldCharType="separate"/>
            </w:r>
            <w:r w:rsidR="005D2E93">
              <w:rPr>
                <w:noProof/>
                <w:webHidden/>
              </w:rPr>
              <w:t>62</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6" w:history="1">
            <w:r w:rsidR="005D2E93" w:rsidRPr="00887F14">
              <w:rPr>
                <w:rStyle w:val="Hyperlink"/>
                <w:rFonts w:eastAsia="TimesNewRoman,Bold"/>
                <w:noProof/>
              </w:rPr>
              <w:t>12.5.</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5 -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_Toc436383366 \h </w:instrText>
            </w:r>
            <w:r w:rsidR="005D2E93">
              <w:rPr>
                <w:noProof/>
                <w:webHidden/>
              </w:rPr>
            </w:r>
            <w:r w:rsidR="005D2E93">
              <w:rPr>
                <w:noProof/>
                <w:webHidden/>
              </w:rPr>
              <w:fldChar w:fldCharType="separate"/>
            </w:r>
            <w:r w:rsidR="005D2E93">
              <w:rPr>
                <w:noProof/>
                <w:webHidden/>
              </w:rPr>
              <w:t>62</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7" w:history="1">
            <w:r w:rsidR="005D2E93" w:rsidRPr="00887F14">
              <w:rPr>
                <w:rStyle w:val="Hyperlink"/>
                <w:rFonts w:eastAsia="TimesNewRoman,BoldItalic"/>
                <w:noProof/>
              </w:rPr>
              <w:t>12.6.</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6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_Toc436383367 \h </w:instrText>
            </w:r>
            <w:r w:rsidR="005D2E93">
              <w:rPr>
                <w:noProof/>
                <w:webHidden/>
              </w:rPr>
            </w:r>
            <w:r w:rsidR="005D2E93">
              <w:rPr>
                <w:noProof/>
                <w:webHidden/>
              </w:rPr>
              <w:fldChar w:fldCharType="separate"/>
            </w:r>
            <w:r w:rsidR="005D2E93">
              <w:rPr>
                <w:noProof/>
                <w:webHidden/>
              </w:rPr>
              <w:t>63</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8" w:history="1">
            <w:r w:rsidR="005D2E93" w:rsidRPr="00887F14">
              <w:rPr>
                <w:rStyle w:val="Hyperlink"/>
                <w:rFonts w:eastAsia="TimesNewRoman,BoldItalic"/>
                <w:noProof/>
              </w:rPr>
              <w:t>12.7.</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7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_Toc436383368 \h </w:instrText>
            </w:r>
            <w:r w:rsidR="005D2E93">
              <w:rPr>
                <w:noProof/>
                <w:webHidden/>
              </w:rPr>
            </w:r>
            <w:r w:rsidR="005D2E93">
              <w:rPr>
                <w:noProof/>
                <w:webHidden/>
              </w:rPr>
              <w:fldChar w:fldCharType="separate"/>
            </w:r>
            <w:r w:rsidR="005D2E93">
              <w:rPr>
                <w:noProof/>
                <w:webHidden/>
              </w:rPr>
              <w:t>64</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69" w:history="1">
            <w:r w:rsidR="005D2E93" w:rsidRPr="00887F14">
              <w:rPr>
                <w:rStyle w:val="Hyperlink"/>
                <w:rFonts w:eastAsia="TimesNewRoman,BoldItalic"/>
                <w:noProof/>
              </w:rPr>
              <w:t>12.8.</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8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_Toc436383369 \h </w:instrText>
            </w:r>
            <w:r w:rsidR="005D2E93">
              <w:rPr>
                <w:noProof/>
                <w:webHidden/>
              </w:rPr>
            </w:r>
            <w:r w:rsidR="005D2E93">
              <w:rPr>
                <w:noProof/>
                <w:webHidden/>
              </w:rPr>
              <w:fldChar w:fldCharType="separate"/>
            </w:r>
            <w:r w:rsidR="005D2E93">
              <w:rPr>
                <w:noProof/>
                <w:webHidden/>
              </w:rPr>
              <w:t>64</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70" w:history="1">
            <w:r w:rsidR="005D2E93" w:rsidRPr="00887F14">
              <w:rPr>
                <w:rStyle w:val="Hyperlink"/>
                <w:rFonts w:eastAsia="TimesNewRoman,BoldItalic"/>
                <w:noProof/>
              </w:rPr>
              <w:t>12.9.</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9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_Toc436383370 \h </w:instrText>
            </w:r>
            <w:r w:rsidR="005D2E93">
              <w:rPr>
                <w:noProof/>
                <w:webHidden/>
              </w:rPr>
            </w:r>
            <w:r w:rsidR="005D2E93">
              <w:rPr>
                <w:noProof/>
                <w:webHidden/>
              </w:rPr>
              <w:fldChar w:fldCharType="separate"/>
            </w:r>
            <w:r w:rsidR="005D2E93">
              <w:rPr>
                <w:noProof/>
                <w:webHidden/>
              </w:rPr>
              <w:t>65</w:t>
            </w:r>
            <w:r w:rsidR="005D2E93">
              <w:rPr>
                <w:noProof/>
                <w:webHidden/>
              </w:rPr>
              <w:fldChar w:fldCharType="end"/>
            </w:r>
          </w:hyperlink>
        </w:p>
        <w:p w:rsidR="005D2E93" w:rsidRDefault="00892E65">
          <w:pPr>
            <w:pStyle w:val="TOC3"/>
            <w:tabs>
              <w:tab w:val="left" w:pos="1819"/>
            </w:tabs>
            <w:rPr>
              <w:rFonts w:asciiTheme="minorHAnsi" w:eastAsiaTheme="minorEastAsia" w:hAnsiTheme="minorHAnsi" w:cstheme="minorBidi"/>
              <w:noProof/>
              <w:lang w:eastAsia="en-AU"/>
            </w:rPr>
          </w:pPr>
          <w:hyperlink w:anchor="_Toc436383371" w:history="1">
            <w:r w:rsidR="005D2E93" w:rsidRPr="00887F14">
              <w:rPr>
                <w:rStyle w:val="Hyperlink"/>
                <w:rFonts w:eastAsia="TimesNewRoman"/>
                <w:noProof/>
              </w:rPr>
              <w:t>12.10.</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10 -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_Toc436383371 \h </w:instrText>
            </w:r>
            <w:r w:rsidR="005D2E93">
              <w:rPr>
                <w:noProof/>
                <w:webHidden/>
              </w:rPr>
            </w:r>
            <w:r w:rsidR="005D2E93">
              <w:rPr>
                <w:noProof/>
                <w:webHidden/>
              </w:rPr>
              <w:fldChar w:fldCharType="separate"/>
            </w:r>
            <w:r w:rsidR="005D2E93">
              <w:rPr>
                <w:noProof/>
                <w:webHidden/>
              </w:rPr>
              <w:t>66</w:t>
            </w:r>
            <w:r w:rsidR="005D2E93">
              <w:rPr>
                <w:noProof/>
                <w:webHidden/>
              </w:rPr>
              <w:fldChar w:fldCharType="end"/>
            </w:r>
          </w:hyperlink>
        </w:p>
        <w:p w:rsidR="005D2E93" w:rsidRDefault="00892E65">
          <w:pPr>
            <w:pStyle w:val="TOC3"/>
            <w:tabs>
              <w:tab w:val="left" w:pos="1819"/>
            </w:tabs>
            <w:rPr>
              <w:rFonts w:asciiTheme="minorHAnsi" w:eastAsiaTheme="minorEastAsia" w:hAnsiTheme="minorHAnsi" w:cstheme="minorBidi"/>
              <w:noProof/>
              <w:lang w:eastAsia="en-AU"/>
            </w:rPr>
          </w:pPr>
          <w:hyperlink w:anchor="_Toc436383372" w:history="1">
            <w:r w:rsidR="005D2E93" w:rsidRPr="00887F14">
              <w:rPr>
                <w:rStyle w:val="Hyperlink"/>
                <w:rFonts w:eastAsia="TimesNewRoman,BoldItalic"/>
                <w:noProof/>
              </w:rPr>
              <w:t>12.11.</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Clinical question 11- </w:t>
            </w:r>
            <w:r w:rsidR="005D2E93" w:rsidRPr="00887F14">
              <w:rPr>
                <w:rStyle w:val="Hyperlink"/>
                <w:rFonts w:eastAsia="TimesNewRoman,BoldItalic"/>
                <w:noProof/>
              </w:rPr>
              <w:t>Efficacy</w:t>
            </w:r>
            <w:r w:rsidR="005D2E93">
              <w:rPr>
                <w:noProof/>
                <w:webHidden/>
              </w:rPr>
              <w:tab/>
            </w:r>
            <w:r w:rsidR="005D2E93">
              <w:rPr>
                <w:noProof/>
                <w:webHidden/>
              </w:rPr>
              <w:fldChar w:fldCharType="begin"/>
            </w:r>
            <w:r w:rsidR="005D2E93">
              <w:rPr>
                <w:noProof/>
                <w:webHidden/>
              </w:rPr>
              <w:instrText xml:space="preserve"> PAGEREF _Toc436383372 \h </w:instrText>
            </w:r>
            <w:r w:rsidR="005D2E93">
              <w:rPr>
                <w:noProof/>
                <w:webHidden/>
              </w:rPr>
            </w:r>
            <w:r w:rsidR="005D2E93">
              <w:rPr>
                <w:noProof/>
                <w:webHidden/>
              </w:rPr>
              <w:fldChar w:fldCharType="separate"/>
            </w:r>
            <w:r w:rsidR="005D2E93">
              <w:rPr>
                <w:noProof/>
                <w:webHidden/>
              </w:rPr>
              <w:t>66</w:t>
            </w:r>
            <w:r w:rsidR="005D2E93">
              <w:rPr>
                <w:noProof/>
                <w:webHidden/>
              </w:rPr>
              <w:fldChar w:fldCharType="end"/>
            </w:r>
          </w:hyperlink>
        </w:p>
        <w:p w:rsidR="005D2E93" w:rsidRDefault="00892E65">
          <w:pPr>
            <w:pStyle w:val="TOC3"/>
            <w:tabs>
              <w:tab w:val="left" w:pos="1819"/>
            </w:tabs>
            <w:rPr>
              <w:rFonts w:asciiTheme="minorHAnsi" w:eastAsiaTheme="minorEastAsia" w:hAnsiTheme="minorHAnsi" w:cstheme="minorBidi"/>
              <w:noProof/>
              <w:lang w:eastAsia="en-AU"/>
            </w:rPr>
          </w:pPr>
          <w:hyperlink w:anchor="_Toc436383373" w:history="1">
            <w:r w:rsidR="005D2E93" w:rsidRPr="00887F14">
              <w:rPr>
                <w:rStyle w:val="Hyperlink"/>
                <w:rFonts w:eastAsia="TimesNewRoman,BoldItalic"/>
                <w:noProof/>
              </w:rPr>
              <w:t>12.12.</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Question A – </w:t>
            </w:r>
            <w:r w:rsidR="005D2E93" w:rsidRPr="00887F14">
              <w:rPr>
                <w:rStyle w:val="Hyperlink"/>
                <w:rFonts w:eastAsia="TimesNewRoman,BoldItalic"/>
                <w:noProof/>
              </w:rPr>
              <w:t>Safety</w:t>
            </w:r>
            <w:r w:rsidR="005D2E93">
              <w:rPr>
                <w:noProof/>
                <w:webHidden/>
              </w:rPr>
              <w:tab/>
            </w:r>
            <w:r w:rsidR="005D2E93">
              <w:rPr>
                <w:noProof/>
                <w:webHidden/>
              </w:rPr>
              <w:fldChar w:fldCharType="begin"/>
            </w:r>
            <w:r w:rsidR="005D2E93">
              <w:rPr>
                <w:noProof/>
                <w:webHidden/>
              </w:rPr>
              <w:instrText xml:space="preserve"> PAGEREF _Toc436383373 \h </w:instrText>
            </w:r>
            <w:r w:rsidR="005D2E93">
              <w:rPr>
                <w:noProof/>
                <w:webHidden/>
              </w:rPr>
            </w:r>
            <w:r w:rsidR="005D2E93">
              <w:rPr>
                <w:noProof/>
                <w:webHidden/>
              </w:rPr>
              <w:fldChar w:fldCharType="separate"/>
            </w:r>
            <w:r w:rsidR="005D2E93">
              <w:rPr>
                <w:noProof/>
                <w:webHidden/>
              </w:rPr>
              <w:t>66</w:t>
            </w:r>
            <w:r w:rsidR="005D2E93">
              <w:rPr>
                <w:noProof/>
                <w:webHidden/>
              </w:rPr>
              <w:fldChar w:fldCharType="end"/>
            </w:r>
          </w:hyperlink>
        </w:p>
        <w:p w:rsidR="005D2E93" w:rsidRDefault="00892E65">
          <w:pPr>
            <w:pStyle w:val="TOC3"/>
            <w:tabs>
              <w:tab w:val="left" w:pos="1819"/>
            </w:tabs>
            <w:rPr>
              <w:rFonts w:asciiTheme="minorHAnsi" w:eastAsiaTheme="minorEastAsia" w:hAnsiTheme="minorHAnsi" w:cstheme="minorBidi"/>
              <w:noProof/>
              <w:lang w:eastAsia="en-AU"/>
            </w:rPr>
          </w:pPr>
          <w:hyperlink w:anchor="_Toc436383374" w:history="1">
            <w:r w:rsidR="005D2E93" w:rsidRPr="00887F14">
              <w:rPr>
                <w:rStyle w:val="Hyperlink"/>
                <w:rFonts w:eastAsia="TimesNewRoman,BoldItalic"/>
                <w:noProof/>
              </w:rPr>
              <w:t>12.13.</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Question B – </w:t>
            </w:r>
            <w:r w:rsidR="005D2E93" w:rsidRPr="00887F14">
              <w:rPr>
                <w:rStyle w:val="Hyperlink"/>
                <w:rFonts w:eastAsia="TimesNewRoman,BoldItalic"/>
                <w:noProof/>
              </w:rPr>
              <w:t>Safety</w:t>
            </w:r>
            <w:r w:rsidR="005D2E93">
              <w:rPr>
                <w:noProof/>
                <w:webHidden/>
              </w:rPr>
              <w:tab/>
            </w:r>
            <w:r w:rsidR="005D2E93">
              <w:rPr>
                <w:noProof/>
                <w:webHidden/>
              </w:rPr>
              <w:fldChar w:fldCharType="begin"/>
            </w:r>
            <w:r w:rsidR="005D2E93">
              <w:rPr>
                <w:noProof/>
                <w:webHidden/>
              </w:rPr>
              <w:instrText xml:space="preserve"> PAGEREF _Toc436383374 \h </w:instrText>
            </w:r>
            <w:r w:rsidR="005D2E93">
              <w:rPr>
                <w:noProof/>
                <w:webHidden/>
              </w:rPr>
            </w:r>
            <w:r w:rsidR="005D2E93">
              <w:rPr>
                <w:noProof/>
                <w:webHidden/>
              </w:rPr>
              <w:fldChar w:fldCharType="separate"/>
            </w:r>
            <w:r w:rsidR="005D2E93">
              <w:rPr>
                <w:noProof/>
                <w:webHidden/>
              </w:rPr>
              <w:t>67</w:t>
            </w:r>
            <w:r w:rsidR="005D2E93">
              <w:rPr>
                <w:noProof/>
                <w:webHidden/>
              </w:rPr>
              <w:fldChar w:fldCharType="end"/>
            </w:r>
          </w:hyperlink>
        </w:p>
        <w:p w:rsidR="005D2E93" w:rsidRDefault="00892E65">
          <w:pPr>
            <w:pStyle w:val="TOC3"/>
            <w:tabs>
              <w:tab w:val="left" w:pos="1819"/>
            </w:tabs>
            <w:rPr>
              <w:rFonts w:asciiTheme="minorHAnsi" w:eastAsiaTheme="minorEastAsia" w:hAnsiTheme="minorHAnsi" w:cstheme="minorBidi"/>
              <w:noProof/>
              <w:lang w:eastAsia="en-AU"/>
            </w:rPr>
          </w:pPr>
          <w:hyperlink w:anchor="_Toc436383375" w:history="1">
            <w:r w:rsidR="005D2E93" w:rsidRPr="00887F14">
              <w:rPr>
                <w:rStyle w:val="Hyperlink"/>
                <w:rFonts w:eastAsia="TimesNewRoman,BoldItalic"/>
                <w:noProof/>
              </w:rPr>
              <w:t>12.14.</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Page 39 of CER – </w:t>
            </w:r>
            <w:r w:rsidR="005D2E93" w:rsidRPr="00887F14">
              <w:rPr>
                <w:rStyle w:val="Hyperlink"/>
                <w:rFonts w:eastAsia="TimesNewRoman,BoldItalic"/>
                <w:noProof/>
              </w:rPr>
              <w:t>Breast feeding</w:t>
            </w:r>
            <w:r w:rsidR="005D2E93">
              <w:rPr>
                <w:noProof/>
                <w:webHidden/>
              </w:rPr>
              <w:tab/>
            </w:r>
            <w:r w:rsidR="005D2E93">
              <w:rPr>
                <w:noProof/>
                <w:webHidden/>
              </w:rPr>
              <w:fldChar w:fldCharType="begin"/>
            </w:r>
            <w:r w:rsidR="005D2E93">
              <w:rPr>
                <w:noProof/>
                <w:webHidden/>
              </w:rPr>
              <w:instrText xml:space="preserve"> PAGEREF _Toc436383375 \h </w:instrText>
            </w:r>
            <w:r w:rsidR="005D2E93">
              <w:rPr>
                <w:noProof/>
                <w:webHidden/>
              </w:rPr>
            </w:r>
            <w:r w:rsidR="005D2E93">
              <w:rPr>
                <w:noProof/>
                <w:webHidden/>
              </w:rPr>
              <w:fldChar w:fldCharType="separate"/>
            </w:r>
            <w:r w:rsidR="005D2E93">
              <w:rPr>
                <w:noProof/>
                <w:webHidden/>
              </w:rPr>
              <w:t>68</w:t>
            </w:r>
            <w:r w:rsidR="005D2E93">
              <w:rPr>
                <w:noProof/>
                <w:webHidden/>
              </w:rPr>
              <w:fldChar w:fldCharType="end"/>
            </w:r>
          </w:hyperlink>
        </w:p>
        <w:p w:rsidR="005D2E93" w:rsidRDefault="00892E65">
          <w:pPr>
            <w:pStyle w:val="TOC3"/>
            <w:tabs>
              <w:tab w:val="left" w:pos="1819"/>
            </w:tabs>
            <w:rPr>
              <w:rFonts w:asciiTheme="minorHAnsi" w:eastAsiaTheme="minorEastAsia" w:hAnsiTheme="minorHAnsi" w:cstheme="minorBidi"/>
              <w:noProof/>
              <w:lang w:eastAsia="en-AU"/>
            </w:rPr>
          </w:pPr>
          <w:hyperlink w:anchor="_Toc436383376" w:history="1">
            <w:r w:rsidR="005D2E93" w:rsidRPr="00887F14">
              <w:rPr>
                <w:rStyle w:val="Hyperlink"/>
                <w:rFonts w:eastAsia="TimesNewRoman,BoldItalic"/>
                <w:noProof/>
              </w:rPr>
              <w:t>12.15.</w:t>
            </w:r>
            <w:r w:rsidR="005D2E93">
              <w:rPr>
                <w:rFonts w:asciiTheme="minorHAnsi" w:eastAsiaTheme="minorEastAsia" w:hAnsiTheme="minorHAnsi" w:cstheme="minorBidi"/>
                <w:noProof/>
                <w:lang w:eastAsia="en-AU"/>
              </w:rPr>
              <w:tab/>
            </w:r>
            <w:r w:rsidR="005D2E93" w:rsidRPr="00887F14">
              <w:rPr>
                <w:rStyle w:val="Hyperlink"/>
                <w:rFonts w:eastAsia="TimesNewRoman,Bold"/>
                <w:noProof/>
              </w:rPr>
              <w:t xml:space="preserve">Page 39 of CER – </w:t>
            </w:r>
            <w:r w:rsidR="005D2E93" w:rsidRPr="00887F14">
              <w:rPr>
                <w:rStyle w:val="Hyperlink"/>
                <w:rFonts w:eastAsia="TimesNewRoman,BoldItalic"/>
                <w:noProof/>
              </w:rPr>
              <w:t>Strong inducers</w:t>
            </w:r>
            <w:r w:rsidR="005D2E93">
              <w:rPr>
                <w:noProof/>
                <w:webHidden/>
              </w:rPr>
              <w:tab/>
            </w:r>
            <w:r w:rsidR="005D2E93">
              <w:rPr>
                <w:noProof/>
                <w:webHidden/>
              </w:rPr>
              <w:fldChar w:fldCharType="begin"/>
            </w:r>
            <w:r w:rsidR="005D2E93">
              <w:rPr>
                <w:noProof/>
                <w:webHidden/>
              </w:rPr>
              <w:instrText xml:space="preserve"> PAGEREF _Toc436383376 \h </w:instrText>
            </w:r>
            <w:r w:rsidR="005D2E93">
              <w:rPr>
                <w:noProof/>
                <w:webHidden/>
              </w:rPr>
            </w:r>
            <w:r w:rsidR="005D2E93">
              <w:rPr>
                <w:noProof/>
                <w:webHidden/>
              </w:rPr>
              <w:fldChar w:fldCharType="separate"/>
            </w:r>
            <w:r w:rsidR="005D2E93">
              <w:rPr>
                <w:noProof/>
                <w:webHidden/>
              </w:rPr>
              <w:t>68</w:t>
            </w:r>
            <w:r w:rsidR="005D2E93">
              <w:rPr>
                <w:noProof/>
                <w:webHidden/>
              </w:rPr>
              <w:fldChar w:fldCharType="end"/>
            </w:r>
          </w:hyperlink>
        </w:p>
        <w:p w:rsidR="005D2E93" w:rsidRDefault="00892E65">
          <w:pPr>
            <w:pStyle w:val="TOC2"/>
            <w:tabs>
              <w:tab w:val="left" w:pos="1320"/>
            </w:tabs>
            <w:rPr>
              <w:rFonts w:asciiTheme="minorHAnsi" w:eastAsiaTheme="minorEastAsia" w:hAnsiTheme="minorHAnsi" w:cstheme="minorBidi"/>
              <w:b w:val="0"/>
              <w:noProof/>
              <w:sz w:val="22"/>
              <w:lang w:eastAsia="en-AU"/>
            </w:rPr>
          </w:pPr>
          <w:hyperlink w:anchor="_Toc436383377" w:history="1">
            <w:r w:rsidR="005D2E93" w:rsidRPr="00887F14">
              <w:rPr>
                <w:rStyle w:val="Hyperlink"/>
                <w:noProof/>
              </w:rPr>
              <w:t>13.</w:t>
            </w:r>
            <w:r w:rsidR="005D2E93">
              <w:rPr>
                <w:rFonts w:asciiTheme="minorHAnsi" w:eastAsiaTheme="minorEastAsia" w:hAnsiTheme="minorHAnsi" w:cstheme="minorBidi"/>
                <w:b w:val="0"/>
                <w:noProof/>
                <w:sz w:val="22"/>
                <w:lang w:eastAsia="en-AU"/>
              </w:rPr>
              <w:tab/>
            </w:r>
            <w:r w:rsidR="005D2E93" w:rsidRPr="00887F14">
              <w:rPr>
                <w:rStyle w:val="Hyperlink"/>
                <w:noProof/>
              </w:rPr>
              <w:t>Second round benefit-risk assessment</w:t>
            </w:r>
            <w:r w:rsidR="005D2E93">
              <w:rPr>
                <w:noProof/>
                <w:webHidden/>
              </w:rPr>
              <w:tab/>
            </w:r>
            <w:r w:rsidR="005D2E93">
              <w:rPr>
                <w:noProof/>
                <w:webHidden/>
              </w:rPr>
              <w:fldChar w:fldCharType="begin"/>
            </w:r>
            <w:r w:rsidR="005D2E93">
              <w:rPr>
                <w:noProof/>
                <w:webHidden/>
              </w:rPr>
              <w:instrText xml:space="preserve"> PAGEREF _Toc436383377 \h </w:instrText>
            </w:r>
            <w:r w:rsidR="005D2E93">
              <w:rPr>
                <w:noProof/>
                <w:webHidden/>
              </w:rPr>
            </w:r>
            <w:r w:rsidR="005D2E93">
              <w:rPr>
                <w:noProof/>
                <w:webHidden/>
              </w:rPr>
              <w:fldChar w:fldCharType="separate"/>
            </w:r>
            <w:r w:rsidR="005D2E93">
              <w:rPr>
                <w:noProof/>
                <w:webHidden/>
              </w:rPr>
              <w:t>69</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78" w:history="1">
            <w:r w:rsidR="005D2E93" w:rsidRPr="00887F14">
              <w:rPr>
                <w:rStyle w:val="Hyperlink"/>
                <w:noProof/>
              </w:rPr>
              <w:t>13.1.</w:t>
            </w:r>
            <w:r w:rsidR="005D2E93">
              <w:rPr>
                <w:rFonts w:asciiTheme="minorHAnsi" w:eastAsiaTheme="minorEastAsia" w:hAnsiTheme="minorHAnsi" w:cstheme="minorBidi"/>
                <w:noProof/>
                <w:lang w:eastAsia="en-AU"/>
              </w:rPr>
              <w:tab/>
            </w:r>
            <w:r w:rsidR="005D2E93" w:rsidRPr="00887F14">
              <w:rPr>
                <w:rStyle w:val="Hyperlink"/>
                <w:noProof/>
              </w:rPr>
              <w:t>Second round assessment of benefits</w:t>
            </w:r>
            <w:r w:rsidR="005D2E93">
              <w:rPr>
                <w:noProof/>
                <w:webHidden/>
              </w:rPr>
              <w:tab/>
            </w:r>
            <w:r w:rsidR="005D2E93">
              <w:rPr>
                <w:noProof/>
                <w:webHidden/>
              </w:rPr>
              <w:fldChar w:fldCharType="begin"/>
            </w:r>
            <w:r w:rsidR="005D2E93">
              <w:rPr>
                <w:noProof/>
                <w:webHidden/>
              </w:rPr>
              <w:instrText xml:space="preserve"> PAGEREF _Toc436383378 \h </w:instrText>
            </w:r>
            <w:r w:rsidR="005D2E93">
              <w:rPr>
                <w:noProof/>
                <w:webHidden/>
              </w:rPr>
            </w:r>
            <w:r w:rsidR="005D2E93">
              <w:rPr>
                <w:noProof/>
                <w:webHidden/>
              </w:rPr>
              <w:fldChar w:fldCharType="separate"/>
            </w:r>
            <w:r w:rsidR="005D2E93">
              <w:rPr>
                <w:noProof/>
                <w:webHidden/>
              </w:rPr>
              <w:t>69</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79" w:history="1">
            <w:r w:rsidR="005D2E93" w:rsidRPr="00887F14">
              <w:rPr>
                <w:rStyle w:val="Hyperlink"/>
                <w:noProof/>
              </w:rPr>
              <w:t>13.2.</w:t>
            </w:r>
            <w:r w:rsidR="005D2E93">
              <w:rPr>
                <w:rFonts w:asciiTheme="minorHAnsi" w:eastAsiaTheme="minorEastAsia" w:hAnsiTheme="minorHAnsi" w:cstheme="minorBidi"/>
                <w:noProof/>
                <w:lang w:eastAsia="en-AU"/>
              </w:rPr>
              <w:tab/>
            </w:r>
            <w:r w:rsidR="005D2E93" w:rsidRPr="00887F14">
              <w:rPr>
                <w:rStyle w:val="Hyperlink"/>
                <w:noProof/>
              </w:rPr>
              <w:t>Second round assessment of risks</w:t>
            </w:r>
            <w:r w:rsidR="005D2E93">
              <w:rPr>
                <w:noProof/>
                <w:webHidden/>
              </w:rPr>
              <w:tab/>
            </w:r>
            <w:r w:rsidR="005D2E93">
              <w:rPr>
                <w:noProof/>
                <w:webHidden/>
              </w:rPr>
              <w:fldChar w:fldCharType="begin"/>
            </w:r>
            <w:r w:rsidR="005D2E93">
              <w:rPr>
                <w:noProof/>
                <w:webHidden/>
              </w:rPr>
              <w:instrText xml:space="preserve"> PAGEREF _Toc436383379 \h </w:instrText>
            </w:r>
            <w:r w:rsidR="005D2E93">
              <w:rPr>
                <w:noProof/>
                <w:webHidden/>
              </w:rPr>
            </w:r>
            <w:r w:rsidR="005D2E93">
              <w:rPr>
                <w:noProof/>
                <w:webHidden/>
              </w:rPr>
              <w:fldChar w:fldCharType="separate"/>
            </w:r>
            <w:r w:rsidR="005D2E93">
              <w:rPr>
                <w:noProof/>
                <w:webHidden/>
              </w:rPr>
              <w:t>69</w:t>
            </w:r>
            <w:r w:rsidR="005D2E93">
              <w:rPr>
                <w:noProof/>
                <w:webHidden/>
              </w:rPr>
              <w:fldChar w:fldCharType="end"/>
            </w:r>
          </w:hyperlink>
        </w:p>
        <w:p w:rsidR="005D2E93" w:rsidRDefault="00892E65">
          <w:pPr>
            <w:pStyle w:val="TOC3"/>
            <w:tabs>
              <w:tab w:val="left" w:pos="1760"/>
            </w:tabs>
            <w:rPr>
              <w:rFonts w:asciiTheme="minorHAnsi" w:eastAsiaTheme="minorEastAsia" w:hAnsiTheme="minorHAnsi" w:cstheme="minorBidi"/>
              <w:noProof/>
              <w:lang w:eastAsia="en-AU"/>
            </w:rPr>
          </w:pPr>
          <w:hyperlink w:anchor="_Toc436383380" w:history="1">
            <w:r w:rsidR="005D2E93" w:rsidRPr="00887F14">
              <w:rPr>
                <w:rStyle w:val="Hyperlink"/>
                <w:noProof/>
              </w:rPr>
              <w:t>13.3.</w:t>
            </w:r>
            <w:r w:rsidR="005D2E93">
              <w:rPr>
                <w:rFonts w:asciiTheme="minorHAnsi" w:eastAsiaTheme="minorEastAsia" w:hAnsiTheme="minorHAnsi" w:cstheme="minorBidi"/>
                <w:noProof/>
                <w:lang w:eastAsia="en-AU"/>
              </w:rPr>
              <w:tab/>
            </w:r>
            <w:r w:rsidR="005D2E93" w:rsidRPr="00887F14">
              <w:rPr>
                <w:rStyle w:val="Hyperlink"/>
                <w:noProof/>
              </w:rPr>
              <w:t>Second round assessment of benefit-risk balance</w:t>
            </w:r>
            <w:r w:rsidR="005D2E93">
              <w:rPr>
                <w:noProof/>
                <w:webHidden/>
              </w:rPr>
              <w:tab/>
            </w:r>
            <w:r w:rsidR="005D2E93">
              <w:rPr>
                <w:noProof/>
                <w:webHidden/>
              </w:rPr>
              <w:fldChar w:fldCharType="begin"/>
            </w:r>
            <w:r w:rsidR="005D2E93">
              <w:rPr>
                <w:noProof/>
                <w:webHidden/>
              </w:rPr>
              <w:instrText xml:space="preserve"> PAGEREF _Toc436383380 \h </w:instrText>
            </w:r>
            <w:r w:rsidR="005D2E93">
              <w:rPr>
                <w:noProof/>
                <w:webHidden/>
              </w:rPr>
            </w:r>
            <w:r w:rsidR="005D2E93">
              <w:rPr>
                <w:noProof/>
                <w:webHidden/>
              </w:rPr>
              <w:fldChar w:fldCharType="separate"/>
            </w:r>
            <w:r w:rsidR="005D2E93">
              <w:rPr>
                <w:noProof/>
                <w:webHidden/>
              </w:rPr>
              <w:t>69</w:t>
            </w:r>
            <w:r w:rsidR="005D2E93">
              <w:rPr>
                <w:noProof/>
                <w:webHidden/>
              </w:rPr>
              <w:fldChar w:fldCharType="end"/>
            </w:r>
          </w:hyperlink>
        </w:p>
        <w:p w:rsidR="005D2E93" w:rsidRDefault="00892E65">
          <w:pPr>
            <w:pStyle w:val="TOC2"/>
            <w:tabs>
              <w:tab w:val="left" w:pos="1320"/>
            </w:tabs>
            <w:rPr>
              <w:rFonts w:asciiTheme="minorHAnsi" w:eastAsiaTheme="minorEastAsia" w:hAnsiTheme="minorHAnsi" w:cstheme="minorBidi"/>
              <w:b w:val="0"/>
              <w:noProof/>
              <w:sz w:val="22"/>
              <w:lang w:eastAsia="en-AU"/>
            </w:rPr>
          </w:pPr>
          <w:hyperlink w:anchor="_Toc436383381" w:history="1">
            <w:r w:rsidR="005D2E93" w:rsidRPr="00887F14">
              <w:rPr>
                <w:rStyle w:val="Hyperlink"/>
                <w:noProof/>
              </w:rPr>
              <w:t>14.</w:t>
            </w:r>
            <w:r w:rsidR="005D2E93">
              <w:rPr>
                <w:rFonts w:asciiTheme="minorHAnsi" w:eastAsiaTheme="minorEastAsia" w:hAnsiTheme="minorHAnsi" w:cstheme="minorBidi"/>
                <w:b w:val="0"/>
                <w:noProof/>
                <w:sz w:val="22"/>
                <w:lang w:eastAsia="en-AU"/>
              </w:rPr>
              <w:tab/>
            </w:r>
            <w:r w:rsidR="005D2E93" w:rsidRPr="00887F14">
              <w:rPr>
                <w:rStyle w:val="Hyperlink"/>
                <w:noProof/>
              </w:rPr>
              <w:t>Second round recommendation regarding authorisation</w:t>
            </w:r>
            <w:r w:rsidR="005D2E93">
              <w:rPr>
                <w:noProof/>
                <w:webHidden/>
              </w:rPr>
              <w:tab/>
            </w:r>
            <w:r w:rsidR="005D2E93">
              <w:rPr>
                <w:noProof/>
                <w:webHidden/>
              </w:rPr>
              <w:fldChar w:fldCharType="begin"/>
            </w:r>
            <w:r w:rsidR="005D2E93">
              <w:rPr>
                <w:noProof/>
                <w:webHidden/>
              </w:rPr>
              <w:instrText xml:space="preserve"> PAGEREF _Toc436383381 \h </w:instrText>
            </w:r>
            <w:r w:rsidR="005D2E93">
              <w:rPr>
                <w:noProof/>
                <w:webHidden/>
              </w:rPr>
            </w:r>
            <w:r w:rsidR="005D2E93">
              <w:rPr>
                <w:noProof/>
                <w:webHidden/>
              </w:rPr>
              <w:fldChar w:fldCharType="separate"/>
            </w:r>
            <w:r w:rsidR="005D2E93">
              <w:rPr>
                <w:noProof/>
                <w:webHidden/>
              </w:rPr>
              <w:t>69</w:t>
            </w:r>
            <w:r w:rsidR="005D2E93">
              <w:rPr>
                <w:noProof/>
                <w:webHidden/>
              </w:rPr>
              <w:fldChar w:fldCharType="end"/>
            </w:r>
          </w:hyperlink>
        </w:p>
        <w:p w:rsidR="005D2E93" w:rsidRDefault="00892E65">
          <w:pPr>
            <w:pStyle w:val="TOC2"/>
            <w:tabs>
              <w:tab w:val="left" w:pos="1320"/>
            </w:tabs>
            <w:rPr>
              <w:rFonts w:asciiTheme="minorHAnsi" w:eastAsiaTheme="minorEastAsia" w:hAnsiTheme="minorHAnsi" w:cstheme="minorBidi"/>
              <w:b w:val="0"/>
              <w:noProof/>
              <w:sz w:val="22"/>
              <w:lang w:eastAsia="en-AU"/>
            </w:rPr>
          </w:pPr>
          <w:hyperlink w:anchor="_Toc436383382" w:history="1">
            <w:r w:rsidR="005D2E93" w:rsidRPr="00887F14">
              <w:rPr>
                <w:rStyle w:val="Hyperlink"/>
                <w:noProof/>
              </w:rPr>
              <w:t>15.</w:t>
            </w:r>
            <w:r w:rsidR="005D2E93">
              <w:rPr>
                <w:rFonts w:asciiTheme="minorHAnsi" w:eastAsiaTheme="minorEastAsia" w:hAnsiTheme="minorHAnsi" w:cstheme="minorBidi"/>
                <w:b w:val="0"/>
                <w:noProof/>
                <w:sz w:val="22"/>
                <w:lang w:eastAsia="en-AU"/>
              </w:rPr>
              <w:tab/>
            </w:r>
            <w:r w:rsidR="005D2E93" w:rsidRPr="00887F14">
              <w:rPr>
                <w:rStyle w:val="Hyperlink"/>
                <w:noProof/>
              </w:rPr>
              <w:t>References</w:t>
            </w:r>
            <w:r w:rsidR="005D2E93">
              <w:rPr>
                <w:noProof/>
                <w:webHidden/>
              </w:rPr>
              <w:tab/>
            </w:r>
            <w:r w:rsidR="005D2E93">
              <w:rPr>
                <w:noProof/>
                <w:webHidden/>
              </w:rPr>
              <w:fldChar w:fldCharType="begin"/>
            </w:r>
            <w:r w:rsidR="005D2E93">
              <w:rPr>
                <w:noProof/>
                <w:webHidden/>
              </w:rPr>
              <w:instrText xml:space="preserve"> PAGEREF _Toc436383382 \h </w:instrText>
            </w:r>
            <w:r w:rsidR="005D2E93">
              <w:rPr>
                <w:noProof/>
                <w:webHidden/>
              </w:rPr>
            </w:r>
            <w:r w:rsidR="005D2E93">
              <w:rPr>
                <w:noProof/>
                <w:webHidden/>
              </w:rPr>
              <w:fldChar w:fldCharType="separate"/>
            </w:r>
            <w:r w:rsidR="005D2E93">
              <w:rPr>
                <w:noProof/>
                <w:webHidden/>
              </w:rPr>
              <w:t>70</w:t>
            </w:r>
            <w:r w:rsidR="005D2E93">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E34E4B">
      <w:pPr>
        <w:pStyle w:val="Heading2"/>
        <w:pageBreakBefore/>
        <w:numPr>
          <w:ilvl w:val="0"/>
          <w:numId w:val="0"/>
        </w:numPr>
      </w:pPr>
      <w:bookmarkStart w:id="4" w:name="_Toc351716269"/>
      <w:bookmarkStart w:id="5" w:name="_Toc351718881"/>
      <w:bookmarkStart w:id="6" w:name="_Toc355338616"/>
      <w:bookmarkStart w:id="7" w:name="_Toc43638331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1532F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AE</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Adverse event</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ALT</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Alanine aminotransferase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aPTT</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Activated partial thromboplastin time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ASA</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Acetylsalicylic acid</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AST</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Aspartate aminotransferase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353304">
            <w:pPr>
              <w:rPr>
                <w:color w:val="000000"/>
                <w:sz w:val="24"/>
                <w:szCs w:val="24"/>
              </w:rPr>
            </w:pPr>
            <w:r w:rsidRPr="00CA40A2">
              <w:t>AUC</w:t>
            </w:r>
            <w:r w:rsidRPr="00353304">
              <w:rPr>
                <w:vertAlign w:val="subscript"/>
              </w:rPr>
              <w:t>0-inf</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Area under the curve from time 0 to infinity</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AXA</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Anti-factor Xa activity</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BID</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Twice daily</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BMS</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Bristol-Myers Squibb</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lang w:val="en-US"/>
              </w:rPr>
              <w:t>BMS-562247</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Apixaban</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lang w:val="en-US"/>
              </w:rPr>
              <w:t>BMS-730823</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Major metabolite of apixaban</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BUN</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Blood urea nitrogen</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CBC</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Complete blood cell count</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CI</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Confidence interval</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CIAC</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Central Independent Adjudication Committee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CK</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Creatine kinase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rFonts w:eastAsia="TimesNewRoman"/>
                <w:color w:val="000000"/>
              </w:rPr>
              <w:t>CL</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Clearance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lang w:val="en-US"/>
              </w:rPr>
              <w:t>CL</w:t>
            </w:r>
            <w:r>
              <w:rPr>
                <w:color w:val="000000"/>
                <w:vertAlign w:val="subscript"/>
                <w:lang w:val="en-US"/>
              </w:rPr>
              <w:t>NR</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Non-renal clearance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lang w:val="en-US"/>
              </w:rPr>
              <w:t>CL</w:t>
            </w:r>
            <w:r>
              <w:rPr>
                <w:color w:val="000000"/>
                <w:vertAlign w:val="subscript"/>
                <w:lang w:val="en-US"/>
              </w:rPr>
              <w:t>R</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Renal clearance</w:t>
            </w:r>
          </w:p>
        </w:tc>
      </w:tr>
      <w:tr w:rsidR="001532FE" w:rsidTr="001532FE">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rFonts w:eastAsia="TimesNewRoman"/>
                <w:color w:val="000000"/>
              </w:rPr>
              <w:t>CrCl</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Creatinine clearance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CRF</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Case report form</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lang w:val="en-US"/>
              </w:rPr>
              <w:t>CRNMB</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 xml:space="preserve">Clinically relevant non-major bleeding </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CUS</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Compression ultrasound</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D5W</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5% dextrose in water</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lastRenderedPageBreak/>
              <w:t>DAE</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Discontinuation due to adverse event</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DBP</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Diastolic Blood Pressure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DSMB</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Data Safety Monitoring Board</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DVT</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Deep vein thrombosis</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F</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Bioavailability</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F1.2</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Prothrombin fragment F1.2</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FSH</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Follicle-stimulating hormone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FXa</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Factor Xa</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GCP</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Good Clinical Practice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Hb</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Haemoglobin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HCG</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Human chorionic gonadotropin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HIV</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Human immunodeficiency virus</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ICAC</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rFonts w:eastAsia="TimesNewRoman"/>
                <w:color w:val="000000"/>
              </w:rPr>
              <w:t>Independent Central Adjudication Committee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ICH</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International Conference on Harmonization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INR</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International normalized ratio</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IVRS</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Interactive Voice Response System</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lang w:val="en-US"/>
              </w:rPr>
              <w:t>k</w:t>
            </w:r>
            <w:r>
              <w:rPr>
                <w:color w:val="000000"/>
                <w:vertAlign w:val="subscript"/>
                <w:lang w:val="en-US"/>
              </w:rPr>
              <w:t>a</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Absorption rate constant</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LMWH</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Low molecular weight heparin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MB</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Major bleeding</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MedDRA</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Medical Dictionary for Regulatory Activities</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mPT</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Modified prothrombin time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NSAID</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Nonsteroidal anti-inflammatory drug</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PD</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Pharmacodynamic(s)</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PE</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Pulmonary embolism</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p-gp</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p-glycoprotein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lastRenderedPageBreak/>
              <w:t>PK</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Pharmacokinetic(s)</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PLS</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Perfusion lung scan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QD</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Once daily</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SAE</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Serious adverse event</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SAP</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Statistical Analysis Plan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SBP</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Systolic Blood Pressure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SMC</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Study Management Committee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SSRI</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Selective serotonin reuptake inhibitor</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TAT</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Thrombin-antithrombin III complex</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TEAE</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Treatment emergent adverse event</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TC</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Treatment compliance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UFH</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Unfractionated heparin</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ULN</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Upper limit of normal</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VKA</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Vitamin K antagonist</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VTE</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Venous thromboembolism</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WBC</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White blood cell</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WOCBP</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Women of childbearing potential</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%CV</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Coefficient of variability expressed as a percentage</w:t>
            </w:r>
          </w:p>
        </w:tc>
      </w:tr>
      <w:tr w:rsidR="001532FE" w:rsidTr="0031442B">
        <w:tc>
          <w:tcPr>
            <w:cnfStyle w:val="001000000000" w:firstRow="0" w:lastRow="0" w:firstColumn="1" w:lastColumn="0" w:oddVBand="0" w:evenVBand="0" w:oddHBand="0" w:evenHBand="0" w:firstRowFirstColumn="0" w:firstRowLastColumn="0" w:lastRowFirstColumn="0" w:lastRowLastColumn="0"/>
            <w:tcW w:w="1890" w:type="dxa"/>
            <w:vAlign w:val="center"/>
          </w:tcPr>
          <w:p w:rsidR="001532FE" w:rsidRDefault="001532FE">
            <w:pPr>
              <w:rPr>
                <w:color w:val="000000"/>
                <w:sz w:val="24"/>
                <w:szCs w:val="24"/>
              </w:rPr>
            </w:pPr>
            <w:r>
              <w:rPr>
                <w:color w:val="000000"/>
              </w:rPr>
              <w:t>%DEV</w:t>
            </w:r>
          </w:p>
        </w:tc>
        <w:tc>
          <w:tcPr>
            <w:tcW w:w="6911" w:type="dxa"/>
            <w:vAlign w:val="center"/>
          </w:tcPr>
          <w:p w:rsidR="001532FE" w:rsidRDefault="001532FE">
            <w:pPr>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rPr>
              <w:t>Percentage deviation from the nominal value</w:t>
            </w:r>
          </w:p>
        </w:tc>
      </w:tr>
    </w:tbl>
    <w:p w:rsidR="0094614A" w:rsidRDefault="0094614A" w:rsidP="0043797D">
      <w:pPr>
        <w:pStyle w:val="Heading2"/>
        <w:pageBreakBefore/>
        <w:rPr>
          <w:lang w:eastAsia="en-AU"/>
        </w:rPr>
      </w:pPr>
      <w:bookmarkStart w:id="8" w:name="_Toc436383318"/>
      <w:bookmarkStart w:id="9" w:name="_Toc351718900"/>
      <w:bookmarkStart w:id="10" w:name="_Toc355338635"/>
      <w:r>
        <w:rPr>
          <w:lang w:eastAsia="en-AU"/>
        </w:rPr>
        <w:lastRenderedPageBreak/>
        <w:t>Introduction</w:t>
      </w:r>
      <w:bookmarkEnd w:id="8"/>
    </w:p>
    <w:p w:rsidR="0031442B" w:rsidRPr="0031442B" w:rsidRDefault="0031442B" w:rsidP="0031442B">
      <w:pPr>
        <w:pStyle w:val="Heading3"/>
      </w:pPr>
      <w:bookmarkStart w:id="11" w:name="_Toc272414595"/>
      <w:bookmarkStart w:id="12" w:name="_Toc290846217"/>
      <w:bookmarkStart w:id="13" w:name="_Toc407734431"/>
      <w:bookmarkStart w:id="14" w:name="_Toc436383319"/>
      <w:r w:rsidRPr="0031442B">
        <w:t>Submission type</w:t>
      </w:r>
      <w:bookmarkEnd w:id="11"/>
      <w:bookmarkEnd w:id="12"/>
      <w:bookmarkEnd w:id="13"/>
      <w:bookmarkEnd w:id="14"/>
    </w:p>
    <w:p w:rsidR="0031442B" w:rsidRPr="0031442B" w:rsidRDefault="0031442B" w:rsidP="0031442B">
      <w:r w:rsidRPr="0031442B">
        <w:t xml:space="preserve">This is a Category 1, Type C submission for extension of indications for </w:t>
      </w:r>
      <w:r w:rsidR="00BC0EF1">
        <w:t>Eliquis</w:t>
      </w:r>
      <w:r w:rsidRPr="0031442B">
        <w:t xml:space="preserve"> (apixaban) 2.5 mg and 5 mg film coated tablets.</w:t>
      </w:r>
    </w:p>
    <w:p w:rsidR="0031442B" w:rsidRPr="0031442B" w:rsidRDefault="0031442B" w:rsidP="0031442B">
      <w:pPr>
        <w:pStyle w:val="Heading3"/>
      </w:pPr>
      <w:bookmarkStart w:id="15" w:name="_Toc272414596"/>
      <w:bookmarkStart w:id="16" w:name="_Toc290846218"/>
      <w:bookmarkStart w:id="17" w:name="_Toc407734432"/>
      <w:bookmarkStart w:id="18" w:name="_Toc436383320"/>
      <w:r w:rsidRPr="0031442B">
        <w:t>Drug class and therapeutic indication</w:t>
      </w:r>
      <w:bookmarkEnd w:id="15"/>
      <w:bookmarkEnd w:id="16"/>
      <w:bookmarkEnd w:id="17"/>
      <w:bookmarkEnd w:id="18"/>
    </w:p>
    <w:p w:rsidR="0031442B" w:rsidRPr="0031442B" w:rsidRDefault="0031442B" w:rsidP="0031442B">
      <w:r w:rsidRPr="0031442B">
        <w:t>Apixaban is a reversible, direct and high</w:t>
      </w:r>
      <w:r>
        <w:t xml:space="preserve">ly selective inhibitor of FXa. </w:t>
      </w:r>
      <w:r w:rsidRPr="0031442B">
        <w:t xml:space="preserve">It does not require antithrombin III for antithrombotic </w:t>
      </w:r>
      <w:r>
        <w:t xml:space="preserve">activity. </w:t>
      </w:r>
      <w:r w:rsidRPr="0031442B">
        <w:t>Apixaban inhibits free and clotbound FXa</w:t>
      </w:r>
      <w:r>
        <w:t xml:space="preserve">, and prothrombinase activity. </w:t>
      </w:r>
      <w:r w:rsidRPr="0031442B">
        <w:t>Apixaban has no direct effects on platelet aggregation, but indirectly inhibits platelet ag</w:t>
      </w:r>
      <w:r>
        <w:t xml:space="preserve">gregation induced by thrombin. </w:t>
      </w:r>
      <w:r w:rsidRPr="0031442B">
        <w:t>By inhibiting FXa, apixaban prevents thrombin genera</w:t>
      </w:r>
      <w:r>
        <w:t xml:space="preserve">tion and thrombus development. </w:t>
      </w:r>
      <w:r w:rsidRPr="0031442B">
        <w:t>Preclinical studies of apixaban in animal models have demonstrated antithrombotic efficacy in the prevention of arterial and venous thrombosis at doses that caused negligible prolongation of prothrombin time and bleeding time in rabbits and dogs, but more than 2-fold increases in prothrombin time and bleeding time in rats.</w:t>
      </w:r>
    </w:p>
    <w:p w:rsidR="0031442B" w:rsidRDefault="0031442B" w:rsidP="0031442B">
      <w:r w:rsidRPr="0031442B">
        <w:t>Apixaban has the following structural formula</w:t>
      </w:r>
      <w:r w:rsidR="00BC0EF1">
        <w:t xml:space="preserve"> (Figure 1)</w:t>
      </w:r>
      <w:r w:rsidRPr="0031442B">
        <w:t>:</w:t>
      </w:r>
    </w:p>
    <w:p w:rsidR="00BC0EF1" w:rsidRPr="0031442B" w:rsidRDefault="00BC0EF1" w:rsidP="0057597F">
      <w:pPr>
        <w:pStyle w:val="FigureTitle"/>
      </w:pPr>
      <w:r>
        <w:t>Figure 1: Chemical structure</w:t>
      </w:r>
    </w:p>
    <w:p w:rsidR="0031442B" w:rsidRPr="006763F2" w:rsidRDefault="0031442B" w:rsidP="0031442B">
      <w:pPr>
        <w:rPr>
          <w:rFonts w:ascii="Times New Roman" w:hAnsi="Times New Roman"/>
          <w:sz w:val="24"/>
        </w:rPr>
      </w:pPr>
      <w:r>
        <w:rPr>
          <w:rFonts w:ascii="Times New Roman" w:hAnsi="Times New Roman"/>
          <w:noProof/>
          <w:sz w:val="24"/>
          <w:lang w:eastAsia="en-AU"/>
        </w:rPr>
        <w:drawing>
          <wp:inline distT="0" distB="0" distL="0" distR="0" wp14:anchorId="450A367A" wp14:editId="33D8CE9F">
            <wp:extent cx="4564380" cy="1409700"/>
            <wp:effectExtent l="0" t="0" r="7620" b="0"/>
            <wp:docPr id="3" name="Picture 3" descr="Figure 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4380" cy="1409700"/>
                    </a:xfrm>
                    <a:prstGeom prst="rect">
                      <a:avLst/>
                    </a:prstGeom>
                    <a:noFill/>
                    <a:ln>
                      <a:noFill/>
                    </a:ln>
                  </pic:spPr>
                </pic:pic>
              </a:graphicData>
            </a:graphic>
          </wp:inline>
        </w:drawing>
      </w:r>
    </w:p>
    <w:p w:rsidR="0031442B" w:rsidRPr="0031442B" w:rsidRDefault="0031442B" w:rsidP="0031442B">
      <w:r w:rsidRPr="0031442B">
        <w:t>The approved indication is:</w:t>
      </w:r>
    </w:p>
    <w:p w:rsidR="0031442B" w:rsidRPr="00BC0EF1" w:rsidRDefault="00BC0EF1" w:rsidP="00BC0EF1">
      <w:pPr>
        <w:ind w:left="720"/>
        <w:rPr>
          <w:i/>
        </w:rPr>
      </w:pPr>
      <w:r w:rsidRPr="00BC0EF1">
        <w:rPr>
          <w:i/>
        </w:rPr>
        <w:t>Eliquis</w:t>
      </w:r>
      <w:r w:rsidR="0031442B" w:rsidRPr="00BC0EF1">
        <w:rPr>
          <w:i/>
        </w:rPr>
        <w:t xml:space="preserve"> is indicated for the prevention of venous thromboembolic events (VTE) in adult patients who have undergone elective total hip or total knee replacement surgery.</w:t>
      </w:r>
    </w:p>
    <w:p w:rsidR="0031442B" w:rsidRPr="00BC0EF1" w:rsidRDefault="00BC0EF1" w:rsidP="00BC0EF1">
      <w:pPr>
        <w:ind w:left="720"/>
        <w:rPr>
          <w:i/>
        </w:rPr>
      </w:pPr>
      <w:r w:rsidRPr="00BC0EF1">
        <w:rPr>
          <w:i/>
        </w:rPr>
        <w:t>Eliquis</w:t>
      </w:r>
      <w:r w:rsidR="0031442B" w:rsidRPr="00BC0EF1">
        <w:rPr>
          <w:i/>
        </w:rPr>
        <w:t xml:space="preserve"> is indicated for the prevention of stroke and systemic embolism in patients with non-valvular atrial fibrillation and at least one additional risk factor for stroke.</w:t>
      </w:r>
    </w:p>
    <w:p w:rsidR="0031442B" w:rsidRPr="0031442B" w:rsidRDefault="0031442B" w:rsidP="0031442B">
      <w:r w:rsidRPr="0031442B">
        <w:t>The proposed additional indications are:</w:t>
      </w:r>
    </w:p>
    <w:p w:rsidR="0031442B" w:rsidRPr="00BC0EF1" w:rsidRDefault="00BC0EF1" w:rsidP="00BC0EF1">
      <w:pPr>
        <w:ind w:left="720"/>
        <w:rPr>
          <w:i/>
        </w:rPr>
      </w:pPr>
      <w:r w:rsidRPr="00BC0EF1">
        <w:rPr>
          <w:i/>
        </w:rPr>
        <w:t>Eliquis</w:t>
      </w:r>
      <w:r w:rsidR="0031442B" w:rsidRPr="00BC0EF1">
        <w:rPr>
          <w:i/>
        </w:rPr>
        <w:t xml:space="preserve"> is indicated for the treatment of deep vein thrombosis (DVT) and pulmonary embolism (PE).</w:t>
      </w:r>
    </w:p>
    <w:p w:rsidR="0031442B" w:rsidRPr="00BC0EF1" w:rsidRDefault="00BC0EF1" w:rsidP="00BC0EF1">
      <w:pPr>
        <w:ind w:left="720"/>
        <w:rPr>
          <w:i/>
        </w:rPr>
      </w:pPr>
      <w:bookmarkStart w:id="19" w:name="_Toc397246693"/>
      <w:r w:rsidRPr="00BC0EF1">
        <w:rPr>
          <w:i/>
        </w:rPr>
        <w:t>Eliquis</w:t>
      </w:r>
      <w:r w:rsidR="0031442B" w:rsidRPr="00BC0EF1">
        <w:rPr>
          <w:i/>
        </w:rPr>
        <w:t xml:space="preserve"> is indicated for the prevention of recurrent DVT and PE.</w:t>
      </w:r>
      <w:bookmarkEnd w:id="19"/>
    </w:p>
    <w:p w:rsidR="0031442B" w:rsidRPr="0031442B" w:rsidRDefault="0031442B" w:rsidP="0031442B">
      <w:pPr>
        <w:pStyle w:val="Heading3"/>
      </w:pPr>
      <w:bookmarkStart w:id="20" w:name="_Toc272414597"/>
      <w:bookmarkStart w:id="21" w:name="_Toc290846219"/>
      <w:bookmarkStart w:id="22" w:name="_Toc407734433"/>
      <w:bookmarkStart w:id="23" w:name="_Toc436383321"/>
      <w:r w:rsidRPr="0031442B">
        <w:t>Dosage forms and strengths</w:t>
      </w:r>
      <w:bookmarkEnd w:id="20"/>
      <w:bookmarkEnd w:id="21"/>
      <w:bookmarkEnd w:id="22"/>
      <w:bookmarkEnd w:id="23"/>
    </w:p>
    <w:p w:rsidR="0031442B" w:rsidRPr="0031442B" w:rsidRDefault="0031442B" w:rsidP="0031442B">
      <w:r w:rsidRPr="0031442B">
        <w:t>The following dosage forms and stre</w:t>
      </w:r>
      <w:r w:rsidR="00E34E4B">
        <w:t>ngths are currently registered:</w:t>
      </w:r>
    </w:p>
    <w:p w:rsidR="0031442B" w:rsidRPr="0031442B" w:rsidRDefault="0031442B" w:rsidP="0031442B">
      <w:pPr>
        <w:pStyle w:val="ListBullet"/>
      </w:pPr>
      <w:r w:rsidRPr="0031442B">
        <w:t>Eliquis 2.5 mg (apixaban) film coated tablet, blister pack, A</w:t>
      </w:r>
      <w:r w:rsidR="00544924">
        <w:t>UST R</w:t>
      </w:r>
      <w:r w:rsidR="00EC6B2B" w:rsidRPr="0031442B">
        <w:t xml:space="preserve"> </w:t>
      </w:r>
      <w:r w:rsidRPr="0031442B">
        <w:t>172244</w:t>
      </w:r>
    </w:p>
    <w:p w:rsidR="0031442B" w:rsidRPr="0031442B" w:rsidRDefault="0031442B" w:rsidP="0031442B">
      <w:pPr>
        <w:pStyle w:val="ListBullet"/>
      </w:pPr>
      <w:r w:rsidRPr="0031442B">
        <w:t>Eliquis 5 mg (apixaban) film coated tablet, blister pack, A</w:t>
      </w:r>
      <w:r w:rsidR="00544924">
        <w:t>UST R</w:t>
      </w:r>
      <w:r w:rsidR="00EC6B2B" w:rsidRPr="0031442B">
        <w:t xml:space="preserve"> </w:t>
      </w:r>
      <w:r w:rsidRPr="0031442B">
        <w:t>193474</w:t>
      </w:r>
    </w:p>
    <w:p w:rsidR="0031442B" w:rsidRPr="0031442B" w:rsidRDefault="0031442B" w:rsidP="0031442B">
      <w:bookmarkStart w:id="24" w:name="_Toc397246695"/>
      <w:r w:rsidRPr="0031442B">
        <w:t>No new dosage forms or strengths are proposed.</w:t>
      </w:r>
      <w:bookmarkEnd w:id="24"/>
    </w:p>
    <w:p w:rsidR="0031442B" w:rsidRPr="0031442B" w:rsidRDefault="0031442B" w:rsidP="0031442B">
      <w:pPr>
        <w:pStyle w:val="Heading3"/>
      </w:pPr>
      <w:bookmarkStart w:id="25" w:name="_Toc272414598"/>
      <w:bookmarkStart w:id="26" w:name="_Toc290846220"/>
      <w:bookmarkStart w:id="27" w:name="_Toc407734434"/>
      <w:bookmarkStart w:id="28" w:name="_Toc436383322"/>
      <w:r w:rsidRPr="0031442B">
        <w:lastRenderedPageBreak/>
        <w:t>Dosage and administration</w:t>
      </w:r>
      <w:bookmarkEnd w:id="25"/>
      <w:bookmarkEnd w:id="26"/>
      <w:bookmarkEnd w:id="27"/>
      <w:bookmarkEnd w:id="28"/>
    </w:p>
    <w:p w:rsidR="0031442B" w:rsidRPr="0031442B" w:rsidRDefault="0031442B" w:rsidP="0031442B">
      <w:r w:rsidRPr="0031442B">
        <w:t>Treatment of DVT and PE:</w:t>
      </w:r>
    </w:p>
    <w:p w:rsidR="0031442B" w:rsidRPr="00BC0EF1" w:rsidRDefault="0031442B" w:rsidP="00BC0EF1">
      <w:pPr>
        <w:ind w:left="720"/>
        <w:rPr>
          <w:i/>
        </w:rPr>
      </w:pPr>
      <w:r w:rsidRPr="00BC0EF1">
        <w:rPr>
          <w:i/>
        </w:rPr>
        <w:t xml:space="preserve">The recommended dose of </w:t>
      </w:r>
      <w:r w:rsidR="00BC0EF1" w:rsidRPr="00BC0EF1">
        <w:rPr>
          <w:i/>
        </w:rPr>
        <w:t>Eliquis</w:t>
      </w:r>
      <w:r w:rsidRPr="00BC0EF1">
        <w:rPr>
          <w:i/>
        </w:rPr>
        <w:t xml:space="preserve"> is 10 mg taken orally twice daily for 7 days, followed by 5 mg taken orally twice daily.</w:t>
      </w:r>
    </w:p>
    <w:p w:rsidR="0031442B" w:rsidRPr="0031442B" w:rsidRDefault="0031442B" w:rsidP="0031442B">
      <w:r w:rsidRPr="0031442B">
        <w:t>Prevention of Recurrent DVT and PE:</w:t>
      </w:r>
    </w:p>
    <w:p w:rsidR="0031442B" w:rsidRPr="00BC0EF1" w:rsidRDefault="0031442B" w:rsidP="00BC0EF1">
      <w:pPr>
        <w:ind w:left="567"/>
        <w:rPr>
          <w:i/>
        </w:rPr>
      </w:pPr>
      <w:r w:rsidRPr="00BC0EF1">
        <w:rPr>
          <w:i/>
        </w:rPr>
        <w:t xml:space="preserve">The recommended dose of </w:t>
      </w:r>
      <w:r w:rsidR="00BC0EF1" w:rsidRPr="00BC0EF1">
        <w:rPr>
          <w:i/>
        </w:rPr>
        <w:t>Eliquis</w:t>
      </w:r>
      <w:r w:rsidRPr="00BC0EF1">
        <w:rPr>
          <w:i/>
        </w:rPr>
        <w:t xml:space="preserve"> is 2.5 mg taken orally twice daily after at least 6 months of treatment for DVT or PE.</w:t>
      </w:r>
    </w:p>
    <w:p w:rsidR="00586F98" w:rsidRDefault="00586F98" w:rsidP="006B4C50">
      <w:pPr>
        <w:pStyle w:val="Heading2"/>
      </w:pPr>
      <w:bookmarkStart w:id="29" w:name="_Toc436383323"/>
      <w:r w:rsidRPr="0094614A">
        <w:t>Clinical rationale</w:t>
      </w:r>
      <w:bookmarkEnd w:id="29"/>
    </w:p>
    <w:p w:rsidR="0031442B" w:rsidRPr="0031442B" w:rsidRDefault="00BC0EF1" w:rsidP="0031442B">
      <w:r>
        <w:t>The sponsor</w:t>
      </w:r>
      <w:r w:rsidR="0031442B" w:rsidRPr="0031442B">
        <w:t xml:space="preserve"> provides the following information in the Clinical Overview:</w:t>
      </w:r>
    </w:p>
    <w:p w:rsidR="0031442B" w:rsidRPr="00BC0EF1" w:rsidRDefault="00BC0EF1" w:rsidP="0031442B">
      <w:pPr>
        <w:rPr>
          <w:i/>
        </w:rPr>
      </w:pPr>
      <w:r>
        <w:t>‘</w:t>
      </w:r>
      <w:r w:rsidR="0031442B" w:rsidRPr="00BC0EF1">
        <w:rPr>
          <w:i/>
        </w:rPr>
        <w:t>PE is the most serious complication of DVT, as the embolised blood clot lodges in the lung vasculature and obstructs blood flow through the lungs. This reduces oxygenation of the blood and increases mechanical strain on the heart, leading to cardiopulmonary compromise, which has a high risk of death. If a large thrombus acutely obstructs the pulmonary vasculature, sudden death is a common outcome, with approximately 300,000 deaths reported annually in the US, a number that exceeds that of deaths from myocardial infarction (MI) (170,000/year) and stroke (158,000/year)</w:t>
      </w:r>
      <w:r w:rsidRPr="00BC0EF1">
        <w:rPr>
          <w:i/>
        </w:rPr>
        <w:t>’</w:t>
      </w:r>
    </w:p>
    <w:p w:rsidR="0031442B" w:rsidRPr="00BC0EF1" w:rsidRDefault="0031442B" w:rsidP="0031442B">
      <w:pPr>
        <w:rPr>
          <w:i/>
        </w:rPr>
      </w:pPr>
      <w:r w:rsidRPr="00BC0EF1">
        <w:rPr>
          <w:i/>
        </w:rPr>
        <w:t>In comparison with subjects who have experienced a provoked VTE (</w:t>
      </w:r>
      <w:r w:rsidR="00181E65">
        <w:rPr>
          <w:i/>
        </w:rPr>
        <w:t>for example,</w:t>
      </w:r>
      <w:r w:rsidRPr="00BC0EF1">
        <w:rPr>
          <w:i/>
        </w:rPr>
        <w:t xml:space="preserve"> after surgery) </w:t>
      </w:r>
      <w:r w:rsidR="00BC0EF1" w:rsidRPr="00BC0EF1">
        <w:rPr>
          <w:i/>
        </w:rPr>
        <w:t>‘</w:t>
      </w:r>
      <w:r w:rsidRPr="00BC0EF1">
        <w:rPr>
          <w:i/>
        </w:rPr>
        <w:t>The rate of recurrent VTE is higher in unprovoked VTE, 10% reported after 1 year compared to only 1% after 1 year in provoked VTE.</w:t>
      </w:r>
      <w:r w:rsidR="00BC0EF1" w:rsidRPr="00BC0EF1">
        <w:rPr>
          <w:i/>
        </w:rPr>
        <w:t>’</w:t>
      </w:r>
    </w:p>
    <w:p w:rsidR="0031442B" w:rsidRPr="00BC0EF1" w:rsidRDefault="0031442B" w:rsidP="0031442B">
      <w:pPr>
        <w:rPr>
          <w:i/>
        </w:rPr>
      </w:pPr>
      <w:r w:rsidRPr="00BC0EF1">
        <w:rPr>
          <w:i/>
        </w:rPr>
        <w:t xml:space="preserve">In studies for the indication of prevention of recurrent DVT and PE </w:t>
      </w:r>
      <w:r w:rsidR="00BC0EF1" w:rsidRPr="00BC0EF1">
        <w:rPr>
          <w:i/>
        </w:rPr>
        <w:t>‘</w:t>
      </w:r>
      <w:r w:rsidRPr="00BC0EF1">
        <w:rPr>
          <w:i/>
        </w:rPr>
        <w:t>Subjects who discontinued active anticoagulant treatment (placebo arm) experienced symptomatic VTE recurrence rates of 7.1% (EINSTEIN EXT) and 8.8% (AMPLIFY EXT) over 12 months of study duration.</w:t>
      </w:r>
      <w:r w:rsidR="00BC0EF1" w:rsidRPr="00BC0EF1">
        <w:rPr>
          <w:i/>
        </w:rPr>
        <w:t>’</w:t>
      </w:r>
    </w:p>
    <w:p w:rsidR="0031442B" w:rsidRPr="0031442B" w:rsidRDefault="00BC0EF1" w:rsidP="0031442B">
      <w:r>
        <w:t>The sponsor</w:t>
      </w:r>
      <w:r w:rsidR="0031442B" w:rsidRPr="0031442B">
        <w:t xml:space="preserve"> has summed up the clinical rationale in the Clinical Overview with:</w:t>
      </w:r>
    </w:p>
    <w:p w:rsidR="0031442B" w:rsidRPr="00BC0EF1" w:rsidRDefault="00BC0EF1" w:rsidP="0031442B">
      <w:pPr>
        <w:rPr>
          <w:i/>
        </w:rPr>
      </w:pPr>
      <w:r>
        <w:t>‘</w:t>
      </w:r>
      <w:r w:rsidR="0031442B" w:rsidRPr="00BC0EF1">
        <w:rPr>
          <w:i/>
        </w:rPr>
        <w:t>Because bleeding is an important barrier to the use of long-term anticoagulation therapy for prevention of recurrent VTE in patients with unprovoked VTE, there remains an unmet medical need for this large group of patients.</w:t>
      </w:r>
    </w:p>
    <w:p w:rsidR="0031442B" w:rsidRPr="00BC0EF1" w:rsidRDefault="0031442B" w:rsidP="0031442B">
      <w:pPr>
        <w:rPr>
          <w:i/>
        </w:rPr>
      </w:pPr>
      <w:r w:rsidRPr="00BC0EF1">
        <w:rPr>
          <w:i/>
        </w:rPr>
        <w:t>For VTE treatment, apixaban has demonstrated efficacy that was non-inferior to enoxaparin/warfarin, and bleeding across all categories (unlike with rivaroxaban) that was significantly less frequent, including a 69% risk reduction in MB. In preventing a recurrent DVT or PE, apixaban was markedly superior to placebo in subjects with both unprovoked and provoked VTE, with a minimal increase in bleeding for the 2.5 mg</w:t>
      </w:r>
      <w:r w:rsidR="00DF7B56">
        <w:rPr>
          <w:i/>
        </w:rPr>
        <w:t xml:space="preserve"> BD</w:t>
      </w:r>
      <w:r w:rsidRPr="00BC0EF1">
        <w:rPr>
          <w:i/>
        </w:rPr>
        <w:t xml:space="preserve"> dose compared to placebo.</w:t>
      </w:r>
    </w:p>
    <w:p w:rsidR="0031442B" w:rsidRPr="00BC0EF1" w:rsidRDefault="0031442B" w:rsidP="0031442B">
      <w:pPr>
        <w:rPr>
          <w:i/>
        </w:rPr>
      </w:pPr>
      <w:r w:rsidRPr="00BC0EF1">
        <w:rPr>
          <w:i/>
        </w:rPr>
        <w:t>The data from the apixaban VTE treatment clinical development program has demonstrated that it fills the recognized unmet medical need for treating and preventing recurrent VTE.</w:t>
      </w:r>
      <w:r w:rsidR="00BC0EF1" w:rsidRPr="00BC0EF1">
        <w:rPr>
          <w:i/>
        </w:rPr>
        <w:t>’</w:t>
      </w:r>
    </w:p>
    <w:p w:rsidR="00586F98" w:rsidRDefault="00586F98" w:rsidP="00586F98">
      <w:pPr>
        <w:pStyle w:val="Heading2"/>
        <w:rPr>
          <w:lang w:eastAsia="en-AU"/>
        </w:rPr>
      </w:pPr>
      <w:bookmarkStart w:id="30" w:name="_Toc436383324"/>
      <w:r>
        <w:rPr>
          <w:lang w:eastAsia="en-AU"/>
        </w:rPr>
        <w:t>Contents of the clinical dossier</w:t>
      </w:r>
      <w:bookmarkEnd w:id="9"/>
      <w:bookmarkEnd w:id="10"/>
      <w:bookmarkEnd w:id="30"/>
    </w:p>
    <w:p w:rsidR="00586F98" w:rsidRDefault="00586F98" w:rsidP="00586F98">
      <w:pPr>
        <w:pStyle w:val="Heading3"/>
      </w:pPr>
      <w:bookmarkStart w:id="31" w:name="_Toc436383325"/>
      <w:r>
        <w:t>Scope of the clinical dossier</w:t>
      </w:r>
      <w:bookmarkEnd w:id="31"/>
    </w:p>
    <w:p w:rsidR="0031442B" w:rsidRPr="0031442B" w:rsidRDefault="0031442B" w:rsidP="0031442B">
      <w:r w:rsidRPr="0031442B">
        <w:t>The submission contained the following clinical information:</w:t>
      </w:r>
    </w:p>
    <w:p w:rsidR="0031442B" w:rsidRPr="0031442B" w:rsidRDefault="0031442B" w:rsidP="00BC0EF1">
      <w:pPr>
        <w:pStyle w:val="ListBullet"/>
      </w:pPr>
      <w:r w:rsidRPr="0031442B">
        <w:t>Five clinical pharmacology studies, including five that provided pharmacokinetic data and one that provided pharmacodynamic data.</w:t>
      </w:r>
    </w:p>
    <w:p w:rsidR="0031442B" w:rsidRPr="0031442B" w:rsidRDefault="0031442B" w:rsidP="00BC0EF1">
      <w:pPr>
        <w:pStyle w:val="ListBullet"/>
      </w:pPr>
      <w:r w:rsidRPr="0031442B">
        <w:t>There were three studies evaluating the taste properties of oral formulations over a two year period (Study CV185061, Study CV185083 and Study CV185105)</w:t>
      </w:r>
    </w:p>
    <w:p w:rsidR="0031442B" w:rsidRPr="0031442B" w:rsidRDefault="0031442B" w:rsidP="00BC0EF1">
      <w:pPr>
        <w:pStyle w:val="ListBullet"/>
      </w:pPr>
      <w:r w:rsidRPr="0031442B">
        <w:lastRenderedPageBreak/>
        <w:t>One population pharmacokinetic/ pharmacodynamic analyses.</w:t>
      </w:r>
    </w:p>
    <w:p w:rsidR="0031442B" w:rsidRPr="0031442B" w:rsidRDefault="0031442B" w:rsidP="00BC0EF1">
      <w:pPr>
        <w:pStyle w:val="ListBullet"/>
      </w:pPr>
      <w:r w:rsidRPr="0031442B">
        <w:t>Two pivotal efficacy/safety studies.</w:t>
      </w:r>
    </w:p>
    <w:p w:rsidR="0031442B" w:rsidRPr="0031442B" w:rsidRDefault="0031442B" w:rsidP="00BC0EF1">
      <w:pPr>
        <w:pStyle w:val="ListBullet"/>
      </w:pPr>
      <w:r w:rsidRPr="0031442B">
        <w:t>One dose-finding study.</w:t>
      </w:r>
    </w:p>
    <w:p w:rsidR="00586F98" w:rsidRDefault="00586F98" w:rsidP="00586F98">
      <w:pPr>
        <w:pStyle w:val="Heading3"/>
      </w:pPr>
      <w:bookmarkStart w:id="32" w:name="_Toc436383326"/>
      <w:r>
        <w:t>Paediatric data</w:t>
      </w:r>
      <w:bookmarkEnd w:id="32"/>
    </w:p>
    <w:p w:rsidR="0031442B" w:rsidRPr="0031442B" w:rsidRDefault="0031442B" w:rsidP="0031442B">
      <w:r w:rsidRPr="0031442B">
        <w:t>The submission did not include paediatric data.</w:t>
      </w:r>
    </w:p>
    <w:p w:rsidR="0031442B" w:rsidRPr="0031442B" w:rsidRDefault="0031442B" w:rsidP="0031442B">
      <w:r w:rsidRPr="0031442B">
        <w:t xml:space="preserve">A Paediatric Investigation Plan has been approved in </w:t>
      </w:r>
      <w:r>
        <w:t xml:space="preserve">the EU. </w:t>
      </w:r>
      <w:r w:rsidRPr="0031442B">
        <w:t>The plan provides for pharmacokinetic, efficacy and safety studies</w:t>
      </w:r>
      <w:r>
        <w:t xml:space="preserve"> in the paediatric population. </w:t>
      </w:r>
      <w:r w:rsidRPr="0031442B">
        <w:t>There is also provi</w:t>
      </w:r>
      <w:r>
        <w:t xml:space="preserve">sion for a liquid formulation. </w:t>
      </w:r>
      <w:r w:rsidRPr="0031442B">
        <w:t>However, the studies in children have been deferred until May 2015 at the earliest.</w:t>
      </w:r>
    </w:p>
    <w:p w:rsidR="0031442B" w:rsidRPr="0031442B" w:rsidRDefault="0031442B" w:rsidP="0031442B">
      <w:r w:rsidRPr="0031442B">
        <w:t xml:space="preserve">In the US, </w:t>
      </w:r>
      <w:r w:rsidR="00353304">
        <w:t>the sponsor</w:t>
      </w:r>
      <w:r w:rsidRPr="0031442B">
        <w:t xml:space="preserve"> has full waivers</w:t>
      </w:r>
      <w:r>
        <w:t xml:space="preserve"> for the following indications:</w:t>
      </w:r>
    </w:p>
    <w:p w:rsidR="0031442B" w:rsidRPr="0031442B" w:rsidRDefault="0031442B" w:rsidP="0031442B">
      <w:pPr>
        <w:pStyle w:val="ListBullet"/>
      </w:pPr>
      <w:r w:rsidRPr="0031442B">
        <w:t>Stroke prevention in n</w:t>
      </w:r>
      <w:r>
        <w:t>on-valvular atrial fibrillation</w:t>
      </w:r>
    </w:p>
    <w:p w:rsidR="0031442B" w:rsidRPr="0031442B" w:rsidRDefault="0031442B" w:rsidP="0031442B">
      <w:pPr>
        <w:pStyle w:val="ListBullet"/>
      </w:pPr>
      <w:r w:rsidRPr="0031442B">
        <w:t>VTE prevention in hip or knee replacement surgery</w:t>
      </w:r>
    </w:p>
    <w:p w:rsidR="00586F98" w:rsidRDefault="00586F98" w:rsidP="00586F98">
      <w:pPr>
        <w:pStyle w:val="Heading3"/>
      </w:pPr>
      <w:bookmarkStart w:id="33" w:name="_Toc436383327"/>
      <w:r>
        <w:t>Good clinical practice</w:t>
      </w:r>
      <w:bookmarkEnd w:id="33"/>
    </w:p>
    <w:p w:rsidR="0031442B" w:rsidRPr="0031442B" w:rsidRDefault="0031442B" w:rsidP="0031442B">
      <w:bookmarkStart w:id="34" w:name="_Toc241374282"/>
      <w:bookmarkStart w:id="35" w:name="_Toc355338639"/>
      <w:r w:rsidRPr="0031442B">
        <w:t>GCP appears to have been adhered to for all the clinical studies reported in the submission.</w:t>
      </w:r>
    </w:p>
    <w:p w:rsidR="00586F98" w:rsidRDefault="00586F98" w:rsidP="00586F98">
      <w:pPr>
        <w:pStyle w:val="Heading2"/>
      </w:pPr>
      <w:bookmarkStart w:id="36" w:name="_Toc436383328"/>
      <w:bookmarkEnd w:id="34"/>
      <w:r>
        <w:t>Pharmacokinetics</w:t>
      </w:r>
      <w:bookmarkEnd w:id="35"/>
      <w:bookmarkEnd w:id="36"/>
    </w:p>
    <w:p w:rsidR="00CA40A2" w:rsidRPr="00CA40A2" w:rsidRDefault="00CA40A2" w:rsidP="00CA40A2">
      <w:pPr>
        <w:pStyle w:val="Heading3"/>
      </w:pPr>
      <w:bookmarkStart w:id="37" w:name="_Ref271017296"/>
      <w:bookmarkStart w:id="38" w:name="_Ref271018924"/>
      <w:bookmarkStart w:id="39" w:name="_Ref271018934"/>
      <w:bookmarkStart w:id="40" w:name="_Toc272414614"/>
      <w:bookmarkStart w:id="41" w:name="_Toc290846238"/>
      <w:bookmarkStart w:id="42" w:name="_Toc407734450"/>
      <w:bookmarkStart w:id="43" w:name="_Toc436383329"/>
      <w:r w:rsidRPr="00CA40A2">
        <w:t>Studies</w:t>
      </w:r>
      <w:bookmarkEnd w:id="37"/>
      <w:bookmarkEnd w:id="38"/>
      <w:bookmarkEnd w:id="39"/>
      <w:r w:rsidRPr="00CA40A2">
        <w:t xml:space="preserve"> providing pharmacokinetic data</w:t>
      </w:r>
      <w:bookmarkEnd w:id="40"/>
      <w:bookmarkEnd w:id="41"/>
      <w:bookmarkEnd w:id="42"/>
      <w:bookmarkEnd w:id="43"/>
    </w:p>
    <w:p w:rsidR="00CA40A2" w:rsidRPr="00CA40A2" w:rsidRDefault="00353304" w:rsidP="00CA40A2">
      <w:r w:rsidRPr="00353304">
        <w:t xml:space="preserve">Table 1 </w:t>
      </w:r>
      <w:r w:rsidR="00CA40A2" w:rsidRPr="00353304">
        <w:t>shows the studies relating to each pharmacokinetic topic and the location of each study</w:t>
      </w:r>
      <w:r w:rsidR="00CA40A2" w:rsidRPr="00CA40A2">
        <w:t xml:space="preserve"> summary.</w:t>
      </w:r>
    </w:p>
    <w:p w:rsidR="00CA40A2" w:rsidRPr="00CA40A2" w:rsidRDefault="00CA40A2" w:rsidP="00353304">
      <w:pPr>
        <w:pStyle w:val="Tabletitle"/>
      </w:pPr>
      <w:bookmarkStart w:id="44" w:name="_Ref272426277"/>
      <w:bookmarkStart w:id="45" w:name="_Toc290888900"/>
      <w:bookmarkStart w:id="46" w:name="_Toc397246713"/>
      <w:r w:rsidRPr="00CA40A2">
        <w:t xml:space="preserve">Table </w:t>
      </w:r>
      <w:r w:rsidR="00353304">
        <w:t>1:</w:t>
      </w:r>
      <w:bookmarkEnd w:id="44"/>
      <w:r w:rsidRPr="00CA40A2">
        <w:t xml:space="preserve"> Submitted pharmacokinetic studies.</w:t>
      </w:r>
      <w:bookmarkEnd w:id="45"/>
      <w:bookmarkEnd w:id="46"/>
    </w:p>
    <w:tbl>
      <w:tblPr>
        <w:tblStyle w:val="TableTGAblue"/>
        <w:tblW w:w="8789" w:type="dxa"/>
        <w:tblInd w:w="108" w:type="dxa"/>
        <w:tblLayout w:type="fixed"/>
        <w:tblLook w:val="00A0" w:firstRow="1" w:lastRow="0" w:firstColumn="1" w:lastColumn="0" w:noHBand="0" w:noVBand="0"/>
      </w:tblPr>
      <w:tblGrid>
        <w:gridCol w:w="2127"/>
        <w:gridCol w:w="3685"/>
        <w:gridCol w:w="2977"/>
      </w:tblGrid>
      <w:tr w:rsidR="00353304" w:rsidRPr="00224A7C" w:rsidTr="00353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353304" w:rsidRPr="00DB71C1" w:rsidRDefault="00353304" w:rsidP="00CA40A2">
            <w:pPr>
              <w:rPr>
                <w:sz w:val="20"/>
                <w:szCs w:val="20"/>
              </w:rPr>
            </w:pPr>
            <w:r w:rsidRPr="00DB71C1">
              <w:rPr>
                <w:sz w:val="20"/>
                <w:szCs w:val="20"/>
              </w:rPr>
              <w:t>PK topic</w:t>
            </w:r>
          </w:p>
        </w:tc>
        <w:tc>
          <w:tcPr>
            <w:tcW w:w="3685" w:type="dxa"/>
          </w:tcPr>
          <w:p w:rsidR="00353304" w:rsidRPr="00DB71C1" w:rsidRDefault="00353304" w:rsidP="00CA40A2">
            <w:pPr>
              <w:cnfStyle w:val="100000000000" w:firstRow="1" w:lastRow="0" w:firstColumn="0" w:lastColumn="0" w:oddVBand="0" w:evenVBand="0" w:oddHBand="0" w:evenHBand="0" w:firstRowFirstColumn="0" w:firstRowLastColumn="0" w:lastRowFirstColumn="0" w:lastRowLastColumn="0"/>
              <w:rPr>
                <w:sz w:val="20"/>
                <w:szCs w:val="20"/>
              </w:rPr>
            </w:pPr>
            <w:r w:rsidRPr="00DB71C1">
              <w:rPr>
                <w:sz w:val="20"/>
                <w:szCs w:val="20"/>
              </w:rPr>
              <w:t>Subtopic</w:t>
            </w:r>
          </w:p>
        </w:tc>
        <w:tc>
          <w:tcPr>
            <w:tcW w:w="2977" w:type="dxa"/>
          </w:tcPr>
          <w:p w:rsidR="00353304" w:rsidRPr="00DB71C1" w:rsidRDefault="00353304" w:rsidP="00CA40A2">
            <w:pPr>
              <w:cnfStyle w:val="100000000000" w:firstRow="1" w:lastRow="0" w:firstColumn="0" w:lastColumn="0" w:oddVBand="0" w:evenVBand="0" w:oddHBand="0" w:evenHBand="0" w:firstRowFirstColumn="0" w:firstRowLastColumn="0" w:lastRowFirstColumn="0" w:lastRowLastColumn="0"/>
              <w:rPr>
                <w:sz w:val="20"/>
                <w:szCs w:val="20"/>
              </w:rPr>
            </w:pPr>
            <w:r w:rsidRPr="00DB71C1">
              <w:rPr>
                <w:sz w:val="20"/>
                <w:szCs w:val="20"/>
              </w:rPr>
              <w:t>Study ID</w:t>
            </w: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vMerge w:val="restart"/>
          </w:tcPr>
          <w:p w:rsidR="00353304" w:rsidRPr="00DB71C1" w:rsidRDefault="00353304" w:rsidP="00CA40A2">
            <w:pPr>
              <w:rPr>
                <w:sz w:val="20"/>
                <w:szCs w:val="20"/>
              </w:rPr>
            </w:pP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Bioequivalence - Single dose</w:t>
            </w: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Study B0661007</w:t>
            </w: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vMerge/>
          </w:tcPr>
          <w:p w:rsidR="00353304" w:rsidRPr="00DB71C1" w:rsidRDefault="00353304" w:rsidP="00CA40A2">
            <w:pPr>
              <w:rPr>
                <w:sz w:val="20"/>
                <w:szCs w:val="20"/>
              </w:rPr>
            </w:pP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Study CV185111</w:t>
            </w: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vMerge/>
          </w:tcPr>
          <w:p w:rsidR="00353304" w:rsidRPr="00DB71C1" w:rsidRDefault="00353304" w:rsidP="00CA40A2">
            <w:pPr>
              <w:rPr>
                <w:sz w:val="20"/>
                <w:szCs w:val="20"/>
              </w:rPr>
            </w:pP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Food effect</w:t>
            </w: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Study B0661019</w:t>
            </w: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vMerge/>
          </w:tcPr>
          <w:p w:rsidR="00353304" w:rsidRPr="00DB71C1" w:rsidRDefault="00353304" w:rsidP="00CA40A2">
            <w:pPr>
              <w:rPr>
                <w:sz w:val="20"/>
                <w:szCs w:val="20"/>
              </w:rPr>
            </w:pP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Study CV185091</w:t>
            </w: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tcPr>
          <w:p w:rsidR="00353304" w:rsidRPr="00DB71C1" w:rsidRDefault="00353304" w:rsidP="00CA40A2">
            <w:pPr>
              <w:rPr>
                <w:sz w:val="20"/>
                <w:szCs w:val="20"/>
              </w:rPr>
            </w:pP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tcPr>
          <w:p w:rsidR="00353304" w:rsidRPr="00DB71C1" w:rsidRDefault="00353304" w:rsidP="00CA40A2">
            <w:pPr>
              <w:rPr>
                <w:sz w:val="20"/>
                <w:szCs w:val="20"/>
              </w:rPr>
            </w:pPr>
            <w:r w:rsidRPr="00DB71C1">
              <w:rPr>
                <w:sz w:val="20"/>
                <w:szCs w:val="20"/>
              </w:rPr>
              <w:t>PK interactions</w:t>
            </w: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Prasugrel</w:t>
            </w: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CV185073</w:t>
            </w: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tcPr>
          <w:p w:rsidR="00353304" w:rsidRPr="00DB71C1" w:rsidRDefault="00353304" w:rsidP="00CA40A2">
            <w:pPr>
              <w:rPr>
                <w:sz w:val="20"/>
                <w:szCs w:val="20"/>
              </w:rPr>
            </w:pP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p>
        </w:tc>
      </w:tr>
      <w:tr w:rsidR="00353304" w:rsidRPr="00224A7C" w:rsidTr="00353304">
        <w:tc>
          <w:tcPr>
            <w:cnfStyle w:val="001000000000" w:firstRow="0" w:lastRow="0" w:firstColumn="1" w:lastColumn="0" w:oddVBand="0" w:evenVBand="0" w:oddHBand="0" w:evenHBand="0" w:firstRowFirstColumn="0" w:firstRowLastColumn="0" w:lastRowFirstColumn="0" w:lastRowLastColumn="0"/>
            <w:tcW w:w="2127" w:type="dxa"/>
          </w:tcPr>
          <w:p w:rsidR="00353304" w:rsidRPr="00DB71C1" w:rsidRDefault="00353304" w:rsidP="00CA40A2">
            <w:pPr>
              <w:rPr>
                <w:sz w:val="20"/>
                <w:szCs w:val="20"/>
              </w:rPr>
            </w:pPr>
            <w:r w:rsidRPr="00DB71C1">
              <w:rPr>
                <w:sz w:val="20"/>
                <w:szCs w:val="20"/>
              </w:rPr>
              <w:t>Population PK analyses</w:t>
            </w:r>
          </w:p>
        </w:tc>
        <w:tc>
          <w:tcPr>
            <w:tcW w:w="3685"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Target population</w:t>
            </w:r>
          </w:p>
        </w:tc>
        <w:tc>
          <w:tcPr>
            <w:tcW w:w="2977" w:type="dxa"/>
          </w:tcPr>
          <w:p w:rsidR="00353304" w:rsidRPr="00DB71C1" w:rsidRDefault="00353304" w:rsidP="00CA40A2">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Study PMAR-00312</w:t>
            </w:r>
          </w:p>
        </w:tc>
      </w:tr>
    </w:tbl>
    <w:p w:rsidR="00CA40A2" w:rsidRPr="00CA40A2" w:rsidRDefault="00CA40A2" w:rsidP="00CA40A2">
      <w:r w:rsidRPr="00CA40A2">
        <w:t>None of the pharmacokinetic studies had deficiencies that excluded their results from consideration.</w:t>
      </w:r>
    </w:p>
    <w:p w:rsidR="00CA40A2" w:rsidRPr="00CA40A2" w:rsidRDefault="00CA40A2" w:rsidP="00CA40A2">
      <w:pPr>
        <w:pStyle w:val="Heading3"/>
      </w:pPr>
      <w:bookmarkStart w:id="47" w:name="_Ref269118175"/>
      <w:bookmarkStart w:id="48" w:name="_Toc272414616"/>
      <w:bookmarkStart w:id="49" w:name="_Toc290846239"/>
      <w:bookmarkStart w:id="50" w:name="_Toc407734451"/>
      <w:bookmarkStart w:id="51" w:name="_Toc436383330"/>
      <w:r w:rsidRPr="00CA40A2">
        <w:lastRenderedPageBreak/>
        <w:t>Summary of pharmacokinetics</w:t>
      </w:r>
      <w:bookmarkEnd w:id="47"/>
      <w:bookmarkEnd w:id="48"/>
      <w:bookmarkEnd w:id="49"/>
      <w:bookmarkEnd w:id="50"/>
      <w:bookmarkEnd w:id="51"/>
    </w:p>
    <w:p w:rsidR="00CA40A2" w:rsidRDefault="00CA40A2" w:rsidP="00CA40A2">
      <w:r w:rsidRPr="00CA40A2">
        <w:t>The information in the following summary is derived from conventional pharmacokinetic studies unless otherwise stated.</w:t>
      </w:r>
    </w:p>
    <w:p w:rsidR="00CA40A2" w:rsidRPr="00CA40A2" w:rsidRDefault="00CA40A2" w:rsidP="00CA40A2">
      <w:pPr>
        <w:pStyle w:val="Heading4"/>
      </w:pPr>
      <w:bookmarkStart w:id="52" w:name="_Ref271189106"/>
      <w:bookmarkStart w:id="53" w:name="_Ref271189143"/>
      <w:bookmarkStart w:id="54" w:name="_Toc272414618"/>
      <w:bookmarkStart w:id="55" w:name="_Toc290846241"/>
      <w:bookmarkStart w:id="56" w:name="_Toc407734453"/>
      <w:r w:rsidRPr="00CA40A2">
        <w:t>Pharmacokinetics in healthy subjects</w:t>
      </w:r>
      <w:bookmarkEnd w:id="52"/>
      <w:bookmarkEnd w:id="53"/>
      <w:bookmarkEnd w:id="54"/>
      <w:bookmarkEnd w:id="55"/>
      <w:bookmarkEnd w:id="56"/>
    </w:p>
    <w:p w:rsidR="00CA40A2" w:rsidRPr="00CA40A2" w:rsidRDefault="00CA40A2" w:rsidP="00CA40A2">
      <w:pPr>
        <w:pStyle w:val="Heading5"/>
      </w:pPr>
      <w:r w:rsidRPr="00CA40A2">
        <w:t>Bioavailability relative to an oral solution or micronised suspension</w:t>
      </w:r>
    </w:p>
    <w:p w:rsidR="00CA40A2" w:rsidRPr="00CA40A2" w:rsidRDefault="00CA40A2" w:rsidP="00CA40A2">
      <w:r w:rsidRPr="00CA40A2">
        <w:t>Administration of apixaban 5 mg oral solution by oral syringing was bioequivalent to administration as a 5 mg tablet, crushed and suspended in D5W by nasogastric tube (both fasted) (Study 185111</w:t>
      </w:r>
      <w:r w:rsidR="00353304">
        <w:t>)</w:t>
      </w:r>
      <w:r w:rsidRPr="00CA40A2">
        <w:t xml:space="preserve">: ratio (90%) CI crushed tablet/oral solution for </w:t>
      </w:r>
      <w:r w:rsidR="00353304" w:rsidRPr="00CA40A2">
        <w:t>AUC</w:t>
      </w:r>
      <w:r w:rsidR="00353304" w:rsidRPr="00353304">
        <w:rPr>
          <w:vertAlign w:val="subscript"/>
        </w:rPr>
        <w:t>0-inf</w:t>
      </w:r>
      <w:r>
        <w:t xml:space="preserve"> was 0.950 (0.905 to 0.997).</w:t>
      </w:r>
    </w:p>
    <w:p w:rsidR="00CA40A2" w:rsidRPr="00CA40A2" w:rsidRDefault="00CA40A2" w:rsidP="00CA40A2">
      <w:r w:rsidRPr="00CA40A2">
        <w:t xml:space="preserve">Apixaban 5 mg oral solution (0.4 mg/mL) was bioequivalent when administered by nasogastric tube when followed by D5W, compared with by mouth using an oral syringe </w:t>
      </w:r>
      <w:r w:rsidR="00353304">
        <w:t>(Study CV185091</w:t>
      </w:r>
      <w:r w:rsidRPr="00CA40A2">
        <w:t xml:space="preserve">): ratio (90% CI) nasogastric/oral was 0.968 (0.926 to 1.011) for </w:t>
      </w:r>
      <w:r w:rsidR="00353304" w:rsidRPr="00CA40A2">
        <w:t>AUC</w:t>
      </w:r>
      <w:r w:rsidR="00353304" w:rsidRPr="00353304">
        <w:rPr>
          <w:vertAlign w:val="subscript"/>
        </w:rPr>
        <w:t>0-inf</w:t>
      </w:r>
      <w:r w:rsidRPr="00CA40A2">
        <w:t xml:space="preserve"> and 0.953 (0.873 to 1.040) for </w:t>
      </w:r>
      <w:r w:rsidR="00353304" w:rsidRPr="00CA40A2">
        <w:t>C</w:t>
      </w:r>
      <w:r w:rsidR="00353304" w:rsidRPr="00353304">
        <w:rPr>
          <w:vertAlign w:val="subscript"/>
        </w:rPr>
        <w:t>max</w:t>
      </w:r>
      <w:r>
        <w:t>.</w:t>
      </w:r>
    </w:p>
    <w:p w:rsidR="00CA40A2" w:rsidRPr="00CA40A2" w:rsidRDefault="00CA40A2" w:rsidP="00CA40A2">
      <w:pPr>
        <w:pStyle w:val="Heading5"/>
      </w:pPr>
      <w:r w:rsidRPr="00CA40A2">
        <w:t>Influence of food</w:t>
      </w:r>
    </w:p>
    <w:p w:rsidR="00CA40A2" w:rsidRPr="00CA40A2" w:rsidRDefault="00CA40A2" w:rsidP="00CA40A2">
      <w:r w:rsidRPr="00CA40A2">
        <w:t xml:space="preserve">Administration of apixaban 5 mg oral solution along with nasogastric enteral feeds resulted in decreased bioavailability (Study CV185111): ratio (90%) CI oral solution + feed/oral solution fasted for </w:t>
      </w:r>
      <w:r w:rsidR="00353304" w:rsidRPr="00CA40A2">
        <w:t>AUC</w:t>
      </w:r>
      <w:r w:rsidR="00353304" w:rsidRPr="00353304">
        <w:rPr>
          <w:vertAlign w:val="subscript"/>
        </w:rPr>
        <w:t>0-inf</w:t>
      </w:r>
      <w:r>
        <w:t xml:space="preserve"> was 0.813 (0.766 to 0.863).</w:t>
      </w:r>
    </w:p>
    <w:p w:rsidR="00CA40A2" w:rsidRPr="00CA40A2" w:rsidRDefault="00CA40A2" w:rsidP="00CA40A2">
      <w:r w:rsidRPr="00CA40A2">
        <w:t>The bioavailability of a standard commercial 5 mg tablet was reduced by food (Study B0661019,</w:t>
      </w:r>
      <w:r>
        <w:t xml:space="preserve">). </w:t>
      </w:r>
      <w:r w:rsidR="00353304" w:rsidRPr="00CA40A2">
        <w:t>AUC</w:t>
      </w:r>
      <w:r w:rsidR="00353304" w:rsidRPr="00353304">
        <w:rPr>
          <w:vertAlign w:val="subscript"/>
        </w:rPr>
        <w:t>0-inf</w:t>
      </w:r>
      <w:r w:rsidRPr="00CA40A2">
        <w:t xml:space="preserve"> was reduced by 20% and </w:t>
      </w:r>
      <w:r w:rsidR="00353304" w:rsidRPr="00CA40A2">
        <w:t>C</w:t>
      </w:r>
      <w:r w:rsidR="00353304" w:rsidRPr="00353304">
        <w:rPr>
          <w:vertAlign w:val="subscript"/>
        </w:rPr>
        <w:t>max</w:t>
      </w:r>
      <w:r>
        <w:t xml:space="preserve"> by 15%. </w:t>
      </w:r>
      <w:r w:rsidRPr="00CA40A2">
        <w:t xml:space="preserve">The ratio (90% CI) fed/fasted was 79.93% (75.19%, 84.97%) for </w:t>
      </w:r>
      <w:r w:rsidR="00353304" w:rsidRPr="00CA40A2">
        <w:t>AUC</w:t>
      </w:r>
      <w:r w:rsidR="00353304" w:rsidRPr="00353304">
        <w:rPr>
          <w:vertAlign w:val="subscript"/>
        </w:rPr>
        <w:t>0-inf</w:t>
      </w:r>
      <w:r w:rsidRPr="00CA40A2">
        <w:t xml:space="preserve"> and 85.13% (79.32% to 91.35%) for </w:t>
      </w:r>
      <w:r w:rsidR="00353304" w:rsidRPr="00CA40A2">
        <w:t>C</w:t>
      </w:r>
      <w:r w:rsidR="00353304" w:rsidRPr="00353304">
        <w:rPr>
          <w:vertAlign w:val="subscript"/>
        </w:rPr>
        <w:t>max</w:t>
      </w:r>
      <w:r w:rsidRPr="00CA40A2">
        <w:t>.</w:t>
      </w:r>
    </w:p>
    <w:p w:rsidR="00CA40A2" w:rsidRPr="00CA40A2" w:rsidRDefault="00CA40A2" w:rsidP="00CA40A2">
      <w:r w:rsidRPr="00CA40A2">
        <w:t>Apixaban 5 mg oral solution (0.4 mg</w:t>
      </w:r>
      <w:r w:rsidR="00353304">
        <w:t>/</w:t>
      </w:r>
      <w:r w:rsidRPr="00CA40A2">
        <w:t xml:space="preserve">mL) was bioequivalent for </w:t>
      </w:r>
      <w:r w:rsidR="00353304" w:rsidRPr="00CA40A2">
        <w:t>AUC</w:t>
      </w:r>
      <w:r w:rsidR="00353304" w:rsidRPr="00353304">
        <w:rPr>
          <w:vertAlign w:val="subscript"/>
        </w:rPr>
        <w:t>0-inf</w:t>
      </w:r>
      <w:r w:rsidRPr="00CA40A2">
        <w:t xml:space="preserve"> when administered by nasogastric tube when followed by infant formula, compared with by mouth using an oral syringe (Study CV185091): ratio (90% CI) nasogastric/oral were 0.922 (0.899 to 0.947) for </w:t>
      </w:r>
      <w:r w:rsidR="00353304" w:rsidRPr="00CA40A2">
        <w:t>AUC</w:t>
      </w:r>
      <w:r w:rsidR="00353304" w:rsidRPr="00353304">
        <w:rPr>
          <w:vertAlign w:val="subscript"/>
        </w:rPr>
        <w:t>0-inf</w:t>
      </w:r>
      <w:r>
        <w:t xml:space="preserve">. </w:t>
      </w:r>
      <w:r w:rsidRPr="00CA40A2">
        <w:t xml:space="preserve">However </w:t>
      </w:r>
      <w:r w:rsidR="00353304" w:rsidRPr="00CA40A2">
        <w:t>C</w:t>
      </w:r>
      <w:r w:rsidR="00353304" w:rsidRPr="00353304">
        <w:rPr>
          <w:vertAlign w:val="subscript"/>
        </w:rPr>
        <w:t>max</w:t>
      </w:r>
      <w:r w:rsidRPr="00CA40A2">
        <w:t xml:space="preserve"> was decreased by 20%: ratio (90% CI) nasogastric/oral 0.805 (0.749 to 0.865) for </w:t>
      </w:r>
      <w:r w:rsidR="00353304" w:rsidRPr="00CA40A2">
        <w:t>C</w:t>
      </w:r>
      <w:r w:rsidR="00353304" w:rsidRPr="00353304">
        <w:rPr>
          <w:vertAlign w:val="subscript"/>
        </w:rPr>
        <w:t>max</w:t>
      </w:r>
      <w:r w:rsidRPr="00CA40A2">
        <w:t>.</w:t>
      </w:r>
    </w:p>
    <w:p w:rsidR="00CA40A2" w:rsidRPr="00CA40A2" w:rsidRDefault="00CA40A2" w:rsidP="00CA40A2">
      <w:pPr>
        <w:pStyle w:val="Heading5"/>
      </w:pPr>
      <w:r w:rsidRPr="00CA40A2">
        <w:t>Effect of administration timing</w:t>
      </w:r>
    </w:p>
    <w:p w:rsidR="00CA40A2" w:rsidRPr="00CA40A2" w:rsidRDefault="00CA40A2" w:rsidP="00CA40A2">
      <w:r w:rsidRPr="00CA40A2">
        <w:t>Administration of apixaban in the evening resulted in a 46% decrease in ka relative to administration in the morning or afternoon (Study PMAR-00312).</w:t>
      </w:r>
      <w:r>
        <w:t xml:space="preserve"> </w:t>
      </w:r>
      <w:r w:rsidRPr="00CA40A2">
        <w:t>This would not be expected to be clinically relevant.</w:t>
      </w:r>
    </w:p>
    <w:p w:rsidR="00CA40A2" w:rsidRPr="00CA40A2" w:rsidRDefault="00CA40A2" w:rsidP="00CA40A2">
      <w:pPr>
        <w:pStyle w:val="Heading5"/>
      </w:pPr>
      <w:bookmarkStart w:id="57" w:name="_Toc241374288"/>
      <w:bookmarkStart w:id="58" w:name="_Toc272414621"/>
      <w:bookmarkStart w:id="59" w:name="_Toc290846244"/>
      <w:bookmarkStart w:id="60" w:name="_Toc407734454"/>
      <w:r w:rsidRPr="00CA40A2">
        <w:t>Distribution</w:t>
      </w:r>
      <w:bookmarkEnd w:id="57"/>
      <w:bookmarkEnd w:id="58"/>
      <w:bookmarkEnd w:id="59"/>
      <w:bookmarkEnd w:id="60"/>
    </w:p>
    <w:p w:rsidR="00CA40A2" w:rsidRPr="00CA40A2" w:rsidRDefault="00CA40A2" w:rsidP="00CA40A2">
      <w:pPr>
        <w:pStyle w:val="Heading6"/>
      </w:pPr>
      <w:r w:rsidRPr="00CA40A2">
        <w:t>Volume of distribution</w:t>
      </w:r>
    </w:p>
    <w:p w:rsidR="00CA40A2" w:rsidRPr="00CA40A2" w:rsidRDefault="00CA40A2" w:rsidP="00CA40A2">
      <w:r w:rsidRPr="00CA40A2">
        <w:t>The effect of baseline body weight on Vc/F was less than directly proportional, with a 24% reduction for a 50 kg subject and a 20% increase for a 120 kg subject relative to the reference subject with a body weight of 85 kg (Study PMAR-00312).</w:t>
      </w:r>
    </w:p>
    <w:p w:rsidR="00CA40A2" w:rsidRPr="00CA40A2" w:rsidRDefault="00CA40A2" w:rsidP="00CA40A2">
      <w:pPr>
        <w:pStyle w:val="Heading5"/>
      </w:pPr>
      <w:bookmarkStart w:id="61" w:name="_Toc272414622"/>
      <w:bookmarkStart w:id="62" w:name="_Toc290846245"/>
      <w:bookmarkStart w:id="63" w:name="_Toc407734455"/>
      <w:r w:rsidRPr="00CA40A2">
        <w:t>Metabolism</w:t>
      </w:r>
      <w:bookmarkEnd w:id="61"/>
      <w:bookmarkEnd w:id="62"/>
      <w:bookmarkEnd w:id="63"/>
    </w:p>
    <w:p w:rsidR="00CA40A2" w:rsidRPr="00CA40A2" w:rsidRDefault="00CA40A2" w:rsidP="00CA40A2">
      <w:r w:rsidRPr="00CA40A2">
        <w:t>There were no new data relating to metabolism.</w:t>
      </w:r>
    </w:p>
    <w:p w:rsidR="00CA40A2" w:rsidRPr="00CA40A2" w:rsidRDefault="00CA40A2" w:rsidP="00CA40A2">
      <w:pPr>
        <w:pStyle w:val="Heading5"/>
      </w:pPr>
      <w:bookmarkStart w:id="64" w:name="_Toc241374289"/>
      <w:bookmarkStart w:id="65" w:name="_Toc272414623"/>
      <w:bookmarkStart w:id="66" w:name="_Toc290846246"/>
      <w:bookmarkStart w:id="67" w:name="_Toc407734456"/>
      <w:r w:rsidRPr="00CA40A2">
        <w:t>E</w:t>
      </w:r>
      <w:bookmarkEnd w:id="64"/>
      <w:r w:rsidRPr="00CA40A2">
        <w:t>xcretion</w:t>
      </w:r>
      <w:bookmarkEnd w:id="65"/>
      <w:bookmarkEnd w:id="66"/>
      <w:bookmarkEnd w:id="67"/>
    </w:p>
    <w:p w:rsidR="00CA40A2" w:rsidRPr="00CA40A2" w:rsidRDefault="00CA40A2" w:rsidP="00CA40A2">
      <w:pPr>
        <w:pStyle w:val="Heading6"/>
      </w:pPr>
      <w:r w:rsidRPr="00CA40A2">
        <w:t>Renal clearance</w:t>
      </w:r>
    </w:p>
    <w:p w:rsidR="00CA40A2" w:rsidRPr="00CA40A2" w:rsidRDefault="00CA40A2" w:rsidP="00CA40A2">
      <w:r w:rsidRPr="00CA40A2">
        <w:t>In a population model of apixaban in VTE subjects the proportion of total clearance that was renal (CLR/F) was calculated to be approximately 42%</w:t>
      </w:r>
      <w:r>
        <w:t xml:space="preserve">. </w:t>
      </w:r>
      <w:r w:rsidRPr="00CA40A2">
        <w:t>In subjects with impaired renal function, CLR/F increased with increasing cCrCL up to a breakpoint of 150 mL/min (consistent with normal renal function) with a linear relationship (Study PMAR-00312).</w:t>
      </w:r>
    </w:p>
    <w:p w:rsidR="00CA40A2" w:rsidRPr="00433FD1" w:rsidRDefault="00CA40A2" w:rsidP="00433FD1">
      <w:pPr>
        <w:pStyle w:val="Heading5"/>
      </w:pPr>
      <w:bookmarkStart w:id="68" w:name="_Toc241374291"/>
      <w:bookmarkStart w:id="69" w:name="_Toc272414624"/>
      <w:bookmarkStart w:id="70" w:name="_Toc290846247"/>
      <w:bookmarkStart w:id="71" w:name="_Toc407734457"/>
      <w:r w:rsidRPr="00433FD1">
        <w:lastRenderedPageBreak/>
        <w:t>Intra- and inter-individual variability</w:t>
      </w:r>
      <w:bookmarkEnd w:id="68"/>
      <w:r w:rsidRPr="00433FD1">
        <w:t xml:space="preserve"> of pharmacokinetics</w:t>
      </w:r>
      <w:bookmarkEnd w:id="69"/>
      <w:bookmarkEnd w:id="70"/>
      <w:bookmarkEnd w:id="71"/>
    </w:p>
    <w:p w:rsidR="00CA40A2" w:rsidRPr="00433FD1" w:rsidRDefault="00CA40A2" w:rsidP="00433FD1">
      <w:r w:rsidRPr="00433FD1">
        <w:t>The inter</w:t>
      </w:r>
      <w:r w:rsidR="00181E65">
        <w:t>-</w:t>
      </w:r>
      <w:r w:rsidRPr="00433FD1">
        <w:t>individual variab</w:t>
      </w:r>
      <w:r w:rsidR="00181E65">
        <w:t>i</w:t>
      </w:r>
      <w:r w:rsidRPr="00433FD1">
        <w:t>lity (expressed as CV%) for ke was 23.3 and for V/F was 23.5</w:t>
      </w:r>
      <w:r w:rsidR="00181E65">
        <w:t xml:space="preserve"> (Study PMAR-00312</w:t>
      </w:r>
      <w:r w:rsidRPr="00433FD1">
        <w:t>).</w:t>
      </w:r>
    </w:p>
    <w:p w:rsidR="00CA40A2" w:rsidRPr="00433FD1" w:rsidRDefault="00CA40A2" w:rsidP="00433FD1">
      <w:pPr>
        <w:pStyle w:val="Heading4"/>
      </w:pPr>
      <w:bookmarkStart w:id="72" w:name="_Toc241374292"/>
      <w:bookmarkStart w:id="73" w:name="_Ref271189131"/>
      <w:bookmarkStart w:id="74" w:name="_Ref271189136"/>
      <w:bookmarkStart w:id="75" w:name="_Toc272414625"/>
      <w:bookmarkStart w:id="76" w:name="_Toc290846248"/>
      <w:bookmarkStart w:id="77" w:name="_Toc407734458"/>
      <w:r w:rsidRPr="00433FD1">
        <w:t>Pharmacokinetics in the target population</w:t>
      </w:r>
      <w:bookmarkEnd w:id="72"/>
      <w:bookmarkEnd w:id="73"/>
      <w:bookmarkEnd w:id="74"/>
      <w:bookmarkEnd w:id="75"/>
      <w:bookmarkEnd w:id="76"/>
      <w:bookmarkEnd w:id="77"/>
    </w:p>
    <w:p w:rsidR="00CA40A2" w:rsidRPr="00433FD1" w:rsidRDefault="00CA40A2" w:rsidP="00CA40A2">
      <w:r w:rsidRPr="00433FD1">
        <w:t>Study PMAR-00312 was conducted in the target population (see Sections 4.2.2.1.3, 4.2.2.2.1, and 4.2.2.5).</w:t>
      </w:r>
      <w:bookmarkStart w:id="78" w:name="_Toc241374293"/>
    </w:p>
    <w:p w:rsidR="00CA40A2" w:rsidRPr="00433FD1" w:rsidRDefault="00CA40A2" w:rsidP="00433FD1">
      <w:pPr>
        <w:pStyle w:val="Heading4"/>
      </w:pPr>
      <w:bookmarkStart w:id="79" w:name="_Toc272414626"/>
      <w:bookmarkStart w:id="80" w:name="_Toc290846249"/>
      <w:bookmarkStart w:id="81" w:name="_Toc407734459"/>
      <w:r w:rsidRPr="00433FD1">
        <w:t>Pharmacokinetics in other special populations</w:t>
      </w:r>
      <w:bookmarkEnd w:id="78"/>
      <w:bookmarkEnd w:id="79"/>
      <w:bookmarkEnd w:id="80"/>
      <w:bookmarkEnd w:id="81"/>
    </w:p>
    <w:p w:rsidR="00CA40A2" w:rsidRPr="00433FD1" w:rsidRDefault="00CA40A2" w:rsidP="00433FD1">
      <w:pPr>
        <w:pStyle w:val="Heading5"/>
      </w:pPr>
      <w:bookmarkStart w:id="82" w:name="_Toc272414629"/>
      <w:bookmarkStart w:id="83" w:name="_Toc290846252"/>
      <w:bookmarkStart w:id="84" w:name="_Toc407734460"/>
      <w:r w:rsidRPr="00433FD1">
        <w:t>Pharmacokinetics according to age</w:t>
      </w:r>
      <w:bookmarkEnd w:id="82"/>
      <w:bookmarkEnd w:id="83"/>
      <w:bookmarkEnd w:id="84"/>
    </w:p>
    <w:p w:rsidR="00CA40A2" w:rsidRPr="00433FD1" w:rsidRDefault="00CA40A2" w:rsidP="00CA40A2">
      <w:r w:rsidRPr="00433FD1">
        <w:t>CLNR/F was reduced in older (</w:t>
      </w:r>
      <w:r w:rsidR="00181E65">
        <w:t>for example,</w:t>
      </w:r>
      <w:r w:rsidRPr="00433FD1">
        <w:t xml:space="preserve"> a 4</w:t>
      </w:r>
      <w:r w:rsidR="00181E65">
        <w:t>0 year</w:t>
      </w:r>
      <w:r w:rsidRPr="00433FD1">
        <w:t xml:space="preserve"> old and 8</w:t>
      </w:r>
      <w:r w:rsidR="00181E65">
        <w:t>0 year</w:t>
      </w:r>
      <w:r w:rsidRPr="00433FD1">
        <w:t xml:space="preserve"> old male VTE treatment subject would have 11% higher and 7% lower CLNR/F relative to a reference VTE treatment male subject who is 60 years old; resulting in 7% higher and 4% lower CL/F, respectively (Study PMAR-00312).</w:t>
      </w:r>
    </w:p>
    <w:p w:rsidR="00CA40A2" w:rsidRPr="00433FD1" w:rsidRDefault="00CA40A2" w:rsidP="00433FD1">
      <w:pPr>
        <w:pStyle w:val="Heading5"/>
      </w:pPr>
      <w:bookmarkStart w:id="85" w:name="_Toc272414631"/>
      <w:bookmarkStart w:id="86" w:name="_Toc290846254"/>
      <w:bookmarkStart w:id="87" w:name="_Toc407734461"/>
      <w:r w:rsidRPr="00433FD1">
        <w:t>Pharmacokinetics in other special population / according to other population characteristic</w:t>
      </w:r>
      <w:bookmarkEnd w:id="85"/>
      <w:bookmarkEnd w:id="86"/>
      <w:bookmarkEnd w:id="87"/>
    </w:p>
    <w:p w:rsidR="00CA40A2" w:rsidRPr="00433FD1" w:rsidRDefault="00CA40A2" w:rsidP="00433FD1">
      <w:r w:rsidRPr="00433FD1">
        <w:t>Female subjects had 22.3% lower CLNR/F relative to male subjects, resulting in a 13% lower CL/F (Study PMAR-00312).</w:t>
      </w:r>
    </w:p>
    <w:p w:rsidR="00CA40A2" w:rsidRPr="00433FD1" w:rsidRDefault="00CA40A2" w:rsidP="00433FD1">
      <w:r w:rsidRPr="00433FD1">
        <w:t>Asian race and concomitant use of strong or moderate CYP3A4/p-gp inhibitors resulted in decreases of 16.8% and 20.3% in CL/F, respectively (S</w:t>
      </w:r>
      <w:r w:rsidR="00433FD1">
        <w:t>tudy PMAR-00312).</w:t>
      </w:r>
    </w:p>
    <w:p w:rsidR="00CA40A2" w:rsidRPr="00433FD1" w:rsidRDefault="00CA40A2" w:rsidP="00433FD1">
      <w:pPr>
        <w:pStyle w:val="Heading4"/>
      </w:pPr>
      <w:bookmarkStart w:id="88" w:name="_Toc241374294"/>
      <w:bookmarkStart w:id="89" w:name="_Toc272414632"/>
      <w:bookmarkStart w:id="90" w:name="_Toc290846255"/>
      <w:bookmarkStart w:id="91" w:name="_Toc407734462"/>
      <w:r w:rsidRPr="00433FD1">
        <w:t>Pharmacokinetic interactions</w:t>
      </w:r>
      <w:bookmarkEnd w:id="88"/>
      <w:bookmarkEnd w:id="89"/>
      <w:bookmarkEnd w:id="90"/>
      <w:bookmarkEnd w:id="91"/>
    </w:p>
    <w:p w:rsidR="00CA40A2" w:rsidRPr="00433FD1" w:rsidRDefault="00CA40A2" w:rsidP="00433FD1">
      <w:pPr>
        <w:pStyle w:val="Heading5"/>
      </w:pPr>
      <w:bookmarkStart w:id="92" w:name="_Toc272414633"/>
      <w:bookmarkStart w:id="93" w:name="_Toc290846256"/>
      <w:bookmarkStart w:id="94" w:name="_Toc407734463"/>
      <w:r w:rsidRPr="00433FD1">
        <w:t>Pharmacokinetic interactions demonstrated in human studies</w:t>
      </w:r>
      <w:bookmarkEnd w:id="92"/>
      <w:bookmarkEnd w:id="93"/>
      <w:bookmarkEnd w:id="94"/>
    </w:p>
    <w:p w:rsidR="00CA40A2" w:rsidRPr="00433FD1" w:rsidRDefault="00CA40A2" w:rsidP="00433FD1">
      <w:r w:rsidRPr="00433FD1">
        <w:t xml:space="preserve">Apixaban bioavailability was unaltered by concomitant prasugrel (Study CV185073): ratio (90% CI) apixaban + prasugrel / apixaban were 1.041 (0.979 to 1.107) for </w:t>
      </w:r>
      <w:r w:rsidR="00181E65" w:rsidRPr="00433FD1">
        <w:t>AUC</w:t>
      </w:r>
      <w:r w:rsidR="00181E65" w:rsidRPr="00181E65">
        <w:rPr>
          <w:vertAlign w:val="subscript"/>
        </w:rPr>
        <w:t>0-τ</w:t>
      </w:r>
      <w:r w:rsidRPr="00433FD1">
        <w:t xml:space="preserve"> and 1.045 (0.975 to 1.122) for </w:t>
      </w:r>
      <w:r w:rsidR="00353304" w:rsidRPr="00CA40A2">
        <w:t>C</w:t>
      </w:r>
      <w:r w:rsidR="00353304" w:rsidRPr="00353304">
        <w:rPr>
          <w:vertAlign w:val="subscript"/>
        </w:rPr>
        <w:t>max</w:t>
      </w:r>
      <w:r w:rsidR="00433FD1">
        <w:t xml:space="preserve">. </w:t>
      </w:r>
      <w:r w:rsidRPr="00433FD1">
        <w:t xml:space="preserve">However, exposure to the active metabolite of prasugrel (R-138727) was slightly reduced by concomitant apixaban: ratio (90% CI) apixaban + prasugrel/prasugrel were 0.978 (0.940 to 1.017) for </w:t>
      </w:r>
      <w:r w:rsidR="00181E65" w:rsidRPr="00433FD1">
        <w:t>AUC</w:t>
      </w:r>
      <w:r w:rsidR="00181E65" w:rsidRPr="00181E65">
        <w:rPr>
          <w:vertAlign w:val="subscript"/>
        </w:rPr>
        <w:t>0-τ</w:t>
      </w:r>
      <w:r w:rsidRPr="00433FD1">
        <w:t xml:space="preserve"> and 0.885 (0.789 to 0.991) for </w:t>
      </w:r>
      <w:r w:rsidR="00353304" w:rsidRPr="00CA40A2">
        <w:t>C</w:t>
      </w:r>
      <w:r w:rsidR="00353304" w:rsidRPr="00353304">
        <w:rPr>
          <w:vertAlign w:val="subscript"/>
        </w:rPr>
        <w:t>max</w:t>
      </w:r>
      <w:r w:rsidRPr="00433FD1">
        <w:t>.</w:t>
      </w:r>
      <w:r w:rsidR="00433FD1">
        <w:t xml:space="preserve"> </w:t>
      </w:r>
      <w:r w:rsidRPr="00433FD1">
        <w:t xml:space="preserve">In Study CV185073, mean (SD) </w:t>
      </w:r>
      <w:r w:rsidR="00181E65" w:rsidRPr="00433FD1">
        <w:t>C</w:t>
      </w:r>
      <w:r w:rsidR="00181E65" w:rsidRPr="00181E65">
        <w:rPr>
          <w:vertAlign w:val="subscript"/>
        </w:rPr>
        <w:t>min</w:t>
      </w:r>
      <w:r w:rsidRPr="00433FD1">
        <w:t xml:space="preserve"> was 70.18 (25.3) ng/mL and was not affected by concomitant prasugrel.</w:t>
      </w:r>
    </w:p>
    <w:p w:rsidR="00CA40A2" w:rsidRPr="00433FD1" w:rsidRDefault="00CA40A2" w:rsidP="00433FD1">
      <w:pPr>
        <w:pStyle w:val="Heading3"/>
      </w:pPr>
      <w:bookmarkStart w:id="95" w:name="_Toc241374296"/>
      <w:bookmarkStart w:id="96" w:name="_Ref269982040"/>
      <w:bookmarkStart w:id="97" w:name="_Ref271018704"/>
      <w:bookmarkStart w:id="98" w:name="_Ref271018755"/>
      <w:bookmarkStart w:id="99" w:name="_Toc272414635"/>
      <w:bookmarkStart w:id="100" w:name="_Toc290846258"/>
      <w:bookmarkStart w:id="101" w:name="_Toc407734464"/>
      <w:bookmarkStart w:id="102" w:name="_Toc436383331"/>
      <w:r w:rsidRPr="00433FD1">
        <w:t>Evaluator’s overall conclusions on pharmacokinetics</w:t>
      </w:r>
      <w:bookmarkEnd w:id="95"/>
      <w:bookmarkEnd w:id="96"/>
      <w:bookmarkEnd w:id="97"/>
      <w:bookmarkEnd w:id="98"/>
      <w:bookmarkEnd w:id="99"/>
      <w:bookmarkEnd w:id="100"/>
      <w:bookmarkEnd w:id="101"/>
      <w:bookmarkEnd w:id="102"/>
    </w:p>
    <w:p w:rsidR="00CA40A2" w:rsidRPr="00433FD1" w:rsidRDefault="00CA40A2" w:rsidP="00CA40A2">
      <w:r w:rsidRPr="00433FD1">
        <w:t>The submission contained data relating to the development of a liquid formulation as part of a Paediatric Investigation plan.</w:t>
      </w:r>
      <w:r w:rsidR="00433FD1">
        <w:t xml:space="preserve"> </w:t>
      </w:r>
      <w:r w:rsidRPr="00433FD1">
        <w:t>The data indicate that the liquid formulation is suitable for both oral and nasogastric administration and is bioequivalent to the commercially available tablets.</w:t>
      </w:r>
      <w:r w:rsidR="00433FD1">
        <w:t xml:space="preserve"> </w:t>
      </w:r>
      <w:r w:rsidRPr="00433FD1">
        <w:t>Food affects the bioavailability of the potential liquid formulation and this should be considered should there be an application</w:t>
      </w:r>
      <w:r w:rsidR="00433FD1">
        <w:t xml:space="preserve"> to register that formulation. </w:t>
      </w:r>
      <w:r w:rsidRPr="00433FD1">
        <w:t xml:space="preserve">The bioavailability of the 5 mg tablet also appears to be decreased by food and this should be considered along with any other data </w:t>
      </w:r>
      <w:r w:rsidR="00353304">
        <w:t>the sponsor</w:t>
      </w:r>
      <w:r w:rsidRPr="00433FD1">
        <w:t xml:space="preserve"> has previously submitted with regard to that formulation.</w:t>
      </w:r>
    </w:p>
    <w:p w:rsidR="00CA40A2" w:rsidRPr="00433FD1" w:rsidRDefault="00CA40A2" w:rsidP="00433FD1">
      <w:bookmarkStart w:id="103" w:name="_Toc397246728"/>
      <w:r w:rsidRPr="00433FD1">
        <w:t>Apixaban bioavailability was unaltered by concomitant prasugrel.</w:t>
      </w:r>
      <w:bookmarkEnd w:id="103"/>
    </w:p>
    <w:p w:rsidR="00CA40A2" w:rsidRPr="00433FD1" w:rsidRDefault="00CA40A2" w:rsidP="00433FD1">
      <w:r w:rsidRPr="00433FD1">
        <w:t xml:space="preserve">The population </w:t>
      </w:r>
      <w:r w:rsidR="00181E65">
        <w:t>P</w:t>
      </w:r>
      <w:r w:rsidRPr="00433FD1">
        <w:t>K study described the following covariate effects:</w:t>
      </w:r>
    </w:p>
    <w:p w:rsidR="00CA40A2" w:rsidRPr="00433FD1" w:rsidRDefault="00CA40A2" w:rsidP="00433FD1">
      <w:pPr>
        <w:pStyle w:val="ListBullet"/>
      </w:pPr>
      <w:r w:rsidRPr="00433FD1">
        <w:t>Administration of apixaban in the evening resulted in a 46% decrease in ka relative to administration in the morning or afternoon</w:t>
      </w:r>
      <w:r w:rsidR="00181E65">
        <w:t>.</w:t>
      </w:r>
    </w:p>
    <w:p w:rsidR="00CA40A2" w:rsidRPr="00433FD1" w:rsidRDefault="00CA40A2" w:rsidP="00433FD1">
      <w:pPr>
        <w:pStyle w:val="ListBullet"/>
      </w:pPr>
      <w:r w:rsidRPr="00433FD1">
        <w:t>CLR/F accounted for approximately 42% of the total clearance and increased with increasing cCrCL up to a breakpoint of 150 mL/min with a linear relationship</w:t>
      </w:r>
      <w:r w:rsidR="00181E65">
        <w:t>.</w:t>
      </w:r>
    </w:p>
    <w:p w:rsidR="00CA40A2" w:rsidRPr="00433FD1" w:rsidRDefault="00CA40A2" w:rsidP="00433FD1">
      <w:pPr>
        <w:pStyle w:val="ListBullet"/>
      </w:pPr>
      <w:r w:rsidRPr="00433FD1">
        <w:t>CLNR/F was reduced in older (</w:t>
      </w:r>
      <w:r w:rsidR="00181E65">
        <w:t>for example,</w:t>
      </w:r>
      <w:r w:rsidRPr="00433FD1">
        <w:t xml:space="preserve"> a 4</w:t>
      </w:r>
      <w:r w:rsidR="00181E65">
        <w:t>0 year</w:t>
      </w:r>
      <w:r w:rsidRPr="00433FD1">
        <w:t xml:space="preserve"> old and 8</w:t>
      </w:r>
      <w:r w:rsidR="00181E65">
        <w:t>0 year</w:t>
      </w:r>
      <w:r w:rsidRPr="00433FD1">
        <w:t xml:space="preserve"> old male VTE treatment subject would have 11% higher and 7% lower CLNR/F relative to a reference VTE </w:t>
      </w:r>
      <w:r w:rsidRPr="00433FD1">
        <w:lastRenderedPageBreak/>
        <w:t>treatment male subject who is 60 years old; resulting in 7% higher and 4% lower CL/F, respectively</w:t>
      </w:r>
      <w:r w:rsidR="00181E65">
        <w:t>.</w:t>
      </w:r>
    </w:p>
    <w:p w:rsidR="00CA40A2" w:rsidRPr="00433FD1" w:rsidRDefault="00CA40A2" w:rsidP="00433FD1">
      <w:pPr>
        <w:pStyle w:val="ListBullet"/>
      </w:pPr>
      <w:r w:rsidRPr="00433FD1">
        <w:t>Female subjects had 22.3% lower CLNR/F relative to male subjects, resulting in 13% lower CL/F</w:t>
      </w:r>
      <w:r w:rsidR="00181E65">
        <w:t>.</w:t>
      </w:r>
    </w:p>
    <w:p w:rsidR="00CA40A2" w:rsidRPr="00433FD1" w:rsidRDefault="00CA40A2" w:rsidP="00433FD1">
      <w:pPr>
        <w:pStyle w:val="ListBullet"/>
      </w:pPr>
      <w:r w:rsidRPr="00433FD1">
        <w:t>Asian race and concomitant use of strong or moderate CYP3A4/p-gp inhibitors resulted in decreases of 16.8% and 20.3% in CL/F, respectively</w:t>
      </w:r>
      <w:r w:rsidR="00181E65">
        <w:t>.</w:t>
      </w:r>
    </w:p>
    <w:p w:rsidR="00CA40A2" w:rsidRPr="00CA40A2" w:rsidRDefault="00CA40A2" w:rsidP="00CA40A2">
      <w:pPr>
        <w:pStyle w:val="ListBullet"/>
      </w:pPr>
      <w:r w:rsidRPr="00433FD1">
        <w:t>The effect of baseline body weight on Vc/F was less than directly proportional, with a 24% reduction for a 50 kg subject and a 20% increase for a 120 kg subject relative to the reference subject with a body weight of 85 kg</w:t>
      </w:r>
      <w:r w:rsidR="00181E65">
        <w:t>.</w:t>
      </w:r>
    </w:p>
    <w:p w:rsidR="00586F98" w:rsidRDefault="00586F98" w:rsidP="00586F98">
      <w:pPr>
        <w:pStyle w:val="Heading2"/>
      </w:pPr>
      <w:bookmarkStart w:id="104" w:name="_Toc436383332"/>
      <w:r>
        <w:t>Pharmacodynamics</w:t>
      </w:r>
      <w:bookmarkEnd w:id="104"/>
    </w:p>
    <w:p w:rsidR="00CF38ED" w:rsidRPr="00CF38ED" w:rsidRDefault="00CF38ED" w:rsidP="00CF38ED">
      <w:pPr>
        <w:pStyle w:val="Heading3"/>
      </w:pPr>
      <w:bookmarkStart w:id="105" w:name="_Toc272414637"/>
      <w:bookmarkStart w:id="106" w:name="_Toc290846260"/>
      <w:bookmarkStart w:id="107" w:name="_Toc407734466"/>
      <w:bookmarkStart w:id="108" w:name="_Toc436383333"/>
      <w:r w:rsidRPr="00CF38ED">
        <w:t>Studies providing pharmacodynamic data</w:t>
      </w:r>
      <w:bookmarkEnd w:id="105"/>
      <w:bookmarkEnd w:id="106"/>
      <w:bookmarkEnd w:id="107"/>
      <w:bookmarkEnd w:id="108"/>
    </w:p>
    <w:p w:rsidR="00CF38ED" w:rsidRPr="00CF38ED" w:rsidRDefault="00CF38ED" w:rsidP="00CF38ED">
      <w:r w:rsidRPr="00181E65">
        <w:t>Table 2 s</w:t>
      </w:r>
      <w:r w:rsidRPr="00CF38ED">
        <w:t>hows the studies relating to each pharmacodynamic topic and the location of each study summary.</w:t>
      </w:r>
    </w:p>
    <w:p w:rsidR="00CF38ED" w:rsidRPr="00CF38ED" w:rsidRDefault="00CF38ED" w:rsidP="00CF38ED">
      <w:pPr>
        <w:pStyle w:val="Tabletitle"/>
      </w:pPr>
      <w:bookmarkStart w:id="109" w:name="_Ref269985397"/>
      <w:bookmarkStart w:id="110" w:name="_Toc290888902"/>
      <w:bookmarkStart w:id="111" w:name="_Toc397246731"/>
      <w:r w:rsidRPr="00CF38ED">
        <w:t>Table 2</w:t>
      </w:r>
      <w:bookmarkEnd w:id="109"/>
      <w:r w:rsidR="00181E65">
        <w:t>:</w:t>
      </w:r>
      <w:r w:rsidRPr="00CF38ED">
        <w:t xml:space="preserve"> Submitted pharmacodynamic studies.</w:t>
      </w:r>
      <w:bookmarkEnd w:id="110"/>
      <w:bookmarkEnd w:id="111"/>
    </w:p>
    <w:tbl>
      <w:tblPr>
        <w:tblStyle w:val="TableTGAblue"/>
        <w:tblW w:w="7621" w:type="dxa"/>
        <w:tblLayout w:type="fixed"/>
        <w:tblLook w:val="04A0" w:firstRow="1" w:lastRow="0" w:firstColumn="1" w:lastColumn="0" w:noHBand="0" w:noVBand="1"/>
      </w:tblPr>
      <w:tblGrid>
        <w:gridCol w:w="2235"/>
        <w:gridCol w:w="3260"/>
        <w:gridCol w:w="2126"/>
      </w:tblGrid>
      <w:tr w:rsidR="00181E65" w:rsidRPr="009A3B75" w:rsidTr="00181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81E65" w:rsidRPr="00DB71C1" w:rsidRDefault="00181E65" w:rsidP="0089614C">
            <w:pPr>
              <w:rPr>
                <w:sz w:val="20"/>
                <w:szCs w:val="20"/>
              </w:rPr>
            </w:pPr>
            <w:r w:rsidRPr="00DB71C1">
              <w:rPr>
                <w:sz w:val="20"/>
                <w:szCs w:val="20"/>
              </w:rPr>
              <w:t>PD Interactions</w:t>
            </w:r>
          </w:p>
        </w:tc>
        <w:tc>
          <w:tcPr>
            <w:tcW w:w="3260" w:type="dxa"/>
          </w:tcPr>
          <w:p w:rsidR="00181E65" w:rsidRPr="00DB71C1" w:rsidRDefault="00181E65" w:rsidP="0089614C">
            <w:pPr>
              <w:cnfStyle w:val="100000000000" w:firstRow="1" w:lastRow="0" w:firstColumn="0" w:lastColumn="0" w:oddVBand="0" w:evenVBand="0" w:oddHBand="0" w:evenHBand="0" w:firstRowFirstColumn="0" w:firstRowLastColumn="0" w:lastRowFirstColumn="0" w:lastRowLastColumn="0"/>
              <w:rPr>
                <w:sz w:val="20"/>
                <w:szCs w:val="20"/>
              </w:rPr>
            </w:pPr>
            <w:r w:rsidRPr="00DB71C1">
              <w:rPr>
                <w:sz w:val="20"/>
                <w:szCs w:val="20"/>
              </w:rPr>
              <w:t>Prasugrel</w:t>
            </w:r>
          </w:p>
        </w:tc>
        <w:tc>
          <w:tcPr>
            <w:tcW w:w="2126" w:type="dxa"/>
          </w:tcPr>
          <w:p w:rsidR="00181E65" w:rsidRPr="00DB71C1" w:rsidRDefault="00181E65" w:rsidP="0089614C">
            <w:pPr>
              <w:cnfStyle w:val="100000000000" w:firstRow="1" w:lastRow="0" w:firstColumn="0" w:lastColumn="0" w:oddVBand="0" w:evenVBand="0" w:oddHBand="0" w:evenHBand="0" w:firstRowFirstColumn="0" w:firstRowLastColumn="0" w:lastRowFirstColumn="0" w:lastRowLastColumn="0"/>
              <w:rPr>
                <w:sz w:val="20"/>
                <w:szCs w:val="20"/>
              </w:rPr>
            </w:pPr>
            <w:r w:rsidRPr="00DB71C1">
              <w:rPr>
                <w:sz w:val="20"/>
                <w:szCs w:val="20"/>
              </w:rPr>
              <w:t>CV185073</w:t>
            </w:r>
          </w:p>
        </w:tc>
      </w:tr>
      <w:tr w:rsidR="00181E65" w:rsidRPr="009A3B75" w:rsidTr="00181E65">
        <w:tc>
          <w:tcPr>
            <w:cnfStyle w:val="001000000000" w:firstRow="0" w:lastRow="0" w:firstColumn="1" w:lastColumn="0" w:oddVBand="0" w:evenVBand="0" w:oddHBand="0" w:evenHBand="0" w:firstRowFirstColumn="0" w:firstRowLastColumn="0" w:lastRowFirstColumn="0" w:lastRowLastColumn="0"/>
            <w:tcW w:w="2235" w:type="dxa"/>
          </w:tcPr>
          <w:p w:rsidR="00181E65" w:rsidRPr="00DB71C1" w:rsidRDefault="00181E65" w:rsidP="0089614C">
            <w:pPr>
              <w:rPr>
                <w:sz w:val="20"/>
                <w:szCs w:val="20"/>
              </w:rPr>
            </w:pPr>
            <w:r w:rsidRPr="00DB71C1">
              <w:rPr>
                <w:sz w:val="20"/>
                <w:szCs w:val="20"/>
              </w:rPr>
              <w:t>Population PD and PK-PD analyses</w:t>
            </w:r>
          </w:p>
        </w:tc>
        <w:tc>
          <w:tcPr>
            <w:tcW w:w="3260" w:type="dxa"/>
          </w:tcPr>
          <w:p w:rsidR="00181E65" w:rsidRPr="00DB71C1" w:rsidRDefault="00181E65" w:rsidP="0089614C">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Target population</w:t>
            </w:r>
          </w:p>
        </w:tc>
        <w:tc>
          <w:tcPr>
            <w:tcW w:w="2126" w:type="dxa"/>
          </w:tcPr>
          <w:p w:rsidR="00181E65" w:rsidRPr="00DB71C1" w:rsidRDefault="00181E65" w:rsidP="0089614C">
            <w:pPr>
              <w:cnfStyle w:val="000000000000" w:firstRow="0" w:lastRow="0" w:firstColumn="0" w:lastColumn="0" w:oddVBand="0" w:evenVBand="0" w:oddHBand="0" w:evenHBand="0" w:firstRowFirstColumn="0" w:firstRowLastColumn="0" w:lastRowFirstColumn="0" w:lastRowLastColumn="0"/>
              <w:rPr>
                <w:sz w:val="20"/>
                <w:szCs w:val="20"/>
              </w:rPr>
            </w:pPr>
            <w:r w:rsidRPr="00DB71C1">
              <w:rPr>
                <w:sz w:val="20"/>
                <w:szCs w:val="20"/>
              </w:rPr>
              <w:t>Study PMAR-00312</w:t>
            </w:r>
          </w:p>
        </w:tc>
      </w:tr>
    </w:tbl>
    <w:p w:rsidR="00CF38ED" w:rsidRPr="0089614C" w:rsidRDefault="00CF38ED" w:rsidP="00CF38ED">
      <w:r w:rsidRPr="0089614C">
        <w:t>None of the pharmacodynamic studies had deficiencies that excluded their results from consideration.</w:t>
      </w:r>
    </w:p>
    <w:p w:rsidR="00CF38ED" w:rsidRPr="000F452D" w:rsidRDefault="00CF38ED" w:rsidP="0089614C">
      <w:pPr>
        <w:pStyle w:val="Heading3"/>
      </w:pPr>
      <w:bookmarkStart w:id="112" w:name="_Ref269119989"/>
      <w:bookmarkStart w:id="113" w:name="_Toc272414639"/>
      <w:bookmarkStart w:id="114" w:name="_Toc290846261"/>
      <w:bookmarkStart w:id="115" w:name="_Toc397246732"/>
      <w:bookmarkStart w:id="116" w:name="_Toc407734467"/>
      <w:bookmarkStart w:id="117" w:name="_Toc436383334"/>
      <w:r w:rsidRPr="000F452D">
        <w:t>Summary of pharmacodynamics</w:t>
      </w:r>
      <w:bookmarkEnd w:id="112"/>
      <w:bookmarkEnd w:id="113"/>
      <w:bookmarkEnd w:id="114"/>
      <w:bookmarkEnd w:id="115"/>
      <w:bookmarkEnd w:id="116"/>
      <w:bookmarkEnd w:id="117"/>
    </w:p>
    <w:p w:rsidR="00CF38ED" w:rsidRPr="000F452D" w:rsidRDefault="00CF38ED" w:rsidP="0089614C">
      <w:pPr>
        <w:pStyle w:val="Heading4"/>
      </w:pPr>
      <w:bookmarkStart w:id="118" w:name="_Toc241374299"/>
      <w:bookmarkStart w:id="119" w:name="_Toc272414640"/>
      <w:bookmarkStart w:id="120" w:name="_Toc290846262"/>
      <w:bookmarkStart w:id="121" w:name="_Toc407734468"/>
      <w:r w:rsidRPr="000F452D">
        <w:t>Mechanism of action</w:t>
      </w:r>
      <w:bookmarkEnd w:id="118"/>
      <w:bookmarkEnd w:id="119"/>
      <w:bookmarkEnd w:id="120"/>
      <w:bookmarkEnd w:id="121"/>
    </w:p>
    <w:p w:rsidR="00CF38ED" w:rsidRPr="0089614C" w:rsidRDefault="00CF38ED" w:rsidP="00CF38ED">
      <w:r w:rsidRPr="000F452D">
        <w:t>There were no new data relating to mechanism of action.</w:t>
      </w:r>
    </w:p>
    <w:p w:rsidR="00CF38ED" w:rsidRPr="000F452D" w:rsidRDefault="00CF38ED" w:rsidP="000F452D">
      <w:pPr>
        <w:pStyle w:val="Heading4"/>
      </w:pPr>
      <w:bookmarkStart w:id="122" w:name="_Toc272414645"/>
      <w:bookmarkStart w:id="123" w:name="_Toc290846267"/>
      <w:bookmarkStart w:id="124" w:name="_Toc407734469"/>
      <w:r w:rsidRPr="000F452D">
        <w:t>Relationship between drug concentration and pharmacodynamic effects</w:t>
      </w:r>
      <w:bookmarkEnd w:id="122"/>
      <w:bookmarkEnd w:id="123"/>
      <w:bookmarkEnd w:id="124"/>
    </w:p>
    <w:p w:rsidR="00CF38ED" w:rsidRDefault="00CF38ED" w:rsidP="000F452D">
      <w:r w:rsidRPr="000F452D">
        <w:t>Study PMAR-00312 modelled the concentration response relationship of apixaban</w:t>
      </w:r>
      <w:r w:rsidR="000F452D">
        <w:t xml:space="preserve"> and AXA using a linear model. </w:t>
      </w:r>
      <w:r w:rsidRPr="000F452D">
        <w:t>The slope parameter describing the linear relationship between apixaban plasma concentration and AXA was mod</w:t>
      </w:r>
      <w:r w:rsidR="000F452D">
        <w:t>elled separately for the Phase I</w:t>
      </w:r>
      <w:r w:rsidRPr="000F452D">
        <w:t xml:space="preserve"> studies, Study CV185017 and Study CV185056 and for Study CV185057: estimate (95% CI) 23.9 (22.8 to 25.0), 30.6 (29.3 to 31.9) and 26</w:t>
      </w:r>
      <w:r w:rsidR="000F452D">
        <w:t>.7 (24.9 to 28.5) respectively.</w:t>
      </w:r>
      <w:r w:rsidRPr="000F452D">
        <w:t xml:space="preserve"> Overall there was an apparent linear relationship between predicted plasma concentration and A</w:t>
      </w:r>
      <w:r w:rsidRPr="007137B3">
        <w:t>XA</w:t>
      </w:r>
      <w:r w:rsidR="00181E65" w:rsidRPr="007137B3">
        <w:t xml:space="preserve"> (</w:t>
      </w:r>
      <w:r w:rsidRPr="007137B3">
        <w:t xml:space="preserve">Figure </w:t>
      </w:r>
      <w:r w:rsidR="007137B3" w:rsidRPr="007137B3">
        <w:t>2</w:t>
      </w:r>
      <w:r w:rsidR="000F452D" w:rsidRPr="007137B3">
        <w:t>)</w:t>
      </w:r>
      <w:r w:rsidR="000F452D">
        <w:t>.</w:t>
      </w:r>
    </w:p>
    <w:p w:rsidR="007137B3" w:rsidRDefault="007137B3" w:rsidP="0057597F">
      <w:pPr>
        <w:pStyle w:val="FigureTitle"/>
      </w:pPr>
      <w:r>
        <w:lastRenderedPageBreak/>
        <w:t xml:space="preserve">Figure 2: </w:t>
      </w:r>
      <w:r w:rsidRPr="002D4BF7">
        <w:t xml:space="preserve">Apixaban Plasma Concentration vs AXA in LMWH Units </w:t>
      </w:r>
      <w:r>
        <w:rPr>
          <w:rFonts w:ascii="Times New Roman" w:hAnsi="Times New Roman"/>
          <w:noProof/>
          <w:sz w:val="24"/>
          <w:lang w:eastAsia="en-AU"/>
        </w:rPr>
        <w:drawing>
          <wp:inline distT="0" distB="0" distL="0" distR="0" wp14:anchorId="1F7B7D9C" wp14:editId="5F8E86F6">
            <wp:extent cx="3192784" cy="2581275"/>
            <wp:effectExtent l="0" t="0" r="7620" b="0"/>
            <wp:docPr id="5" name="Picture 5" descr="Figure 2: Apixaban Plasma Concentration vs AXA in LMWH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3193599" cy="2581934"/>
                    </a:xfrm>
                    <a:prstGeom prst="rect">
                      <a:avLst/>
                    </a:prstGeom>
                    <a:noFill/>
                    <a:ln>
                      <a:noFill/>
                    </a:ln>
                  </pic:spPr>
                </pic:pic>
              </a:graphicData>
            </a:graphic>
          </wp:inline>
        </w:drawing>
      </w:r>
    </w:p>
    <w:p w:rsidR="00CF38ED" w:rsidRDefault="00CF38ED" w:rsidP="00CF38ED">
      <w:r w:rsidRPr="000F452D">
        <w:t>The logistic regression analysis of the PKPD relationship with MB/CRNMB or VTE/VTE-related death found no statistically significant relationsh</w:t>
      </w:r>
      <w:r w:rsidRPr="007137B3">
        <w:t xml:space="preserve">ip (Figure </w:t>
      </w:r>
      <w:r w:rsidR="007137B3" w:rsidRPr="007137B3">
        <w:t>3</w:t>
      </w:r>
      <w:r w:rsidRPr="007137B3">
        <w:t>).</w:t>
      </w:r>
      <w:r w:rsidR="000F452D" w:rsidRPr="007137B3">
        <w:t xml:space="preserve"> </w:t>
      </w:r>
      <w:r w:rsidRPr="007137B3">
        <w:t>However, the analysis was limited by the small numbers of events (MB/CRN</w:t>
      </w:r>
      <w:r w:rsidRPr="000F452D">
        <w:t>MB or VTE/VTE-related death).</w:t>
      </w:r>
    </w:p>
    <w:p w:rsidR="007137B3" w:rsidRDefault="007137B3" w:rsidP="0057597F">
      <w:pPr>
        <w:pStyle w:val="FigureTitle"/>
        <w:rPr>
          <w:rFonts w:eastAsia="Times New Roman"/>
          <w:kern w:val="16"/>
          <w:lang w:eastAsia="en-AU"/>
        </w:rPr>
      </w:pPr>
      <w:r>
        <w:t xml:space="preserve">Figure 3: </w:t>
      </w:r>
      <w:r>
        <w:rPr>
          <w:lang w:val="en-US"/>
        </w:rPr>
        <w:t>Fitted Logistic Regression Line for MB/CRNMB (top) and VTE and VTE-related Death (bottom)</w:t>
      </w:r>
    </w:p>
    <w:p w:rsidR="007137B3" w:rsidRDefault="007137B3" w:rsidP="007137B3">
      <w:pPr>
        <w:rPr>
          <w:rFonts w:ascii="Times New Roman" w:hAnsi="Times New Roman"/>
          <w:sz w:val="24"/>
        </w:rPr>
      </w:pPr>
      <w:r>
        <w:rPr>
          <w:rFonts w:ascii="Times New Roman" w:hAnsi="Times New Roman"/>
          <w:noProof/>
          <w:sz w:val="24"/>
          <w:lang w:eastAsia="en-AU"/>
        </w:rPr>
        <w:drawing>
          <wp:inline distT="0" distB="0" distL="0" distR="0" wp14:anchorId="79DC7B88" wp14:editId="1A7C0D64">
            <wp:extent cx="4164066" cy="4933950"/>
            <wp:effectExtent l="0" t="0" r="8255" b="0"/>
            <wp:docPr id="6" name="Picture 6" descr="Figure 3: Fitted Logistic Regression Line for MB/CRNMB (top) and VTE and VTE-related Deat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4165112" cy="4935190"/>
                    </a:xfrm>
                    <a:prstGeom prst="rect">
                      <a:avLst/>
                    </a:prstGeom>
                    <a:noFill/>
                    <a:ln>
                      <a:noFill/>
                    </a:ln>
                  </pic:spPr>
                </pic:pic>
              </a:graphicData>
            </a:graphic>
          </wp:inline>
        </w:drawing>
      </w:r>
    </w:p>
    <w:p w:rsidR="00CF38ED" w:rsidRPr="000F452D" w:rsidRDefault="00CF38ED" w:rsidP="000F452D">
      <w:pPr>
        <w:pStyle w:val="Heading4"/>
      </w:pPr>
      <w:bookmarkStart w:id="125" w:name="_Toc241374303"/>
      <w:bookmarkStart w:id="126" w:name="_Toc272414647"/>
      <w:bookmarkStart w:id="127" w:name="_Toc290846269"/>
      <w:bookmarkStart w:id="128" w:name="_Toc407734470"/>
      <w:r w:rsidRPr="000F452D">
        <w:lastRenderedPageBreak/>
        <w:t>Pharmacodynamic interactions</w:t>
      </w:r>
      <w:bookmarkEnd w:id="125"/>
      <w:bookmarkEnd w:id="126"/>
      <w:bookmarkEnd w:id="127"/>
      <w:bookmarkEnd w:id="128"/>
    </w:p>
    <w:p w:rsidR="00CF38ED" w:rsidRDefault="00CF38ED" w:rsidP="000F452D">
      <w:r w:rsidRPr="000F452D">
        <w:t>Study CV185073 demonstrated no significant PD interaction b</w:t>
      </w:r>
      <w:r w:rsidR="000F452D">
        <w:t xml:space="preserve">etween apixaban and prasugrel. </w:t>
      </w:r>
      <w:r w:rsidRPr="000F452D">
        <w:t>Apixaban did not have any independent effect on platelet aggreg</w:t>
      </w:r>
      <w:r w:rsidRPr="00584854">
        <w:t xml:space="preserve">ation (Figure </w:t>
      </w:r>
      <w:r w:rsidR="007137B3" w:rsidRPr="00584854">
        <w:t>4</w:t>
      </w:r>
      <w:r w:rsidR="000F452D" w:rsidRPr="00584854">
        <w:t xml:space="preserve">). </w:t>
      </w:r>
      <w:r w:rsidRPr="00584854">
        <w:t>Prasugrel did not have any effect on the anti-Xa activity of apixaban (Figure 5).</w:t>
      </w:r>
      <w:r w:rsidR="000F452D" w:rsidRPr="00584854">
        <w:t xml:space="preserve"> </w:t>
      </w:r>
      <w:r w:rsidRPr="00584854">
        <w:t>There was no effect on International Normalised Ratio (INR) or Prothrombin Time (PT)</w:t>
      </w:r>
      <w:r w:rsidR="000F452D">
        <w:t xml:space="preserve">. </w:t>
      </w:r>
      <w:r w:rsidRPr="000F452D">
        <w:t>However, the resu</w:t>
      </w:r>
      <w:r w:rsidR="000F452D">
        <w:t>lts for aPTT were not reported.</w:t>
      </w:r>
    </w:p>
    <w:p w:rsidR="007137B3" w:rsidRDefault="007137B3" w:rsidP="0057597F">
      <w:pPr>
        <w:pStyle w:val="FigureTitle"/>
      </w:pPr>
      <w:r>
        <w:t xml:space="preserve">Figure 4: Day 4 Mean (+/- SD) Platelet Aggregation Values versus Time on a Linear Scale </w:t>
      </w:r>
    </w:p>
    <w:p w:rsidR="007137B3" w:rsidRDefault="007137B3" w:rsidP="007137B3">
      <w:pPr>
        <w:rPr>
          <w:rFonts w:ascii="Times New Roman" w:hAnsi="Times New Roman"/>
          <w:sz w:val="24"/>
        </w:rPr>
      </w:pPr>
      <w:r>
        <w:rPr>
          <w:rFonts w:ascii="Times New Roman" w:hAnsi="Times New Roman"/>
          <w:noProof/>
          <w:sz w:val="24"/>
          <w:lang w:eastAsia="en-AU"/>
        </w:rPr>
        <w:drawing>
          <wp:inline distT="0" distB="0" distL="0" distR="0" wp14:anchorId="241A67E8" wp14:editId="2410FA10">
            <wp:extent cx="4429125" cy="2245320"/>
            <wp:effectExtent l="0" t="0" r="0" b="3175"/>
            <wp:docPr id="8" name="Picture 8" descr="Figure 4: Day 4 Mean (+/- SD) Platelet Aggregation Values versus Time on a Linear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4429125" cy="2245320"/>
                    </a:xfrm>
                    <a:prstGeom prst="rect">
                      <a:avLst/>
                    </a:prstGeom>
                    <a:noFill/>
                    <a:ln>
                      <a:noFill/>
                    </a:ln>
                  </pic:spPr>
                </pic:pic>
              </a:graphicData>
            </a:graphic>
          </wp:inline>
        </w:drawing>
      </w:r>
    </w:p>
    <w:p w:rsidR="00584854" w:rsidRDefault="00584854" w:rsidP="0057597F">
      <w:pPr>
        <w:pStyle w:val="FigureTitle"/>
      </w:pPr>
      <w:r>
        <w:t>Figure 5: Day 4 Mean (+/- SD) Anti-FXa Activity versus Time on a Linear Scale</w:t>
      </w:r>
    </w:p>
    <w:p w:rsidR="00584854" w:rsidRDefault="00584854" w:rsidP="00584854">
      <w:pPr>
        <w:rPr>
          <w:rFonts w:ascii="Times New Roman" w:hAnsi="Times New Roman"/>
          <w:sz w:val="24"/>
        </w:rPr>
      </w:pPr>
      <w:r>
        <w:rPr>
          <w:rFonts w:ascii="Times New Roman" w:hAnsi="Times New Roman"/>
          <w:noProof/>
          <w:sz w:val="24"/>
          <w:lang w:eastAsia="en-AU"/>
        </w:rPr>
        <w:drawing>
          <wp:inline distT="0" distB="0" distL="0" distR="0" wp14:anchorId="3A55F5EE" wp14:editId="0EC87532">
            <wp:extent cx="4492220" cy="2324100"/>
            <wp:effectExtent l="0" t="0" r="3810" b="0"/>
            <wp:docPr id="9" name="Picture 9" descr="Figure 5: Day 4 Mean (+/- SD) Anti-FXa Activity versus Time on a 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4492220" cy="2324100"/>
                    </a:xfrm>
                    <a:prstGeom prst="rect">
                      <a:avLst/>
                    </a:prstGeom>
                    <a:noFill/>
                    <a:ln>
                      <a:noFill/>
                    </a:ln>
                  </pic:spPr>
                </pic:pic>
              </a:graphicData>
            </a:graphic>
          </wp:inline>
        </w:drawing>
      </w:r>
    </w:p>
    <w:p w:rsidR="00CF38ED" w:rsidRDefault="00CF38ED" w:rsidP="000F452D">
      <w:r w:rsidRPr="000F452D">
        <w:t>There was a decrease in ADP dependent platelet aggregation in the apixaban group at the 9 hour time poin</w:t>
      </w:r>
      <w:r w:rsidRPr="00871F86">
        <w:t>t (Figure 6)</w:t>
      </w:r>
      <w:r w:rsidR="000F452D" w:rsidRPr="00871F86">
        <w:t>.</w:t>
      </w:r>
      <w:r w:rsidR="000F452D">
        <w:t xml:space="preserve"> </w:t>
      </w:r>
      <w:r w:rsidRPr="000F452D">
        <w:t xml:space="preserve">This was not clinically or statistically significant and </w:t>
      </w:r>
      <w:r w:rsidR="00353304">
        <w:t>the sponsor</w:t>
      </w:r>
      <w:r w:rsidRPr="000F452D">
        <w:t xml:space="preserve"> did not have an explanation for the phenomenon.</w:t>
      </w:r>
    </w:p>
    <w:p w:rsidR="00584854" w:rsidRDefault="00584854" w:rsidP="0057597F">
      <w:pPr>
        <w:pStyle w:val="FigureTitle"/>
      </w:pPr>
      <w:r w:rsidRPr="00750002">
        <w:lastRenderedPageBreak/>
        <w:t>Figure 6</w:t>
      </w:r>
      <w:r>
        <w:t xml:space="preserve">: </w:t>
      </w:r>
      <w:r w:rsidRPr="00750002">
        <w:rPr>
          <w:lang w:val="en-NZ" w:eastAsia="en-NZ"/>
        </w:rPr>
        <w:t>Day 4 Mean (+/- SD) Platelet Aggregation Values versus Time on a Linear Scale</w:t>
      </w:r>
      <w:r w:rsidRPr="00750002">
        <w:t xml:space="preserve"> </w:t>
      </w:r>
      <w:r>
        <w:rPr>
          <w:noProof/>
          <w:lang w:eastAsia="en-AU"/>
        </w:rPr>
        <w:drawing>
          <wp:inline distT="0" distB="0" distL="0" distR="0" wp14:anchorId="3B44A873" wp14:editId="53FF20D6">
            <wp:extent cx="4872312" cy="2447925"/>
            <wp:effectExtent l="0" t="0" r="5080" b="0"/>
            <wp:docPr id="11" name="Picture 11" descr="Figure 6: Day 4 Mean (+/- SD) Platelet Aggregation Values versus Time on a Linear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4872312" cy="2447925"/>
                    </a:xfrm>
                    <a:prstGeom prst="rect">
                      <a:avLst/>
                    </a:prstGeom>
                    <a:noFill/>
                    <a:ln>
                      <a:noFill/>
                    </a:ln>
                  </pic:spPr>
                </pic:pic>
              </a:graphicData>
            </a:graphic>
          </wp:inline>
        </w:drawing>
      </w:r>
    </w:p>
    <w:p w:rsidR="00CB7C9E" w:rsidRPr="00CB7C9E" w:rsidRDefault="00CB7C9E" w:rsidP="00CB7C9E">
      <w:pPr>
        <w:pStyle w:val="FigureDescription"/>
      </w:pPr>
      <w:r w:rsidRPr="00CB7C9E">
        <w:t>PK=Pharmacokinetics, TRT=Treatment, SD=Standard deviation</w:t>
      </w:r>
    </w:p>
    <w:p w:rsidR="00CF38ED" w:rsidRPr="000F452D" w:rsidRDefault="00CF38ED" w:rsidP="000F452D">
      <w:pPr>
        <w:pStyle w:val="Heading3"/>
      </w:pPr>
      <w:bookmarkStart w:id="129" w:name="_Ref269983272"/>
      <w:bookmarkStart w:id="130" w:name="_Toc272414648"/>
      <w:bookmarkStart w:id="131" w:name="_Toc290846270"/>
      <w:bookmarkStart w:id="132" w:name="_Toc407734471"/>
      <w:bookmarkStart w:id="133" w:name="_Toc436383335"/>
      <w:r w:rsidRPr="000F452D">
        <w:t>Evaluator’s overall conclusions on pharmacodynamics</w:t>
      </w:r>
      <w:bookmarkEnd w:id="129"/>
      <w:bookmarkEnd w:id="130"/>
      <w:bookmarkEnd w:id="131"/>
      <w:bookmarkEnd w:id="132"/>
      <w:bookmarkEnd w:id="133"/>
    </w:p>
    <w:p w:rsidR="00CF38ED" w:rsidRPr="000F452D" w:rsidRDefault="00BC0EF1" w:rsidP="000F452D">
      <w:r>
        <w:t>The sponsor</w:t>
      </w:r>
      <w:r w:rsidR="00CF38ED" w:rsidRPr="000F452D">
        <w:t xml:space="preserve"> has developed a valid model to explain the plasma concentration response relationship for </w:t>
      </w:r>
      <w:r w:rsidR="00CF38ED" w:rsidRPr="00CB7C9E">
        <w:t>AXA in the dose range proposed for the treatment of VTE an</w:t>
      </w:r>
      <w:r w:rsidR="000F452D" w:rsidRPr="00CB7C9E">
        <w:t xml:space="preserve">d prevention of recurrent VTE. </w:t>
      </w:r>
      <w:r w:rsidR="00CF38ED" w:rsidRPr="00CB7C9E">
        <w:t>This model has been used to generate the data presented in Table 1 of the</w:t>
      </w:r>
      <w:r w:rsidR="00710936" w:rsidRPr="00CB7C9E">
        <w:t xml:space="preserve"> Product Information document. </w:t>
      </w:r>
      <w:r w:rsidR="00CF38ED" w:rsidRPr="00CB7C9E">
        <w:t>The data generated in Table 1 are a product of both the model an</w:t>
      </w:r>
      <w:r w:rsidR="00710936" w:rsidRPr="00CB7C9E">
        <w:t xml:space="preserve">d the patient characteristics. </w:t>
      </w:r>
      <w:r w:rsidR="00CF38ED" w:rsidRPr="00CB7C9E">
        <w:t>Hence there would be expected to be some variability in the distributions of the parameters, especially since they are presented at</w:t>
      </w:r>
      <w:r w:rsidR="00710936" w:rsidRPr="00CB7C9E">
        <w:t xml:space="preserve"> median, 5th and 95th centiles.</w:t>
      </w:r>
      <w:r w:rsidR="00CF38ED" w:rsidRPr="00CB7C9E">
        <w:t xml:space="preserve"> However, there was less variability in the pha</w:t>
      </w:r>
      <w:r w:rsidR="00710936" w:rsidRPr="00CB7C9E">
        <w:t>rmacodynamic outcome variables.</w:t>
      </w:r>
      <w:r w:rsidR="00CF38ED" w:rsidRPr="00CB7C9E">
        <w:t xml:space="preserve"> In the opinion of the </w:t>
      </w:r>
      <w:r w:rsidR="00CB7C9E" w:rsidRPr="00CB7C9E">
        <w:t>e</w:t>
      </w:r>
      <w:r w:rsidR="00CF38ED" w:rsidRPr="00CB7C9E">
        <w:t>valuator, the data as presented in Table 1 is preferable to a version that did not give an indicati</w:t>
      </w:r>
      <w:r w:rsidR="00CF38ED" w:rsidRPr="000F452D">
        <w:t>on of the variability.</w:t>
      </w:r>
    </w:p>
    <w:p w:rsidR="00CF38ED" w:rsidRPr="000F452D" w:rsidRDefault="00BC0EF1" w:rsidP="000F452D">
      <w:r>
        <w:t>The sponsor</w:t>
      </w:r>
      <w:r w:rsidR="00CF38ED" w:rsidRPr="000F452D">
        <w:t xml:space="preserve"> has also demonstrated no clinically relevant PD interaction with prasugrel at the dose ranges used in clinical practice.</w:t>
      </w:r>
    </w:p>
    <w:p w:rsidR="00586F98" w:rsidRDefault="00C22678" w:rsidP="00586F98">
      <w:pPr>
        <w:pStyle w:val="Heading2"/>
      </w:pPr>
      <w:bookmarkStart w:id="134" w:name="_Toc436383336"/>
      <w:r>
        <w:t>Dosage selection for the pivotal studies</w:t>
      </w:r>
      <w:bookmarkEnd w:id="134"/>
    </w:p>
    <w:p w:rsidR="003B1DE9" w:rsidRPr="003B1DE9" w:rsidRDefault="003B1DE9" w:rsidP="003B1DE9">
      <w:pPr>
        <w:pStyle w:val="Heading3"/>
      </w:pPr>
      <w:bookmarkStart w:id="135" w:name="_Toc407734473"/>
      <w:bookmarkStart w:id="136" w:name="_Toc436383337"/>
      <w:r w:rsidRPr="003B1DE9">
        <w:t>Treatment of deep vein thrombosis (DVT) and pulmonary embolism (PE)</w:t>
      </w:r>
      <w:bookmarkEnd w:id="135"/>
      <w:bookmarkEnd w:id="136"/>
    </w:p>
    <w:p w:rsidR="003B1DE9" w:rsidRPr="003B1DE9" w:rsidRDefault="003B1DE9" w:rsidP="003B1DE9">
      <w:pPr>
        <w:pStyle w:val="Heading4"/>
      </w:pPr>
      <w:bookmarkStart w:id="137" w:name="_Toc407734474"/>
      <w:r w:rsidRPr="003B1DE9">
        <w:t>Dose finding studies</w:t>
      </w:r>
      <w:bookmarkEnd w:id="137"/>
    </w:p>
    <w:p w:rsidR="003B1DE9" w:rsidRPr="003B1DE9" w:rsidRDefault="003B1DE9" w:rsidP="003B1DE9">
      <w:pPr>
        <w:pStyle w:val="Heading5"/>
      </w:pPr>
      <w:bookmarkStart w:id="138" w:name="_Toc407734475"/>
      <w:r w:rsidRPr="003B1DE9">
        <w:t>Study CV185017</w:t>
      </w:r>
      <w:bookmarkEnd w:id="138"/>
    </w:p>
    <w:p w:rsidR="003B1DE9" w:rsidRPr="003B1DE9" w:rsidRDefault="003B1DE9" w:rsidP="003B1DE9">
      <w:pPr>
        <w:pStyle w:val="Heading6"/>
      </w:pPr>
      <w:r w:rsidRPr="003B1DE9">
        <w:t>Study design, objectives, locations and dates</w:t>
      </w:r>
    </w:p>
    <w:p w:rsidR="003B1DE9" w:rsidRDefault="003B1DE9" w:rsidP="003B1DE9">
      <w:r w:rsidRPr="003B1DE9">
        <w:t>Study CV185017 was an open label, ra</w:t>
      </w:r>
      <w:r>
        <w:t>ndomised, parallel group Phase II</w:t>
      </w:r>
      <w:r w:rsidRPr="003B1DE9">
        <w:t>, study in subjects with acute proximal or extensive calf-vein thrombosis, comparing three dose levels of apixaban with conventional therapy (LMWH or fondip</w:t>
      </w:r>
      <w:r>
        <w:t xml:space="preserve">arinux and VKA). </w:t>
      </w:r>
      <w:r w:rsidRPr="003B1DE9">
        <w:t>The study was conducted at 64 centres in 11 countries from D</w:t>
      </w:r>
      <w:r>
        <w:t>ecember 2005 to February 2007.</w:t>
      </w:r>
    </w:p>
    <w:p w:rsidR="003B1DE9" w:rsidRPr="003B1DE9" w:rsidRDefault="003B1DE9" w:rsidP="003B1DE9">
      <w:pPr>
        <w:pStyle w:val="Heading6"/>
      </w:pPr>
      <w:r w:rsidRPr="003B1DE9">
        <w:t>Inclusion and exclusion criteria</w:t>
      </w:r>
    </w:p>
    <w:p w:rsidR="003B1DE9" w:rsidRPr="003B1DE9" w:rsidRDefault="003B1DE9" w:rsidP="003B1DE9">
      <w:r w:rsidRPr="003B1DE9">
        <w:t>The inclusion criteria included:</w:t>
      </w:r>
    </w:p>
    <w:p w:rsidR="003B1DE9" w:rsidRPr="003B1DE9" w:rsidRDefault="003B1DE9" w:rsidP="003B1DE9">
      <w:pPr>
        <w:pStyle w:val="ListBullet"/>
      </w:pPr>
      <w:r w:rsidRPr="003B1DE9">
        <w:t>Male or female aged 18 (or legal age of consent) to 90 years</w:t>
      </w:r>
    </w:p>
    <w:p w:rsidR="003B1DE9" w:rsidRPr="003B1DE9" w:rsidRDefault="003B1DE9" w:rsidP="003B1DE9">
      <w:pPr>
        <w:pStyle w:val="ListBullet"/>
      </w:pPr>
      <w:r w:rsidRPr="003B1DE9">
        <w:lastRenderedPageBreak/>
        <w:t>Confirmed acute symptomatic DVT, ie, proximal vein or extensive calf-vein thrombosis that involved at least the upper third part of the deep calf veins (trifurcation area) without concomitant symptomatic PE</w:t>
      </w:r>
    </w:p>
    <w:p w:rsidR="003B1DE9" w:rsidRPr="003B1DE9" w:rsidRDefault="003B1DE9" w:rsidP="003B1DE9">
      <w:pPr>
        <w:pStyle w:val="ListBullet"/>
      </w:pPr>
      <w:r w:rsidRPr="003B1DE9">
        <w:t>Women of childbearing potential must have agreed to use an adequate method of contraception during the study and for 1 week after the study and must have had a negative serum or urine pregnancy test at study entry</w:t>
      </w:r>
    </w:p>
    <w:p w:rsidR="003B1DE9" w:rsidRPr="003B1DE9" w:rsidRDefault="003B1DE9" w:rsidP="003B1DE9">
      <w:r w:rsidRPr="003B1DE9">
        <w:t>The exclusion criteria included:</w:t>
      </w:r>
    </w:p>
    <w:p w:rsidR="003B1DE9" w:rsidRPr="003B1DE9" w:rsidRDefault="003B1DE9" w:rsidP="003B1DE9">
      <w:pPr>
        <w:pStyle w:val="ListBullet"/>
      </w:pPr>
      <w:r w:rsidRPr="003B1DE9">
        <w:t>Pregnancy or breast-feeding</w:t>
      </w:r>
    </w:p>
    <w:p w:rsidR="003B1DE9" w:rsidRPr="003B1DE9" w:rsidRDefault="003B1DE9" w:rsidP="003B1DE9">
      <w:pPr>
        <w:pStyle w:val="ListBullet"/>
      </w:pPr>
      <w:r w:rsidRPr="003B1DE9">
        <w:t>Thrombectomy, insertion of a caval filter, or use of a fibrinolytic agent to treat the current episode of DVT</w:t>
      </w:r>
    </w:p>
    <w:p w:rsidR="003B1DE9" w:rsidRPr="003B1DE9" w:rsidRDefault="003B1DE9" w:rsidP="003B1DE9">
      <w:pPr>
        <w:pStyle w:val="ListBullet"/>
      </w:pPr>
      <w:r w:rsidRPr="003B1DE9">
        <w:t>More than 24 hours of pre-randomization treatment with therapeutic dosages of UFH, LMWH, or fondaparinux or more than a single starting dose of VKA before randomization</w:t>
      </w:r>
    </w:p>
    <w:p w:rsidR="003B1DE9" w:rsidRPr="003B1DE9" w:rsidRDefault="003B1DE9" w:rsidP="003B1DE9">
      <w:pPr>
        <w:pStyle w:val="ListBullet"/>
      </w:pPr>
      <w:r w:rsidRPr="003B1DE9">
        <w:t>Active bleeding or high risk for bleeding, contraindicating treatment with LMWH, fondaparinux, or VKA</w:t>
      </w:r>
    </w:p>
    <w:p w:rsidR="003B1DE9" w:rsidRPr="003B1DE9" w:rsidRDefault="003B1DE9" w:rsidP="003B1DE9">
      <w:pPr>
        <w:pStyle w:val="ListBullet"/>
      </w:pPr>
      <w:r w:rsidRPr="003B1DE9">
        <w:t>Any other contraindication listed in the labeling of warfarin, acenocoumarol, phenprocoumon, enoxaparin, tinzaparin, or fondaparinux</w:t>
      </w:r>
    </w:p>
    <w:p w:rsidR="003B1DE9" w:rsidRPr="003B1DE9" w:rsidRDefault="003B1DE9" w:rsidP="003B1DE9">
      <w:pPr>
        <w:pStyle w:val="ListBullet"/>
      </w:pPr>
      <w:r w:rsidRPr="003B1DE9">
        <w:t>Life expectancy &lt;</w:t>
      </w:r>
      <w:r>
        <w:t xml:space="preserve"> </w:t>
      </w:r>
      <w:r w:rsidRPr="003B1DE9">
        <w:t>6 months</w:t>
      </w:r>
    </w:p>
    <w:p w:rsidR="003B1DE9" w:rsidRPr="003B1DE9" w:rsidRDefault="003B1DE9" w:rsidP="003B1DE9">
      <w:pPr>
        <w:pStyle w:val="ListBullet"/>
      </w:pPr>
      <w:r w:rsidRPr="003B1DE9">
        <w:t>Bacterial endocarditis</w:t>
      </w:r>
    </w:p>
    <w:p w:rsidR="003B1DE9" w:rsidRPr="003B1DE9" w:rsidRDefault="003B1DE9" w:rsidP="003B1DE9">
      <w:pPr>
        <w:pStyle w:val="ListBullet"/>
      </w:pPr>
      <w:r w:rsidRPr="003B1DE9">
        <w:t>Uncontrolled hypertension (systolic blood pressure &gt; 200 mm Hg or diastolic blood pressure &gt; 110 mm Hg)</w:t>
      </w:r>
    </w:p>
    <w:p w:rsidR="003B1DE9" w:rsidRPr="003B1DE9" w:rsidRDefault="003B1DE9" w:rsidP="003B1DE9">
      <w:pPr>
        <w:pStyle w:val="ListBullet"/>
      </w:pPr>
      <w:r w:rsidRPr="003B1DE9">
        <w:t>Creatinine clearance &lt;</w:t>
      </w:r>
      <w:r>
        <w:t xml:space="preserve"> </w:t>
      </w:r>
      <w:r w:rsidRPr="003B1DE9">
        <w:t>30 mL/min</w:t>
      </w:r>
    </w:p>
    <w:p w:rsidR="003B1DE9" w:rsidRPr="003B1DE9" w:rsidRDefault="003B1DE9" w:rsidP="003B1DE9">
      <w:pPr>
        <w:pStyle w:val="ListBullet"/>
      </w:pPr>
      <w:r w:rsidRPr="003B1DE9">
        <w:t>Impaired liver function (ALT &gt;</w:t>
      </w:r>
      <w:r>
        <w:t xml:space="preserve"> </w:t>
      </w:r>
      <w:r w:rsidRPr="003B1DE9">
        <w:t>3 xULN).</w:t>
      </w:r>
    </w:p>
    <w:p w:rsidR="003B1DE9" w:rsidRPr="003B1DE9" w:rsidRDefault="003B1DE9" w:rsidP="003B1DE9">
      <w:pPr>
        <w:pStyle w:val="ListBullet"/>
      </w:pPr>
      <w:r w:rsidRPr="003B1DE9">
        <w:t>Use of VKA for indications other than DVT</w:t>
      </w:r>
    </w:p>
    <w:p w:rsidR="003B1DE9" w:rsidRPr="003B1DE9" w:rsidRDefault="003B1DE9" w:rsidP="003B1DE9">
      <w:pPr>
        <w:pStyle w:val="ListBullet"/>
      </w:pPr>
      <w:r w:rsidRPr="003B1DE9">
        <w:t>Use of ASA &gt;</w:t>
      </w:r>
      <w:r>
        <w:t xml:space="preserve"> </w:t>
      </w:r>
      <w:r w:rsidRPr="003B1DE9">
        <w:t>165 mg/day</w:t>
      </w:r>
    </w:p>
    <w:p w:rsidR="003B1DE9" w:rsidRPr="003B1DE9" w:rsidRDefault="003B1DE9" w:rsidP="003B1DE9">
      <w:pPr>
        <w:pStyle w:val="ListBullet"/>
      </w:pPr>
      <w:r w:rsidRPr="003B1DE9">
        <w:t>Legal lower age limitations (country specific)</w:t>
      </w:r>
    </w:p>
    <w:p w:rsidR="003B1DE9" w:rsidRPr="003B1DE9" w:rsidRDefault="003B1DE9" w:rsidP="003B1DE9">
      <w:pPr>
        <w:pStyle w:val="ListBullet"/>
      </w:pPr>
      <w:r w:rsidRPr="003B1DE9">
        <w:t>Use of azole antifungals (</w:t>
      </w:r>
      <w:r w:rsidR="00CB7C9E">
        <w:t>for example,</w:t>
      </w:r>
      <w:r w:rsidRPr="003B1DE9">
        <w:t xml:space="preserve"> ketoconazole), human immunodeficiency virus (HIV) protease inhibitors (</w:t>
      </w:r>
      <w:r w:rsidR="00CB7C9E">
        <w:t>for example,</w:t>
      </w:r>
      <w:r w:rsidRPr="003B1DE9">
        <w:t xml:space="preserve"> ritonavir), or macrolide antibiotics (eg, erythromycin) - use of topical azole antifungal agents was permitted</w:t>
      </w:r>
    </w:p>
    <w:p w:rsidR="003B1DE9" w:rsidRPr="003B1DE9" w:rsidRDefault="003B1DE9" w:rsidP="003B1DE9">
      <w:pPr>
        <w:pStyle w:val="Heading6"/>
      </w:pPr>
      <w:r w:rsidRPr="003B1DE9">
        <w:t>Study treatments</w:t>
      </w:r>
    </w:p>
    <w:p w:rsidR="003B1DE9" w:rsidRPr="003B1DE9" w:rsidRDefault="003B1DE9" w:rsidP="003B1DE9">
      <w:r w:rsidRPr="003B1DE9">
        <w:t>The study treatments were:</w:t>
      </w:r>
    </w:p>
    <w:p w:rsidR="003B1DE9" w:rsidRPr="003B1DE9" w:rsidRDefault="003B1DE9" w:rsidP="003B1DE9">
      <w:pPr>
        <w:pStyle w:val="Numberbullet0"/>
      </w:pPr>
      <w:r w:rsidRPr="003B1DE9">
        <w:t>Apixaban 5 mg, twice daily</w:t>
      </w:r>
    </w:p>
    <w:p w:rsidR="003B1DE9" w:rsidRPr="003B1DE9" w:rsidRDefault="003B1DE9" w:rsidP="003B1DE9">
      <w:pPr>
        <w:pStyle w:val="Numberbullet0"/>
      </w:pPr>
      <w:r w:rsidRPr="003B1DE9">
        <w:t>Apixaban 10 mg, twice daily</w:t>
      </w:r>
    </w:p>
    <w:p w:rsidR="003B1DE9" w:rsidRPr="003B1DE9" w:rsidRDefault="003B1DE9" w:rsidP="003B1DE9">
      <w:pPr>
        <w:pStyle w:val="Numberbullet0"/>
      </w:pPr>
      <w:r w:rsidRPr="003B1DE9">
        <w:t>Apixaban 20 mg, once daily</w:t>
      </w:r>
    </w:p>
    <w:p w:rsidR="003B1DE9" w:rsidRPr="003B1DE9" w:rsidRDefault="003B1DE9" w:rsidP="003B1DE9">
      <w:pPr>
        <w:pStyle w:val="Numberbullet0"/>
      </w:pPr>
      <w:r w:rsidRPr="003B1DE9">
        <w:t>Open label conventional therapy: Initially LMWH or fondaparinux followed by VKA (warfarin, phenprocoumon or acencoumarol)</w:t>
      </w:r>
    </w:p>
    <w:p w:rsidR="003B1DE9" w:rsidRPr="003B1DE9" w:rsidRDefault="003B1DE9" w:rsidP="003B1DE9">
      <w:r w:rsidRPr="003B1DE9">
        <w:t>Subjects treated with</w:t>
      </w:r>
      <w:r>
        <w:t xml:space="preserve"> apixaban were blinded to dose.</w:t>
      </w:r>
      <w:r w:rsidRPr="003B1DE9">
        <w:t xml:space="preserve"> Ap</w:t>
      </w:r>
      <w:r>
        <w:t>ixaban was administered orally.</w:t>
      </w:r>
      <w:r w:rsidRPr="003B1DE9">
        <w:t xml:space="preserve"> There was a 12 week treatment phase, and a 30 day follow-up phase</w:t>
      </w:r>
      <w:r w:rsidR="00CB7C9E">
        <w:t>.</w:t>
      </w:r>
    </w:p>
    <w:p w:rsidR="003B1DE9" w:rsidRPr="003B1DE9" w:rsidRDefault="003B1DE9" w:rsidP="003B1DE9">
      <w:r w:rsidRPr="003B1DE9">
        <w:t>Pre-randomization treatment with therapeutic doses of UFH, LMWH, or fondaparinux was allowed for up to a maximum of</w:t>
      </w:r>
      <w:r>
        <w:t xml:space="preserve"> 24 hours. </w:t>
      </w:r>
      <w:r w:rsidRPr="003B1DE9">
        <w:t>In addition, a single, pre-randomization starting</w:t>
      </w:r>
      <w:r>
        <w:t xml:space="preserve"> dose of VKA was also allowed.</w:t>
      </w:r>
    </w:p>
    <w:p w:rsidR="003B1DE9" w:rsidRPr="003B1DE9" w:rsidRDefault="003B1DE9" w:rsidP="003B1DE9">
      <w:r w:rsidRPr="003B1DE9">
        <w:t>For subjects in the open-label comparator group the allowable LMWH regimens were:</w:t>
      </w:r>
    </w:p>
    <w:p w:rsidR="003B1DE9" w:rsidRPr="00CB7C9E" w:rsidRDefault="003B1DE9" w:rsidP="00CB7C9E">
      <w:pPr>
        <w:pStyle w:val="ListBullet"/>
      </w:pPr>
      <w:r w:rsidRPr="00CB7C9E">
        <w:lastRenderedPageBreak/>
        <w:t>Tinzaparin 175 IU/kg once daily, subcutaneously</w:t>
      </w:r>
    </w:p>
    <w:p w:rsidR="003B1DE9" w:rsidRPr="00CB7C9E" w:rsidRDefault="003B1DE9" w:rsidP="00CB7C9E">
      <w:pPr>
        <w:pStyle w:val="ListBullet"/>
      </w:pPr>
      <w:r w:rsidRPr="00CB7C9E">
        <w:t>Enoxaparin 1.5 mg/kg once daily, subcutaneously</w:t>
      </w:r>
    </w:p>
    <w:p w:rsidR="003B1DE9" w:rsidRPr="00CB7C9E" w:rsidRDefault="003B1DE9" w:rsidP="00CB7C9E">
      <w:pPr>
        <w:pStyle w:val="ListBullet"/>
      </w:pPr>
      <w:r w:rsidRPr="00CB7C9E">
        <w:t>Enoxaparin 1.0 mg/kg twice daily, subcutaneously</w:t>
      </w:r>
    </w:p>
    <w:p w:rsidR="003B1DE9" w:rsidRPr="003B1DE9" w:rsidRDefault="003B1DE9" w:rsidP="003B1DE9">
      <w:r w:rsidRPr="003B1DE9">
        <w:t>If fondaparinux were selected instead of LMWH, it was to be administered subcutaneously at a dose 7.5 mg once daily (or 5.0 mg if body weight was &lt; 50 kg or 10.0 mg if body weight was &gt; 100 kg).</w:t>
      </w:r>
    </w:p>
    <w:p w:rsidR="003B1DE9" w:rsidRPr="003B1DE9" w:rsidRDefault="003B1DE9" w:rsidP="003B1DE9">
      <w:r w:rsidRPr="003B1DE9">
        <w:t>For subjects in the open-label comparator group warfarin, acenocoumarol, and phenprocoum</w:t>
      </w:r>
      <w:r>
        <w:t xml:space="preserve">on were the only allowed VKAs. </w:t>
      </w:r>
      <w:r w:rsidRPr="003B1DE9">
        <w:t>The VKA was administe</w:t>
      </w:r>
      <w:r>
        <w:t xml:space="preserve">red once daily in the evening. </w:t>
      </w:r>
      <w:r w:rsidRPr="003B1DE9">
        <w:t xml:space="preserve">Treatment with the VKA was to be started as soon as possible, but not later than </w:t>
      </w:r>
      <w:r>
        <w:t xml:space="preserve">48 hours, after randomization. </w:t>
      </w:r>
      <w:r w:rsidRPr="003B1DE9">
        <w:t>The VKA dosages were to be adjusted to maintain the INR within the therapeutic range (t</w:t>
      </w:r>
      <w:r>
        <w:t xml:space="preserve">arget, 2.5; range, 2.0 - 3.0). </w:t>
      </w:r>
      <w:r w:rsidRPr="003B1DE9">
        <w:t xml:space="preserve">The INR was initially to be measured every 2 to 3 days and, when </w:t>
      </w:r>
      <w:r>
        <w:t xml:space="preserve">stable, at least once monthly. </w:t>
      </w:r>
      <w:r w:rsidRPr="003B1DE9">
        <w:t>Treatment with VKA was continued for 12 weeks.</w:t>
      </w:r>
    </w:p>
    <w:p w:rsidR="003B1DE9" w:rsidRPr="003B1DE9" w:rsidRDefault="003B1DE9" w:rsidP="003B1DE9">
      <w:r w:rsidRPr="003B1DE9">
        <w:t>Use of ASA in doses &gt;</w:t>
      </w:r>
      <w:r>
        <w:t xml:space="preserve"> 165 mg/day was prohibited. </w:t>
      </w:r>
      <w:r w:rsidRPr="003B1DE9">
        <w:t>The combination of any dose of ASA plus clopi</w:t>
      </w:r>
      <w:r>
        <w:t xml:space="preserve">dogrel (75 mg) was prohibited. </w:t>
      </w:r>
      <w:r w:rsidRPr="003B1DE9">
        <w:t>Use of azole antifungals (</w:t>
      </w:r>
      <w:r w:rsidR="00CB7C9E">
        <w:t>for example</w:t>
      </w:r>
      <w:r w:rsidRPr="003B1DE9">
        <w:t>, ketoconazole), HIV protease inhibitors (</w:t>
      </w:r>
      <w:r w:rsidR="00BA2B32">
        <w:t>for example,</w:t>
      </w:r>
      <w:r w:rsidRPr="003B1DE9">
        <w:t xml:space="preserve"> ritonavir), or macrolide antibiotics (</w:t>
      </w:r>
      <w:r w:rsidR="00CB7C9E">
        <w:t>for example</w:t>
      </w:r>
      <w:r w:rsidR="00CB7C9E" w:rsidRPr="003B1DE9">
        <w:t>,</w:t>
      </w:r>
      <w:r w:rsidRPr="003B1DE9">
        <w:t xml:space="preserve"> erythromycin) was not allowed, and it was recommended that use of these potent CYP 3A4 inhibitors be discontinued for 2 weeks before study participation.</w:t>
      </w:r>
    </w:p>
    <w:p w:rsidR="003B1DE9" w:rsidRPr="003B1DE9" w:rsidRDefault="003B1DE9" w:rsidP="003B1DE9">
      <w:pPr>
        <w:pStyle w:val="Heading6"/>
      </w:pPr>
      <w:r w:rsidRPr="003B1DE9">
        <w:t>Efficacy variables and outcomes</w:t>
      </w:r>
    </w:p>
    <w:p w:rsidR="003B1DE9" w:rsidRPr="003B1DE9" w:rsidRDefault="003B1DE9" w:rsidP="003B1DE9">
      <w:r w:rsidRPr="003B1DE9">
        <w:t>The primary efficacy outcome measure was the composite of adjudicated symptomatic VTE (</w:t>
      </w:r>
      <w:r w:rsidR="00BA2B32">
        <w:t>that is,</w:t>
      </w:r>
      <w:r w:rsidRPr="003B1DE9">
        <w:t xml:space="preserve"> recurrent DVT or fatal or non-fatal PE) and deterioration (increase) of the thrombotic burden as assessed by repeat bilateral compression ultrasound (CUS) and perfusion lung scan (PLS) and adjudicated by </w:t>
      </w:r>
      <w:r>
        <w:t xml:space="preserve">the CIAC. </w:t>
      </w:r>
      <w:r w:rsidRPr="003B1DE9">
        <w:t>The Week 12 results were classified as improvement, no relevant change, or deterioration.</w:t>
      </w:r>
    </w:p>
    <w:p w:rsidR="003B1DE9" w:rsidRPr="003B1DE9" w:rsidRDefault="003B1DE9" w:rsidP="003B1DE9">
      <w:r w:rsidRPr="003B1DE9">
        <w:t>The secondary efficacy outcome measures were:</w:t>
      </w:r>
    </w:p>
    <w:p w:rsidR="003B1DE9" w:rsidRPr="003B1DE9" w:rsidRDefault="003B1DE9" w:rsidP="003B1DE9">
      <w:pPr>
        <w:pStyle w:val="ListBullet"/>
      </w:pPr>
      <w:r w:rsidRPr="003B1DE9">
        <w:t>Deterioration, improvement, and no relevant change on proximal thrombus based on CUS in subjects who presented with symptomatic DVT</w:t>
      </w:r>
      <w:r>
        <w:t>.</w:t>
      </w:r>
      <w:r w:rsidRPr="003B1DE9">
        <w:t xml:space="preserve"> For there to be deterioration there was an increase in diameter of 4 mm or more; for improvement the thrombus disappeared (full compressibility or compressed diameter was reduced to 2 mm or less) or the diameter decreased by more than 50% at the week 12 assessment; and no relevant change included other changes that could not be scored as improvement or deterioration.</w:t>
      </w:r>
    </w:p>
    <w:p w:rsidR="003B1DE9" w:rsidRPr="003B1DE9" w:rsidRDefault="003B1DE9" w:rsidP="003B1DE9">
      <w:pPr>
        <w:pStyle w:val="ListBullet"/>
      </w:pPr>
      <w:r w:rsidRPr="003B1DE9">
        <w:t>Deterioration, improvement, and no relevant change on composite lung thrombus score based on PLS in subjects presenting with symptomatic DVT</w:t>
      </w:r>
      <w:r>
        <w:t xml:space="preserve">. </w:t>
      </w:r>
      <w:r w:rsidRPr="003B1DE9">
        <w:t>Deterioration was defined as when the lobe score was decreased with a value exceeding 0.25 for any individual lobe or for the overall score,</w:t>
      </w:r>
      <w:r w:rsidR="00BA2B32">
        <w:t xml:space="preserve"> that is,</w:t>
      </w:r>
      <w:r w:rsidRPr="003B1DE9">
        <w:t xml:space="preserve"> the weighted sum over t</w:t>
      </w:r>
      <w:r>
        <w:t xml:space="preserve">he six lobes. </w:t>
      </w:r>
      <w:r w:rsidRPr="003B1DE9">
        <w:t>Improvement was when all lobes had a lobe score of 1 or the perfusion defect decreased by more than 50% compared to the baseline s</w:t>
      </w:r>
      <w:r>
        <w:t xml:space="preserve">can at the week 12 assessment. </w:t>
      </w:r>
      <w:r w:rsidRPr="003B1DE9">
        <w:t>No relevant change was when other changes that could not be scored as improvement or deterioration</w:t>
      </w:r>
      <w:r w:rsidR="00F24AA0">
        <w:t>.</w:t>
      </w:r>
    </w:p>
    <w:p w:rsidR="003B1DE9" w:rsidRPr="003B1DE9" w:rsidRDefault="003B1DE9" w:rsidP="003B1DE9">
      <w:pPr>
        <w:pStyle w:val="ListBullet"/>
      </w:pPr>
      <w:r w:rsidRPr="003B1DE9">
        <w:t>Incidence of symptomatic recurrent VTEs (</w:t>
      </w:r>
      <w:r w:rsidR="00BA2B32">
        <w:t>that is,</w:t>
      </w:r>
      <w:r w:rsidRPr="003B1DE9">
        <w:t xml:space="preserve"> recurrent DVT or fatal or non-fatal PE)</w:t>
      </w:r>
    </w:p>
    <w:p w:rsidR="003B1DE9" w:rsidRPr="003B1DE9" w:rsidRDefault="003B1DE9" w:rsidP="003B1DE9">
      <w:r w:rsidRPr="003B1DE9">
        <w:t>The primary safety outcome measure was the composite of major and clinicall</w:t>
      </w:r>
      <w:r>
        <w:t xml:space="preserve">y relevant non-major bleeding. </w:t>
      </w:r>
      <w:r w:rsidRPr="003B1DE9">
        <w:t>Major bleeding was defined as an overt bleeding with one or more of:</w:t>
      </w:r>
    </w:p>
    <w:p w:rsidR="003B1DE9" w:rsidRPr="003B1DE9" w:rsidRDefault="003B1DE9" w:rsidP="003B1DE9">
      <w:pPr>
        <w:pStyle w:val="ListBullet"/>
      </w:pPr>
      <w:r w:rsidRPr="003B1DE9">
        <w:t>Associated with a fall in Hb of 2 g/dL or more, or</w:t>
      </w:r>
    </w:p>
    <w:p w:rsidR="003B1DE9" w:rsidRPr="003B1DE9" w:rsidRDefault="003B1DE9" w:rsidP="003B1DE9">
      <w:pPr>
        <w:pStyle w:val="ListBullet"/>
      </w:pPr>
      <w:r w:rsidRPr="003B1DE9">
        <w:t>Leading to transfusion of two or more units of packed red blood cells or whole blood</w:t>
      </w:r>
    </w:p>
    <w:p w:rsidR="003B1DE9" w:rsidRPr="003B1DE9" w:rsidRDefault="003B1DE9" w:rsidP="003B1DE9">
      <w:pPr>
        <w:pStyle w:val="ListBullet"/>
      </w:pPr>
      <w:r w:rsidRPr="003B1DE9">
        <w:t>Bleeding that occurred in a critical site (intracranial, intra-spinal, intraocular, pericardial, intra-articular, intramuscular with compartment syndrome, retroperitoneal)</w:t>
      </w:r>
    </w:p>
    <w:p w:rsidR="003B1DE9" w:rsidRPr="003B1DE9" w:rsidRDefault="003B1DE9" w:rsidP="003B1DE9">
      <w:pPr>
        <w:pStyle w:val="ListBullet"/>
      </w:pPr>
      <w:r w:rsidRPr="003B1DE9">
        <w:t>Contributing to death.</w:t>
      </w:r>
    </w:p>
    <w:p w:rsidR="003B1DE9" w:rsidRPr="00EC0EB7" w:rsidRDefault="003B1DE9" w:rsidP="00EC0EB7">
      <w:r w:rsidRPr="00EC0EB7">
        <w:lastRenderedPageBreak/>
        <w:t>Other safety variables were: AEs, clinical laboratory evaluations and vital signs.</w:t>
      </w:r>
    </w:p>
    <w:p w:rsidR="003B1DE9" w:rsidRPr="00EC0EB7" w:rsidRDefault="00BA2B32" w:rsidP="00EC0EB7">
      <w:r>
        <w:t>The schedule of study visits wa</w:t>
      </w:r>
      <w:r w:rsidR="003B1DE9" w:rsidRPr="00EC0EB7">
        <w:t>s summarized</w:t>
      </w:r>
      <w:r>
        <w:t>.</w:t>
      </w:r>
      <w:r w:rsidR="00EC0EB7">
        <w:t xml:space="preserve"> </w:t>
      </w:r>
      <w:r w:rsidR="003B1DE9" w:rsidRPr="00EC0EB7">
        <w:t>Baseline bilateral CUS of the legs and a PLS were obtained within 36 hours after randomization.</w:t>
      </w:r>
    </w:p>
    <w:p w:rsidR="003B1DE9" w:rsidRPr="00EC0EB7" w:rsidRDefault="003B1DE9" w:rsidP="00EC0EB7">
      <w:pPr>
        <w:pStyle w:val="Heading6"/>
      </w:pPr>
      <w:r w:rsidRPr="00EC0EB7">
        <w:t>Randomisation and blinding methods</w:t>
      </w:r>
    </w:p>
    <w:p w:rsidR="003B1DE9" w:rsidRPr="00EC0EB7" w:rsidRDefault="003B1DE9" w:rsidP="003B1DE9">
      <w:r w:rsidRPr="00EC0EB7">
        <w:t xml:space="preserve">Subjects were randomized to study group </w:t>
      </w:r>
      <w:r w:rsidR="00EC0EB7">
        <w:t xml:space="preserve">using IVRS in a 1:1:1:1 ratio. </w:t>
      </w:r>
      <w:r w:rsidRPr="00EC0EB7">
        <w:t>Blinding to dose level was maintained in the apixaban groups by using double dummies.</w:t>
      </w:r>
    </w:p>
    <w:p w:rsidR="003B1DE9" w:rsidRPr="00EC0EB7" w:rsidRDefault="003B1DE9" w:rsidP="00EC0EB7">
      <w:pPr>
        <w:pStyle w:val="Heading6"/>
      </w:pPr>
      <w:r w:rsidRPr="00EC0EB7">
        <w:t>Analysis populations</w:t>
      </w:r>
    </w:p>
    <w:p w:rsidR="003B1DE9" w:rsidRPr="00EC0EB7" w:rsidDel="0081373E" w:rsidRDefault="003B1DE9" w:rsidP="00EC0EB7">
      <w:r w:rsidRPr="00EC0EB7">
        <w:t>The primary efficacy data set included all subjects in the randomized data set who had measurements of CUS and PLS at both baseline and Week 12.</w:t>
      </w:r>
    </w:p>
    <w:p w:rsidR="003B1DE9" w:rsidRPr="00EC0EB7" w:rsidDel="0081373E" w:rsidRDefault="003B1DE9" w:rsidP="00EC0EB7">
      <w:pPr>
        <w:pStyle w:val="Heading6"/>
      </w:pPr>
      <w:r w:rsidRPr="00EC0EB7" w:rsidDel="0081373E">
        <w:t>Sample size</w:t>
      </w:r>
    </w:p>
    <w:p w:rsidR="003B1DE9" w:rsidRPr="00EC0EB7" w:rsidRDefault="003B1DE9" w:rsidP="00EC0EB7">
      <w:r w:rsidRPr="00EC0EB7">
        <w:t xml:space="preserve">The sample size was not based on demonstrating either superiority or non-inferiority but was intended to be sufficient to indicate the most appropriate dosing strategy to take forward into Phase </w:t>
      </w:r>
      <w:r w:rsidR="00EC0EB7">
        <w:t>III</w:t>
      </w:r>
      <w:r w:rsidRPr="00EC0EB7">
        <w:t>. With 130 subjects randomized to each group, the half-width of the 95% confidence intervals (CI) for the differences between treatment groups in the proportion of subjects with the composite endpoint during the Treatment Period would be approximately 10%, assuming the rate of the composite endpoint was approximately 5% f</w:t>
      </w:r>
      <w:r w:rsidR="00EC0EB7">
        <w:t>or all of the treatment groups.</w:t>
      </w:r>
    </w:p>
    <w:p w:rsidR="003B1DE9" w:rsidRPr="00EC0EB7" w:rsidRDefault="003B1DE9" w:rsidP="00EC0EB7">
      <w:pPr>
        <w:pStyle w:val="Heading6"/>
      </w:pPr>
      <w:r w:rsidRPr="00EC0EB7">
        <w:t>Statistical methods</w:t>
      </w:r>
    </w:p>
    <w:p w:rsidR="003B1DE9" w:rsidRPr="00EC0EB7" w:rsidRDefault="003B1DE9" w:rsidP="00EC0EB7">
      <w:r w:rsidRPr="00EC0EB7">
        <w:t>Hypothesis tests were performed using 95% CI for the difference in proportions affected by the efficacy endpoints.</w:t>
      </w:r>
    </w:p>
    <w:p w:rsidR="003B1DE9" w:rsidRPr="00EC0EB7" w:rsidRDefault="003B1DE9" w:rsidP="00EC0EB7">
      <w:pPr>
        <w:pStyle w:val="Heading6"/>
      </w:pPr>
      <w:r w:rsidRPr="00EC0EB7">
        <w:t>Participant flow</w:t>
      </w:r>
    </w:p>
    <w:p w:rsidR="003B1DE9" w:rsidRPr="00EC0EB7" w:rsidRDefault="003B1DE9" w:rsidP="00EC0EB7">
      <w:r w:rsidRPr="00EC0EB7">
        <w:t>There were 520 subjects randomized to treatment: 130 to apixaban 5 mg</w:t>
      </w:r>
      <w:r w:rsidR="00DF7B56">
        <w:t xml:space="preserve"> BD</w:t>
      </w:r>
      <w:r w:rsidRPr="00EC0EB7">
        <w:t>, 134 to apixaban 10 mg</w:t>
      </w:r>
      <w:r w:rsidR="00DF7B56">
        <w:t xml:space="preserve"> BD</w:t>
      </w:r>
      <w:r w:rsidRPr="00EC0EB7">
        <w:t>, 128 to apixaban 20 mg QD group, and 128 to the LMWH/VKA group.</w:t>
      </w:r>
      <w:r w:rsidR="00EC0EB7">
        <w:t xml:space="preserve"> </w:t>
      </w:r>
      <w:r w:rsidRPr="00EC0EB7">
        <w:t>There were 17 (13.1%) discontinuations in the apixaban 5 mg group twice daily, 12 (9.0%) in the 10 mg twice daily, 21 (16.4%) in the 20 mg daily and 10 (7.8%) in the LMWH/VKA group.</w:t>
      </w:r>
      <w:r w:rsidR="00EC0EB7">
        <w:t xml:space="preserve"> </w:t>
      </w:r>
      <w:r w:rsidRPr="00EC0EB7">
        <w:t>The commonest cause for discontinuation was adverse event: 9 (6.9%) subjects in the apiaxaban 5 mg group, 5 (3.7%) in the 10 mg, 11 (8.6%) in the 20 mg and 4 (3.1%) in the LMWH/VKA.</w:t>
      </w:r>
    </w:p>
    <w:p w:rsidR="003B1DE9" w:rsidRPr="00EC0EB7" w:rsidRDefault="003B1DE9" w:rsidP="00EC0EB7">
      <w:pPr>
        <w:pStyle w:val="Heading6"/>
      </w:pPr>
      <w:r w:rsidRPr="00EC0EB7">
        <w:t>Baseline data</w:t>
      </w:r>
    </w:p>
    <w:p w:rsidR="003B1DE9" w:rsidRPr="00EC0EB7" w:rsidRDefault="003B1DE9" w:rsidP="00EC0EB7">
      <w:r w:rsidRPr="00EC0EB7">
        <w:t>There were 323 (62.1%) males, 197 (37.9%) females and th</w:t>
      </w:r>
      <w:r w:rsidR="00EC0EB7">
        <w:t>e age range was 18 to 89 years.</w:t>
      </w:r>
      <w:r w:rsidRPr="00EC0EB7">
        <w:t xml:space="preserve"> There were 195 (37.5%) subjects aged ≥</w:t>
      </w:r>
      <w:r w:rsidR="00EC0EB7">
        <w:t xml:space="preserve"> 65 years. </w:t>
      </w:r>
      <w:r w:rsidRPr="00EC0EB7">
        <w:t>The demographic characteristics of the study groups were similar</w:t>
      </w:r>
      <w:r w:rsidR="00BA2B32">
        <w:t>.</w:t>
      </w:r>
      <w:r w:rsidR="00EC0EB7">
        <w:t xml:space="preserve"> </w:t>
      </w:r>
      <w:r w:rsidRPr="00EC0EB7">
        <w:t>The DVT/PE characteristics of the treatment groups were also similar.</w:t>
      </w:r>
      <w:r w:rsidR="00EC0EB7">
        <w:t xml:space="preserve"> </w:t>
      </w:r>
      <w:r w:rsidRPr="00EC0EB7">
        <w:t>Overall there were 354 (68.1%) subjects with abnormal PLS at baseline indicating a high proportion of subjects</w:t>
      </w:r>
      <w:r w:rsidR="00EC0EB7">
        <w:t xml:space="preserve"> may have had asymptomatic PE. </w:t>
      </w:r>
      <w:r w:rsidRPr="00EC0EB7">
        <w:t>In the open-label group, 24 (19.0%) subjects received enoxaparin 1.5 mg/kg once daily, 72 (57.1%) received enoxaparin 1.0 mg/kg twice daily and 31 (24.6%) received tinzaparin 175 iu/kg.</w:t>
      </w:r>
    </w:p>
    <w:p w:rsidR="003B1DE9" w:rsidRPr="00EC0EB7" w:rsidRDefault="003B1DE9" w:rsidP="00EC0EB7">
      <w:pPr>
        <w:pStyle w:val="Heading6"/>
      </w:pPr>
      <w:r w:rsidRPr="00EC0EB7">
        <w:t>Results for the primary efficacy outcome</w:t>
      </w:r>
    </w:p>
    <w:p w:rsidR="003B1DE9" w:rsidRDefault="003B1DE9" w:rsidP="00EC0EB7">
      <w:r w:rsidRPr="00EC0EB7">
        <w:t>Although there was no significant difference between the treatment groups, the apixaban 20 mg once daily group had lowest rate of symptomatic recurrent VTE or deterioration: the event rate (95% CI) was 6.0 (2.4 to 11.9) % for 5 mg twice daily, 5.6 (2.3 to 11.2) % for 10 mg twice daily, 2.6 (0.5 to 7.4) % for 20 mg once daily and 4.2 (1.4 to 9.6) % for LMWH/VK</w:t>
      </w:r>
      <w:r w:rsidRPr="005B41D8">
        <w:t xml:space="preserve">A (Table </w:t>
      </w:r>
      <w:r w:rsidR="004F25FC" w:rsidRPr="005B41D8">
        <w:t>3</w:t>
      </w:r>
      <w:r w:rsidR="00EC0EB7" w:rsidRPr="005B41D8">
        <w:t xml:space="preserve">). </w:t>
      </w:r>
      <w:r w:rsidRPr="005B41D8">
        <w:t>The difference in rate (95% CI) apixaban – LMWH/VKA was 1.7 (-</w:t>
      </w:r>
      <w:r w:rsidR="00EC0EB7" w:rsidRPr="005B41D8">
        <w:t xml:space="preserve"> </w:t>
      </w:r>
      <w:r w:rsidRPr="005B41D8">
        <w:t>4.4 to 8.2) %</w:t>
      </w:r>
      <w:r w:rsidRPr="00EC0EB7">
        <w:t xml:space="preserve"> for 5 mg twice daily, 1.4 (-</w:t>
      </w:r>
      <w:r w:rsidR="00EC0EB7">
        <w:t xml:space="preserve"> </w:t>
      </w:r>
      <w:r w:rsidRPr="00EC0EB7">
        <w:t>4.6 to 7.5) % for 10 mg twice daily and -1.7 (-</w:t>
      </w:r>
      <w:r w:rsidR="00EC0EB7">
        <w:t xml:space="preserve"> </w:t>
      </w:r>
      <w:r w:rsidRPr="00EC0EB7">
        <w:t>7.3 to 3.6) for 20 mg daily.</w:t>
      </w:r>
    </w:p>
    <w:p w:rsidR="004F25FC" w:rsidRPr="002D4BF7" w:rsidRDefault="004F25FC" w:rsidP="004F25FC">
      <w:pPr>
        <w:pStyle w:val="Tabletitle"/>
      </w:pPr>
      <w:r w:rsidRPr="002D4BF7">
        <w:lastRenderedPageBreak/>
        <w:t xml:space="preserve">Table </w:t>
      </w:r>
      <w:r>
        <w:t xml:space="preserve">3: </w:t>
      </w:r>
      <w:r w:rsidRPr="002D4BF7">
        <w:t>Summary of Symptomatic Recurrent VTE/Deterioration during the Treat</w:t>
      </w:r>
      <w:r w:rsidR="00F24AA0">
        <w:t>ment Period - Primary Subjects</w:t>
      </w:r>
    </w:p>
    <w:p w:rsidR="004F25FC" w:rsidRPr="002D4BF7" w:rsidRDefault="004F25FC" w:rsidP="004F25FC">
      <w:pPr>
        <w:rPr>
          <w:rFonts w:ascii="Times New Roman" w:hAnsi="Times New Roman"/>
          <w:sz w:val="24"/>
        </w:rPr>
      </w:pPr>
      <w:r>
        <w:rPr>
          <w:rFonts w:ascii="Times New Roman" w:hAnsi="Times New Roman"/>
          <w:noProof/>
          <w:sz w:val="24"/>
          <w:lang w:eastAsia="en-AU"/>
        </w:rPr>
        <w:drawing>
          <wp:inline distT="0" distB="0" distL="0" distR="0" wp14:anchorId="7D9BA281" wp14:editId="56B63D3A">
            <wp:extent cx="5701335" cy="2781300"/>
            <wp:effectExtent l="0" t="0" r="0" b="0"/>
            <wp:docPr id="12" name="Picture 12" descr="Table 3: Summary of Symptomatic Recurrent VTE/Deterioration during the Treatment Period -- Primary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707754" cy="2784432"/>
                    </a:xfrm>
                    <a:prstGeom prst="rect">
                      <a:avLst/>
                    </a:prstGeom>
                    <a:noFill/>
                    <a:ln>
                      <a:noFill/>
                    </a:ln>
                  </pic:spPr>
                </pic:pic>
              </a:graphicData>
            </a:graphic>
          </wp:inline>
        </w:drawing>
      </w:r>
    </w:p>
    <w:p w:rsidR="003B1DE9" w:rsidRPr="00EC0EB7" w:rsidRDefault="003B1DE9" w:rsidP="003B1DE9">
      <w:r w:rsidRPr="00EC0EB7">
        <w:t>However, the greatest rate of improvement was in the 10 mg twice daily group: the event rate (95% CI) was 76.1 (67.3 to 83.5) % for 5 mg twice daily, 81.6 (73.7 to 88.0) for 10 mg twice daily, 78.4 (69.9 to 85.5) % for 20 mg once daily and 80.5</w:t>
      </w:r>
      <w:r w:rsidR="00EC0EB7">
        <w:t xml:space="preserve"> (72.2 to 87.2) % for LMWH/VKA.</w:t>
      </w:r>
    </w:p>
    <w:p w:rsidR="003B1DE9" w:rsidRPr="00EC0EB7" w:rsidRDefault="003B1DE9" w:rsidP="00EC0EB7">
      <w:pPr>
        <w:pStyle w:val="Heading6"/>
      </w:pPr>
      <w:r w:rsidRPr="00EC0EB7">
        <w:t>Results for other efficacy outcomes</w:t>
      </w:r>
    </w:p>
    <w:p w:rsidR="003B1DE9" w:rsidRPr="00EC0EB7" w:rsidRDefault="003B1DE9" w:rsidP="00EC0EB7">
      <w:pPr>
        <w:pStyle w:val="ListBullet"/>
      </w:pPr>
      <w:r w:rsidRPr="00EC0EB7">
        <w:t>Deterioration, improvement, and no relevant change on proximal thrombus based on CUS in subjects who presented wit</w:t>
      </w:r>
      <w:r w:rsidR="004F25FC">
        <w:t>h symptomatic DVT is summarised</w:t>
      </w:r>
      <w:r w:rsidRPr="00EC0EB7">
        <w:t>:</w:t>
      </w:r>
    </w:p>
    <w:p w:rsidR="003B1DE9" w:rsidRPr="00EC0EB7" w:rsidRDefault="003B1DE9" w:rsidP="00EC0EB7">
      <w:pPr>
        <w:pStyle w:val="ListBullet2"/>
      </w:pPr>
      <w:r w:rsidRPr="00EC0EB7">
        <w:t>Deterioration was infrequent: two (1.7%) subjects in the 5 mg twice daily group, three (2.4%) in the 10 mg twice daily group, one (0.9%) in the 20 mg once daily and two (1.7%) in the LMWH/VKA group</w:t>
      </w:r>
    </w:p>
    <w:p w:rsidR="003B1DE9" w:rsidRPr="00EC0EB7" w:rsidRDefault="003B1DE9" w:rsidP="00EC0EB7">
      <w:pPr>
        <w:pStyle w:val="ListBullet2"/>
      </w:pPr>
      <w:r w:rsidRPr="00EC0EB7">
        <w:t>Improvement was reported in 82 (70.1%) subjects in the 5 mg twice daily group, 90 (72.0%) in the 10 mg twice daily group, 84 (72.4%) in the 20 mg once daily and 77 (65.3%) in the LMWH/VKA group</w:t>
      </w:r>
    </w:p>
    <w:p w:rsidR="003B1DE9" w:rsidRPr="00EC0EB7" w:rsidRDefault="003B1DE9" w:rsidP="00EC0EB7">
      <w:pPr>
        <w:pStyle w:val="ListBullet2"/>
      </w:pPr>
      <w:r w:rsidRPr="00EC0EB7">
        <w:t>No relevant change was reported in 33 (28.2%) subjects in the 5 mg twice daily group, 29 (23.2%) in the 10 mg twice daily group, 30 (25.9%) in the 20 mg once daily and 36 (30.5%) in the LMWH/VKA group</w:t>
      </w:r>
    </w:p>
    <w:p w:rsidR="003B1DE9" w:rsidRPr="00EC0EB7" w:rsidRDefault="003B1DE9" w:rsidP="00EC0EB7">
      <w:pPr>
        <w:pStyle w:val="ListBullet"/>
      </w:pPr>
      <w:r w:rsidRPr="00EC0EB7">
        <w:t>Deterioration, improvement, and no relevant change on composite lung thrombus score based on PLS in subjects presenting with symptomatic DVT is summarised</w:t>
      </w:r>
      <w:r w:rsidR="004F25FC">
        <w:t>:</w:t>
      </w:r>
    </w:p>
    <w:p w:rsidR="003B1DE9" w:rsidRPr="00EC0EB7" w:rsidRDefault="003B1DE9" w:rsidP="00EC0EB7">
      <w:pPr>
        <w:pStyle w:val="ListBullet2"/>
      </w:pPr>
      <w:r w:rsidRPr="00EC0EB7">
        <w:t>Deterioration was infrequent: four (3.4%) subjects in the 5 mg twice daily group, one (0.8%) in the 10 mg twice daily group, none (0.0%) in the 20 mg once daily and none (0.0%) in the LMWH/VKA group</w:t>
      </w:r>
    </w:p>
    <w:p w:rsidR="003B1DE9" w:rsidRPr="00EC0EB7" w:rsidRDefault="003B1DE9" w:rsidP="00EC0EB7">
      <w:pPr>
        <w:pStyle w:val="ListBullet2"/>
      </w:pPr>
      <w:r w:rsidRPr="00EC0EB7">
        <w:t>Improvement was reported in 47 (40.2%) subjects in the 5 mg twice daily group, 47 (37.6%) in the 10 mg twice daily group, 45 (38.8%) in the 20 mg once daily and 52 (44.1%) in the LMWH/VKA group</w:t>
      </w:r>
    </w:p>
    <w:p w:rsidR="003B1DE9" w:rsidRPr="00EC0EB7" w:rsidRDefault="003B1DE9" w:rsidP="00EC0EB7">
      <w:pPr>
        <w:pStyle w:val="ListBullet2"/>
      </w:pPr>
      <w:r w:rsidRPr="00EC0EB7">
        <w:t>No relevant change was reported in 29 (24.8%) subjects in the 5 mg twice daily group, 38 (30.4%) in the 10 mg twice daily group, 33 (28.4%) in the 20 mg once daily and 28 (23.7%) in the LMWH/VKA group</w:t>
      </w:r>
    </w:p>
    <w:p w:rsidR="003B1DE9" w:rsidRPr="00EC0EB7" w:rsidRDefault="003B1DE9" w:rsidP="00EC0EB7">
      <w:pPr>
        <w:pStyle w:val="ListBullet"/>
      </w:pPr>
      <w:r w:rsidRPr="00EC0EB7">
        <w:t>The incidence of symptomatic recurrent VTEs (ie, recurrent DVT or fatal or non-fatal PE) is also summarised</w:t>
      </w:r>
      <w:r w:rsidR="004F25FC">
        <w:t>:</w:t>
      </w:r>
    </w:p>
    <w:p w:rsidR="003B1DE9" w:rsidRPr="00EC0EB7" w:rsidRDefault="003B1DE9" w:rsidP="00EC0EB7">
      <w:pPr>
        <w:pStyle w:val="ListBullet2"/>
      </w:pPr>
      <w:r w:rsidRPr="00EC0EB7">
        <w:lastRenderedPageBreak/>
        <w:t>Symptomatic recurrent VTE occurred in three (2.6%) subjects in the 5 mg twice daily group, four (3.2%) in the 10 mg twice daily group, two (1.7%) in the 20 mg once daily and three (2.5%) in the LMWH/VKA group</w:t>
      </w:r>
    </w:p>
    <w:p w:rsidR="003B1DE9" w:rsidRPr="00EC0EB7" w:rsidRDefault="003B1DE9" w:rsidP="00EC0EB7">
      <w:pPr>
        <w:pStyle w:val="Heading4"/>
      </w:pPr>
      <w:bookmarkStart w:id="139" w:name="_Toc407734476"/>
      <w:r w:rsidRPr="00EC0EB7">
        <w:t>Evaluator’s conclusions on dose finding for treatment of deep vein thrombosis (DVT) and pulmonary embolism (PE)</w:t>
      </w:r>
      <w:bookmarkEnd w:id="139"/>
    </w:p>
    <w:p w:rsidR="003B1DE9" w:rsidRPr="00EC0EB7" w:rsidRDefault="003B1DE9" w:rsidP="00EC0EB7">
      <w:r w:rsidRPr="00EC0EB7">
        <w:t xml:space="preserve">There are some issues with the </w:t>
      </w:r>
      <w:r w:rsidR="00EC0EB7">
        <w:t xml:space="preserve">dose finding study. </w:t>
      </w:r>
      <w:r w:rsidRPr="00EC0EB7">
        <w:t>The definition of symptomatic PE was</w:t>
      </w:r>
      <w:r w:rsidR="00EC0EB7">
        <w:t xml:space="preserve"> not included in the protocol. </w:t>
      </w:r>
      <w:r w:rsidRPr="00EC0EB7">
        <w:t xml:space="preserve">The comparator group included subjects treated with tinzaparin, which </w:t>
      </w:r>
      <w:r w:rsidR="00EC0EB7">
        <w:t xml:space="preserve">is not available in Australia. </w:t>
      </w:r>
      <w:r w:rsidR="004F25FC">
        <w:t>However, in the opinion of the e</w:t>
      </w:r>
      <w:r w:rsidRPr="00EC0EB7">
        <w:t>valuator, these issues do not detract from the value of the study as a dose finding study.</w:t>
      </w:r>
    </w:p>
    <w:p w:rsidR="003B1DE9" w:rsidRPr="00EC0EB7" w:rsidRDefault="003B1DE9" w:rsidP="00EC0EB7">
      <w:r w:rsidRPr="00EC0EB7">
        <w:t xml:space="preserve">All three dosing apixaban </w:t>
      </w:r>
      <w:r w:rsidR="00EC0EB7">
        <w:t xml:space="preserve">regimens had similar efficacy. </w:t>
      </w:r>
      <w:r w:rsidRPr="00EC0EB7">
        <w:t>For convenience of dosing, the 20 mg once daily would have been the most advantageous dos</w:t>
      </w:r>
      <w:r w:rsidR="00EC0EB7">
        <w:t xml:space="preserve">ing regimen to take into Phase III. </w:t>
      </w:r>
      <w:r w:rsidRPr="00EC0EB7">
        <w:t>However, this would have been a different dosing strategy compared to the dosing regimens for the currently approved indications (once dai</w:t>
      </w:r>
      <w:r w:rsidR="00EC0EB7">
        <w:t>ly as opposed to twice daily).</w:t>
      </w:r>
    </w:p>
    <w:p w:rsidR="003B1DE9" w:rsidRPr="003B1DE9" w:rsidRDefault="003B1DE9" w:rsidP="003B1DE9">
      <w:r w:rsidRPr="00EC0EB7">
        <w:t xml:space="preserve">The dosing regimen actually </w:t>
      </w:r>
      <w:r w:rsidR="00EC0EB7">
        <w:t>taken into the Phase III</w:t>
      </w:r>
      <w:r w:rsidRPr="00EC0EB7">
        <w:t xml:space="preserve"> study was: Apixaban 10 mg twice daily for 7 days, then 5 mg twice daily; placebo warfarin and enoxaparin.</w:t>
      </w:r>
    </w:p>
    <w:p w:rsidR="00C22678" w:rsidRDefault="00C22678" w:rsidP="00C22678">
      <w:pPr>
        <w:pStyle w:val="Heading2"/>
      </w:pPr>
      <w:bookmarkStart w:id="140" w:name="_Toc436383338"/>
      <w:r>
        <w:t>Clinical efficacy</w:t>
      </w:r>
      <w:bookmarkEnd w:id="140"/>
    </w:p>
    <w:p w:rsidR="00EC0EB7" w:rsidRPr="00EC0EB7" w:rsidRDefault="00EC0EB7" w:rsidP="00EC0EB7">
      <w:pPr>
        <w:pStyle w:val="Heading3"/>
      </w:pPr>
      <w:bookmarkStart w:id="141" w:name="_Toc407734478"/>
      <w:bookmarkStart w:id="142" w:name="_Toc436383339"/>
      <w:r w:rsidRPr="00EC0EB7">
        <w:t>Treatment of deep vein thrombosis (DVT) and pulmonary embolism (PE)</w:t>
      </w:r>
      <w:bookmarkEnd w:id="141"/>
      <w:bookmarkEnd w:id="142"/>
    </w:p>
    <w:p w:rsidR="00EC0EB7" w:rsidRPr="00EC0EB7" w:rsidRDefault="00EC0EB7" w:rsidP="00EC0EB7">
      <w:pPr>
        <w:pStyle w:val="Heading4"/>
      </w:pPr>
      <w:bookmarkStart w:id="143" w:name="_Ref271037274"/>
      <w:bookmarkStart w:id="144" w:name="_Toc272414652"/>
      <w:bookmarkStart w:id="145" w:name="_Toc290846274"/>
      <w:bookmarkStart w:id="146" w:name="_Toc407734479"/>
      <w:r w:rsidRPr="00EC0EB7">
        <w:t>Pivotal efficacy studies</w:t>
      </w:r>
      <w:bookmarkEnd w:id="143"/>
      <w:bookmarkEnd w:id="144"/>
      <w:bookmarkEnd w:id="145"/>
      <w:bookmarkEnd w:id="146"/>
    </w:p>
    <w:p w:rsidR="00EC0EB7" w:rsidRPr="00EC0EB7" w:rsidRDefault="00EC0EB7" w:rsidP="00EC0EB7">
      <w:pPr>
        <w:pStyle w:val="Heading5"/>
      </w:pPr>
      <w:bookmarkStart w:id="147" w:name="_Ref271040927"/>
      <w:bookmarkStart w:id="148" w:name="_Ref271040932"/>
      <w:bookmarkStart w:id="149" w:name="_Toc272414653"/>
      <w:bookmarkStart w:id="150" w:name="_Toc290846275"/>
      <w:bookmarkStart w:id="151" w:name="_Toc407734480"/>
      <w:r w:rsidRPr="00EC0EB7">
        <w:t>Study CV185056</w:t>
      </w:r>
      <w:bookmarkEnd w:id="147"/>
      <w:bookmarkEnd w:id="148"/>
      <w:bookmarkEnd w:id="149"/>
      <w:bookmarkEnd w:id="150"/>
      <w:bookmarkEnd w:id="151"/>
    </w:p>
    <w:p w:rsidR="00EC0EB7" w:rsidRPr="00EC0EB7" w:rsidRDefault="00EC0EB7" w:rsidP="00EC0EB7">
      <w:pPr>
        <w:pStyle w:val="Heading6"/>
      </w:pPr>
      <w:r w:rsidRPr="00EC0EB7">
        <w:t>Study design, objectives, locations and dates</w:t>
      </w:r>
    </w:p>
    <w:p w:rsidR="00EC0EB7" w:rsidRDefault="00EC0EB7" w:rsidP="00EC0EB7">
      <w:r w:rsidRPr="00EC0EB7">
        <w:t>Study CV185056 was a randomised, active controlled, parallel group, double blind, triple-dummy efficacy and safety study in subjects with acute symptomatic proximal DVT or acute symptomatic PE</w:t>
      </w:r>
      <w:r>
        <w:t>.</w:t>
      </w:r>
      <w:r w:rsidRPr="00EC0EB7">
        <w:t xml:space="preserve"> The study was conducted at 358 centr</w:t>
      </w:r>
      <w:r w:rsidR="006E4AC7">
        <w:t>e</w:t>
      </w:r>
      <w:r w:rsidRPr="00EC0EB7">
        <w:t>s in 28 countries (including Australia, Canada, and the USA) from August 2008 to March 2013.</w:t>
      </w:r>
    </w:p>
    <w:p w:rsidR="00EC0EB7" w:rsidRPr="00EC0EB7" w:rsidRDefault="00EC0EB7" w:rsidP="00EC0EB7">
      <w:pPr>
        <w:pStyle w:val="Heading6"/>
      </w:pPr>
      <w:r w:rsidRPr="00EC0EB7">
        <w:t>Inclusion and exclusion criteria</w:t>
      </w:r>
    </w:p>
    <w:p w:rsidR="00EC0EB7" w:rsidRPr="00EC0EB7" w:rsidRDefault="00EC0EB7" w:rsidP="00EC0EB7">
      <w:r w:rsidRPr="00EC0EB7">
        <w:t>The inclusion criteria included:</w:t>
      </w:r>
    </w:p>
    <w:p w:rsidR="00EC0EB7" w:rsidRPr="00EC0EB7" w:rsidRDefault="00EC0EB7" w:rsidP="00EC0EB7">
      <w:pPr>
        <w:pStyle w:val="ListBullet"/>
      </w:pPr>
      <w:r w:rsidRPr="00EC0EB7">
        <w:t>Men and women, aged ≥</w:t>
      </w:r>
      <w:r>
        <w:t xml:space="preserve"> </w:t>
      </w:r>
      <w:r w:rsidRPr="00EC0EB7">
        <w:t>18 years, who had an unprovoked index event or a provoked index event with a risk for recurrence</w:t>
      </w:r>
    </w:p>
    <w:p w:rsidR="00EC0EB7" w:rsidRPr="00EC0EB7" w:rsidRDefault="00EC0EB7" w:rsidP="00EC0EB7">
      <w:pPr>
        <w:pStyle w:val="ListBullet"/>
      </w:pPr>
      <w:r w:rsidRPr="00EC0EB7">
        <w:t>Subjects who had acute symptomatic proximal DVT with evidence of proximal thrombosis that involved at least the popliteal vein or a more proximal vein, demonstrated by imaging with:</w:t>
      </w:r>
    </w:p>
    <w:p w:rsidR="00EC0EB7" w:rsidRPr="00EC0EB7" w:rsidRDefault="00EC0EB7" w:rsidP="00EC0EB7">
      <w:pPr>
        <w:pStyle w:val="ListBullet2"/>
      </w:pPr>
      <w:r w:rsidRPr="00EC0EB7">
        <w:t>CUS including grey-scale or colour-coded Doppler; or</w:t>
      </w:r>
    </w:p>
    <w:p w:rsidR="00EC0EB7" w:rsidRDefault="00EC0EB7" w:rsidP="00EC0EB7">
      <w:pPr>
        <w:pStyle w:val="ListBullet2"/>
      </w:pPr>
      <w:r w:rsidRPr="00EC0EB7">
        <w:t>Ascending contrast venography.</w:t>
      </w:r>
    </w:p>
    <w:p w:rsidR="00EC0EB7" w:rsidRPr="00EC0EB7" w:rsidRDefault="00EC0EB7" w:rsidP="00EC0EB7">
      <w:pPr>
        <w:pStyle w:val="ListBullet2"/>
        <w:numPr>
          <w:ilvl w:val="0"/>
          <w:numId w:val="0"/>
        </w:numPr>
        <w:ind w:left="360"/>
      </w:pPr>
      <w:r>
        <w:t>O</w:t>
      </w:r>
      <w:r w:rsidRPr="00EC0EB7">
        <w:rPr>
          <w:rFonts w:ascii="Times New Roman" w:eastAsia="TimesNewRoman" w:hAnsi="Times New Roman"/>
          <w:sz w:val="24"/>
        </w:rPr>
        <w:t>r</w:t>
      </w:r>
    </w:p>
    <w:p w:rsidR="00EC0EB7" w:rsidRPr="00EC0EB7" w:rsidRDefault="00EC0EB7" w:rsidP="00EC0EB7">
      <w:pPr>
        <w:pStyle w:val="ListBullet"/>
      </w:pPr>
      <w:r w:rsidRPr="00EC0EB7">
        <w:t>Subjects who had acute symptomatic PE with evidence of thrombosis demonstrated by imaging as follows:</w:t>
      </w:r>
    </w:p>
    <w:p w:rsidR="00EC0EB7" w:rsidRPr="00EC0EB7" w:rsidRDefault="00EC0EB7" w:rsidP="00EC0EB7">
      <w:pPr>
        <w:pStyle w:val="ListBullet2"/>
      </w:pPr>
      <w:r w:rsidRPr="00EC0EB7">
        <w:t>An intraluminal filling defect in segmental or more proximal branches on spiral CT scan; or</w:t>
      </w:r>
    </w:p>
    <w:p w:rsidR="00EC0EB7" w:rsidRPr="00EC0EB7" w:rsidRDefault="00EC0EB7" w:rsidP="00EC0EB7">
      <w:pPr>
        <w:pStyle w:val="ListBullet2"/>
      </w:pPr>
      <w:r w:rsidRPr="00EC0EB7">
        <w:t>An intraluminal filling defect or a sudden cut-off of vessels more than 2.5 mm in diameter on the pulmonary angiogram; or</w:t>
      </w:r>
    </w:p>
    <w:p w:rsidR="00EC0EB7" w:rsidRPr="00EC0EB7" w:rsidRDefault="00EC0EB7" w:rsidP="00EC0EB7">
      <w:pPr>
        <w:pStyle w:val="ListBullet2"/>
      </w:pPr>
      <w:r w:rsidRPr="00EC0EB7">
        <w:lastRenderedPageBreak/>
        <w:t>A perfusion defect of at least 75% of a segment with a local normal ventilation result (high-probability) on ventilation/perfusion lung scan</w:t>
      </w:r>
    </w:p>
    <w:p w:rsidR="00EC0EB7" w:rsidRPr="00EC0EB7" w:rsidRDefault="00EC0EB7" w:rsidP="00EC0EB7">
      <w:pPr>
        <w:pStyle w:val="ListBullet"/>
      </w:pPr>
      <w:r w:rsidRPr="00EC0EB7">
        <w:t>The index DVT and/or PE was adjudicated by the Independent Central Adjudication Committee (ICAC) accordi</w:t>
      </w:r>
      <w:r>
        <w:t xml:space="preserve">ng to the Adjudication Manual. </w:t>
      </w:r>
      <w:r w:rsidRPr="00EC0EB7">
        <w:t>Investigators were encouraged to assemble and submit imaging dossiers to the ICAC as soon as possible during the period that extended from the beginning of the screening period up to two weeks after randomization.</w:t>
      </w:r>
    </w:p>
    <w:p w:rsidR="00EC0EB7" w:rsidRPr="00EC0EB7" w:rsidRDefault="00EC0EB7" w:rsidP="00EC0EB7">
      <w:pPr>
        <w:pStyle w:val="ListBullet"/>
      </w:pPr>
      <w:r w:rsidRPr="00EC0EB7">
        <w:t>Women of childbearing potential must have been using an adequate method of contraception to avoid pregnancy throughout the study.</w:t>
      </w:r>
    </w:p>
    <w:p w:rsidR="00EC0EB7" w:rsidRPr="00EC0EB7" w:rsidRDefault="00EC0EB7" w:rsidP="00EC0EB7">
      <w:r w:rsidRPr="00EC0EB7">
        <w:t>The Exclusion criteria included:</w:t>
      </w:r>
    </w:p>
    <w:p w:rsidR="00EC0EB7" w:rsidRPr="00EC0EB7" w:rsidRDefault="00EC0EB7" w:rsidP="00EC0EB7">
      <w:pPr>
        <w:pStyle w:val="ListBullet"/>
      </w:pPr>
      <w:r w:rsidRPr="00EC0EB7">
        <w:t>Women who were pregnant or breastfeeding</w:t>
      </w:r>
    </w:p>
    <w:p w:rsidR="00EC0EB7" w:rsidRPr="00EC0EB7" w:rsidRDefault="00EC0EB7" w:rsidP="00EC0EB7">
      <w:pPr>
        <w:pStyle w:val="ListBullet"/>
      </w:pPr>
      <w:r w:rsidRPr="00EC0EB7">
        <w:t>Target Disease Exceptions:</w:t>
      </w:r>
    </w:p>
    <w:p w:rsidR="00EC0EB7" w:rsidRPr="00EC0EB7" w:rsidRDefault="00EC0EB7" w:rsidP="00EC0EB7">
      <w:pPr>
        <w:pStyle w:val="ListBullet2"/>
      </w:pPr>
      <w:r w:rsidRPr="00EC0EB7">
        <w:t xml:space="preserve">Subjects with a provoked index event without the existence of a persistent risk factor for recurrence </w:t>
      </w:r>
    </w:p>
    <w:p w:rsidR="00EC0EB7" w:rsidRPr="00EC0EB7" w:rsidRDefault="00EC0EB7" w:rsidP="00EC0EB7">
      <w:pPr>
        <w:pStyle w:val="ListBullet2"/>
      </w:pPr>
      <w:r w:rsidRPr="00EC0EB7">
        <w:t>&lt;</w:t>
      </w:r>
      <w:r>
        <w:t xml:space="preserve"> </w:t>
      </w:r>
      <w:r w:rsidRPr="00EC0EB7">
        <w:t>6 months of anticoagulation planned for the most recent DVT or PE (index event)</w:t>
      </w:r>
    </w:p>
    <w:p w:rsidR="00EC0EB7" w:rsidRPr="00EC0EB7" w:rsidRDefault="00EC0EB7" w:rsidP="00EC0EB7">
      <w:pPr>
        <w:pStyle w:val="ListBullet2"/>
      </w:pPr>
      <w:r w:rsidRPr="00EC0EB7">
        <w:t>Thrombectomy, insertion of a caval filter, or use of a fibrinolytic agent to treat the concurrent episode of VTE</w:t>
      </w:r>
    </w:p>
    <w:p w:rsidR="00EC0EB7" w:rsidRPr="00EC0EB7" w:rsidRDefault="00EC0EB7" w:rsidP="00EC0EB7">
      <w:pPr>
        <w:pStyle w:val="ListBullet2"/>
      </w:pPr>
      <w:r w:rsidRPr="00EC0EB7">
        <w:t>Active bleeding or high risk for bleeding contraindicating treatment with LMWH and a VKA;</w:t>
      </w:r>
    </w:p>
    <w:p w:rsidR="00EC0EB7" w:rsidRPr="00EC0EB7" w:rsidRDefault="00EC0EB7" w:rsidP="00EC0EB7">
      <w:pPr>
        <w:pStyle w:val="ListBullet2"/>
      </w:pPr>
      <w:r w:rsidRPr="00EC0EB7">
        <w:t>Subjects with cancer who were treated for ≥6 months with LMWH therapy</w:t>
      </w:r>
    </w:p>
    <w:p w:rsidR="00EC0EB7" w:rsidRPr="00EC0EB7" w:rsidRDefault="00EC0EB7" w:rsidP="00EC0EB7">
      <w:pPr>
        <w:pStyle w:val="ListBullet2"/>
      </w:pPr>
      <w:r w:rsidRPr="00EC0EB7">
        <w:t>Subjects with contraindications according to the local prescribing information of enoxaparin or warfarin.</w:t>
      </w:r>
    </w:p>
    <w:p w:rsidR="00EC0EB7" w:rsidRPr="00EC0EB7" w:rsidRDefault="00EC0EB7" w:rsidP="00EC0EB7">
      <w:pPr>
        <w:pStyle w:val="ListBullet"/>
      </w:pPr>
      <w:r w:rsidRPr="00EC0EB7">
        <w:t>Medical History and Concurrent Diseases:</w:t>
      </w:r>
    </w:p>
    <w:p w:rsidR="00EC0EB7" w:rsidRPr="00EC0EB7" w:rsidRDefault="00EC0EB7" w:rsidP="00EC0EB7">
      <w:pPr>
        <w:pStyle w:val="ListBullet2"/>
      </w:pPr>
      <w:r w:rsidRPr="00EC0EB7">
        <w:t>Subjects with an indication, other than VTE, intended for long term treatment with a VKA such as: mechanical valve; atrial fibrillation or atrial flutter with moderate to high ri</w:t>
      </w:r>
      <w:r>
        <w:t>sk of systemic thromboembolism.</w:t>
      </w:r>
    </w:p>
    <w:p w:rsidR="00EC0EB7" w:rsidRPr="00EC0EB7" w:rsidRDefault="00EC0EB7" w:rsidP="00EC0EB7">
      <w:pPr>
        <w:pStyle w:val="ListBullet2"/>
      </w:pPr>
      <w:r w:rsidRPr="00EC0EB7">
        <w:t>Conditions for which serious bleeding could have occurred: intracranial bleeding, intraocular bleeding, gastrointestinal bleeding and/or endoscopically verified ulcer disease, head trauma or other major trauma, major surgery, ischemic stroke, neurosurgery, gross h</w:t>
      </w:r>
      <w:r w:rsidR="009A68DD">
        <w:t>a</w:t>
      </w:r>
      <w:r w:rsidRPr="00EC0EB7">
        <w:t>ematuria, evidence of poor healing of a major wound or major trauma, planned major surgery during trial, intracranial neoplasm, arteriovenous malformation or aneurysm, overt major bleeding, documented h</w:t>
      </w:r>
      <w:r w:rsidR="009A68DD">
        <w:t>a</w:t>
      </w:r>
      <w:r w:rsidRPr="00EC0EB7">
        <w:t>emorrhagic tendencies or blood dyscrasias</w:t>
      </w:r>
    </w:p>
    <w:p w:rsidR="00EC0EB7" w:rsidRPr="00EC0EB7" w:rsidRDefault="00EC0EB7" w:rsidP="00EC0EB7">
      <w:pPr>
        <w:pStyle w:val="ListBullet2"/>
      </w:pPr>
      <w:r w:rsidRPr="00EC0EB7">
        <w:t>Active and clinically significant liver disease (</w:t>
      </w:r>
      <w:r w:rsidR="009A68DD">
        <w:t>for example,</w:t>
      </w:r>
      <w:r w:rsidRPr="00EC0EB7">
        <w:t xml:space="preserve"> hepatorenal syndrome)</w:t>
      </w:r>
    </w:p>
    <w:p w:rsidR="00EC0EB7" w:rsidRPr="00EC0EB7" w:rsidRDefault="00EC0EB7" w:rsidP="00EC0EB7">
      <w:pPr>
        <w:pStyle w:val="ListBullet2"/>
      </w:pPr>
      <w:r w:rsidRPr="00EC0EB7">
        <w:t>Life expectancy &lt;</w:t>
      </w:r>
      <w:r>
        <w:t xml:space="preserve"> </w:t>
      </w:r>
      <w:r w:rsidRPr="00EC0EB7">
        <w:t>6 months</w:t>
      </w:r>
    </w:p>
    <w:p w:rsidR="00EC0EB7" w:rsidRPr="00EC0EB7" w:rsidRDefault="00EC0EB7" w:rsidP="00EC0EB7">
      <w:pPr>
        <w:pStyle w:val="ListBullet2"/>
      </w:pPr>
      <w:r w:rsidRPr="00EC0EB7">
        <w:t>Bacterial endocarditis</w:t>
      </w:r>
    </w:p>
    <w:p w:rsidR="00EC0EB7" w:rsidRPr="00EC0EB7" w:rsidRDefault="00EC0EB7" w:rsidP="00EC0EB7">
      <w:pPr>
        <w:pStyle w:val="ListBullet2"/>
      </w:pPr>
      <w:r w:rsidRPr="00EC0EB7">
        <w:t>Uncontrolled hypertension: SBP &gt;</w:t>
      </w:r>
      <w:r>
        <w:t xml:space="preserve"> </w:t>
      </w:r>
      <w:r w:rsidRPr="00EC0EB7">
        <w:t>180 mm Hg or DBP &gt;</w:t>
      </w:r>
      <w:r>
        <w:t xml:space="preserve"> </w:t>
      </w:r>
      <w:r w:rsidRPr="00EC0EB7">
        <w:t>100 mm Hg</w:t>
      </w:r>
    </w:p>
    <w:p w:rsidR="00EC0EB7" w:rsidRPr="00EC0EB7" w:rsidRDefault="00EC0EB7" w:rsidP="00EC0EB7">
      <w:pPr>
        <w:pStyle w:val="ListBullet"/>
      </w:pPr>
      <w:r w:rsidRPr="00EC0EB7">
        <w:t>Physical and Laboratory Test Findings: platelet count &lt;</w:t>
      </w:r>
      <w:r>
        <w:t xml:space="preserve"> </w:t>
      </w:r>
      <w:r w:rsidRPr="00EC0EB7">
        <w:t>100×109 cells/L; haemoglobin &lt;</w:t>
      </w:r>
      <w:r>
        <w:t xml:space="preserve"> </w:t>
      </w:r>
      <w:r w:rsidRPr="00EC0EB7">
        <w:t>90 g/L; serum creatinine &gt;</w:t>
      </w:r>
      <w:r>
        <w:t xml:space="preserve"> </w:t>
      </w:r>
      <w:r w:rsidRPr="00EC0EB7">
        <w:t>221 μmol/L; CrCl &lt;</w:t>
      </w:r>
      <w:r>
        <w:t xml:space="preserve"> </w:t>
      </w:r>
      <w:r w:rsidRPr="00EC0EB7">
        <w:t>25 mL/min; ALT or AST &gt;</w:t>
      </w:r>
      <w:r>
        <w:t xml:space="preserve"> </w:t>
      </w:r>
      <w:r w:rsidRPr="00EC0EB7">
        <w:t>2xULN; total bilirubin &gt;</w:t>
      </w:r>
      <w:r>
        <w:t xml:space="preserve"> </w:t>
      </w:r>
      <w:r w:rsidRPr="00EC0EB7">
        <w:t>1.5xULN.</w:t>
      </w:r>
    </w:p>
    <w:p w:rsidR="00EC0EB7" w:rsidRPr="00EC0EB7" w:rsidRDefault="00EC0EB7" w:rsidP="00EC0EB7">
      <w:pPr>
        <w:pStyle w:val="ListBullet"/>
      </w:pPr>
      <w:r w:rsidRPr="00EC0EB7">
        <w:t>Allergies and Adverse Drug Reactions: heparin induced thrombocytopenia; or allergic reaction to UFH, LMWH, fondaparinux or any VKA.</w:t>
      </w:r>
    </w:p>
    <w:p w:rsidR="00EC0EB7" w:rsidRPr="00EC0EB7" w:rsidRDefault="00EC0EB7" w:rsidP="00EC0EB7">
      <w:pPr>
        <w:pStyle w:val="ListBullet"/>
      </w:pPr>
      <w:r w:rsidRPr="00EC0EB7">
        <w:t>Prohibited Treatments and/or Therapies:</w:t>
      </w:r>
    </w:p>
    <w:p w:rsidR="00EC0EB7" w:rsidRPr="00EC0EB7" w:rsidRDefault="00EC0EB7" w:rsidP="00EC0EB7">
      <w:pPr>
        <w:pStyle w:val="ListBullet2"/>
      </w:pPr>
      <w:r w:rsidRPr="00EC0EB7">
        <w:lastRenderedPageBreak/>
        <w:t>DVT or PE treatment with more than two doses of fondaparinux or a LMWH that was label</w:t>
      </w:r>
      <w:r w:rsidR="009A68DD">
        <w:t>l</w:t>
      </w:r>
      <w:r w:rsidRPr="00EC0EB7">
        <w:t>ed for once daily dosing, or more than three doses of a LMWH that was label</w:t>
      </w:r>
      <w:r w:rsidR="009A68DD">
        <w:t>l</w:t>
      </w:r>
      <w:r w:rsidRPr="00EC0EB7">
        <w:t>ed for twice daily dosing, or continuous infusion of UFH for more than 36 hours, before the firs</w:t>
      </w:r>
      <w:r>
        <w:t>t administration of study drug;</w:t>
      </w:r>
    </w:p>
    <w:p w:rsidR="00EC0EB7" w:rsidRPr="00EC0EB7" w:rsidRDefault="00EC0EB7" w:rsidP="00EC0EB7">
      <w:pPr>
        <w:pStyle w:val="ListBullet2"/>
      </w:pPr>
      <w:r w:rsidRPr="00EC0EB7">
        <w:t>DVT or PE treatment with more than 2 doses of oral VKA therapy before the first administration of study drug;</w:t>
      </w:r>
    </w:p>
    <w:p w:rsidR="00EC0EB7" w:rsidRPr="00EC0EB7" w:rsidRDefault="00EC0EB7" w:rsidP="00EC0EB7">
      <w:pPr>
        <w:pStyle w:val="ListBullet2"/>
      </w:pPr>
      <w:r w:rsidRPr="00EC0EB7">
        <w:t>ASA &gt;</w:t>
      </w:r>
      <w:r>
        <w:t xml:space="preserve"> </w:t>
      </w:r>
      <w:r w:rsidRPr="00EC0EB7">
        <w:t>165 mg/day at randomization;</w:t>
      </w:r>
    </w:p>
    <w:p w:rsidR="00EC0EB7" w:rsidRPr="00EC0EB7" w:rsidRDefault="00EC0EB7" w:rsidP="00EC0EB7">
      <w:pPr>
        <w:pStyle w:val="ListBullet2"/>
      </w:pPr>
      <w:r w:rsidRPr="00EC0EB7">
        <w:t>Subjects who required dual antiplatelet therapy (such as ASA plus clopidogrel or ASA plus ticlopidine) at randomization</w:t>
      </w:r>
    </w:p>
    <w:p w:rsidR="00EC0EB7" w:rsidRPr="00EC0EB7" w:rsidRDefault="00EC0EB7" w:rsidP="00EC0EB7">
      <w:pPr>
        <w:pStyle w:val="Heading6"/>
      </w:pPr>
      <w:r w:rsidRPr="00EC0EB7">
        <w:t>Study treatments</w:t>
      </w:r>
    </w:p>
    <w:p w:rsidR="00EC0EB7" w:rsidRPr="00EC0EB7" w:rsidRDefault="00EC0EB7" w:rsidP="00566D77">
      <w:pPr>
        <w:pStyle w:val="Numberbullet0"/>
        <w:numPr>
          <w:ilvl w:val="0"/>
          <w:numId w:val="9"/>
        </w:numPr>
      </w:pPr>
      <w:r w:rsidRPr="00EC0EB7">
        <w:t>Apixaban 10 mg twice daily for 7 days, then 5 mg twice daily; placebo warfarin and enoxaparin</w:t>
      </w:r>
      <w:r w:rsidR="009A68DD">
        <w:t>.</w:t>
      </w:r>
    </w:p>
    <w:p w:rsidR="00EC0EB7" w:rsidRPr="00EC0EB7" w:rsidRDefault="00EC0EB7" w:rsidP="00566D77">
      <w:pPr>
        <w:pStyle w:val="Numberbullet0"/>
        <w:numPr>
          <w:ilvl w:val="0"/>
          <w:numId w:val="9"/>
        </w:numPr>
      </w:pPr>
      <w:r w:rsidRPr="00EC0EB7">
        <w:t>Enoxaparin 1 mg/kg 12 hourly until INR ≥2, warfarin dosed to target range 2.0 to 3.0; placebo apixaban</w:t>
      </w:r>
      <w:r w:rsidR="009A68DD">
        <w:t>.</w:t>
      </w:r>
    </w:p>
    <w:p w:rsidR="00EC0EB7" w:rsidRPr="00EC0EB7" w:rsidRDefault="00EC0EB7" w:rsidP="00EC0EB7">
      <w:r w:rsidRPr="00EC0EB7">
        <w:t>Treatment was for 6 months, followed by a 30 day follow-up period. INR measurements were performed using an encrypted point of care device that provided sham INR measurements for the apixaban group.</w:t>
      </w:r>
    </w:p>
    <w:p w:rsidR="00EC0EB7" w:rsidRPr="00EC0EB7" w:rsidRDefault="00EC0EB7" w:rsidP="00EC0EB7">
      <w:r w:rsidRPr="00EC0EB7">
        <w:t>The following treatments were prohibited during the treatment period:</w:t>
      </w:r>
    </w:p>
    <w:p w:rsidR="00EC0EB7" w:rsidRPr="00EC0EB7" w:rsidRDefault="00EC0EB7" w:rsidP="00EC0EB7">
      <w:pPr>
        <w:pStyle w:val="ListBullet"/>
      </w:pPr>
      <w:r w:rsidRPr="00EC0EB7">
        <w:t>Potent inhibitors of cytochrome CYP3A4 (</w:t>
      </w:r>
      <w:r w:rsidR="009A68DD">
        <w:t>such as</w:t>
      </w:r>
      <w:r w:rsidRPr="00EC0EB7">
        <w:t xml:space="preserve"> azole antifungals [itraconazole and ketoconazole], macrolide antibiotics [clarithromycin and telithromycin], protease inhibitors [ritonavir, indinavir, nelfinavir, atazanavir, and saquinavir], and nefazodone)</w:t>
      </w:r>
    </w:p>
    <w:p w:rsidR="00EC0EB7" w:rsidRPr="00EC0EB7" w:rsidRDefault="00EC0EB7" w:rsidP="00EC0EB7">
      <w:pPr>
        <w:pStyle w:val="ListBullet"/>
      </w:pPr>
      <w:r w:rsidRPr="00EC0EB7">
        <w:t>Aspirin &gt;</w:t>
      </w:r>
      <w:r w:rsidR="00870819">
        <w:t xml:space="preserve"> </w:t>
      </w:r>
      <w:r w:rsidRPr="00EC0EB7">
        <w:t>165 mg/day.</w:t>
      </w:r>
    </w:p>
    <w:p w:rsidR="00EC0EB7" w:rsidRPr="00EC0EB7" w:rsidRDefault="00EC0EB7" w:rsidP="00EC0EB7">
      <w:pPr>
        <w:pStyle w:val="ListBullet"/>
      </w:pPr>
      <w:r w:rsidRPr="00EC0EB7">
        <w:t>Dual antiplatelet therapy such as concomitant (simultaneous) use of both aspirin and a thienopyridine (</w:t>
      </w:r>
      <w:r w:rsidR="009A68DD">
        <w:t>such as</w:t>
      </w:r>
      <w:r w:rsidRPr="00EC0EB7">
        <w:t xml:space="preserve"> clopidogrel, ticlopidine).</w:t>
      </w:r>
    </w:p>
    <w:p w:rsidR="00EC0EB7" w:rsidRPr="00EC0EB7" w:rsidRDefault="00EC0EB7" w:rsidP="00EC0EB7">
      <w:pPr>
        <w:pStyle w:val="ListBullet"/>
      </w:pPr>
      <w:r w:rsidRPr="00EC0EB7">
        <w:t>Other antithrombotic agents (</w:t>
      </w:r>
      <w:r w:rsidR="009A68DD">
        <w:t>for example,</w:t>
      </w:r>
      <w:r w:rsidRPr="00EC0EB7">
        <w:t xml:space="preserve"> UFH, LMWH, direct thrombin inhibitors, fondaparinux)</w:t>
      </w:r>
    </w:p>
    <w:p w:rsidR="00EC0EB7" w:rsidRPr="00870819" w:rsidRDefault="00EC0EB7" w:rsidP="00870819">
      <w:pPr>
        <w:pStyle w:val="ListBullet"/>
      </w:pPr>
      <w:r w:rsidRPr="00EC0EB7">
        <w:t>Glycoprotein IIb/IIIa inhibitors (</w:t>
      </w:r>
      <w:r w:rsidR="009A68DD">
        <w:t>for example,</w:t>
      </w:r>
      <w:r w:rsidRPr="00EC0EB7">
        <w:t xml:space="preserve"> abciximab, eptifibatide, tirofiban)</w:t>
      </w:r>
    </w:p>
    <w:p w:rsidR="00EC0EB7" w:rsidRPr="00870819" w:rsidRDefault="00EC0EB7" w:rsidP="00870819">
      <w:pPr>
        <w:pStyle w:val="Heading6"/>
      </w:pPr>
      <w:r w:rsidRPr="00870819">
        <w:t>Efficacy variables and outcomes</w:t>
      </w:r>
    </w:p>
    <w:p w:rsidR="00EC0EB7" w:rsidRPr="00870819" w:rsidRDefault="00EC0EB7" w:rsidP="00870819">
      <w:r w:rsidRPr="00870819">
        <w:t>The primary efficacy outcome measure was the incidence of an adjudicated composite of symptomatic, recurrent VTE (nonfatal DVT or nonfatal PE) or VTE-related dea</w:t>
      </w:r>
      <w:r w:rsidR="00870819">
        <w:t xml:space="preserve">th during 6 months of therapy. </w:t>
      </w:r>
      <w:r w:rsidRPr="00870819">
        <w:t>The secondary efficacy outcome measures were:</w:t>
      </w:r>
    </w:p>
    <w:p w:rsidR="00EC0EB7" w:rsidRPr="00870819" w:rsidRDefault="00EC0EB7" w:rsidP="00870819">
      <w:pPr>
        <w:pStyle w:val="ListBullet"/>
      </w:pPr>
      <w:r w:rsidRPr="00870819">
        <w:t>Incidence of adjudicated composite of recurrent symptomatic VTE and all-cause death</w:t>
      </w:r>
    </w:p>
    <w:p w:rsidR="00EC0EB7" w:rsidRPr="00870819" w:rsidRDefault="00EC0EB7" w:rsidP="00870819">
      <w:pPr>
        <w:pStyle w:val="ListBullet"/>
      </w:pPr>
      <w:r w:rsidRPr="00870819">
        <w:t>Incidence of adjudicated composite of recurrent symptomatic VTE and CV-related death</w:t>
      </w:r>
    </w:p>
    <w:p w:rsidR="00EC0EB7" w:rsidRPr="00870819" w:rsidRDefault="00EC0EB7" w:rsidP="00870819">
      <w:pPr>
        <w:pStyle w:val="ListBullet"/>
      </w:pPr>
      <w:r w:rsidRPr="00870819">
        <w:t>Incidence of adjudicated composite of recurrent symptomatic VTE, VTE-related death and major bleeding</w:t>
      </w:r>
    </w:p>
    <w:p w:rsidR="00EC0EB7" w:rsidRPr="00870819" w:rsidRDefault="00EC0EB7" w:rsidP="00870819">
      <w:pPr>
        <w:pStyle w:val="ListBullet"/>
      </w:pPr>
      <w:r w:rsidRPr="00870819">
        <w:t>Incidence of adjudicated symptomatic non-fatal DVT</w:t>
      </w:r>
    </w:p>
    <w:p w:rsidR="00EC0EB7" w:rsidRPr="00870819" w:rsidRDefault="00EC0EB7" w:rsidP="00870819">
      <w:pPr>
        <w:pStyle w:val="ListBullet"/>
      </w:pPr>
      <w:r w:rsidRPr="00870819">
        <w:t>Incidence of adjudicated symptomatic non-fatal PE</w:t>
      </w:r>
    </w:p>
    <w:p w:rsidR="00EC0EB7" w:rsidRPr="00870819" w:rsidRDefault="00EC0EB7" w:rsidP="00870819">
      <w:pPr>
        <w:pStyle w:val="ListBullet"/>
      </w:pPr>
      <w:r w:rsidRPr="00870819">
        <w:t>Incidence of adjudicated VTE-related death</w:t>
      </w:r>
    </w:p>
    <w:p w:rsidR="00EC0EB7" w:rsidRPr="00870819" w:rsidRDefault="00EC0EB7" w:rsidP="00870819">
      <w:pPr>
        <w:pStyle w:val="ListBullet"/>
      </w:pPr>
      <w:r w:rsidRPr="00870819">
        <w:t>Incidence of adjudicated CV-related death</w:t>
      </w:r>
    </w:p>
    <w:p w:rsidR="00EC0EB7" w:rsidRPr="00870819" w:rsidRDefault="00EC0EB7" w:rsidP="00870819">
      <w:pPr>
        <w:pStyle w:val="ListBullet"/>
      </w:pPr>
      <w:r w:rsidRPr="00870819">
        <w:t>Incidence of all-cause death</w:t>
      </w:r>
    </w:p>
    <w:p w:rsidR="00EC0EB7" w:rsidRPr="00870819" w:rsidRDefault="00EC0EB7" w:rsidP="00870819">
      <w:r w:rsidRPr="00870819">
        <w:t>In addition to the protocol specified endpoints, the following endpoints were investigated:</w:t>
      </w:r>
    </w:p>
    <w:p w:rsidR="00EC0EB7" w:rsidRPr="00870819" w:rsidRDefault="00EC0EB7" w:rsidP="00870819">
      <w:pPr>
        <w:pStyle w:val="ListBullet"/>
      </w:pPr>
      <w:r w:rsidRPr="00870819">
        <w:lastRenderedPageBreak/>
        <w:t>Time to first occurrence of an adjudicated composite of recurrent symptomatic VTE (nonfatal DVT or nonfatal PE) and all-cause death</w:t>
      </w:r>
    </w:p>
    <w:p w:rsidR="00EC0EB7" w:rsidRPr="00870819" w:rsidRDefault="00EC0EB7" w:rsidP="00870819">
      <w:pPr>
        <w:pStyle w:val="ListBullet"/>
      </w:pPr>
      <w:r w:rsidRPr="00870819">
        <w:t>Time to first occurrence of an adjudicated composite of recurrent symptomatic VTE (nonfatal DVT or nonfatal PE) and VTE-related death</w:t>
      </w:r>
    </w:p>
    <w:p w:rsidR="00EC0EB7" w:rsidRPr="00870819" w:rsidRDefault="00EC0EB7" w:rsidP="00870819">
      <w:pPr>
        <w:pStyle w:val="ListBullet"/>
      </w:pPr>
      <w:r w:rsidRPr="00870819">
        <w:t>Incidence of adjudicated composite of recurrent symptomatic VTE, myocardial infarction, stroke, CV-related death, major bleeding, CRNMB</w:t>
      </w:r>
    </w:p>
    <w:p w:rsidR="00EC0EB7" w:rsidRPr="00870819" w:rsidRDefault="00EC0EB7" w:rsidP="00EC0EB7">
      <w:r w:rsidRPr="00870819">
        <w:t>There was ICAC review and adjudication for all VTE events without awar</w:t>
      </w:r>
      <w:r w:rsidR="00870819">
        <w:t xml:space="preserve">eness of treatment allocation. </w:t>
      </w:r>
      <w:r w:rsidRPr="00870819">
        <w:t>The required tests to demonstrate the presence of DVT were ultrasonography or venography. The tests to confirm pulmonary embolism were ventilation perfusion scan, spira</w:t>
      </w:r>
      <w:r w:rsidR="00870819">
        <w:t xml:space="preserve">l CT or pulmonary angiography. </w:t>
      </w:r>
      <w:r w:rsidRPr="00870819">
        <w:t>All deaths were assessed on the basis of a clinical summary, an autopsy-report (if available), reports of diagnostic tests (if these were performed), all other relevant information for the ICAC such as additional laboratory values, copies of SAE pages if applicable and good quality copies of diagnostic tests ( if these were available).</w:t>
      </w:r>
    </w:p>
    <w:p w:rsidR="00EC0EB7" w:rsidRPr="00870819" w:rsidRDefault="00EC0EB7" w:rsidP="00870819">
      <w:r w:rsidRPr="00870819">
        <w:t>The primary safety outcome measure was the incidence of adjudicated major bleedin</w:t>
      </w:r>
      <w:r w:rsidR="00870819">
        <w:t xml:space="preserve">g during the treatment period. </w:t>
      </w:r>
      <w:r w:rsidRPr="00870819">
        <w:t>The secondary safety outcome measure was adjudicated composite of major or CRNMB</w:t>
      </w:r>
      <w:r w:rsidR="00870819">
        <w:t xml:space="preserve"> during the treatment period.</w:t>
      </w:r>
      <w:r w:rsidRPr="00870819">
        <w:t xml:space="preserve"> In addition to the protocol-specified endpoints, secondary safety endpoints included:</w:t>
      </w:r>
    </w:p>
    <w:p w:rsidR="00EC0EB7" w:rsidRPr="00870819" w:rsidRDefault="00EC0EB7" w:rsidP="00870819">
      <w:pPr>
        <w:pStyle w:val="ListBullet"/>
      </w:pPr>
      <w:r w:rsidRPr="00870819">
        <w:t>Adjudicated minor bleeding during the treatment period</w:t>
      </w:r>
    </w:p>
    <w:p w:rsidR="00EC0EB7" w:rsidRPr="00870819" w:rsidRDefault="00EC0EB7" w:rsidP="00870819">
      <w:pPr>
        <w:pStyle w:val="ListBullet"/>
      </w:pPr>
      <w:r w:rsidRPr="00870819">
        <w:t>Total adjudicated bleeding defined as adjudicated major, CRNMB, or minor bleeding during the treatment period</w:t>
      </w:r>
    </w:p>
    <w:p w:rsidR="00EC0EB7" w:rsidRPr="00870819" w:rsidRDefault="00EC0EB7" w:rsidP="00870819">
      <w:pPr>
        <w:pStyle w:val="ListBullet"/>
      </w:pPr>
      <w:r w:rsidRPr="00870819">
        <w:t>CRNMB</w:t>
      </w:r>
    </w:p>
    <w:p w:rsidR="00EC0EB7" w:rsidRPr="00870819" w:rsidRDefault="00EC0EB7" w:rsidP="00870819">
      <w:pPr>
        <w:pStyle w:val="ListBullet"/>
      </w:pPr>
      <w:r w:rsidRPr="00870819">
        <w:t>Time to first adjudicated major bleeding during the treatment period</w:t>
      </w:r>
    </w:p>
    <w:p w:rsidR="00EC0EB7" w:rsidRPr="00870819" w:rsidRDefault="00EC0EB7" w:rsidP="00870819">
      <w:pPr>
        <w:pStyle w:val="ListBullet"/>
      </w:pPr>
      <w:r w:rsidRPr="00870819">
        <w:t>Time to first adjudicated composite of major or CRNMB during the treatment period</w:t>
      </w:r>
    </w:p>
    <w:p w:rsidR="00EC0EB7" w:rsidRPr="00870819" w:rsidRDefault="00EC0EB7" w:rsidP="00870819">
      <w:r w:rsidRPr="00870819">
        <w:t>Other safety measures were AEs, laboratory tests, vital signs and ECGs.</w:t>
      </w:r>
    </w:p>
    <w:p w:rsidR="00EC0EB7" w:rsidRPr="00870819" w:rsidRDefault="00EC0EB7" w:rsidP="00870819">
      <w:pPr>
        <w:pStyle w:val="Heading6"/>
      </w:pPr>
      <w:r w:rsidRPr="00870819">
        <w:t>Randomisation and blinding methods</w:t>
      </w:r>
    </w:p>
    <w:p w:rsidR="00EC0EB7" w:rsidRPr="00870819" w:rsidRDefault="00EC0EB7" w:rsidP="00EC0EB7">
      <w:r w:rsidRPr="00870819">
        <w:t xml:space="preserve">Subjects were randomized using </w:t>
      </w:r>
      <w:r w:rsidR="00870819">
        <w:t xml:space="preserve">a central IVRS in a 1:1 ratio. </w:t>
      </w:r>
      <w:r w:rsidRPr="00870819">
        <w:t>Randomization was stratified by the type of disease (symptomatic proximal DVT only or symptomatic PE wi</w:t>
      </w:r>
      <w:r w:rsidR="00870819">
        <w:t>th or without DVT) at baseline.</w:t>
      </w:r>
      <w:r w:rsidRPr="00870819">
        <w:t xml:space="preserve"> Blinding was maintained by using placebos for enoxaparin, warfarin and apixaban (depending upon treatment group).</w:t>
      </w:r>
    </w:p>
    <w:p w:rsidR="00EC0EB7" w:rsidRPr="00870819" w:rsidRDefault="00EC0EB7" w:rsidP="00870819">
      <w:pPr>
        <w:pStyle w:val="Heading6"/>
      </w:pPr>
      <w:r w:rsidRPr="00870819">
        <w:t>Analysis populations</w:t>
      </w:r>
    </w:p>
    <w:p w:rsidR="00EC0EB7" w:rsidRPr="00870819" w:rsidDel="0081373E" w:rsidRDefault="00EC0EB7" w:rsidP="00870819">
      <w:r w:rsidRPr="00870819">
        <w:t>The primary efficacy data set used for analyses of event rates consisted of all randomized subjects with a</w:t>
      </w:r>
      <w:r w:rsidR="00870819">
        <w:t xml:space="preserve"> non-missing primary endpoint. </w:t>
      </w:r>
      <w:r w:rsidRPr="00870819">
        <w:t xml:space="preserve">Non-inferiority was tested using the per-protocol dataset. The primary efficacy population was used as a sensitivity </w:t>
      </w:r>
      <w:r w:rsidR="00870819">
        <w:t>analysis.</w:t>
      </w:r>
      <w:r w:rsidRPr="00870819">
        <w:t xml:space="preserve"> The safety dataset</w:t>
      </w:r>
      <w:r w:rsidR="00870819">
        <w:t xml:space="preserve"> included all treated subjects.</w:t>
      </w:r>
    </w:p>
    <w:p w:rsidR="00EC0EB7" w:rsidRPr="00870819" w:rsidDel="0081373E" w:rsidRDefault="00EC0EB7" w:rsidP="00870819">
      <w:pPr>
        <w:pStyle w:val="Heading6"/>
      </w:pPr>
      <w:r w:rsidRPr="00870819" w:rsidDel="0081373E">
        <w:t>Sample size</w:t>
      </w:r>
    </w:p>
    <w:p w:rsidR="00EC0EB7" w:rsidRPr="00870819" w:rsidRDefault="00EC0EB7" w:rsidP="00870819">
      <w:r w:rsidRPr="00870819">
        <w:t>The sample size calculation was based on a test of non-inferiority with the margin for non-inferiority being the upper 95% CI for the RR being &lt;</w:t>
      </w:r>
      <w:r w:rsidR="00870819">
        <w:t xml:space="preserve"> 1.8. </w:t>
      </w:r>
      <w:r w:rsidRPr="00870819">
        <w:t>Assuming that 3% of subjects in the enoxaparin/warfarin group have VTE (nonfatal DVT or nonfatal PE)/ VTE-related death over 6 months of therapy, a sample size of 4094 subjects (in total and randomized 1:1) would have 90% power for a 1-sided α of 0.025 test of non-inferiority assuming t</w:t>
      </w:r>
      <w:r w:rsidR="00870819">
        <w:t xml:space="preserve">rue RR of 1. </w:t>
      </w:r>
      <w:r w:rsidRPr="00870819">
        <w:t>Assuming 15% subjects discontinued treatment early, 2408 subjects per group would be required.</w:t>
      </w:r>
    </w:p>
    <w:p w:rsidR="00EC0EB7" w:rsidRPr="00870819" w:rsidRDefault="00EC0EB7" w:rsidP="00870819">
      <w:pPr>
        <w:pStyle w:val="Heading6"/>
      </w:pPr>
      <w:r w:rsidRPr="00870819">
        <w:t>Statistical methods</w:t>
      </w:r>
    </w:p>
    <w:p w:rsidR="00EC0EB7" w:rsidRPr="00870819" w:rsidRDefault="00EC0EB7" w:rsidP="00870819">
      <w:r w:rsidRPr="00870819">
        <w:t>Non-inferiority was based the upper 95% CI for the RR being &lt;</w:t>
      </w:r>
      <w:r w:rsidR="00870819">
        <w:t xml:space="preserve"> </w:t>
      </w:r>
      <w:r w:rsidRPr="00870819">
        <w:t>1.8 and a risk difference &lt;</w:t>
      </w:r>
      <w:r w:rsidR="00870819">
        <w:t xml:space="preserve"> 0.035. </w:t>
      </w:r>
      <w:r w:rsidRPr="00870819">
        <w:t xml:space="preserve">Non-inferiority based on CIs was assessed for the primary efficacy outcome measure using </w:t>
      </w:r>
      <w:r w:rsidRPr="00870819">
        <w:lastRenderedPageBreak/>
        <w:t>estimated RR (95% CI</w:t>
      </w:r>
      <w:r w:rsidR="00870819">
        <w:t xml:space="preserve">) using a stratified analysis. </w:t>
      </w:r>
      <w:r w:rsidRPr="00870819">
        <w:t>Hypotheses tests (1-sided p-values for noninferiority) were based on the Yanagawa,</w:t>
      </w:r>
      <w:r w:rsidR="00870819">
        <w:t xml:space="preserve"> Tango and Hiejima (YTH) test. </w:t>
      </w:r>
      <w:r w:rsidRPr="00870819">
        <w:t>Hypotheses test of superiority for efficacy endpoints were based on the Cochran-Mantel-Haenszel (CMH) test stratified by the type of index event (DVT or PE with/without DVT).</w:t>
      </w:r>
    </w:p>
    <w:p w:rsidR="00EC0EB7" w:rsidRPr="00870819" w:rsidRDefault="00EC0EB7" w:rsidP="00870819">
      <w:r w:rsidRPr="00870819">
        <w:t>Multiplicity was addressed by using the following hierarchical approach to hypothesis testing:</w:t>
      </w:r>
    </w:p>
    <w:p w:rsidR="00EC0EB7" w:rsidRPr="00870819" w:rsidRDefault="00EC0EB7" w:rsidP="00566D77">
      <w:pPr>
        <w:pStyle w:val="Numberbullet0"/>
        <w:numPr>
          <w:ilvl w:val="0"/>
          <w:numId w:val="10"/>
        </w:numPr>
      </w:pPr>
      <w:r w:rsidRPr="00870819">
        <w:t>Non-inferiority for VTE/VTE-related death</w:t>
      </w:r>
    </w:p>
    <w:p w:rsidR="00EC0EB7" w:rsidRPr="00870819" w:rsidRDefault="00EC0EB7" w:rsidP="00566D77">
      <w:pPr>
        <w:pStyle w:val="Numberbullet0"/>
        <w:numPr>
          <w:ilvl w:val="0"/>
          <w:numId w:val="10"/>
        </w:numPr>
      </w:pPr>
      <w:r w:rsidRPr="00870819">
        <w:t>Superiority for Major Bleeding</w:t>
      </w:r>
    </w:p>
    <w:p w:rsidR="00EC0EB7" w:rsidRPr="00870819" w:rsidRDefault="00EC0EB7" w:rsidP="00566D77">
      <w:pPr>
        <w:pStyle w:val="Numberbullet0"/>
        <w:numPr>
          <w:ilvl w:val="0"/>
          <w:numId w:val="10"/>
        </w:numPr>
      </w:pPr>
      <w:r w:rsidRPr="00870819">
        <w:t>Superiority for VTE/VTE-related death</w:t>
      </w:r>
    </w:p>
    <w:p w:rsidR="00EC0EB7" w:rsidRPr="00870819" w:rsidRDefault="00EC0EB7" w:rsidP="00566D77">
      <w:pPr>
        <w:pStyle w:val="Numberbullet0"/>
        <w:numPr>
          <w:ilvl w:val="0"/>
          <w:numId w:val="10"/>
        </w:numPr>
      </w:pPr>
      <w:r w:rsidRPr="00870819">
        <w:t>Superiority for Major Bleeding/CRNM Bleeding</w:t>
      </w:r>
    </w:p>
    <w:p w:rsidR="00EC0EB7" w:rsidRPr="00870819" w:rsidRDefault="00EC0EB7" w:rsidP="00870819">
      <w:pPr>
        <w:pStyle w:val="Heading6"/>
      </w:pPr>
      <w:r w:rsidRPr="00870819">
        <w:t>Participant flow</w:t>
      </w:r>
    </w:p>
    <w:p w:rsidR="00EC0EB7" w:rsidRDefault="00EC0EB7" w:rsidP="00870819">
      <w:r w:rsidRPr="00870819">
        <w:t>A total of 5614 subjects were enrolled in the study, 5395 were randomised to treatment and 5365 (99.4%) received at least one dose of study treatment: 2676 received apixaban and 2689 received warfarin</w:t>
      </w:r>
      <w:r w:rsidR="00870819">
        <w:t xml:space="preserve">. </w:t>
      </w:r>
      <w:r w:rsidRPr="00870819">
        <w:t>The 6 months of study treatment was completed by 2314 (86.0%) subjects in the apixaban group and 2291 (84.7%) in the enoxaparin/warfarin (</w:t>
      </w:r>
      <w:r w:rsidR="003F0D0A">
        <w:t>Table 4</w:t>
      </w:r>
      <w:r w:rsidR="00870819">
        <w:t xml:space="preserve">). </w:t>
      </w:r>
      <w:r w:rsidRPr="00870819">
        <w:t>The majority of discontinuations were due to death, AE or thrombotic event</w:t>
      </w:r>
      <w:r w:rsidR="00870819">
        <w:t xml:space="preserve">. </w:t>
      </w:r>
      <w:r w:rsidRPr="00870819">
        <w:t xml:space="preserve">The per-protocol population included 2257 (83.9%) subjects in the apixaban group and 2235 (82.7%) in the </w:t>
      </w:r>
      <w:r w:rsidR="006135FE">
        <w:t>enoxaparin/warfarin</w:t>
      </w:r>
      <w:r w:rsidRPr="00870819">
        <w:t>.</w:t>
      </w:r>
    </w:p>
    <w:p w:rsidR="003F0D0A" w:rsidRPr="002D4BF7" w:rsidRDefault="003F0D0A" w:rsidP="003F0D0A">
      <w:pPr>
        <w:pStyle w:val="Tabletitle"/>
      </w:pPr>
      <w:r w:rsidRPr="002D4BF7">
        <w:t xml:space="preserve">Table </w:t>
      </w:r>
      <w:r>
        <w:t xml:space="preserve">4: </w:t>
      </w:r>
      <w:r w:rsidRPr="002D4BF7">
        <w:t>Overall Summary of Subject Di</w:t>
      </w:r>
      <w:r w:rsidR="003D4AC3">
        <w:t>sposition (Randomized Subjects)</w:t>
      </w:r>
    </w:p>
    <w:p w:rsidR="003F0D0A" w:rsidRPr="002D4BF7" w:rsidRDefault="003F0D0A" w:rsidP="003F0D0A">
      <w:pPr>
        <w:rPr>
          <w:rFonts w:ascii="Times New Roman" w:hAnsi="Times New Roman"/>
          <w:sz w:val="24"/>
        </w:rPr>
      </w:pPr>
      <w:r>
        <w:rPr>
          <w:rFonts w:ascii="Times New Roman" w:hAnsi="Times New Roman"/>
          <w:noProof/>
          <w:sz w:val="24"/>
          <w:lang w:eastAsia="en-AU"/>
        </w:rPr>
        <w:drawing>
          <wp:inline distT="0" distB="0" distL="0" distR="0" wp14:anchorId="2857B868" wp14:editId="484A3B8E">
            <wp:extent cx="4848225" cy="5092320"/>
            <wp:effectExtent l="0" t="0" r="0" b="0"/>
            <wp:docPr id="13" name="Picture 13" descr="Table 4: Overall Summary of Subject Disposition (Randomiz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848225" cy="5092320"/>
                    </a:xfrm>
                    <a:prstGeom prst="rect">
                      <a:avLst/>
                    </a:prstGeom>
                    <a:noFill/>
                    <a:ln>
                      <a:noFill/>
                    </a:ln>
                  </pic:spPr>
                </pic:pic>
              </a:graphicData>
            </a:graphic>
          </wp:inline>
        </w:drawing>
      </w:r>
    </w:p>
    <w:p w:rsidR="00EC0EB7" w:rsidRPr="00870819" w:rsidRDefault="00EC0EB7" w:rsidP="00870819">
      <w:pPr>
        <w:pStyle w:val="Heading6"/>
      </w:pPr>
      <w:r w:rsidRPr="00870819">
        <w:lastRenderedPageBreak/>
        <w:t>Major protocol violations/deviations</w:t>
      </w:r>
    </w:p>
    <w:p w:rsidR="00EC0EB7" w:rsidRDefault="00EC0EB7" w:rsidP="00870819">
      <w:r w:rsidRPr="00870819">
        <w:t>There were 1603 (59.6%) subjects in the apixaban group and 1589 (58.8%) in the enoxaparin/warfarin group with si</w:t>
      </w:r>
      <w:r w:rsidR="00870819">
        <w:t xml:space="preserve">gnificant protocol deviations. </w:t>
      </w:r>
      <w:r w:rsidRPr="00870819">
        <w:t xml:space="preserve">For 1581 (58.85) subjects in the apixaban group and </w:t>
      </w:r>
      <w:r w:rsidR="003F0D0A">
        <w:t>1562 (57.8) in the enoxaparin/</w:t>
      </w:r>
      <w:r w:rsidRPr="00870819">
        <w:t>warfarin the deviation was use of a proh</w:t>
      </w:r>
      <w:r w:rsidR="00870819">
        <w:t xml:space="preserve">ibited concomitant medication. </w:t>
      </w:r>
      <w:r w:rsidRPr="00870819">
        <w:t>For 111 (4.1%) subjects in the apixaban group an</w:t>
      </w:r>
      <w:r w:rsidR="003F0D0A">
        <w:t>d 134 (5.0%) in the enoxaparin/</w:t>
      </w:r>
      <w:r w:rsidRPr="00870819">
        <w:t>warfarin this was a non-study anti-coagulant</w:t>
      </w:r>
      <w:r w:rsidR="00870819">
        <w:t xml:space="preserve">. </w:t>
      </w:r>
      <w:r w:rsidRPr="00870819">
        <w:t>There were five (0.2%) subjects in the apixaban group a</w:t>
      </w:r>
      <w:r w:rsidR="003F0D0A">
        <w:t>nd 17 (0.6%) in the enoxaparin/</w:t>
      </w:r>
      <w:r w:rsidRPr="00870819">
        <w:t>warfarin with active bleeding or high risk of bleeding at enrolment.</w:t>
      </w:r>
      <w:r w:rsidR="00870819">
        <w:t xml:space="preserve"> </w:t>
      </w:r>
      <w:r w:rsidRPr="00870819">
        <w:t>The reasons for exclusion from the per-protocol analysis dataset were similar for the two treatment groups</w:t>
      </w:r>
      <w:r w:rsidR="003F0D0A">
        <w:t xml:space="preserve"> (Table 5)</w:t>
      </w:r>
      <w:r w:rsidRPr="00870819">
        <w:t>.</w:t>
      </w:r>
    </w:p>
    <w:p w:rsidR="003F0D0A" w:rsidRPr="002D4BF7" w:rsidRDefault="003F0D0A" w:rsidP="003F0D0A">
      <w:pPr>
        <w:pStyle w:val="Tabletitle"/>
      </w:pPr>
      <w:r w:rsidRPr="002D4BF7">
        <w:t xml:space="preserve">Table </w:t>
      </w:r>
      <w:r>
        <w:t xml:space="preserve">5: </w:t>
      </w:r>
      <w:r w:rsidRPr="002D4BF7">
        <w:t>Reasons Subjects Excluded From Per-Protocol Population (as Defined by the Statistical Analy</w:t>
      </w:r>
      <w:r w:rsidR="002B2860">
        <w:t>sis Plan) (Randomized Subjects)</w:t>
      </w:r>
    </w:p>
    <w:p w:rsidR="003F0D0A" w:rsidRPr="002D4BF7" w:rsidRDefault="003F0D0A" w:rsidP="003F0D0A">
      <w:pPr>
        <w:rPr>
          <w:rFonts w:ascii="Times New Roman" w:hAnsi="Times New Roman"/>
          <w:sz w:val="24"/>
        </w:rPr>
      </w:pPr>
      <w:r>
        <w:rPr>
          <w:rFonts w:ascii="Times New Roman" w:hAnsi="Times New Roman"/>
          <w:noProof/>
          <w:sz w:val="24"/>
          <w:lang w:eastAsia="en-AU"/>
        </w:rPr>
        <w:t xml:space="preserve"> </w:t>
      </w:r>
      <w:r>
        <w:rPr>
          <w:rFonts w:ascii="Times New Roman" w:hAnsi="Times New Roman"/>
          <w:noProof/>
          <w:sz w:val="24"/>
          <w:lang w:eastAsia="en-AU"/>
        </w:rPr>
        <w:drawing>
          <wp:inline distT="0" distB="0" distL="0" distR="0" wp14:anchorId="62DBA541" wp14:editId="1F5F9352">
            <wp:extent cx="5486400" cy="4429125"/>
            <wp:effectExtent l="0" t="0" r="0" b="9525"/>
            <wp:docPr id="14" name="Picture 14" descr="Table 5:Reasons Subjects Excluded From Per-Protocol Population (as Defined by the Statistical Analysis Plan)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5486400" cy="4429125"/>
                    </a:xfrm>
                    <a:prstGeom prst="rect">
                      <a:avLst/>
                    </a:prstGeom>
                    <a:noFill/>
                    <a:ln>
                      <a:noFill/>
                    </a:ln>
                  </pic:spPr>
                </pic:pic>
              </a:graphicData>
            </a:graphic>
          </wp:inline>
        </w:drawing>
      </w:r>
    </w:p>
    <w:p w:rsidR="00EC0EB7" w:rsidRPr="00870819" w:rsidRDefault="00EC0EB7" w:rsidP="00870819">
      <w:r w:rsidRPr="00870819">
        <w:t>Data from one study site (Site CV185056-0648 at Shefali Center, Paldi, Ahmedabad, India) were excluded following an internal audit which found that the site lacked appropriate source documentation for a number of data, despite repeated training.</w:t>
      </w:r>
    </w:p>
    <w:p w:rsidR="00EC0EB7" w:rsidRPr="00870819" w:rsidRDefault="00EC0EB7" w:rsidP="00870819">
      <w:pPr>
        <w:pStyle w:val="Heading6"/>
      </w:pPr>
      <w:r w:rsidRPr="00870819">
        <w:t>Baseline data</w:t>
      </w:r>
    </w:p>
    <w:p w:rsidR="00EC0EB7" w:rsidRDefault="00EC0EB7" w:rsidP="00870819">
      <w:r w:rsidRPr="00870819">
        <w:t>There were 3167 (58.7%) males, 2228 (41.3%) females and the age range was 18 to 99 years</w:t>
      </w:r>
      <w:r w:rsidR="00870819">
        <w:t xml:space="preserve">. </w:t>
      </w:r>
      <w:r w:rsidRPr="00870819">
        <w:t>There were 1130 (20.9%) subjects aged 65 to &lt;</w:t>
      </w:r>
      <w:r w:rsidR="00870819">
        <w:t xml:space="preserve"> </w:t>
      </w:r>
      <w:r w:rsidRPr="00870819">
        <w:t>75 years and 774 (14.3%) aged ≥</w:t>
      </w:r>
      <w:r w:rsidR="00870819">
        <w:t xml:space="preserve"> 75 years. </w:t>
      </w:r>
      <w:r w:rsidRPr="00870819">
        <w:t>The treatment groups were similar in baseline demographic charact</w:t>
      </w:r>
      <w:r w:rsidR="00870819">
        <w:t xml:space="preserve">eristics and VTE risk factors. </w:t>
      </w:r>
      <w:r w:rsidRPr="00870819">
        <w:t>The treatment groups were similar in primary anticoagulant treatment prior to randomisation</w:t>
      </w:r>
      <w:r w:rsidR="00870819">
        <w:t xml:space="preserve">. </w:t>
      </w:r>
      <w:r w:rsidRPr="00870819">
        <w:t>The treatment groups were similar in prior antiplatelet treatment</w:t>
      </w:r>
      <w:r w:rsidR="00870819">
        <w:t xml:space="preserve">. </w:t>
      </w:r>
      <w:r w:rsidRPr="00870819">
        <w:t>The treatment groups were similar in concomitant anticoagulant medications received during the treatment per</w:t>
      </w:r>
      <w:r w:rsidRPr="006135FE">
        <w:t xml:space="preserve">iod (Table </w:t>
      </w:r>
      <w:r w:rsidR="006135FE" w:rsidRPr="006135FE">
        <w:t>6</w:t>
      </w:r>
      <w:r w:rsidRPr="006135FE">
        <w:t>)</w:t>
      </w:r>
      <w:r w:rsidR="00870819" w:rsidRPr="006135FE">
        <w:t xml:space="preserve">. </w:t>
      </w:r>
      <w:r w:rsidRPr="006135FE">
        <w:t>The index events were similar for the two treatment groups (Table 7</w:t>
      </w:r>
      <w:r w:rsidR="00870819" w:rsidRPr="006135FE">
        <w:t>).</w:t>
      </w:r>
    </w:p>
    <w:p w:rsidR="006135FE" w:rsidRPr="002D4BF7" w:rsidRDefault="006135FE" w:rsidP="006135FE">
      <w:pPr>
        <w:pStyle w:val="Tabletitle"/>
      </w:pPr>
      <w:r w:rsidRPr="002D4BF7">
        <w:lastRenderedPageBreak/>
        <w:t xml:space="preserve">Table </w:t>
      </w:r>
      <w:r>
        <w:t xml:space="preserve">6: </w:t>
      </w:r>
      <w:r w:rsidRPr="002D4BF7">
        <w:t>Concomitant Anticoagulant Medications Received During the Treatment Period, Excluding Day 1 and the Last 2 Days of Study Treatment</w:t>
      </w:r>
    </w:p>
    <w:p w:rsidR="006135FE" w:rsidRPr="002D4BF7" w:rsidRDefault="006135FE" w:rsidP="006135FE">
      <w:pPr>
        <w:rPr>
          <w:rFonts w:ascii="Times New Roman" w:hAnsi="Times New Roman"/>
          <w:sz w:val="24"/>
        </w:rPr>
      </w:pPr>
      <w:r>
        <w:rPr>
          <w:rFonts w:ascii="Times New Roman" w:hAnsi="Times New Roman"/>
          <w:noProof/>
          <w:sz w:val="24"/>
          <w:lang w:eastAsia="en-AU"/>
        </w:rPr>
        <w:drawing>
          <wp:inline distT="0" distB="0" distL="0" distR="0" wp14:anchorId="30A36910" wp14:editId="08024E1A">
            <wp:extent cx="5486400" cy="1438275"/>
            <wp:effectExtent l="0" t="0" r="0" b="9525"/>
            <wp:docPr id="18" name="Picture 18" descr="Table 6: Concomitant Anticoagulant Medications Received During the Treatment Period, Excluding Day 1 and the Last 2 Days of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rsidR="006135FE" w:rsidRPr="002D4BF7" w:rsidRDefault="006135FE" w:rsidP="006135FE">
      <w:pPr>
        <w:pStyle w:val="Tabletitle"/>
      </w:pPr>
      <w:r w:rsidRPr="002D4BF7">
        <w:t>Table 7</w:t>
      </w:r>
      <w:r>
        <w:t xml:space="preserve">: </w:t>
      </w:r>
      <w:r w:rsidRPr="002D4BF7">
        <w:t>Summary of In</w:t>
      </w:r>
      <w:r w:rsidR="002B2860">
        <w:t>dex Event (Randomized Subjects)</w:t>
      </w:r>
    </w:p>
    <w:p w:rsidR="006135FE" w:rsidRPr="002D4BF7" w:rsidRDefault="006135FE" w:rsidP="006135FE">
      <w:pPr>
        <w:rPr>
          <w:rFonts w:ascii="Times New Roman" w:hAnsi="Times New Roman"/>
          <w:sz w:val="24"/>
        </w:rPr>
      </w:pPr>
      <w:r>
        <w:rPr>
          <w:rFonts w:ascii="Times New Roman" w:hAnsi="Times New Roman"/>
          <w:noProof/>
          <w:sz w:val="24"/>
          <w:lang w:eastAsia="en-AU"/>
        </w:rPr>
        <w:drawing>
          <wp:inline distT="0" distB="0" distL="0" distR="0" wp14:anchorId="5B7AF344" wp14:editId="16D35DE8">
            <wp:extent cx="5486400" cy="4505325"/>
            <wp:effectExtent l="0" t="0" r="0" b="9525"/>
            <wp:docPr id="17" name="Picture 17" descr="Table 7: Summary of Index Event (Randomiz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5486400" cy="4505325"/>
                    </a:xfrm>
                    <a:prstGeom prst="rect">
                      <a:avLst/>
                    </a:prstGeom>
                    <a:noFill/>
                    <a:ln>
                      <a:noFill/>
                    </a:ln>
                  </pic:spPr>
                </pic:pic>
              </a:graphicData>
            </a:graphic>
          </wp:inline>
        </w:drawing>
      </w:r>
    </w:p>
    <w:p w:rsidR="00EC0EB7" w:rsidRPr="00870819" w:rsidRDefault="00EC0EB7" w:rsidP="00870819">
      <w:pPr>
        <w:pStyle w:val="Heading6"/>
      </w:pPr>
      <w:r w:rsidRPr="00870819">
        <w:t>Results for the primary efficacy outcome</w:t>
      </w:r>
    </w:p>
    <w:p w:rsidR="00EC0EB7" w:rsidRPr="006135FE" w:rsidRDefault="00EC0EB7" w:rsidP="00870819">
      <w:r w:rsidRPr="00870819">
        <w:t>Non-inferiority was demonstrated according to the predefined cr</w:t>
      </w:r>
      <w:r w:rsidRPr="006135FE">
        <w:t xml:space="preserve">iteria (Table </w:t>
      </w:r>
      <w:r w:rsidR="006135FE" w:rsidRPr="006135FE">
        <w:t>8</w:t>
      </w:r>
      <w:r w:rsidR="00870819" w:rsidRPr="006135FE">
        <w:t xml:space="preserve">). </w:t>
      </w:r>
      <w:r w:rsidRPr="006135FE">
        <w:t>There were 59 events in the apixaban population and 7</w:t>
      </w:r>
      <w:r w:rsidR="00870819" w:rsidRPr="006135FE">
        <w:t xml:space="preserve">1 in the </w:t>
      </w:r>
      <w:r w:rsidR="006135FE">
        <w:t>enoxaparin/warfarin</w:t>
      </w:r>
      <w:r w:rsidR="00870819" w:rsidRPr="006135FE">
        <w:t xml:space="preserve">. </w:t>
      </w:r>
      <w:r w:rsidRPr="006135FE">
        <w:t>The RR (95% CI) for the primary efficacy outcome measure in the per-protocol population was 0.6611 (0.4243 to 1.0301) with the upper 95% CI being &lt;</w:t>
      </w:r>
      <w:r w:rsidR="00870819" w:rsidRPr="006135FE">
        <w:t xml:space="preserve"> </w:t>
      </w:r>
      <w:r w:rsidRPr="006135FE">
        <w:t>1.8 (the criterion for non-inferiority) and the risk difference (95% CI) was -0.0072 (-0.0150 to 0.0005) which was less than the non-inferiority criterion of 0.035</w:t>
      </w:r>
      <w:r w:rsidR="00870819" w:rsidRPr="006135FE">
        <w:t xml:space="preserve">. </w:t>
      </w:r>
      <w:r w:rsidRPr="006135FE">
        <w:t>In the primary efficacy population the RR (95% CI) was 0.8390 (0.2965 to 1.1802), and the risk difference (95% CI) wa</w:t>
      </w:r>
      <w:r w:rsidR="00870819" w:rsidRPr="006135FE">
        <w:t xml:space="preserve">s -0.0044 (-0.0128 to 0.0040). </w:t>
      </w:r>
      <w:r w:rsidRPr="006135FE">
        <w:t>However, by the same hypothesis tests, superiority was not demonstrated for apixaban.</w:t>
      </w:r>
    </w:p>
    <w:p w:rsidR="00EC0EB7" w:rsidRDefault="00EC0EB7" w:rsidP="00870819">
      <w:r w:rsidRPr="006135FE">
        <w:t xml:space="preserve">The excess of events in the </w:t>
      </w:r>
      <w:r w:rsidR="006135FE">
        <w:t>enoxaparin/warfarin</w:t>
      </w:r>
      <w:r w:rsidRPr="006135FE">
        <w:t xml:space="preserve"> group was primarily due to more non-fatal DVT in that group (Table </w:t>
      </w:r>
      <w:r w:rsidR="006135FE" w:rsidRPr="006135FE">
        <w:t>9</w:t>
      </w:r>
      <w:r w:rsidRPr="006135FE">
        <w:t>)</w:t>
      </w:r>
      <w:r w:rsidR="00870819" w:rsidRPr="006135FE">
        <w:t>.</w:t>
      </w:r>
    </w:p>
    <w:p w:rsidR="006135FE" w:rsidRPr="002D4BF7" w:rsidRDefault="006135FE" w:rsidP="006135FE">
      <w:pPr>
        <w:pStyle w:val="Tabletitle"/>
      </w:pPr>
      <w:r w:rsidRPr="002D4BF7">
        <w:lastRenderedPageBreak/>
        <w:t xml:space="preserve">Table </w:t>
      </w:r>
      <w:r>
        <w:t xml:space="preserve">8: </w:t>
      </w:r>
      <w:r w:rsidRPr="002D4BF7">
        <w:t>Analysis of Adjudicated VTE (Nonfatal DVT or</w:t>
      </w:r>
      <w:r w:rsidR="002B2860">
        <w:t xml:space="preserve"> Nonfatal PE)/VTE-Related Death</w:t>
      </w:r>
    </w:p>
    <w:p w:rsidR="006135FE" w:rsidRPr="002D4BF7" w:rsidRDefault="006135FE" w:rsidP="006135FE">
      <w:pPr>
        <w:rPr>
          <w:rFonts w:ascii="Times New Roman" w:hAnsi="Times New Roman"/>
          <w:sz w:val="24"/>
        </w:rPr>
      </w:pPr>
      <w:r>
        <w:rPr>
          <w:rFonts w:ascii="Times New Roman" w:hAnsi="Times New Roman"/>
          <w:noProof/>
          <w:sz w:val="24"/>
          <w:lang w:eastAsia="en-AU"/>
        </w:rPr>
        <w:drawing>
          <wp:inline distT="0" distB="0" distL="0" distR="0" wp14:anchorId="45C65DD4" wp14:editId="660A71F8">
            <wp:extent cx="5486400" cy="5514975"/>
            <wp:effectExtent l="0" t="0" r="0" b="9525"/>
            <wp:docPr id="15" name="Picture 15" descr="Table 8: Analysis of Adjudicated VTE (Nonfatal DVT or Nonfatal PE)/VTE-Related D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5486400" cy="5514975"/>
                    </a:xfrm>
                    <a:prstGeom prst="rect">
                      <a:avLst/>
                    </a:prstGeom>
                    <a:noFill/>
                    <a:ln>
                      <a:noFill/>
                    </a:ln>
                  </pic:spPr>
                </pic:pic>
              </a:graphicData>
            </a:graphic>
          </wp:inline>
        </w:drawing>
      </w:r>
    </w:p>
    <w:p w:rsidR="006135FE" w:rsidRPr="002D4BF7" w:rsidRDefault="006135FE" w:rsidP="006135FE">
      <w:pPr>
        <w:pStyle w:val="Tabletitle"/>
      </w:pPr>
      <w:r w:rsidRPr="002D4BF7">
        <w:lastRenderedPageBreak/>
        <w:t xml:space="preserve">Table </w:t>
      </w:r>
      <w:r>
        <w:t xml:space="preserve">9: </w:t>
      </w:r>
      <w:r w:rsidRPr="002D4BF7">
        <w:t>Adjudicated Primary Efficacy Endpoints (Nonfatal DVT, Nonfatal PE and VTE-Related Death) During the Intended Treatme</w:t>
      </w:r>
      <w:r w:rsidR="002B2860">
        <w:t>nt Period (Randomized Subjects)</w:t>
      </w:r>
    </w:p>
    <w:p w:rsidR="006135FE" w:rsidRPr="002D4BF7" w:rsidRDefault="006135FE" w:rsidP="006135FE">
      <w:pPr>
        <w:autoSpaceDE w:val="0"/>
        <w:autoSpaceDN w:val="0"/>
        <w:adjustRightInd w:val="0"/>
        <w:rPr>
          <w:rFonts w:ascii="Times New Roman" w:hAnsi="Times New Roman"/>
          <w:sz w:val="24"/>
        </w:rPr>
      </w:pPr>
      <w:r>
        <w:rPr>
          <w:rFonts w:ascii="Times New Roman" w:hAnsi="Times New Roman"/>
          <w:noProof/>
          <w:sz w:val="24"/>
          <w:lang w:eastAsia="en-AU"/>
        </w:rPr>
        <w:drawing>
          <wp:inline distT="0" distB="0" distL="0" distR="0" wp14:anchorId="39C31CC6" wp14:editId="0D339E11">
            <wp:extent cx="5486400" cy="3171825"/>
            <wp:effectExtent l="0" t="0" r="0" b="9525"/>
            <wp:docPr id="16" name="Picture 16" descr="Table 9: Adjudicated Primary Efficacy Endpoints (Nonfatal DVT, Nonfatal PE and VTE-Related Death) During the Intended Treatment Period (Randomiz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486400" cy="3171825"/>
                    </a:xfrm>
                    <a:prstGeom prst="rect">
                      <a:avLst/>
                    </a:prstGeom>
                    <a:noFill/>
                    <a:ln>
                      <a:noFill/>
                    </a:ln>
                  </pic:spPr>
                </pic:pic>
              </a:graphicData>
            </a:graphic>
          </wp:inline>
        </w:drawing>
      </w:r>
    </w:p>
    <w:p w:rsidR="00EC0EB7" w:rsidRPr="006135FE" w:rsidRDefault="00EC0EB7" w:rsidP="00870819">
      <w:r w:rsidRPr="00870819">
        <w:t xml:space="preserve">There was no difference in efficacy by index event type </w:t>
      </w:r>
      <w:r w:rsidRPr="006135FE">
        <w:t>(Table</w:t>
      </w:r>
      <w:r w:rsidR="006135FE" w:rsidRPr="006135FE">
        <w:t xml:space="preserve"> 10</w:t>
      </w:r>
      <w:r w:rsidRPr="006135FE">
        <w:t>).</w:t>
      </w:r>
      <w:r w:rsidR="00870819" w:rsidRPr="006135FE">
        <w:t xml:space="preserve"> </w:t>
      </w:r>
      <w:r w:rsidRPr="006135FE">
        <w:t xml:space="preserve">There was no statistically significant subgroup effect on primary efficacy outcome measure (Figure </w:t>
      </w:r>
      <w:r w:rsidR="006135FE" w:rsidRPr="006135FE">
        <w:t>10</w:t>
      </w:r>
      <w:r w:rsidRPr="006135FE">
        <w:t>).</w:t>
      </w:r>
    </w:p>
    <w:p w:rsidR="006135FE" w:rsidRPr="002D4BF7" w:rsidRDefault="006135FE" w:rsidP="006135FE">
      <w:pPr>
        <w:pStyle w:val="Tabletitle"/>
      </w:pPr>
      <w:r w:rsidRPr="006135FE">
        <w:t>Table 10: Subgroup Analysis of Adjudicated VTE (N</w:t>
      </w:r>
      <w:r w:rsidRPr="002D4BF7">
        <w:t>onfatal DVT or Nonfatal PE)/VTE-Related Death During the Intended Treatment Period by Index Event T</w:t>
      </w:r>
      <w:r w:rsidR="002B2860">
        <w:t>ype (Primary Efficacy Subjects)</w:t>
      </w:r>
    </w:p>
    <w:p w:rsidR="006135FE" w:rsidRPr="002D4BF7" w:rsidRDefault="006135FE" w:rsidP="006135FE">
      <w:pPr>
        <w:rPr>
          <w:rFonts w:ascii="Times New Roman" w:hAnsi="Times New Roman"/>
          <w:sz w:val="24"/>
        </w:rPr>
      </w:pPr>
      <w:r>
        <w:rPr>
          <w:rFonts w:ascii="Times New Roman" w:hAnsi="Times New Roman"/>
          <w:noProof/>
          <w:sz w:val="24"/>
          <w:lang w:eastAsia="en-AU"/>
        </w:rPr>
        <w:drawing>
          <wp:inline distT="0" distB="0" distL="0" distR="0" wp14:anchorId="1043A641" wp14:editId="0E4DC84F">
            <wp:extent cx="5486400" cy="3209925"/>
            <wp:effectExtent l="0" t="0" r="0" b="9525"/>
            <wp:docPr id="19" name="Picture 19" descr="Table 10: Subgroup Analysis of Adjudicated VTE (Nonfatal DVT or Nonfatal PE)/VTE-Related Death During the Intended Treatment Period by Index Event Type (Primary Efficacy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a:noFill/>
                    </a:ln>
                  </pic:spPr>
                </pic:pic>
              </a:graphicData>
            </a:graphic>
          </wp:inline>
        </w:drawing>
      </w:r>
    </w:p>
    <w:p w:rsidR="00EC0EB7" w:rsidRDefault="006135FE" w:rsidP="00EC0EB7">
      <w:r>
        <w:t xml:space="preserve">The </w:t>
      </w:r>
      <w:r w:rsidRPr="006135FE">
        <w:t>subjects in the enoxaparin/</w:t>
      </w:r>
      <w:r w:rsidR="00EC0EB7" w:rsidRPr="006135FE">
        <w:t xml:space="preserve">warfarin range were within the target INR range for 61% of the time (Table </w:t>
      </w:r>
      <w:r w:rsidRPr="006135FE">
        <w:t>11</w:t>
      </w:r>
      <w:r w:rsidR="00EC0EB7" w:rsidRPr="006135FE">
        <w:t>).</w:t>
      </w:r>
    </w:p>
    <w:p w:rsidR="006135FE" w:rsidRPr="002D4BF7" w:rsidRDefault="006135FE" w:rsidP="006135FE">
      <w:pPr>
        <w:pStyle w:val="Tabletitle"/>
      </w:pPr>
      <w:r w:rsidRPr="002D4BF7">
        <w:lastRenderedPageBreak/>
        <w:t xml:space="preserve">Table </w:t>
      </w:r>
      <w:r>
        <w:t xml:space="preserve">11: </w:t>
      </w:r>
      <w:r w:rsidRPr="002D4BF7">
        <w:t xml:space="preserve">Proportion of Time in Specified INR Range During the Treatment </w:t>
      </w:r>
      <w:r w:rsidR="002B2860">
        <w:t>Period (Randomized Subjects)</w:t>
      </w:r>
    </w:p>
    <w:p w:rsidR="006135FE" w:rsidRPr="002D4BF7" w:rsidRDefault="006135FE" w:rsidP="006135FE">
      <w:pPr>
        <w:rPr>
          <w:rFonts w:ascii="Times New Roman" w:hAnsi="Times New Roman"/>
          <w:sz w:val="24"/>
        </w:rPr>
      </w:pPr>
      <w:r>
        <w:rPr>
          <w:rFonts w:ascii="Times New Roman" w:hAnsi="Times New Roman"/>
          <w:noProof/>
          <w:sz w:val="24"/>
          <w:lang w:eastAsia="en-AU"/>
        </w:rPr>
        <w:drawing>
          <wp:inline distT="0" distB="0" distL="0" distR="0" wp14:anchorId="590A371E" wp14:editId="77F1717B">
            <wp:extent cx="5486400" cy="2933700"/>
            <wp:effectExtent l="0" t="0" r="0" b="0"/>
            <wp:docPr id="20" name="Picture 20" descr="Table 11: Proportion of Time in Specified INR Range During the Treatment Period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rsidR="00EC0EB7" w:rsidRPr="00870819" w:rsidRDefault="00EC0EB7" w:rsidP="00870819">
      <w:pPr>
        <w:pStyle w:val="Heading6"/>
      </w:pPr>
      <w:r w:rsidRPr="00870819">
        <w:t>Results for other efficacy outcomes</w:t>
      </w:r>
    </w:p>
    <w:p w:rsidR="00EC0EB7" w:rsidRPr="00870819" w:rsidRDefault="00EC0EB7" w:rsidP="00870819">
      <w:r w:rsidRPr="00870819">
        <w:t>For the secondary efficacy outcome measures:</w:t>
      </w:r>
    </w:p>
    <w:p w:rsidR="00EC0EB7" w:rsidRPr="00870819" w:rsidRDefault="00EC0EB7" w:rsidP="00870819">
      <w:pPr>
        <w:pStyle w:val="ListBullet"/>
      </w:pPr>
      <w:r w:rsidRPr="00870819">
        <w:t xml:space="preserve">Recurrent symptomatic VTE and all-cause death: 84 episodes in the apixaban group, 104 in the </w:t>
      </w:r>
      <w:r w:rsidR="006135FE">
        <w:t>enoxaparin/warfarin</w:t>
      </w:r>
      <w:r w:rsidRPr="00870819">
        <w:t>, RR (95% CI) 0.8151 (0.6146 to 1.0812), p = 0.1554</w:t>
      </w:r>
      <w:r w:rsidR="006135FE">
        <w:t>.</w:t>
      </w:r>
    </w:p>
    <w:p w:rsidR="00EC0EB7" w:rsidRPr="00870819" w:rsidRDefault="00EC0EB7" w:rsidP="00870819">
      <w:pPr>
        <w:pStyle w:val="ListBullet"/>
      </w:pPr>
      <w:r w:rsidRPr="00870819">
        <w:t>Incidence (95% CI) of adjudicated composite of recurrent symptomatic VTE and CV-related death: 0.0234 (0.0176 to 0.0292) in the apixaban group and 0.0292 (0.0228 to 0.03</w:t>
      </w:r>
      <w:r w:rsidR="006135FE">
        <w:t>57) in the enoxaparin/warfarin.</w:t>
      </w:r>
    </w:p>
    <w:p w:rsidR="00EC0EB7" w:rsidRPr="00870819" w:rsidRDefault="00EC0EB7" w:rsidP="00870819">
      <w:pPr>
        <w:pStyle w:val="ListBullet"/>
      </w:pPr>
      <w:r w:rsidRPr="00870819">
        <w:t>Incidence (95% CI) of adjudicated composite of recurrent symptomatic VTE, VTE-related death and major bleeding: 0.0280 (0.0216 to 0.0343) in the apixaban group and 0.0448 (0.0369 to 0.0527) in the enoxaparin/warfarin</w:t>
      </w:r>
      <w:r w:rsidR="006135FE">
        <w:t>.</w:t>
      </w:r>
    </w:p>
    <w:p w:rsidR="00EC0EB7" w:rsidRPr="00870819" w:rsidRDefault="00EC0EB7" w:rsidP="00870819">
      <w:pPr>
        <w:pStyle w:val="ListBullet"/>
      </w:pPr>
      <w:r w:rsidRPr="00870819">
        <w:t>Incidence (95% CI) of adjudicated symptomatic non-fatal DVT: 0.0084 (0.0049 to 0.0119) in the apixaban group and 0.0133 (0.0089 to 0.0177) in the enoxaparin/warfarin</w:t>
      </w:r>
      <w:r w:rsidR="006135FE">
        <w:t>.</w:t>
      </w:r>
    </w:p>
    <w:p w:rsidR="00EC0EB7" w:rsidRPr="00871F86" w:rsidRDefault="00EC0EB7" w:rsidP="00870819">
      <w:pPr>
        <w:pStyle w:val="ListBullet"/>
      </w:pPr>
      <w:r w:rsidRPr="00871F86">
        <w:t xml:space="preserve">Incidence (95% CI) of adjudicated symptomatic non-fatal PE: 0.0104 (0.0065 to 0.0142) in the apixaban group and 0.0095 (0.0058 to 0.0132) in the </w:t>
      </w:r>
      <w:r w:rsidR="006135FE" w:rsidRPr="00871F86">
        <w:t>enoxaparin/warfarin.</w:t>
      </w:r>
    </w:p>
    <w:p w:rsidR="00EC0EB7" w:rsidRPr="00871F86" w:rsidRDefault="00EC0EB7" w:rsidP="00870819">
      <w:pPr>
        <w:pStyle w:val="ListBullet"/>
      </w:pPr>
      <w:r w:rsidRPr="00871F86">
        <w:t xml:space="preserve">Incidence (95% CI) of adjudicated VTE-related death: 0.0046 (0.0020 to 0.0072) in the apixaban group and 0.0061 (0.0031 to 0.0091) in the </w:t>
      </w:r>
      <w:r w:rsidR="006135FE" w:rsidRPr="00871F86">
        <w:t>enoxaparin/warfarin.</w:t>
      </w:r>
    </w:p>
    <w:p w:rsidR="00EC0EB7" w:rsidRPr="00871F86" w:rsidRDefault="00EC0EB7" w:rsidP="00870819">
      <w:pPr>
        <w:pStyle w:val="ListBullet"/>
      </w:pPr>
      <w:r w:rsidRPr="00871F86">
        <w:t xml:space="preserve">Incidence (95% CI) of adjudicated CV-related death: 0.0058 (0.0028 to 0.0087) in the apixaban group and 0.0087 (0.0052 to 0.0123) in the </w:t>
      </w:r>
      <w:r w:rsidR="006135FE" w:rsidRPr="00871F86">
        <w:t>enoxaparin/warfarin.</w:t>
      </w:r>
    </w:p>
    <w:p w:rsidR="00EC0EB7" w:rsidRPr="00870819" w:rsidRDefault="00EC0EB7" w:rsidP="00870819">
      <w:pPr>
        <w:pStyle w:val="ListBullet"/>
      </w:pPr>
      <w:r w:rsidRPr="00870819">
        <w:t xml:space="preserve">Incidence (95% CI) of all-cause death: 0.0157 (0.0109 to 0.0205) in the apixaban group and 0.0198 (0.0145 to 0.0251) in the </w:t>
      </w:r>
      <w:r w:rsidR="006135FE">
        <w:t>enoxaparin/warfarin.</w:t>
      </w:r>
    </w:p>
    <w:p w:rsidR="00EC0EB7" w:rsidRPr="00870819" w:rsidRDefault="00EC0EB7" w:rsidP="00EC0EB7">
      <w:pPr>
        <w:pStyle w:val="ListBullet"/>
      </w:pPr>
      <w:r w:rsidRPr="00870819">
        <w:t xml:space="preserve">Incidence (95% CI) of adjudicated composite of recurrent symptomatic VTE, myocardial infarction, stroke, CV-related death, major bleeding, CRNMB: 0.0699 (0.0602 to 0.0205) in the apixaban group and 0.1261 (0.0145 to 0.0251) in the </w:t>
      </w:r>
      <w:r w:rsidR="006135FE">
        <w:t>enoxaparin/warfarin.</w:t>
      </w:r>
    </w:p>
    <w:p w:rsidR="00EC0EB7" w:rsidRPr="00870819" w:rsidRDefault="00EC0EB7" w:rsidP="00870819">
      <w:r w:rsidRPr="00870819">
        <w:t xml:space="preserve">In the 30 day follow-up period the rates of events were similar for the two treatment groups except for non-fatal PE which was more common in the </w:t>
      </w:r>
      <w:r w:rsidR="006135FE">
        <w:t>enoxaparin/warfarin</w:t>
      </w:r>
      <w:r w:rsidRPr="00870819">
        <w:t xml:space="preserve"> group: event rate (95% CI) 0.0007 (0.0000 to 0.0018) in the apixaban compared to 0.0033 (0.0012 to 0.0055) in the </w:t>
      </w:r>
      <w:r w:rsidR="006135FE">
        <w:t>enoxaparin/warfarin</w:t>
      </w:r>
      <w:r w:rsidRPr="00870819">
        <w:t>, p = 0.0345</w:t>
      </w:r>
      <w:r w:rsidR="00870819">
        <w:t xml:space="preserve">. </w:t>
      </w:r>
      <w:r w:rsidRPr="00870819">
        <w:t>There was no significant difference in event rates for non-</w:t>
      </w:r>
      <w:r w:rsidRPr="00870819">
        <w:lastRenderedPageBreak/>
        <w:t>fatal DVT, VTE-related death, CV-related death, all-cause death, myocardial infarction or acute stroke.</w:t>
      </w:r>
    </w:p>
    <w:p w:rsidR="00EC0EB7" w:rsidRPr="00870819" w:rsidRDefault="00EC0EB7" w:rsidP="00870819">
      <w:r w:rsidRPr="00870819">
        <w:t>For the following exploratory analyses:</w:t>
      </w:r>
    </w:p>
    <w:p w:rsidR="00EC0EB7" w:rsidRPr="005B41D8" w:rsidRDefault="00EC0EB7" w:rsidP="00870819">
      <w:pPr>
        <w:pStyle w:val="ListBullet"/>
      </w:pPr>
      <w:r w:rsidRPr="00870819">
        <w:t xml:space="preserve">The Kaplan Meier plot for first occurrence of an adjudicated composite of recurrent symptomatic VTE (nonfatal DVT or nonfatal PE) and all-cause death indicated benefit by Day 30 that was maintained to Day 180 </w:t>
      </w:r>
      <w:r w:rsidRPr="005B41D8">
        <w:t>(Figure 7)</w:t>
      </w:r>
    </w:p>
    <w:p w:rsidR="00EC0EB7" w:rsidRPr="005B41D8" w:rsidRDefault="00EC0EB7" w:rsidP="00EC0EB7">
      <w:pPr>
        <w:pStyle w:val="ListBullet"/>
      </w:pPr>
      <w:r w:rsidRPr="005B41D8">
        <w:t>The Kaplan Meier plot for first occurrence of an adjudicated composite of recurrent symptomatic VTE (nonfatal DVT or nonfatal PE) and VTE-related death indicated benefit by Day 30 that was maintained to Day 180 (Figure 7)</w:t>
      </w:r>
    </w:p>
    <w:p w:rsidR="00EC0EB7" w:rsidRDefault="00EC0EB7" w:rsidP="00870819">
      <w:r w:rsidRPr="005B41D8">
        <w:t>There were few subjects with renal impairm</w:t>
      </w:r>
      <w:r w:rsidRPr="00870819">
        <w:t xml:space="preserve">ent included in the study, but there did not appear to be any difference in efficacy in those subjects </w:t>
      </w:r>
      <w:r w:rsidRPr="00871F86">
        <w:t xml:space="preserve">(Table </w:t>
      </w:r>
      <w:r w:rsidR="00871F86" w:rsidRPr="00871F86">
        <w:t>12</w:t>
      </w:r>
      <w:r w:rsidRPr="00871F86">
        <w:t>)</w:t>
      </w:r>
      <w:r w:rsidRPr="00870819">
        <w:t>.</w:t>
      </w:r>
    </w:p>
    <w:p w:rsidR="005B41D8" w:rsidRPr="002D4BF7" w:rsidRDefault="005B41D8" w:rsidP="0057597F">
      <w:pPr>
        <w:pStyle w:val="FigureTitle"/>
      </w:pPr>
      <w:r w:rsidRPr="002D4BF7">
        <w:t>Figure 7</w:t>
      </w:r>
      <w:r>
        <w:t xml:space="preserve">: </w:t>
      </w:r>
      <w:r w:rsidRPr="002D4BF7">
        <w:t>Kaplan-Meier Plots for Efficacy Endpoints During the Intended Treatment Period - Randomized Subjects</w:t>
      </w:r>
    </w:p>
    <w:p w:rsidR="005B41D8" w:rsidRPr="002D4BF7" w:rsidRDefault="005B41D8" w:rsidP="005B41D8">
      <w:pPr>
        <w:rPr>
          <w:rFonts w:ascii="Times New Roman" w:hAnsi="Times New Roman"/>
          <w:sz w:val="24"/>
        </w:rPr>
      </w:pPr>
      <w:r>
        <w:rPr>
          <w:rFonts w:ascii="Times New Roman" w:hAnsi="Times New Roman"/>
          <w:noProof/>
          <w:sz w:val="24"/>
          <w:lang w:eastAsia="en-AU"/>
        </w:rPr>
        <w:drawing>
          <wp:inline distT="0" distB="0" distL="0" distR="0" wp14:anchorId="049B77FE" wp14:editId="5B570BEF">
            <wp:extent cx="5476875" cy="2962275"/>
            <wp:effectExtent l="0" t="0" r="9525" b="9525"/>
            <wp:docPr id="22" name="Picture 22" descr="Figure 7: Kaplan-Meier Plots for Efficacy Endpoints During the Intended Treatment Period -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476875" cy="2962275"/>
                    </a:xfrm>
                    <a:prstGeom prst="rect">
                      <a:avLst/>
                    </a:prstGeom>
                    <a:noFill/>
                    <a:ln>
                      <a:noFill/>
                    </a:ln>
                  </pic:spPr>
                </pic:pic>
              </a:graphicData>
            </a:graphic>
          </wp:inline>
        </w:drawing>
      </w:r>
    </w:p>
    <w:p w:rsidR="005B41D8" w:rsidRPr="00726C8A" w:rsidRDefault="005B41D8" w:rsidP="005B41D8">
      <w:pPr>
        <w:pStyle w:val="Tabletitle"/>
        <w:rPr>
          <w:lang w:val="en-NZ" w:eastAsia="en-NZ"/>
        </w:rPr>
      </w:pPr>
      <w:r w:rsidRPr="00726C8A">
        <w:lastRenderedPageBreak/>
        <w:t xml:space="preserve">Table </w:t>
      </w:r>
      <w:r>
        <w:t xml:space="preserve">12: </w:t>
      </w:r>
      <w:r w:rsidRPr="00726C8A">
        <w:rPr>
          <w:lang w:val="en-NZ" w:eastAsia="en-NZ"/>
        </w:rPr>
        <w:t>Analysis of Adjudicated VTE/VTE-related Death during the Intended Treatment Period, by Renal Impairment Category II - Randomized Subjects</w:t>
      </w:r>
    </w:p>
    <w:p w:rsidR="005B41D8" w:rsidRDefault="005B41D8" w:rsidP="005B41D8">
      <w:pPr>
        <w:autoSpaceDE w:val="0"/>
        <w:autoSpaceDN w:val="0"/>
        <w:adjustRightInd w:val="0"/>
        <w:rPr>
          <w:rFonts w:ascii="Times New Roman" w:hAnsi="Times New Roman"/>
          <w:sz w:val="24"/>
        </w:rPr>
      </w:pPr>
      <w:r>
        <w:rPr>
          <w:rFonts w:ascii="Times New Roman" w:hAnsi="Times New Roman"/>
          <w:noProof/>
          <w:sz w:val="24"/>
          <w:lang w:eastAsia="en-AU"/>
        </w:rPr>
        <w:drawing>
          <wp:inline distT="0" distB="0" distL="0" distR="0" wp14:anchorId="3571C6A9" wp14:editId="68DF1E61">
            <wp:extent cx="5686425" cy="3248444"/>
            <wp:effectExtent l="0" t="0" r="0" b="9525"/>
            <wp:docPr id="23" name="Picture 23" descr="Table 12: Analysis of Adjudicated VTE/VTE-related Death during the Intended Treatment Period, by Renal Impairment Category II -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5686425" cy="3248444"/>
                    </a:xfrm>
                    <a:prstGeom prst="rect">
                      <a:avLst/>
                    </a:prstGeom>
                    <a:noFill/>
                    <a:ln>
                      <a:noFill/>
                    </a:ln>
                  </pic:spPr>
                </pic:pic>
              </a:graphicData>
            </a:graphic>
          </wp:inline>
        </w:drawing>
      </w:r>
    </w:p>
    <w:p w:rsidR="00870819" w:rsidRPr="00870819" w:rsidRDefault="00870819" w:rsidP="00870819">
      <w:pPr>
        <w:pStyle w:val="Heading4"/>
      </w:pPr>
      <w:bookmarkStart w:id="152" w:name="_Toc397246747"/>
      <w:bookmarkStart w:id="153" w:name="_Toc407734481"/>
      <w:r w:rsidRPr="00870819">
        <w:t>Analyses performed across trials (pooled analyses and meta-analyses)</w:t>
      </w:r>
      <w:bookmarkEnd w:id="152"/>
      <w:bookmarkEnd w:id="153"/>
    </w:p>
    <w:p w:rsidR="00870819" w:rsidRPr="00870819" w:rsidRDefault="00870819" w:rsidP="00870819">
      <w:r w:rsidRPr="00870819">
        <w:t>There were no pooled analyses of efficacy for the indication of: treatment of deep vein thrombosis (DVT) and pulmonary embolism (PE).</w:t>
      </w:r>
    </w:p>
    <w:p w:rsidR="00870819" w:rsidRPr="00870819" w:rsidRDefault="00870819" w:rsidP="00870819">
      <w:pPr>
        <w:pStyle w:val="Heading4"/>
      </w:pPr>
      <w:bookmarkStart w:id="154" w:name="_Toc407734482"/>
      <w:r w:rsidRPr="00870819">
        <w:t>Evaluator’s conclusions on clinical efficacy for treatment of deep vein thrombosis (DVT) and pulmonary embolism (PE)</w:t>
      </w:r>
      <w:bookmarkEnd w:id="154"/>
    </w:p>
    <w:p w:rsidR="00870819" w:rsidRPr="00870819" w:rsidRDefault="00870819" w:rsidP="00870819">
      <w:r w:rsidRPr="00870819">
        <w:t>Non-inferiority was demonstrated for apixaban in comparison with conventional treatment accordi</w:t>
      </w:r>
      <w:r>
        <w:t xml:space="preserve">ng to the predefined criteria. </w:t>
      </w:r>
      <w:r w:rsidRPr="00870819">
        <w:t>There were 59 events in the apixaban population and 7</w:t>
      </w:r>
      <w:r>
        <w:t xml:space="preserve">1 in the </w:t>
      </w:r>
      <w:r w:rsidR="006135FE">
        <w:t>enoxaparin/warfarin</w:t>
      </w:r>
      <w:r>
        <w:t xml:space="preserve">. </w:t>
      </w:r>
      <w:r w:rsidRPr="00870819">
        <w:t>The RR (95% CI) for the primary efficacy outcome measure in the per-protocol population was 0.6611 (0.4243 to 1.0301) with the upper 95% CI being &lt;</w:t>
      </w:r>
      <w:r>
        <w:t xml:space="preserve"> </w:t>
      </w:r>
      <w:r w:rsidRPr="00870819">
        <w:t xml:space="preserve">1.8 (the </w:t>
      </w:r>
      <w:r>
        <w:t xml:space="preserve">criterion for non-inferiority. </w:t>
      </w:r>
      <w:r w:rsidRPr="00870819">
        <w:t>In the primary efficacy population (used as a sensitivity analysis) the RR (95% CI) was 0.8390 (0.2965 to 1.1802), and the risk difference (95% CI) was -</w:t>
      </w:r>
      <w:r>
        <w:t xml:space="preserve"> 0.0044 (</w:t>
      </w:r>
      <w:r w:rsidR="00871F86">
        <w:noBreakHyphen/>
      </w:r>
      <w:r>
        <w:t xml:space="preserve">0.0128 to 0.0040). </w:t>
      </w:r>
      <w:r w:rsidRPr="00870819">
        <w:t>The secondary outcome measures were also supportive for similar efficacy of apixaban and conventional treatment.</w:t>
      </w:r>
    </w:p>
    <w:p w:rsidR="00870819" w:rsidRPr="00870819" w:rsidRDefault="00870819" w:rsidP="00870819">
      <w:r w:rsidRPr="00870819">
        <w:t xml:space="preserve">The study design conformed with EMA </w:t>
      </w:r>
      <w:r>
        <w:t xml:space="preserve">guidance. </w:t>
      </w:r>
      <w:r w:rsidRPr="00870819">
        <w:t>The study population included appropriate at-risk groups and a</w:t>
      </w:r>
      <w:r>
        <w:t xml:space="preserve">lso included elderly subjects. </w:t>
      </w:r>
      <w:r w:rsidRPr="00870819">
        <w:t>The comparator treatment was the accepted standard of care, and dosing for enoxaparin was within commonly accepted treatment guidelines</w:t>
      </w:r>
      <w:r>
        <w:t xml:space="preserve"> (Clexane</w:t>
      </w:r>
      <w:r w:rsidRPr="00870819">
        <w:t xml:space="preserve"> Australian approved Product Information)</w:t>
      </w:r>
      <w:r>
        <w:t xml:space="preserve">. </w:t>
      </w:r>
      <w:r w:rsidRPr="00870819">
        <w:t>However, some treatment guidelines preferentially recommend 1.5 mg/kg once daily for the initial management of DVT and PE (New Zealand Formulary and the British National Formulary)</w:t>
      </w:r>
      <w:r>
        <w:t xml:space="preserve">. </w:t>
      </w:r>
      <w:r w:rsidRPr="00870819">
        <w:t xml:space="preserve">The </w:t>
      </w:r>
      <w:r w:rsidR="00871F86">
        <w:t>e</w:t>
      </w:r>
      <w:r w:rsidRPr="00870819">
        <w:t>valuator does not consider that this would have affected th</w:t>
      </w:r>
      <w:r>
        <w:t xml:space="preserve">e results of the trial. </w:t>
      </w:r>
      <w:r w:rsidRPr="00870819">
        <w:t>The warfarin dosing recommendations and the proportion of subjects within therapeutic INR in the warfarin group (61%) was consistent with other clinical trials in this population and with the general population of patients treated with warfarin in Australia (Dignan et. al. 2013)</w:t>
      </w:r>
      <w:r>
        <w:t xml:space="preserve">. </w:t>
      </w:r>
      <w:r w:rsidRPr="00870819">
        <w:t>The outcome measures were in accordance with guidance (Guideline On Clinical Investigation Of Medicinal Products For The Prophylaxis Of Venous Thromboembolic Risk In Non-Surgical Patients [CPMP/EWP/6235/04]).</w:t>
      </w:r>
      <w:r>
        <w:t xml:space="preserve"> </w:t>
      </w:r>
      <w:r w:rsidRPr="00870819">
        <w:t>The margin for non-inferiority was clinically relevant and was adhered to in the analysis</w:t>
      </w:r>
      <w:r>
        <w:t xml:space="preserve">. </w:t>
      </w:r>
      <w:r w:rsidRPr="00870819">
        <w:t>The statistica</w:t>
      </w:r>
      <w:r>
        <w:t xml:space="preserve">l procedures were appropriate. </w:t>
      </w:r>
      <w:r w:rsidRPr="00870819">
        <w:t>The subgroup analysis was extensive and included clinically relevant groupings.</w:t>
      </w:r>
      <w:r>
        <w:t xml:space="preserve"> </w:t>
      </w:r>
      <w:r w:rsidRPr="00870819">
        <w:t xml:space="preserve">The non-inferiority margin (the upper </w:t>
      </w:r>
      <w:r w:rsidRPr="00870819">
        <w:lastRenderedPageBreak/>
        <w:t>95% CI for the RR being &lt;</w:t>
      </w:r>
      <w:r>
        <w:t xml:space="preserve"> </w:t>
      </w:r>
      <w:r w:rsidRPr="00870819">
        <w:t>1.8 and a risk difference &lt;</w:t>
      </w:r>
      <w:r>
        <w:t xml:space="preserve"> </w:t>
      </w:r>
      <w:r w:rsidRPr="00870819">
        <w:t>0.035) was clinically meaningful (representing a &lt;</w:t>
      </w:r>
      <w:r>
        <w:t xml:space="preserve"> </w:t>
      </w:r>
      <w:r w:rsidRPr="00870819">
        <w:t>80% increase in risk), and the results were comfortably within this margin (the upper 95% CI being 1.0301, i.e. &lt;</w:t>
      </w:r>
      <w:r>
        <w:t xml:space="preserve"> </w:t>
      </w:r>
      <w:r w:rsidRPr="00870819">
        <w:t>4% increase in risk, and &lt;</w:t>
      </w:r>
      <w:r>
        <w:t xml:space="preserve"> </w:t>
      </w:r>
      <w:r w:rsidRPr="00870819">
        <w:t>0.5% increase in incidence).</w:t>
      </w:r>
    </w:p>
    <w:p w:rsidR="00870819" w:rsidRPr="00870819" w:rsidRDefault="00870819" w:rsidP="00870819">
      <w:r w:rsidRPr="00870819">
        <w:t xml:space="preserve">In the opinion of the </w:t>
      </w:r>
      <w:r w:rsidR="00871F86">
        <w:t>e</w:t>
      </w:r>
      <w:r w:rsidRPr="00870819">
        <w:t>valuator, the inclusion of the Kaplan Meier plot for time to first DVT or PE or VTE-related death in the PI is appropriate because it presents primary outcome measure in a manner that informs prescribers of the magnitude, timing and durability of the treatment effect.</w:t>
      </w:r>
    </w:p>
    <w:p w:rsidR="00870819" w:rsidRPr="00870819" w:rsidRDefault="00870819" w:rsidP="00870819">
      <w:pPr>
        <w:pStyle w:val="Heading3"/>
      </w:pPr>
      <w:bookmarkStart w:id="155" w:name="_Toc407734483"/>
      <w:bookmarkStart w:id="156" w:name="_Toc436383340"/>
      <w:r w:rsidRPr="00870819">
        <w:t>Prevention of recurrent DVT and PE</w:t>
      </w:r>
      <w:bookmarkEnd w:id="155"/>
      <w:bookmarkEnd w:id="156"/>
    </w:p>
    <w:p w:rsidR="00870819" w:rsidRPr="00870819" w:rsidRDefault="00870819" w:rsidP="00870819">
      <w:pPr>
        <w:pStyle w:val="Heading4"/>
      </w:pPr>
      <w:bookmarkStart w:id="157" w:name="_Toc407734484"/>
      <w:bookmarkStart w:id="158" w:name="_Toc290846276"/>
      <w:r w:rsidRPr="00870819">
        <w:t>Pivotal efficacy studies</w:t>
      </w:r>
      <w:bookmarkEnd w:id="157"/>
    </w:p>
    <w:p w:rsidR="00870819" w:rsidRPr="00870819" w:rsidRDefault="00870819" w:rsidP="00870819">
      <w:pPr>
        <w:pStyle w:val="Heading5"/>
      </w:pPr>
      <w:bookmarkStart w:id="159" w:name="_Toc407734485"/>
      <w:r w:rsidRPr="00870819">
        <w:t>Study CV185057</w:t>
      </w:r>
      <w:bookmarkEnd w:id="158"/>
      <w:bookmarkEnd w:id="159"/>
    </w:p>
    <w:p w:rsidR="00870819" w:rsidRPr="00870819" w:rsidRDefault="00870819" w:rsidP="00870819">
      <w:pPr>
        <w:pStyle w:val="Heading6"/>
      </w:pPr>
      <w:r w:rsidRPr="00870819">
        <w:t>Study design, objectives, locations and dates</w:t>
      </w:r>
    </w:p>
    <w:p w:rsidR="00870819" w:rsidRPr="00870819" w:rsidRDefault="00870819" w:rsidP="00870819">
      <w:r w:rsidRPr="00870819">
        <w:t>Study CV185057 was a randomised, double blind, placebo con</w:t>
      </w:r>
      <w:r>
        <w:t>trolled, parallel group, Phase III</w:t>
      </w:r>
      <w:r w:rsidRPr="00870819">
        <w:t xml:space="preserve"> study of two dose regimens of apixaban in comparison with placebo in subjects with symptomatic proximal DVT or PE</w:t>
      </w:r>
      <w:r>
        <w:t xml:space="preserve">. </w:t>
      </w:r>
      <w:r w:rsidRPr="00870819">
        <w:t>The study was conducted at 328 centres in 28 (including Australia, Canada, UK and the US) from May 2008 to August 2012.</w:t>
      </w:r>
    </w:p>
    <w:p w:rsidR="00870819" w:rsidRPr="007661A5" w:rsidRDefault="00870819" w:rsidP="007661A5">
      <w:pPr>
        <w:pStyle w:val="Heading6"/>
      </w:pPr>
      <w:r w:rsidRPr="007661A5">
        <w:t>Inclusion and exclusion criteria</w:t>
      </w:r>
    </w:p>
    <w:p w:rsidR="00870819" w:rsidRPr="007661A5" w:rsidRDefault="00870819" w:rsidP="007661A5">
      <w:r w:rsidRPr="007661A5">
        <w:t>T</w:t>
      </w:r>
      <w:r w:rsidR="002B2860">
        <w:t>he inclusion criteria included:</w:t>
      </w:r>
    </w:p>
    <w:p w:rsidR="00870819" w:rsidRPr="007661A5" w:rsidRDefault="00870819" w:rsidP="007661A5">
      <w:pPr>
        <w:pStyle w:val="ListBullet"/>
      </w:pPr>
      <w:r w:rsidRPr="007661A5">
        <w:t>Men and women, ages 18 years or greater</w:t>
      </w:r>
      <w:r w:rsidR="00871F86">
        <w:t>.</w:t>
      </w:r>
    </w:p>
    <w:p w:rsidR="00870819" w:rsidRPr="007661A5" w:rsidRDefault="00870819" w:rsidP="007661A5">
      <w:pPr>
        <w:pStyle w:val="ListBullet"/>
      </w:pPr>
      <w:r w:rsidRPr="007661A5">
        <w:t>An unprovoked index event or a provoked index event with a risk for recurrence</w:t>
      </w:r>
      <w:r w:rsidR="0057597F">
        <w:t>.</w:t>
      </w:r>
    </w:p>
    <w:p w:rsidR="00870819" w:rsidRPr="007661A5" w:rsidRDefault="00870819" w:rsidP="007661A5">
      <w:pPr>
        <w:pStyle w:val="ListBullet"/>
      </w:pPr>
      <w:r w:rsidRPr="007661A5">
        <w:t>An objectively documented index event of symptomatic proximal DVT or symptomatic PE;</w:t>
      </w:r>
    </w:p>
    <w:p w:rsidR="00870819" w:rsidRPr="007661A5" w:rsidRDefault="00870819" w:rsidP="007661A5">
      <w:pPr>
        <w:pStyle w:val="ListBullet2"/>
      </w:pPr>
      <w:r w:rsidRPr="007661A5">
        <w:t>Symptomatic proximal DVT was defined as symptomatic DVT with evidence of proximal thrombosis that involved at least the popliteal vein or a more proximal vein, demonstrated by imaging with compression ultrasound (CUS), including grey-scale or colour-coded Doppler, or ascending contrast venography</w:t>
      </w:r>
    </w:p>
    <w:p w:rsidR="00870819" w:rsidRPr="007661A5" w:rsidRDefault="00870819" w:rsidP="007661A5">
      <w:pPr>
        <w:pStyle w:val="ListBullet2"/>
      </w:pPr>
      <w:r w:rsidRPr="007661A5">
        <w:t>Symptomatic PE with evidence of thrombosis demonstrated by imaging as follows:</w:t>
      </w:r>
    </w:p>
    <w:p w:rsidR="00870819" w:rsidRPr="007661A5" w:rsidRDefault="00870819" w:rsidP="007661A5">
      <w:pPr>
        <w:pStyle w:val="ListBullet3"/>
      </w:pPr>
      <w:r w:rsidRPr="007661A5">
        <w:t>an intraluminal filling defect in segmental or more proximal branches on spiral computed tomography (CT) scan; or</w:t>
      </w:r>
    </w:p>
    <w:p w:rsidR="00870819" w:rsidRPr="007661A5" w:rsidRDefault="00870819" w:rsidP="007661A5">
      <w:pPr>
        <w:pStyle w:val="ListBullet3"/>
      </w:pPr>
      <w:r w:rsidRPr="007661A5">
        <w:t>an intraluminal filling defect or a sudden cut-off of vessels more than 2.5 mm in diameter on the pulmonary angiogram; or</w:t>
      </w:r>
    </w:p>
    <w:p w:rsidR="00870819" w:rsidRPr="007661A5" w:rsidRDefault="00870819" w:rsidP="007661A5">
      <w:pPr>
        <w:pStyle w:val="ListBullet3"/>
      </w:pPr>
      <w:r w:rsidRPr="007661A5">
        <w:t>a perfusion defect of at least 75% of a segment with a local normal ventilation result (high-probability) on ventilation/perfusion lung scan.</w:t>
      </w:r>
    </w:p>
    <w:p w:rsidR="00870819" w:rsidRPr="007661A5" w:rsidRDefault="00870819" w:rsidP="007661A5">
      <w:pPr>
        <w:pStyle w:val="ListBullet"/>
      </w:pPr>
      <w:r w:rsidRPr="007661A5">
        <w:t>Completed approximately 6 to 12 months of standard anticoagulant therapy, or completed assigned CV185056 (AMPLIFY) study treatment, for the treatment of the index event</w:t>
      </w:r>
      <w:r w:rsidR="00871F86">
        <w:t>.</w:t>
      </w:r>
    </w:p>
    <w:p w:rsidR="00870819" w:rsidRPr="007661A5" w:rsidRDefault="00870819" w:rsidP="007661A5">
      <w:pPr>
        <w:pStyle w:val="ListBullet"/>
      </w:pPr>
      <w:r w:rsidRPr="007661A5">
        <w:t>No objectively documented symptomatic recurrence of VTE after the index event.</w:t>
      </w:r>
    </w:p>
    <w:p w:rsidR="00870819" w:rsidRPr="007661A5" w:rsidRDefault="00870819" w:rsidP="00870819">
      <w:pPr>
        <w:pStyle w:val="ListBullet"/>
      </w:pPr>
      <w:r w:rsidRPr="007661A5">
        <w:t>WOCBP must have been using an adequate method of contraception to avoid pregnancy throughout the study in such a manner that the risk of pregnancy was minimized.</w:t>
      </w:r>
    </w:p>
    <w:p w:rsidR="00870819" w:rsidRPr="007661A5" w:rsidRDefault="00870819" w:rsidP="007661A5">
      <w:r w:rsidRPr="007661A5">
        <w:t>Subjects were randomized within approximately 7 days of the last dose of their in</w:t>
      </w:r>
      <w:r w:rsidR="007661A5">
        <w:t>itial 6 to 12</w:t>
      </w:r>
      <w:r w:rsidR="00871F86">
        <w:t xml:space="preserve"> </w:t>
      </w:r>
      <w:r w:rsidR="007661A5">
        <w:t xml:space="preserve">month treatment. </w:t>
      </w:r>
      <w:r w:rsidRPr="007661A5">
        <w:t>If a VKA was used as standard anticoagulant therapy, then an INR must have been documented as ≤</w:t>
      </w:r>
      <w:r w:rsidR="007661A5">
        <w:t xml:space="preserve"> 2 before randomization. </w:t>
      </w:r>
      <w:r w:rsidRPr="007661A5">
        <w:t>If the subject received CV185056 (AMPLIFY) study treatment, then a blinded INR must have been documented as ≤</w:t>
      </w:r>
      <w:r w:rsidR="007661A5">
        <w:t xml:space="preserve"> </w:t>
      </w:r>
      <w:r w:rsidRPr="007661A5">
        <w:t>2 before randomization.</w:t>
      </w:r>
    </w:p>
    <w:p w:rsidR="00870819" w:rsidRPr="007661A5" w:rsidRDefault="00870819" w:rsidP="007661A5">
      <w:r w:rsidRPr="007661A5">
        <w:t>The exclusion criteria included:</w:t>
      </w:r>
    </w:p>
    <w:p w:rsidR="00870819" w:rsidRPr="007661A5" w:rsidRDefault="00870819" w:rsidP="007661A5">
      <w:pPr>
        <w:pStyle w:val="ListBullet"/>
      </w:pPr>
      <w:r w:rsidRPr="007661A5">
        <w:t>Women who were pregnant or breastfeeding</w:t>
      </w:r>
    </w:p>
    <w:p w:rsidR="00870819" w:rsidRPr="007661A5" w:rsidRDefault="00870819" w:rsidP="007661A5">
      <w:pPr>
        <w:pStyle w:val="ListBullet"/>
      </w:pPr>
      <w:r w:rsidRPr="007661A5">
        <w:lastRenderedPageBreak/>
        <w:t>Medical History and Concurrent Diseases</w:t>
      </w:r>
    </w:p>
    <w:p w:rsidR="00870819" w:rsidRPr="007661A5" w:rsidRDefault="00870819" w:rsidP="007661A5">
      <w:pPr>
        <w:pStyle w:val="ListBullet2"/>
      </w:pPr>
      <w:r w:rsidRPr="007661A5">
        <w:t>Subjects with a provoked index event without the existence of a persistent risk factor for recurrence</w:t>
      </w:r>
      <w:r w:rsidR="00871F86">
        <w:t>.</w:t>
      </w:r>
    </w:p>
    <w:p w:rsidR="00870819" w:rsidRPr="007661A5" w:rsidRDefault="00870819" w:rsidP="007661A5">
      <w:pPr>
        <w:pStyle w:val="ListBullet2"/>
      </w:pPr>
      <w:r w:rsidRPr="007661A5">
        <w:t>More than 12 months of anticoagulation planned for the most recent DVT or PE</w:t>
      </w:r>
      <w:r w:rsidR="00871F86">
        <w:t>.</w:t>
      </w:r>
    </w:p>
    <w:p w:rsidR="00870819" w:rsidRPr="007661A5" w:rsidRDefault="00870819" w:rsidP="007661A5">
      <w:pPr>
        <w:pStyle w:val="ListBullet2"/>
      </w:pPr>
      <w:r w:rsidRPr="007661A5">
        <w:t>Subjects with indications for long-term treatment with a VKA, such as: mechanical valve; atrial fibrillation or atrial flutter with moderate to high risk of systemic thromboembolism; multiple episodes of unprovoked DVT or PE; documented anti-phospholipid antibodies, AT III deficiency, protein C deficiency, protein S deficiency, homozygous factor V Leiden, or homozygous prothrombin gene mutation.</w:t>
      </w:r>
    </w:p>
    <w:p w:rsidR="00870819" w:rsidRPr="007661A5" w:rsidRDefault="00870819" w:rsidP="007661A5">
      <w:pPr>
        <w:pStyle w:val="ListBullet2"/>
      </w:pPr>
      <w:r w:rsidRPr="007661A5">
        <w:t>Subjects with cancer who were treated indefinitely with anticoagulation therapy.</w:t>
      </w:r>
    </w:p>
    <w:p w:rsidR="00870819" w:rsidRPr="007661A5" w:rsidRDefault="00870819" w:rsidP="007661A5">
      <w:pPr>
        <w:pStyle w:val="ListBullet2"/>
      </w:pPr>
      <w:r w:rsidRPr="007661A5">
        <w:t>Conditions for which serious bleeding could have occurred: intracranial bleeding; intraocular bleeding; gastrointestinal bleeding and/or endoscopically verified ulcer disease; head trauma or other major trauma; major surgery; stroke of any type; neurosurgery; gross h</w:t>
      </w:r>
      <w:r w:rsidR="00871F86">
        <w:t>a</w:t>
      </w:r>
      <w:r w:rsidRPr="007661A5">
        <w:t>ematuria; evidence of poor healing of a major wound or major trauma; planned major surgery during trial; intracranial neoplasm, arteriovenous malformation or aneurysm; overt major bleeding; documented h</w:t>
      </w:r>
      <w:r w:rsidR="00871F86">
        <w:t>a</w:t>
      </w:r>
      <w:r w:rsidRPr="007661A5">
        <w:t>emorrhagic tendencies or blood dyscrasias.</w:t>
      </w:r>
    </w:p>
    <w:p w:rsidR="00870819" w:rsidRPr="007661A5" w:rsidRDefault="00870819" w:rsidP="007661A5">
      <w:pPr>
        <w:pStyle w:val="ListBullet2"/>
      </w:pPr>
      <w:r w:rsidRPr="007661A5">
        <w:t>Active and clinically significant liver disease (</w:t>
      </w:r>
      <w:r w:rsidR="00871F86">
        <w:t>for example,</w:t>
      </w:r>
      <w:r w:rsidRPr="007661A5">
        <w:t xml:space="preserve"> hepatorenal syndrome).</w:t>
      </w:r>
    </w:p>
    <w:p w:rsidR="00870819" w:rsidRPr="007661A5" w:rsidRDefault="00870819" w:rsidP="007661A5">
      <w:pPr>
        <w:pStyle w:val="ListBullet2"/>
      </w:pPr>
      <w:r w:rsidRPr="007661A5">
        <w:t>Life expectancy &lt;</w:t>
      </w:r>
      <w:r w:rsidR="007661A5">
        <w:t xml:space="preserve"> </w:t>
      </w:r>
      <w:r w:rsidRPr="007661A5">
        <w:t>12 months.</w:t>
      </w:r>
    </w:p>
    <w:p w:rsidR="00870819" w:rsidRPr="007661A5" w:rsidRDefault="00870819" w:rsidP="007661A5">
      <w:pPr>
        <w:pStyle w:val="ListBullet2"/>
      </w:pPr>
      <w:r w:rsidRPr="007661A5">
        <w:t>Bacterial endocarditis.</w:t>
      </w:r>
    </w:p>
    <w:p w:rsidR="00870819" w:rsidRPr="007661A5" w:rsidRDefault="00870819" w:rsidP="007661A5">
      <w:pPr>
        <w:pStyle w:val="ListBullet2"/>
      </w:pPr>
      <w:r w:rsidRPr="007661A5">
        <w:t>Uncontrolled hypertension: SBP &gt;</w:t>
      </w:r>
      <w:r w:rsidR="007661A5">
        <w:t xml:space="preserve"> </w:t>
      </w:r>
      <w:r w:rsidRPr="007661A5">
        <w:t>180 mmHg or DBP &gt;</w:t>
      </w:r>
      <w:r w:rsidR="007661A5">
        <w:t xml:space="preserve"> </w:t>
      </w:r>
      <w:r w:rsidRPr="007661A5">
        <w:t>100 mmHg.</w:t>
      </w:r>
    </w:p>
    <w:p w:rsidR="00870819" w:rsidRPr="007661A5" w:rsidRDefault="00870819" w:rsidP="007661A5">
      <w:pPr>
        <w:pStyle w:val="ListBullet"/>
      </w:pPr>
      <w:r w:rsidRPr="007661A5">
        <w:t>Physical and Laboratory Test Findings: platelet count &lt;</w:t>
      </w:r>
      <w:r w:rsidR="007661A5">
        <w:t xml:space="preserve"> </w:t>
      </w:r>
      <w:r w:rsidRPr="007661A5">
        <w:t>100x10</w:t>
      </w:r>
      <w:r w:rsidRPr="00871F86">
        <w:rPr>
          <w:vertAlign w:val="superscript"/>
        </w:rPr>
        <w:t>9</w:t>
      </w:r>
      <w:r w:rsidRPr="007661A5">
        <w:t xml:space="preserve"> cells/L; haemoglobin &lt;</w:t>
      </w:r>
      <w:r w:rsidR="007661A5">
        <w:t xml:space="preserve"> </w:t>
      </w:r>
      <w:r w:rsidRPr="007661A5">
        <w:t>90 g/L; serum creatinine &gt;</w:t>
      </w:r>
      <w:r w:rsidR="007661A5">
        <w:t xml:space="preserve"> </w:t>
      </w:r>
      <w:r w:rsidRPr="007661A5">
        <w:t>221 μmol/L; calculated creatinine clearance &lt;</w:t>
      </w:r>
      <w:r w:rsidR="007661A5">
        <w:t xml:space="preserve"> </w:t>
      </w:r>
      <w:r w:rsidRPr="007661A5">
        <w:t>25 mL/min; ALT or AST &gt;</w:t>
      </w:r>
      <w:r w:rsidR="007661A5">
        <w:t xml:space="preserve"> </w:t>
      </w:r>
      <w:r w:rsidRPr="007661A5">
        <w:t>2xULN; total bilirubin &gt;</w:t>
      </w:r>
      <w:r w:rsidR="007661A5">
        <w:t xml:space="preserve"> </w:t>
      </w:r>
      <w:r w:rsidRPr="007661A5">
        <w:t>1.5x</w:t>
      </w:r>
      <w:r w:rsidR="007661A5">
        <w:t>ULN</w:t>
      </w:r>
    </w:p>
    <w:p w:rsidR="00870819" w:rsidRPr="007661A5" w:rsidRDefault="00870819" w:rsidP="007661A5">
      <w:pPr>
        <w:pStyle w:val="ListBullet"/>
      </w:pPr>
      <w:r w:rsidRPr="007661A5">
        <w:t>Prohibited Treatments and/or Therapies:</w:t>
      </w:r>
    </w:p>
    <w:p w:rsidR="00870819" w:rsidRPr="007661A5" w:rsidRDefault="00870819" w:rsidP="007661A5">
      <w:pPr>
        <w:pStyle w:val="ListBullet2"/>
      </w:pPr>
      <w:r w:rsidRPr="007661A5">
        <w:t>ASA &gt;</w:t>
      </w:r>
      <w:r w:rsidR="007661A5">
        <w:t xml:space="preserve"> </w:t>
      </w:r>
      <w:r w:rsidRPr="007661A5">
        <w:t>165 mg/day at randomization</w:t>
      </w:r>
    </w:p>
    <w:p w:rsidR="00870819" w:rsidRPr="007661A5" w:rsidRDefault="00870819" w:rsidP="007661A5">
      <w:pPr>
        <w:pStyle w:val="ListBullet2"/>
      </w:pPr>
      <w:r w:rsidRPr="007661A5">
        <w:t>Dual antiplatelet therapy (such as ASA plus clopidogrel or ASA plus ticlopidine) at randomization</w:t>
      </w:r>
    </w:p>
    <w:p w:rsidR="00870819" w:rsidRPr="007661A5" w:rsidRDefault="00870819" w:rsidP="007661A5">
      <w:pPr>
        <w:pStyle w:val="ListBullet2"/>
      </w:pPr>
      <w:r w:rsidRPr="007661A5">
        <w:t>Any oral direct factor Xa inhibitor, any oral direct thrombin inhibitor, or any investigational antithrombotic agent during the period between the onset of the</w:t>
      </w:r>
      <w:r w:rsidR="007661A5">
        <w:t xml:space="preserve"> index event to randomization.</w:t>
      </w:r>
    </w:p>
    <w:p w:rsidR="00870819" w:rsidRPr="007661A5" w:rsidRDefault="00870819" w:rsidP="007661A5">
      <w:pPr>
        <w:pStyle w:val="Heading6"/>
      </w:pPr>
      <w:r w:rsidRPr="007661A5">
        <w:t>Study treatments</w:t>
      </w:r>
    </w:p>
    <w:p w:rsidR="00870819" w:rsidRPr="007661A5" w:rsidRDefault="00870819" w:rsidP="007661A5">
      <w:r w:rsidRPr="007661A5">
        <w:t>The study treatments were:</w:t>
      </w:r>
    </w:p>
    <w:p w:rsidR="00870819" w:rsidRPr="007661A5" w:rsidRDefault="00870819" w:rsidP="00566D77">
      <w:pPr>
        <w:pStyle w:val="Numberbullet0"/>
        <w:numPr>
          <w:ilvl w:val="0"/>
          <w:numId w:val="11"/>
        </w:numPr>
      </w:pPr>
      <w:r w:rsidRPr="007661A5">
        <w:t>Apixaban 2.5 mg (and placebo 5 mg) twice daily</w:t>
      </w:r>
    </w:p>
    <w:p w:rsidR="00870819" w:rsidRPr="007661A5" w:rsidRDefault="00870819" w:rsidP="00566D77">
      <w:pPr>
        <w:pStyle w:val="Numberbullet0"/>
        <w:numPr>
          <w:ilvl w:val="0"/>
          <w:numId w:val="11"/>
        </w:numPr>
      </w:pPr>
      <w:r w:rsidRPr="007661A5">
        <w:t>Apixaban 5 mg (and placebo 2.5 mg) twice daily</w:t>
      </w:r>
    </w:p>
    <w:p w:rsidR="00870819" w:rsidRPr="007661A5" w:rsidRDefault="00870819" w:rsidP="00566D77">
      <w:pPr>
        <w:pStyle w:val="Numberbullet0"/>
        <w:numPr>
          <w:ilvl w:val="0"/>
          <w:numId w:val="11"/>
        </w:numPr>
      </w:pPr>
      <w:r w:rsidRPr="007661A5">
        <w:t>Placebo 2.5 mg and placebo 5 mg twice daily</w:t>
      </w:r>
    </w:p>
    <w:p w:rsidR="00870819" w:rsidRPr="007661A5" w:rsidRDefault="00870819" w:rsidP="007661A5">
      <w:r w:rsidRPr="007661A5">
        <w:t>Treatment was administered orally for 12 months with a 1 month follow-up period.</w:t>
      </w:r>
    </w:p>
    <w:p w:rsidR="00870819" w:rsidRPr="007661A5" w:rsidRDefault="00870819" w:rsidP="007661A5">
      <w:r w:rsidRPr="007661A5">
        <w:t>The following medications or therapies were prohibited during the study treatment period:</w:t>
      </w:r>
    </w:p>
    <w:p w:rsidR="00870819" w:rsidRPr="007661A5" w:rsidRDefault="00870819" w:rsidP="007661A5">
      <w:pPr>
        <w:pStyle w:val="ListBullet"/>
      </w:pPr>
      <w:r w:rsidRPr="007661A5">
        <w:t>Potent inhibitors of cytochrome CYP3A4 (eg, azole antifungals [itraconazole and ketoconazole], macrolide antibiotics [clarithromycin and telithromycin], protease inhibitors [ritonavir, indinavir, nelfinavir, atazanavir, and saquinavir], and nefazodone)</w:t>
      </w:r>
    </w:p>
    <w:p w:rsidR="00870819" w:rsidRPr="007661A5" w:rsidRDefault="00870819" w:rsidP="007661A5">
      <w:pPr>
        <w:pStyle w:val="ListBullet"/>
      </w:pPr>
      <w:r w:rsidRPr="007661A5">
        <w:t>Aspirin &gt;</w:t>
      </w:r>
      <w:r w:rsidR="007661A5">
        <w:t xml:space="preserve"> </w:t>
      </w:r>
      <w:r w:rsidRPr="007661A5">
        <w:t>165 mg/day</w:t>
      </w:r>
    </w:p>
    <w:p w:rsidR="00870819" w:rsidRPr="007661A5" w:rsidRDefault="00870819" w:rsidP="007661A5">
      <w:pPr>
        <w:pStyle w:val="ListBullet"/>
      </w:pPr>
      <w:r w:rsidRPr="007661A5">
        <w:lastRenderedPageBreak/>
        <w:t>Dual antiplatelet therapy such as concomitant (simultaneous) use of both aspirin and a thienopyridine (</w:t>
      </w:r>
      <w:r w:rsidR="00871F86">
        <w:t>for example,</w:t>
      </w:r>
      <w:r w:rsidRPr="007661A5">
        <w:t xml:space="preserve"> clopidogrel, ticlopidine)</w:t>
      </w:r>
    </w:p>
    <w:p w:rsidR="00870819" w:rsidRPr="007661A5" w:rsidRDefault="00870819" w:rsidP="007661A5">
      <w:pPr>
        <w:pStyle w:val="ListBullet"/>
      </w:pPr>
      <w:r w:rsidRPr="007661A5">
        <w:t>Other antithrombotic agents (</w:t>
      </w:r>
      <w:r w:rsidR="00871F86">
        <w:t>for example,</w:t>
      </w:r>
      <w:r w:rsidRPr="007661A5">
        <w:t xml:space="preserve"> UFH, LMWH, direct thrombin inhibitors, fondaparinux)</w:t>
      </w:r>
    </w:p>
    <w:p w:rsidR="00870819" w:rsidRPr="007661A5" w:rsidRDefault="00870819" w:rsidP="007661A5">
      <w:pPr>
        <w:pStyle w:val="ListBullet"/>
      </w:pPr>
      <w:r w:rsidRPr="007661A5">
        <w:t>Glycoprotein IIb/IIIa inhibitors (</w:t>
      </w:r>
      <w:r w:rsidR="00871F86">
        <w:t>for example,</w:t>
      </w:r>
      <w:r w:rsidRPr="007661A5">
        <w:t xml:space="preserve"> abci</w:t>
      </w:r>
      <w:r w:rsidR="007661A5">
        <w:t>ximab, eptifibatide, tirofiban)</w:t>
      </w:r>
    </w:p>
    <w:p w:rsidR="00870819" w:rsidRPr="007661A5" w:rsidRDefault="00870819" w:rsidP="007661A5">
      <w:pPr>
        <w:pStyle w:val="Heading6"/>
      </w:pPr>
      <w:r w:rsidRPr="007661A5">
        <w:t>Efficacy variables and outcomes</w:t>
      </w:r>
    </w:p>
    <w:p w:rsidR="00870819" w:rsidRPr="007661A5" w:rsidRDefault="00870819" w:rsidP="007661A5">
      <w:r w:rsidRPr="007661A5">
        <w:t>The primary efficacy outcome measure was the incidence of an adjudicated composite of symptomatic, recurrent VTE (nonfatal DVT or no</w:t>
      </w:r>
      <w:r w:rsidR="007661A5">
        <w:t xml:space="preserve">nfatal PE) or all-cause death. </w:t>
      </w:r>
      <w:r w:rsidRPr="007661A5">
        <w:t>The secondary efficacy outcome measures were:</w:t>
      </w:r>
    </w:p>
    <w:p w:rsidR="00870819" w:rsidRPr="007661A5" w:rsidRDefault="00870819" w:rsidP="007661A5">
      <w:pPr>
        <w:pStyle w:val="ListBullet"/>
      </w:pPr>
      <w:r w:rsidRPr="007661A5">
        <w:t>Incidence of adjudicated composite of recurrent symptomatic VTE or VTE-related death</w:t>
      </w:r>
    </w:p>
    <w:p w:rsidR="00870819" w:rsidRPr="007661A5" w:rsidRDefault="00870819" w:rsidP="007661A5">
      <w:pPr>
        <w:pStyle w:val="ListBullet"/>
      </w:pPr>
      <w:r w:rsidRPr="007661A5">
        <w:t>Incidence of adjudicated composite of recurrent symptomatic VTE or CV-related death</w:t>
      </w:r>
    </w:p>
    <w:p w:rsidR="00870819" w:rsidRPr="007661A5" w:rsidRDefault="00870819" w:rsidP="007661A5">
      <w:pPr>
        <w:pStyle w:val="ListBullet"/>
      </w:pPr>
      <w:r w:rsidRPr="007661A5">
        <w:t>Incidence of adjudicated symptomatic nonfatal DVT</w:t>
      </w:r>
    </w:p>
    <w:p w:rsidR="00870819" w:rsidRPr="007661A5" w:rsidRDefault="00870819" w:rsidP="007661A5">
      <w:pPr>
        <w:pStyle w:val="ListBullet"/>
      </w:pPr>
      <w:r w:rsidRPr="007661A5">
        <w:t>Incidence of adjudicated symptomatic nonfatal PE</w:t>
      </w:r>
    </w:p>
    <w:p w:rsidR="00870819" w:rsidRPr="007661A5" w:rsidRDefault="00870819" w:rsidP="007661A5">
      <w:pPr>
        <w:pStyle w:val="ListBullet"/>
      </w:pPr>
      <w:r w:rsidRPr="007661A5">
        <w:t>Incidence of adjudicated VTE-related death</w:t>
      </w:r>
    </w:p>
    <w:p w:rsidR="00870819" w:rsidRPr="007661A5" w:rsidRDefault="00870819" w:rsidP="007661A5">
      <w:pPr>
        <w:pStyle w:val="ListBullet"/>
      </w:pPr>
      <w:r w:rsidRPr="007661A5">
        <w:t>Incidence of adjudicated CV-related death</w:t>
      </w:r>
    </w:p>
    <w:p w:rsidR="00870819" w:rsidRPr="007661A5" w:rsidRDefault="00870819" w:rsidP="007661A5">
      <w:pPr>
        <w:pStyle w:val="ListBullet"/>
      </w:pPr>
      <w:r w:rsidRPr="007661A5">
        <w:t>Incidence of all-cause death</w:t>
      </w:r>
    </w:p>
    <w:p w:rsidR="00870819" w:rsidRPr="007661A5" w:rsidRDefault="00870819" w:rsidP="007661A5">
      <w:r w:rsidRPr="007661A5">
        <w:t>Kaplan-Meier plots were displayed by treatment group based on the:</w:t>
      </w:r>
    </w:p>
    <w:p w:rsidR="00870819" w:rsidRPr="007661A5" w:rsidRDefault="00870819" w:rsidP="007661A5">
      <w:pPr>
        <w:pStyle w:val="ListBullet"/>
      </w:pPr>
      <w:r w:rsidRPr="007661A5">
        <w:t>Time to first adjudicated event of the composite of symptomatic, recurrent VTE (nonfatal DVT or nonfatal PE) or all-cause death</w:t>
      </w:r>
    </w:p>
    <w:p w:rsidR="00870819" w:rsidRPr="007661A5" w:rsidRDefault="00870819" w:rsidP="00870819">
      <w:pPr>
        <w:pStyle w:val="ListBullet"/>
      </w:pPr>
      <w:r w:rsidRPr="007661A5">
        <w:t>Time to first adjudicated event of the composite of symptomatic, recurrent VTE or VTE-related death</w:t>
      </w:r>
    </w:p>
    <w:p w:rsidR="00870819" w:rsidRPr="007661A5" w:rsidRDefault="00870819" w:rsidP="007661A5">
      <w:r w:rsidRPr="007661A5">
        <w:t>The safety outcome measures were: major bleeding, CRNMB, minor bleeding, AEs, vital signs, ECGs, and laboratory blood tests.</w:t>
      </w:r>
    </w:p>
    <w:p w:rsidR="00870819" w:rsidRPr="007661A5" w:rsidRDefault="00870819" w:rsidP="007661A5">
      <w:pPr>
        <w:pStyle w:val="Heading6"/>
      </w:pPr>
      <w:r w:rsidRPr="007661A5">
        <w:t>Randomisation and blinding methods</w:t>
      </w:r>
    </w:p>
    <w:p w:rsidR="00870819" w:rsidRPr="007661A5" w:rsidRDefault="00870819" w:rsidP="007661A5">
      <w:r w:rsidRPr="007661A5">
        <w:t>Subjects were randomized to treatment in a 1:1:1 ratio, by IVRS and stratified by the type index event (symptomatic proximal DVT only or symptomatic PE with or without DVT) and by previous treatment (</w:t>
      </w:r>
      <w:r w:rsidR="006135FE">
        <w:t>enoxaparin/warfarin</w:t>
      </w:r>
      <w:r w:rsidRPr="007661A5">
        <w:t xml:space="preserve"> in Study CV185056, apixaban in Study C</w:t>
      </w:r>
      <w:r w:rsidR="007661A5">
        <w:t xml:space="preserve">V185056, or standard therapy). </w:t>
      </w:r>
      <w:r w:rsidRPr="007661A5">
        <w:t>Blinding was maintained by placebo for the 2.5 and 5 mg tablets.</w:t>
      </w:r>
    </w:p>
    <w:p w:rsidR="00870819" w:rsidRPr="007661A5" w:rsidRDefault="00870819" w:rsidP="007661A5">
      <w:pPr>
        <w:pStyle w:val="Heading6"/>
      </w:pPr>
      <w:r w:rsidRPr="007661A5">
        <w:t>Analysis populations</w:t>
      </w:r>
    </w:p>
    <w:p w:rsidR="00870819" w:rsidRPr="007661A5" w:rsidRDefault="00870819" w:rsidP="007661A5">
      <w:r w:rsidRPr="007661A5">
        <w:t>The efficacy analysis was based on the ITT population: subjects were categorized to the group to which they were assigned by the IVRS, regardless of the treatment actually received.</w:t>
      </w:r>
    </w:p>
    <w:p w:rsidR="00870819" w:rsidRPr="007661A5" w:rsidDel="0081373E" w:rsidRDefault="00870819" w:rsidP="007661A5">
      <w:r w:rsidRPr="007661A5">
        <w:t>The safety data set (as-treated) consisted of all treated subjects: randomised subjects who received at least one dose of study drug.</w:t>
      </w:r>
    </w:p>
    <w:p w:rsidR="00870819" w:rsidRPr="007661A5" w:rsidDel="0081373E" w:rsidRDefault="00870819" w:rsidP="007661A5">
      <w:pPr>
        <w:pStyle w:val="Heading6"/>
      </w:pPr>
      <w:r w:rsidRPr="007661A5" w:rsidDel="0081373E">
        <w:t>Sample size</w:t>
      </w:r>
    </w:p>
    <w:p w:rsidR="00870819" w:rsidRPr="007661A5" w:rsidRDefault="00870819" w:rsidP="007661A5">
      <w:r w:rsidRPr="007661A5">
        <w:t>The sample size calculation was based on the pri</w:t>
      </w:r>
      <w:r w:rsidR="007661A5">
        <w:t xml:space="preserve">mary efficacy outcome measure. </w:t>
      </w:r>
      <w:r w:rsidRPr="007661A5">
        <w:t>The probability of VTE/VTE-related death for subjects receiving active treatment (apixaban) of 2% and placebo of 6% at 12 months was based o</w:t>
      </w:r>
      <w:r w:rsidR="007661A5">
        <w:t>n the Van Gogh Extension study.</w:t>
      </w:r>
      <w:r w:rsidRPr="007661A5">
        <w:t xml:space="preserve"> The assumed background rate of non-VTE related deaths was 0.82%, giving a relative risk of 2.82%/6.82% = 0.4135. To give a 90% power, with a level of significance of 0.05 a sample size of 810 subjects would be required in each group.</w:t>
      </w:r>
    </w:p>
    <w:p w:rsidR="00870819" w:rsidRPr="007661A5" w:rsidRDefault="00870819" w:rsidP="007661A5">
      <w:pPr>
        <w:pStyle w:val="Heading6"/>
      </w:pPr>
      <w:r w:rsidRPr="007661A5">
        <w:lastRenderedPageBreak/>
        <w:t>Statistical methods</w:t>
      </w:r>
    </w:p>
    <w:p w:rsidR="00870819" w:rsidRPr="007661A5" w:rsidRDefault="00870819" w:rsidP="00870819">
      <w:r w:rsidRPr="007661A5">
        <w:t>Hypothesis tests were based on the Cochran–Mant</w:t>
      </w:r>
      <w:r w:rsidR="007661A5">
        <w:t>el–Haenszel test, using 95% CI.</w:t>
      </w:r>
      <w:r w:rsidRPr="007661A5">
        <w:t xml:space="preserve"> Missing data for the primary efficacy outcome measure were imputed as having had a primary efficacy outcome event.</w:t>
      </w:r>
    </w:p>
    <w:p w:rsidR="00870819" w:rsidRPr="007661A5" w:rsidRDefault="00870819" w:rsidP="007661A5">
      <w:pPr>
        <w:pStyle w:val="Heading6"/>
      </w:pPr>
      <w:r w:rsidRPr="007661A5">
        <w:t>Participant flow</w:t>
      </w:r>
    </w:p>
    <w:p w:rsidR="00870819" w:rsidRDefault="00870819" w:rsidP="007661A5">
      <w:r w:rsidRPr="007661A5">
        <w:t>A total of 2711 subjects were enrolled</w:t>
      </w:r>
      <w:r w:rsidR="007661A5">
        <w:t xml:space="preserve"> and 2482 were randomised. </w:t>
      </w:r>
      <w:r w:rsidRPr="007661A5">
        <w:t xml:space="preserve">There were 840 randomised to apixaban 2.5 mg, 813 to apixaban 5 mg and 829 </w:t>
      </w:r>
      <w:r w:rsidR="007661A5">
        <w:t xml:space="preserve">to placebo. </w:t>
      </w:r>
      <w:r w:rsidRPr="007661A5">
        <w:t xml:space="preserve">A total of 2477 subjects received treatment: 840 in the apixaban 2.5 mg group, 811 in the 5 mg and 826 in the placebo </w:t>
      </w:r>
      <w:r w:rsidRPr="00DC7C45">
        <w:t xml:space="preserve">(Table </w:t>
      </w:r>
      <w:r w:rsidR="00DC7C45" w:rsidRPr="00DC7C45">
        <w:t>13</w:t>
      </w:r>
      <w:r w:rsidR="007661A5" w:rsidRPr="00DC7C45">
        <w:t>)</w:t>
      </w:r>
      <w:r w:rsidR="007661A5">
        <w:t xml:space="preserve">. </w:t>
      </w:r>
      <w:r w:rsidRPr="007661A5">
        <w:t xml:space="preserve">There were 2051 (82.6%) subjects that completed the study: 726 (86.4%) in the apixaban 2.5 mg group, 684 (84.1%) in the 5 mg and 641 (77.3%) in the placebo </w:t>
      </w:r>
      <w:r w:rsidRPr="00DC7C45">
        <w:t xml:space="preserve">(Figure </w:t>
      </w:r>
      <w:r w:rsidR="00DC7C45" w:rsidRPr="00DC7C45">
        <w:t>8</w:t>
      </w:r>
      <w:r w:rsidRPr="00DC7C45">
        <w:t>)</w:t>
      </w:r>
      <w:r w:rsidR="007661A5">
        <w:t xml:space="preserve">. </w:t>
      </w:r>
      <w:r w:rsidRPr="007661A5">
        <w:t>Discontinuation due to VTE was more common in the placebo group, and due to bleeding was more common in the apixaban groups.</w:t>
      </w:r>
      <w:r w:rsidR="007661A5">
        <w:t xml:space="preserve"> </w:t>
      </w:r>
      <w:r w:rsidRPr="007661A5">
        <w:t>Discontinuation due to DVT occurred for 5 (0.6%) subjects in the apixaban 2.5 mg group, 8 (1.0%) in the 5 mg and 57 (6.9%) in the placebo; due to PE for 4 (0.55) subjects in the apixaban 2.5 mg group, 2 (0.2%) in the 5 mg and 18 (2.2%) in the placebo; and due to bleeding in 8 (1.0%) subjects in the apixaban 2.5 mg group, 8 (1.0%) in the 5 mg and 3 (0.4%) in the placebo.</w:t>
      </w:r>
    </w:p>
    <w:p w:rsidR="00DC7C45" w:rsidRPr="002D4BF7" w:rsidRDefault="00DC7C45" w:rsidP="00DC7C45">
      <w:pPr>
        <w:pStyle w:val="Tabletitle"/>
      </w:pPr>
      <w:r>
        <w:t xml:space="preserve">Table 13: </w:t>
      </w:r>
      <w:r w:rsidRPr="002D4BF7">
        <w:t>Overall Summary of Subject Disposition (Randomized Subjects)</w:t>
      </w:r>
    </w:p>
    <w:p w:rsidR="00DC7C45" w:rsidRDefault="00DC7C45" w:rsidP="00DC7C45">
      <w:pPr>
        <w:rPr>
          <w:rFonts w:ascii="Times New Roman" w:hAnsi="Times New Roman"/>
          <w:sz w:val="24"/>
        </w:rPr>
      </w:pPr>
      <w:r>
        <w:rPr>
          <w:rFonts w:ascii="Times New Roman" w:hAnsi="Times New Roman"/>
          <w:noProof/>
          <w:sz w:val="24"/>
          <w:lang w:eastAsia="en-AU"/>
        </w:rPr>
        <w:drawing>
          <wp:inline distT="0" distB="0" distL="0" distR="0" wp14:anchorId="529D5909" wp14:editId="796D9A63">
            <wp:extent cx="4724400" cy="4962260"/>
            <wp:effectExtent l="0" t="0" r="0" b="0"/>
            <wp:docPr id="4" name="Picture 4" descr="Table 13: Overall Summary of Subject Disposition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724400" cy="4962260"/>
                    </a:xfrm>
                    <a:prstGeom prst="rect">
                      <a:avLst/>
                    </a:prstGeom>
                    <a:noFill/>
                    <a:ln>
                      <a:noFill/>
                    </a:ln>
                  </pic:spPr>
                </pic:pic>
              </a:graphicData>
            </a:graphic>
          </wp:inline>
        </w:drawing>
      </w:r>
    </w:p>
    <w:p w:rsidR="00DC7C45" w:rsidRPr="002D4BF7" w:rsidRDefault="00DC7C45" w:rsidP="0057597F">
      <w:pPr>
        <w:pStyle w:val="FigureTitle"/>
        <w:rPr>
          <w:rFonts w:ascii="Times New Roman" w:hAnsi="Times New Roman"/>
          <w:sz w:val="24"/>
        </w:rPr>
      </w:pPr>
      <w:r w:rsidRPr="002D4BF7">
        <w:lastRenderedPageBreak/>
        <w:t xml:space="preserve">Figure </w:t>
      </w:r>
      <w:r>
        <w:t xml:space="preserve">8: </w:t>
      </w:r>
      <w:r w:rsidRPr="002D4BF7">
        <w:t xml:space="preserve">Subject Disposition Flow Diagram </w:t>
      </w:r>
      <w:r>
        <w:rPr>
          <w:rFonts w:ascii="Times New Roman" w:hAnsi="Times New Roman"/>
          <w:noProof/>
          <w:sz w:val="24"/>
          <w:lang w:eastAsia="en-AU"/>
        </w:rPr>
        <w:drawing>
          <wp:inline distT="0" distB="0" distL="0" distR="0" wp14:anchorId="7CC8CC49" wp14:editId="3E52042E">
            <wp:extent cx="4650082" cy="3980018"/>
            <wp:effectExtent l="0" t="0" r="0" b="1905"/>
            <wp:docPr id="7" name="Picture 7" descr="Figure 8: Subject Disposition Flow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4652320" cy="3981933"/>
                    </a:xfrm>
                    <a:prstGeom prst="rect">
                      <a:avLst/>
                    </a:prstGeom>
                    <a:noFill/>
                    <a:ln>
                      <a:noFill/>
                    </a:ln>
                  </pic:spPr>
                </pic:pic>
              </a:graphicData>
            </a:graphic>
          </wp:inline>
        </w:drawing>
      </w:r>
    </w:p>
    <w:p w:rsidR="00870819" w:rsidRPr="007661A5" w:rsidRDefault="00870819" w:rsidP="007661A5">
      <w:pPr>
        <w:pStyle w:val="Heading6"/>
      </w:pPr>
      <w:bookmarkStart w:id="160" w:name="_Major_protocol_violations/deviation"/>
      <w:bookmarkEnd w:id="160"/>
      <w:r w:rsidRPr="007661A5">
        <w:t>Major protocol violations/deviations</w:t>
      </w:r>
    </w:p>
    <w:p w:rsidR="00870819" w:rsidRPr="007661A5" w:rsidRDefault="00870819" w:rsidP="007661A5">
      <w:r w:rsidRPr="007661A5">
        <w:t>Protocol deviations were balanced between the treatment groups</w:t>
      </w:r>
      <w:r w:rsidR="00DC7C45">
        <w:t>.</w:t>
      </w:r>
      <w:r w:rsidRPr="007661A5">
        <w:t xml:space="preserve"> The commonest protocol deviations were: incomplete eligibility labs before randomization; and non-study anti-coagulant.</w:t>
      </w:r>
    </w:p>
    <w:p w:rsidR="00870819" w:rsidRPr="007661A5" w:rsidRDefault="00870819" w:rsidP="007661A5">
      <w:pPr>
        <w:pStyle w:val="Heading6"/>
      </w:pPr>
      <w:r w:rsidRPr="007661A5">
        <w:t>Baseline data</w:t>
      </w:r>
    </w:p>
    <w:p w:rsidR="00870819" w:rsidRPr="007661A5" w:rsidRDefault="00870819" w:rsidP="007661A5">
      <w:r w:rsidRPr="007661A5">
        <w:t>There were 1424 (57.4%) males, 1058 (42.6%) females, and the</w:t>
      </w:r>
      <w:r w:rsidR="007661A5">
        <w:t xml:space="preserve"> age range was 18 to 94 years. </w:t>
      </w:r>
      <w:r w:rsidRPr="007661A5">
        <w:t>There were 490 (19.7%) subjects aged 65 to &lt;</w:t>
      </w:r>
      <w:r w:rsidR="007661A5">
        <w:t xml:space="preserve"> </w:t>
      </w:r>
      <w:r w:rsidRPr="007661A5">
        <w:t>75 years and 329 (13.3%) aged ≥</w:t>
      </w:r>
      <w:r w:rsidR="007661A5">
        <w:t xml:space="preserve"> 75 years. </w:t>
      </w:r>
      <w:r w:rsidRPr="007661A5">
        <w:t>The treatment groups were similar in demographic characteristics, VTE characteristics and VTE risk factors</w:t>
      </w:r>
      <w:r w:rsidR="007661A5">
        <w:t xml:space="preserve">. </w:t>
      </w:r>
      <w:r w:rsidRPr="007661A5">
        <w:t>The treatment groups were similar in index events. Prior VKAs were used by 540 (64.3%) subjects in the 2.5 mg group, 521 (64.1%) in the 5 mg</w:t>
      </w:r>
      <w:r w:rsidR="00DC7C45">
        <w:t xml:space="preserve"> and 520 (62.7%) in the placebo</w:t>
      </w:r>
      <w:r w:rsidR="007661A5">
        <w:t xml:space="preserve">. </w:t>
      </w:r>
      <w:r w:rsidRPr="007661A5">
        <w:t>Prior antiplatelet agents were used by 120 (14.3%) subjects in the 2.5 mg group, 96 (11.8%) in the 5 mg and 107 (13.0%) in the placebo</w:t>
      </w:r>
      <w:r w:rsidR="007661A5">
        <w:t xml:space="preserve">. </w:t>
      </w:r>
      <w:r w:rsidRPr="007661A5">
        <w:t>One or more concomitant medications were used by 707 (84.2%) subjects in the 2.5 mg group, 681 (84.0%) in the 5 mg and 706 (85.5%) in the placebo.</w:t>
      </w:r>
      <w:r w:rsidR="007661A5">
        <w:t xml:space="preserve"> </w:t>
      </w:r>
      <w:r w:rsidRPr="007661A5">
        <w:t>There were 836 (33.7%) who had previously participated in Study CV185056 (AMPLIFY): 282 (33.6%) in the apixaban 2.5 mg group, 272 (33.5%) in the 5 mg and 282 (34.0%) in the placebo.</w:t>
      </w:r>
    </w:p>
    <w:p w:rsidR="00870819" w:rsidRPr="007661A5" w:rsidRDefault="00870819" w:rsidP="007661A5">
      <w:pPr>
        <w:pStyle w:val="Heading6"/>
      </w:pPr>
      <w:r w:rsidRPr="007661A5">
        <w:t>Results for the primary efficacy outcome</w:t>
      </w:r>
    </w:p>
    <w:p w:rsidR="00870819" w:rsidRPr="007661A5" w:rsidRDefault="00870819" w:rsidP="007661A5">
      <w:r w:rsidRPr="007661A5">
        <w:t>Both apixaban treatment regimens were superior to placebo</w:t>
      </w:r>
      <w:r w:rsidR="007661A5">
        <w:t xml:space="preserve">. </w:t>
      </w:r>
      <w:r w:rsidRPr="007661A5">
        <w:t>There were 19 events in the apixaban 2.5 mg group, 14 in t</w:t>
      </w:r>
      <w:r w:rsidR="007661A5">
        <w:t xml:space="preserve">he 5 mg and 77 in the placebo. </w:t>
      </w:r>
      <w:r w:rsidRPr="007661A5">
        <w:t>In addition, there were 13 imputed events in the apixaban 2.5 mg group, 20 in t</w:t>
      </w:r>
      <w:r w:rsidR="007661A5">
        <w:t xml:space="preserve">he 5 mg and 19 in the placebo. </w:t>
      </w:r>
      <w:r w:rsidRPr="007661A5">
        <w:t xml:space="preserve">The RR (95% CI) compared to placebo for apixaban 2.5 mg was 0.3283 (0.2225 to 0.4844) and for apixaban 5 mg </w:t>
      </w:r>
      <w:r w:rsidR="007661A5">
        <w:t xml:space="preserve">was 0.3615 (0.2475 to 0.5281). </w:t>
      </w:r>
      <w:r w:rsidRPr="007661A5">
        <w:t>The Risk difference (95% CI) compared to placebo was -</w:t>
      </w:r>
      <w:r w:rsidR="007661A5">
        <w:t xml:space="preserve"> </w:t>
      </w:r>
      <w:r w:rsidRPr="007661A5">
        <w:t>0.0779 (-</w:t>
      </w:r>
      <w:r w:rsidR="007661A5">
        <w:t xml:space="preserve"> </w:t>
      </w:r>
      <w:r w:rsidRPr="007661A5">
        <w:t>0.1032 to -</w:t>
      </w:r>
      <w:r w:rsidR="007661A5">
        <w:t xml:space="preserve"> </w:t>
      </w:r>
      <w:r w:rsidRPr="007661A5">
        <w:t>0.0526) for apixaban 2.5 mg and -</w:t>
      </w:r>
      <w:r w:rsidR="007661A5">
        <w:t xml:space="preserve"> </w:t>
      </w:r>
      <w:r w:rsidRPr="007661A5">
        <w:t>0.0740 (-</w:t>
      </w:r>
      <w:r w:rsidR="007661A5">
        <w:t xml:space="preserve"> </w:t>
      </w:r>
      <w:r w:rsidRPr="007661A5">
        <w:t>0.0997 to -</w:t>
      </w:r>
      <w:r w:rsidR="007661A5">
        <w:t xml:space="preserve"> </w:t>
      </w:r>
      <w:r w:rsidRPr="007661A5">
        <w:t>0.0482) for apixaban 5 mg.  All these hypothesis tests were significant to p &lt;</w:t>
      </w:r>
      <w:r w:rsidR="007661A5">
        <w:t xml:space="preserve"> </w:t>
      </w:r>
      <w:r w:rsidRPr="007661A5">
        <w:t>0.0001.</w:t>
      </w:r>
    </w:p>
    <w:p w:rsidR="00870819" w:rsidRDefault="00870819" w:rsidP="00870819">
      <w:r w:rsidRPr="007661A5">
        <w:lastRenderedPageBreak/>
        <w:t xml:space="preserve">All of the event types were more common in the placebo </w:t>
      </w:r>
      <w:r w:rsidRPr="00060C03">
        <w:t xml:space="preserve">group (Table </w:t>
      </w:r>
      <w:r w:rsidR="00060C03" w:rsidRPr="00060C03">
        <w:t>14</w:t>
      </w:r>
      <w:r w:rsidR="007661A5" w:rsidRPr="00060C03">
        <w:t xml:space="preserve">). </w:t>
      </w:r>
      <w:r w:rsidRPr="00060C03">
        <w:t xml:space="preserve">For both DVT and PE separately, the apixaban groups had fewer events compared with placebo (Table </w:t>
      </w:r>
      <w:r w:rsidR="00060C03" w:rsidRPr="00060C03">
        <w:t>15</w:t>
      </w:r>
      <w:r w:rsidR="007661A5" w:rsidRPr="00060C03">
        <w:t>).</w:t>
      </w:r>
      <w:r w:rsidR="007661A5">
        <w:t xml:space="preserve"> </w:t>
      </w:r>
      <w:r w:rsidRPr="007661A5">
        <w:t>There was no subgroup effect</w:t>
      </w:r>
      <w:r w:rsidR="00F1597D">
        <w:t>.</w:t>
      </w:r>
    </w:p>
    <w:p w:rsidR="00060C03" w:rsidRPr="002D4BF7" w:rsidRDefault="00060C03" w:rsidP="00060C03">
      <w:pPr>
        <w:pStyle w:val="Tabletitle"/>
      </w:pPr>
      <w:r w:rsidRPr="002D4BF7">
        <w:t>Table</w:t>
      </w:r>
      <w:r>
        <w:t xml:space="preserve"> 14: </w:t>
      </w:r>
      <w:r w:rsidRPr="002D4BF7">
        <w:t xml:space="preserve">Adjudicated Primary Efficacy Endpoints (Nonfatal DVT, Nonfatal PE and All-Cause Death) During the Intended Treatment Period (Randomized Subjects) - Without Imputation </w:t>
      </w:r>
    </w:p>
    <w:p w:rsidR="00060C03" w:rsidRPr="002D4BF7" w:rsidRDefault="00060C03" w:rsidP="00060C03">
      <w:pPr>
        <w:autoSpaceDE w:val="0"/>
        <w:autoSpaceDN w:val="0"/>
        <w:adjustRightInd w:val="0"/>
        <w:rPr>
          <w:rFonts w:ascii="Times New Roman" w:hAnsi="Times New Roman"/>
          <w:sz w:val="24"/>
        </w:rPr>
      </w:pPr>
      <w:r>
        <w:rPr>
          <w:rFonts w:ascii="Times New Roman" w:hAnsi="Times New Roman"/>
          <w:noProof/>
          <w:sz w:val="24"/>
          <w:lang w:eastAsia="en-AU"/>
        </w:rPr>
        <w:drawing>
          <wp:inline distT="0" distB="0" distL="0" distR="0" wp14:anchorId="6B7735B2" wp14:editId="5753D776">
            <wp:extent cx="3647029" cy="2950548"/>
            <wp:effectExtent l="0" t="0" r="0" b="2540"/>
            <wp:docPr id="21" name="Picture 21" descr="Table 14: Adjudicated Primary Efficacy Endpoints (Nonfatal DVT, Nonfatal PE and All-Cause Death) During the Intended Treatment Period (Randomized Subjects) - Without Impu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3654073" cy="2956246"/>
                    </a:xfrm>
                    <a:prstGeom prst="rect">
                      <a:avLst/>
                    </a:prstGeom>
                    <a:noFill/>
                    <a:ln>
                      <a:noFill/>
                    </a:ln>
                  </pic:spPr>
                </pic:pic>
              </a:graphicData>
            </a:graphic>
          </wp:inline>
        </w:drawing>
      </w:r>
    </w:p>
    <w:p w:rsidR="00060C03" w:rsidRPr="002D4BF7" w:rsidRDefault="00060C03" w:rsidP="00F1597D">
      <w:pPr>
        <w:pStyle w:val="Tabletitle"/>
      </w:pPr>
      <w:r w:rsidRPr="002D4BF7">
        <w:t xml:space="preserve">Table </w:t>
      </w:r>
      <w:r>
        <w:t xml:space="preserve">15: </w:t>
      </w:r>
      <w:r w:rsidRPr="002D4BF7">
        <w:t>Subgroup Analysis of Adjudicated VTE (Nonfatal DVT or Nonfatal PE)/ All-Cause Death During the Intended Treatment Period by Index Event Type – With I</w:t>
      </w:r>
      <w:r w:rsidR="0057597F">
        <w:t>mputation (Randomized Subjects)</w:t>
      </w:r>
    </w:p>
    <w:p w:rsidR="00060C03" w:rsidRPr="002D4BF7" w:rsidRDefault="00060C03" w:rsidP="00060C03">
      <w:pPr>
        <w:autoSpaceDE w:val="0"/>
        <w:autoSpaceDN w:val="0"/>
        <w:adjustRightInd w:val="0"/>
        <w:rPr>
          <w:rFonts w:ascii="Times New Roman" w:hAnsi="Times New Roman"/>
          <w:sz w:val="24"/>
        </w:rPr>
      </w:pPr>
      <w:r>
        <w:rPr>
          <w:rFonts w:ascii="Times New Roman" w:hAnsi="Times New Roman"/>
          <w:noProof/>
          <w:sz w:val="24"/>
          <w:lang w:eastAsia="en-AU"/>
        </w:rPr>
        <w:drawing>
          <wp:inline distT="0" distB="0" distL="0" distR="0" wp14:anchorId="467DB5FD" wp14:editId="5FBB88DE">
            <wp:extent cx="3742169" cy="3566755"/>
            <wp:effectExtent l="0" t="0" r="0" b="0"/>
            <wp:docPr id="10" name="Picture 10" descr="Table 15: Subgroup Analysis of Adjudicated VTE (Nonfatal DVT or Nonfatal PE)/ All-Cause Death During the Intended Treatment Period by Index Event Type – With Imputation (Randomiz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3748017" cy="3572329"/>
                    </a:xfrm>
                    <a:prstGeom prst="rect">
                      <a:avLst/>
                    </a:prstGeom>
                    <a:noFill/>
                    <a:ln>
                      <a:noFill/>
                    </a:ln>
                  </pic:spPr>
                </pic:pic>
              </a:graphicData>
            </a:graphic>
          </wp:inline>
        </w:drawing>
      </w:r>
    </w:p>
    <w:p w:rsidR="00870819" w:rsidRPr="007661A5" w:rsidRDefault="00870819" w:rsidP="0057597F">
      <w:pPr>
        <w:pStyle w:val="Heading6"/>
        <w:pageBreakBefore/>
      </w:pPr>
      <w:r w:rsidRPr="007661A5">
        <w:lastRenderedPageBreak/>
        <w:t>Results for other efficacy outcomes</w:t>
      </w:r>
    </w:p>
    <w:p w:rsidR="00870819" w:rsidRPr="007661A5" w:rsidRDefault="00870819" w:rsidP="007661A5">
      <w:r w:rsidRPr="007661A5">
        <w:t>The results for the secondary efficacy outcomes were:</w:t>
      </w:r>
    </w:p>
    <w:p w:rsidR="00870819" w:rsidRPr="007661A5" w:rsidRDefault="00870819" w:rsidP="007661A5">
      <w:pPr>
        <w:pStyle w:val="ListBullet"/>
      </w:pPr>
      <w:r w:rsidRPr="007661A5">
        <w:t>The incidence of adjudicated composite of recurrent symptomatic VTE or VTE-related death (with imputation) was: event rate (95% CI) 0.0321 (0.0202 to 0.0441) for apixaban 2.5 mg, 0.0418 (0.0281 to 0.0556) for apixaban 5 mg and 0.1110 (0.0896 to 0.1324) for placebo</w:t>
      </w:r>
      <w:r w:rsidR="007661A5">
        <w:t xml:space="preserve">. </w:t>
      </w:r>
      <w:r w:rsidRPr="007661A5">
        <w:t>Risk difference (95% CI) compared with placebo -</w:t>
      </w:r>
      <w:r w:rsidR="007661A5">
        <w:t xml:space="preserve"> </w:t>
      </w:r>
      <w:r w:rsidRPr="007661A5">
        <w:t>0.0790 (-</w:t>
      </w:r>
      <w:r w:rsidR="007661A5">
        <w:t xml:space="preserve"> </w:t>
      </w:r>
      <w:r w:rsidRPr="007661A5">
        <w:t>0.1035 to -</w:t>
      </w:r>
      <w:r w:rsidR="007661A5">
        <w:t xml:space="preserve"> </w:t>
      </w:r>
      <w:r w:rsidRPr="007661A5">
        <w:t>0.0545) for apixaban 2.5 mg and -</w:t>
      </w:r>
      <w:r w:rsidR="007661A5">
        <w:t xml:space="preserve"> </w:t>
      </w:r>
      <w:r w:rsidRPr="007661A5">
        <w:t>0.0691 (-</w:t>
      </w:r>
      <w:r w:rsidR="007661A5">
        <w:t xml:space="preserve"> </w:t>
      </w:r>
      <w:r w:rsidRPr="007661A5">
        <w:t>0.0945 to -</w:t>
      </w:r>
      <w:r w:rsidR="007661A5">
        <w:t xml:space="preserve"> </w:t>
      </w:r>
      <w:r w:rsidRPr="007661A5">
        <w:t>0.0437) for apixaban 5 mg, p &lt;</w:t>
      </w:r>
      <w:r w:rsidR="007661A5">
        <w:t xml:space="preserve"> </w:t>
      </w:r>
      <w:r w:rsidRPr="007661A5">
        <w:t>0.0001.</w:t>
      </w:r>
    </w:p>
    <w:p w:rsidR="00870819" w:rsidRPr="007661A5" w:rsidRDefault="00870819" w:rsidP="007661A5">
      <w:pPr>
        <w:pStyle w:val="ListBullet"/>
      </w:pPr>
      <w:r w:rsidRPr="007661A5">
        <w:t>The incidence of adjudicated composite of recurrent symptomatic VTE or CV-related death (with imputation) was: event rate (95% CI) 0.0167 (0.0080 to 0.0253) for apixaban 2.5 mg, 0.0172 (0.0083 to 0.0262) for apixaban 5 mg and 0.0881 (0.0688 to 0.1073) for placebo</w:t>
      </w:r>
      <w:r w:rsidR="007661A5">
        <w:t xml:space="preserve">. </w:t>
      </w:r>
      <w:r w:rsidRPr="007661A5">
        <w:t>Risk difference (95% CI) compared with placebo -</w:t>
      </w:r>
      <w:r w:rsidR="007661A5">
        <w:t xml:space="preserve"> </w:t>
      </w:r>
      <w:r w:rsidRPr="007661A5">
        <w:t>0.0715 (-</w:t>
      </w:r>
      <w:r w:rsidR="007661A5">
        <w:t xml:space="preserve"> </w:t>
      </w:r>
      <w:r w:rsidRPr="007661A5">
        <w:t>0.0926 to -</w:t>
      </w:r>
      <w:r w:rsidR="007661A5">
        <w:t xml:space="preserve"> </w:t>
      </w:r>
      <w:r w:rsidRPr="007661A5">
        <w:t>0.0504) for apixaban 2.5 mg and -</w:t>
      </w:r>
      <w:r w:rsidR="007661A5">
        <w:t xml:space="preserve"> </w:t>
      </w:r>
      <w:r w:rsidRPr="007661A5">
        <w:t>0.0700 (-</w:t>
      </w:r>
      <w:r w:rsidR="007661A5">
        <w:t xml:space="preserve"> </w:t>
      </w:r>
      <w:r w:rsidRPr="007661A5">
        <w:t>0.0912 to -0.0489) for apixaban 5 mg, p &lt;</w:t>
      </w:r>
      <w:r w:rsidR="007661A5">
        <w:t xml:space="preserve"> </w:t>
      </w:r>
      <w:r w:rsidRPr="007661A5">
        <w:t>0.0001.</w:t>
      </w:r>
    </w:p>
    <w:p w:rsidR="00870819" w:rsidRPr="007661A5" w:rsidRDefault="00870819" w:rsidP="007661A5">
      <w:pPr>
        <w:pStyle w:val="ListBullet"/>
      </w:pPr>
      <w:r w:rsidRPr="007661A5">
        <w:t>The incidence of adjudicated symptomatic nonfatal DVT (with imputation): event rate (95% CI) 0.0226 (0.0126 to 0.0327) for apixaban 2.5 mg, 0.0344 (0.0219 to 0.0470) for apixaban 5 mg and 0.0869 (0.0677 to 0.1060) for placebo</w:t>
      </w:r>
      <w:r w:rsidR="007661A5">
        <w:t xml:space="preserve">. </w:t>
      </w:r>
      <w:r w:rsidRPr="007661A5">
        <w:t>Risk difference (95% CI) compared with placebo -</w:t>
      </w:r>
      <w:r w:rsidR="007661A5">
        <w:t xml:space="preserve"> </w:t>
      </w:r>
      <w:r w:rsidRPr="007661A5">
        <w:t>0.0642 (-</w:t>
      </w:r>
      <w:r w:rsidR="007661A5">
        <w:t xml:space="preserve"> </w:t>
      </w:r>
      <w:r w:rsidRPr="007661A5">
        <w:t>0.0858 to -</w:t>
      </w:r>
      <w:r w:rsidR="007661A5">
        <w:t xml:space="preserve"> </w:t>
      </w:r>
      <w:r w:rsidRPr="007661A5">
        <w:t>0.0426) for apixaban 2.5 mg and -</w:t>
      </w:r>
      <w:r w:rsidR="007661A5">
        <w:t xml:space="preserve"> </w:t>
      </w:r>
      <w:r w:rsidRPr="007661A5">
        <w:t>0.0523 (-</w:t>
      </w:r>
      <w:r w:rsidR="007661A5">
        <w:t xml:space="preserve"> </w:t>
      </w:r>
      <w:r w:rsidRPr="007661A5">
        <w:t>0.0752 to -</w:t>
      </w:r>
      <w:r w:rsidR="007661A5">
        <w:t xml:space="preserve"> </w:t>
      </w:r>
      <w:r w:rsidRPr="007661A5">
        <w:t>0.0294) for apixaban 5 mg, p &lt;</w:t>
      </w:r>
      <w:r w:rsidR="007661A5">
        <w:t xml:space="preserve"> </w:t>
      </w:r>
      <w:r w:rsidRPr="007661A5">
        <w:t>0.0001.</w:t>
      </w:r>
    </w:p>
    <w:p w:rsidR="00870819" w:rsidRPr="007661A5" w:rsidRDefault="00870819" w:rsidP="007661A5">
      <w:pPr>
        <w:pStyle w:val="ListBullet"/>
      </w:pPr>
      <w:r w:rsidRPr="007661A5">
        <w:t>The incidence of adjudicated symptomatic nonfatal PE (with imputation) was: event rate (95% CI) 0.0274 (0.0163 to 0.0384) for apixaban 2.5 mg, 0.0308 (0.0189 to 0.0426) for apixaban 5 mg and 0.0446 (0.0306 to 0.0587) for placebo</w:t>
      </w:r>
      <w:r w:rsidR="007661A5">
        <w:t xml:space="preserve">. </w:t>
      </w:r>
      <w:r w:rsidRPr="007661A5">
        <w:t>Risk difference (95% CI) compared with placebo -</w:t>
      </w:r>
      <w:r w:rsidR="007661A5">
        <w:t xml:space="preserve"> </w:t>
      </w:r>
      <w:r w:rsidRPr="007661A5">
        <w:t>0.0162 (-</w:t>
      </w:r>
      <w:r w:rsidR="007661A5">
        <w:t xml:space="preserve"> </w:t>
      </w:r>
      <w:r w:rsidRPr="007661A5">
        <w:t>0.0337 to 0.0013) for apixaban 2.5 mg and -0.0127 (-</w:t>
      </w:r>
      <w:r w:rsidR="007661A5">
        <w:t xml:space="preserve"> </w:t>
      </w:r>
      <w:r w:rsidRPr="007661A5">
        <w:t>0.0308 to 0.0054) for apixaban 5 mg, p &gt;</w:t>
      </w:r>
      <w:r w:rsidR="007661A5">
        <w:t xml:space="preserve"> </w:t>
      </w:r>
      <w:r w:rsidRPr="007661A5">
        <w:t>0.05.</w:t>
      </w:r>
    </w:p>
    <w:p w:rsidR="00870819" w:rsidRPr="007661A5" w:rsidRDefault="00870819" w:rsidP="007661A5">
      <w:pPr>
        <w:pStyle w:val="ListBullet"/>
      </w:pPr>
      <w:r w:rsidRPr="007661A5">
        <w:t>The incidence of adjudicated VTE-related death (with imputation) was: event rate (95% CI) 0.0202 (0.0107 to 0.0298) for apixaban 2.5 mg, 0.0295 (0.0179 to 0.0412) for apixaban 5 mg and 0.0314 (0.0195 to 0.0432) for placebo</w:t>
      </w:r>
      <w:r w:rsidR="007661A5">
        <w:t xml:space="preserve">. </w:t>
      </w:r>
      <w:r w:rsidRPr="007661A5">
        <w:t>Risk difference (95% CI) compared with placebo -</w:t>
      </w:r>
      <w:r w:rsidR="007661A5">
        <w:t xml:space="preserve"> </w:t>
      </w:r>
      <w:r w:rsidRPr="007661A5">
        <w:t>0.0113 (-</w:t>
      </w:r>
      <w:r w:rsidR="007661A5">
        <w:t xml:space="preserve"> </w:t>
      </w:r>
      <w:r w:rsidRPr="007661A5">
        <w:t>0.0266 to 0.0039) for apixaban 2.5 mg and -</w:t>
      </w:r>
      <w:r w:rsidR="007661A5">
        <w:t xml:space="preserve"> </w:t>
      </w:r>
      <w:r w:rsidRPr="007661A5">
        <w:t>0.0019 (-</w:t>
      </w:r>
      <w:r w:rsidR="007661A5">
        <w:t xml:space="preserve"> </w:t>
      </w:r>
      <w:r w:rsidRPr="007661A5">
        <w:t>0.0185 to 0.0148) for apixaban 5 mg, p &gt;</w:t>
      </w:r>
      <w:r w:rsidR="007661A5">
        <w:t xml:space="preserve"> </w:t>
      </w:r>
      <w:r w:rsidRPr="007661A5">
        <w:t>0.05.</w:t>
      </w:r>
    </w:p>
    <w:p w:rsidR="00870819" w:rsidRPr="007661A5" w:rsidRDefault="00870819" w:rsidP="007661A5">
      <w:pPr>
        <w:pStyle w:val="ListBullet"/>
      </w:pPr>
      <w:r w:rsidRPr="007661A5">
        <w:t>The incidence of adjudicated CV-related death (with imputation) was: event rate (95% CI) 0.0202 (0.0107 to 0.0298) for apixaban 2.5 mg, 0.0295 (0.0179 to 0.0412) for apixaban 5 mg and 0.0350 (0.0225 to 0.0475) for placebo</w:t>
      </w:r>
      <w:r w:rsidR="007661A5">
        <w:t xml:space="preserve">. </w:t>
      </w:r>
      <w:r w:rsidRPr="007661A5">
        <w:t>Risk difference (95% CI) compared with placebo -</w:t>
      </w:r>
      <w:r w:rsidR="007661A5">
        <w:t xml:space="preserve"> </w:t>
      </w:r>
      <w:r w:rsidRPr="007661A5">
        <w:t>0.0145 (-</w:t>
      </w:r>
      <w:r w:rsidR="007661A5">
        <w:t xml:space="preserve"> </w:t>
      </w:r>
      <w:r w:rsidRPr="007661A5">
        <w:t>0.0303 to 0.0012) for apixaban 2.5 mg and -</w:t>
      </w:r>
      <w:r w:rsidR="007661A5">
        <w:t xml:space="preserve"> </w:t>
      </w:r>
      <w:r w:rsidRPr="007661A5">
        <w:t>0.0052 (-</w:t>
      </w:r>
      <w:r w:rsidR="007661A5">
        <w:t xml:space="preserve"> </w:t>
      </w:r>
      <w:r w:rsidRPr="007661A5">
        <w:t>0.0223 to 0.0119) for apixaban 5 mg, p &gt;</w:t>
      </w:r>
      <w:r w:rsidR="007661A5">
        <w:t xml:space="preserve"> </w:t>
      </w:r>
      <w:r w:rsidRPr="007661A5">
        <w:t>0.05.</w:t>
      </w:r>
    </w:p>
    <w:p w:rsidR="00870819" w:rsidRPr="007661A5" w:rsidRDefault="00870819" w:rsidP="00870819">
      <w:pPr>
        <w:pStyle w:val="ListBullet"/>
      </w:pPr>
      <w:r w:rsidRPr="007661A5">
        <w:t>The incidence of all-cause death (with imputation) was: event rate (95% CI) 0.0262 (0.0154 to 0.0370) for apixaban 2.5 mg, 0.0308 (0.0189 to 0.0426) for apixaban 5 mg and 0.0398 (0.0265 to 0.0531) for placebo</w:t>
      </w:r>
      <w:r w:rsidR="007661A5">
        <w:t xml:space="preserve">. </w:t>
      </w:r>
      <w:r w:rsidRPr="007661A5">
        <w:t>Risk difference (95% CI) compared with placebo -</w:t>
      </w:r>
      <w:r w:rsidR="007661A5">
        <w:t xml:space="preserve"> </w:t>
      </w:r>
      <w:r w:rsidRPr="007661A5">
        <w:t>0.0131 (-</w:t>
      </w:r>
      <w:r w:rsidR="007661A5">
        <w:t xml:space="preserve"> </w:t>
      </w:r>
      <w:r w:rsidRPr="007661A5">
        <w:t>0.0303 to 0.0041) for apixaban 2.5 mg and -</w:t>
      </w:r>
      <w:r w:rsidR="007661A5">
        <w:t xml:space="preserve"> </w:t>
      </w:r>
      <w:r w:rsidRPr="007661A5">
        <w:t>0.0085 (-</w:t>
      </w:r>
      <w:r w:rsidR="007661A5">
        <w:t xml:space="preserve"> </w:t>
      </w:r>
      <w:r w:rsidRPr="007661A5">
        <w:t>0.0263 to 0.0094) for apixaban 5 mg, p &gt;</w:t>
      </w:r>
      <w:r w:rsidR="007661A5">
        <w:t xml:space="preserve"> </w:t>
      </w:r>
      <w:r w:rsidRPr="007661A5">
        <w:t>0.05.</w:t>
      </w:r>
    </w:p>
    <w:p w:rsidR="00870819" w:rsidRPr="007661A5" w:rsidRDefault="00870819" w:rsidP="007661A5">
      <w:r w:rsidRPr="007661A5">
        <w:t>In the follow-up period there was a greater proportion of subjects in the apixaban 5 mg group with symptomatic VTE (nonfatal DVT or nonfatal PE)/ all-cause death: four (0.5%) subjects in the apixaban 2.5 mg group, eight (1.0%) in the 5 mg an</w:t>
      </w:r>
      <w:r w:rsidR="007661A5">
        <w:t xml:space="preserve">d three (0.4%) in the placebo. </w:t>
      </w:r>
      <w:r w:rsidRPr="007661A5">
        <w:t>This may represent an unmasking effect rather than a rebound effect.</w:t>
      </w:r>
    </w:p>
    <w:p w:rsidR="00870819" w:rsidRDefault="00870819" w:rsidP="007661A5">
      <w:r w:rsidRPr="00F1597D">
        <w:t>The Kaplan-Meier indicated a sustained treatment effect during the 12 month treat</w:t>
      </w:r>
      <w:r w:rsidR="007661A5" w:rsidRPr="00F1597D">
        <w:t xml:space="preserve">ment period (Figure </w:t>
      </w:r>
      <w:r w:rsidR="00F1597D" w:rsidRPr="00F1597D">
        <w:t>9</w:t>
      </w:r>
      <w:r w:rsidR="007661A5" w:rsidRPr="00F1597D">
        <w:t>).</w:t>
      </w:r>
    </w:p>
    <w:p w:rsidR="0057597F" w:rsidRDefault="00F1597D" w:rsidP="0057597F">
      <w:pPr>
        <w:pStyle w:val="FigureTitle"/>
      </w:pPr>
      <w:r w:rsidRPr="002D4BF7">
        <w:lastRenderedPageBreak/>
        <w:t xml:space="preserve">Figure </w:t>
      </w:r>
      <w:r>
        <w:t xml:space="preserve">9: </w:t>
      </w:r>
      <w:r w:rsidRPr="002D4BF7">
        <w:t>Kaplan-Meier Plots for Efficacy Endpoints During the Intended Treatment</w:t>
      </w:r>
      <w:r w:rsidR="0057597F">
        <w:t xml:space="preserve"> Period - Randomized Subjects</w:t>
      </w:r>
    </w:p>
    <w:p w:rsidR="00F1597D" w:rsidRPr="002D4BF7" w:rsidRDefault="00F1597D" w:rsidP="0057597F">
      <w:r>
        <w:rPr>
          <w:noProof/>
          <w:lang w:eastAsia="en-AU"/>
        </w:rPr>
        <w:drawing>
          <wp:inline distT="0" distB="0" distL="0" distR="0" wp14:anchorId="611E930C" wp14:editId="6CFC1A02">
            <wp:extent cx="5731510" cy="6213773"/>
            <wp:effectExtent l="0" t="0" r="2540" b="0"/>
            <wp:docPr id="26" name="Picture 26" descr="Figure 9: Kaplan-Meier Plots for Efficacy Endpoints During the Intended Treatment Period - Randomiz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6213773"/>
                    </a:xfrm>
                    <a:prstGeom prst="rect">
                      <a:avLst/>
                    </a:prstGeom>
                  </pic:spPr>
                </pic:pic>
              </a:graphicData>
            </a:graphic>
          </wp:inline>
        </w:drawing>
      </w:r>
    </w:p>
    <w:p w:rsidR="00870819" w:rsidRPr="007661A5" w:rsidRDefault="00870819" w:rsidP="007661A5">
      <w:pPr>
        <w:pStyle w:val="Heading4"/>
      </w:pPr>
      <w:bookmarkStart w:id="161" w:name="_Toc241374312"/>
      <w:bookmarkStart w:id="162" w:name="_Toc272414656"/>
      <w:bookmarkStart w:id="163" w:name="_Toc290846281"/>
      <w:bookmarkStart w:id="164" w:name="_Toc407734486"/>
      <w:r w:rsidRPr="007661A5">
        <w:t>Analyses performed across trials (pooled analyses and meta-analyses)</w:t>
      </w:r>
      <w:bookmarkEnd w:id="161"/>
      <w:bookmarkEnd w:id="162"/>
      <w:bookmarkEnd w:id="163"/>
      <w:bookmarkEnd w:id="164"/>
    </w:p>
    <w:p w:rsidR="00870819" w:rsidRPr="007661A5" w:rsidRDefault="00870819" w:rsidP="00870819">
      <w:r w:rsidRPr="007661A5">
        <w:t>There were no pooled analyses of efficacy for the indication of: prevention of recurrent DVT and PE.</w:t>
      </w:r>
    </w:p>
    <w:p w:rsidR="00870819" w:rsidRPr="007661A5" w:rsidRDefault="00870819" w:rsidP="007661A5">
      <w:pPr>
        <w:pStyle w:val="Heading4"/>
      </w:pPr>
      <w:bookmarkStart w:id="165" w:name="_Ref271126605"/>
      <w:bookmarkStart w:id="166" w:name="_Toc272414657"/>
      <w:bookmarkStart w:id="167" w:name="_Toc290846282"/>
      <w:bookmarkStart w:id="168" w:name="_Toc407734487"/>
      <w:r w:rsidRPr="007661A5">
        <w:t>Evaluator’s conclusions on clinical efficacy for prevention of recurrent DVT and PE</w:t>
      </w:r>
      <w:bookmarkEnd w:id="165"/>
      <w:bookmarkEnd w:id="166"/>
      <w:bookmarkEnd w:id="167"/>
      <w:bookmarkEnd w:id="168"/>
    </w:p>
    <w:p w:rsidR="00870819" w:rsidRPr="007661A5" w:rsidRDefault="00870819" w:rsidP="007661A5">
      <w:r w:rsidRPr="007661A5">
        <w:t>Both apixaban treatment regimens were superior to placebo with no apparent difference in efficacy between the apixaban doses</w:t>
      </w:r>
      <w:r w:rsidR="007661A5">
        <w:t xml:space="preserve">. </w:t>
      </w:r>
      <w:r w:rsidRPr="007661A5">
        <w:t xml:space="preserve">There were 19 events in the apixaban 2.5 mg group, 14 in </w:t>
      </w:r>
      <w:r w:rsidR="007661A5">
        <w:t>the 5 mg and 77 in the placebo.</w:t>
      </w:r>
      <w:r w:rsidRPr="007661A5">
        <w:t xml:space="preserve"> In addition, there were 13 imputed events in the apixaban 2.5 mg group, 20 in t</w:t>
      </w:r>
      <w:r w:rsidR="007661A5">
        <w:t xml:space="preserve">he 5 mg and 19 in the placebo. </w:t>
      </w:r>
      <w:r w:rsidRPr="007661A5">
        <w:t xml:space="preserve">The RR (95% CI) compared to placebo for apixaban 2.5 mg was 0.3283 (0.2225 to 0.4844) and for apixaban 5 mg </w:t>
      </w:r>
      <w:r w:rsidR="007661A5">
        <w:t xml:space="preserve">was 0.3615 (0.2475 to 0.5281). </w:t>
      </w:r>
      <w:r w:rsidRPr="007661A5">
        <w:t>The Risk difference (95% CI) compared to placebo was -</w:t>
      </w:r>
      <w:r w:rsidR="007661A5">
        <w:t xml:space="preserve"> </w:t>
      </w:r>
      <w:r w:rsidRPr="007661A5">
        <w:t>0.0779 (-</w:t>
      </w:r>
      <w:r w:rsidR="007661A5">
        <w:t xml:space="preserve"> </w:t>
      </w:r>
      <w:r w:rsidRPr="007661A5">
        <w:t>0.1032 to -</w:t>
      </w:r>
      <w:r w:rsidR="007661A5">
        <w:t xml:space="preserve"> </w:t>
      </w:r>
      <w:r w:rsidRPr="007661A5">
        <w:t xml:space="preserve">0.0526) </w:t>
      </w:r>
      <w:r w:rsidRPr="007661A5">
        <w:lastRenderedPageBreak/>
        <w:t>for apixaban 2.5 mg and -</w:t>
      </w:r>
      <w:r w:rsidR="007661A5">
        <w:t xml:space="preserve"> </w:t>
      </w:r>
      <w:r w:rsidRPr="007661A5">
        <w:t>0.0740 (-</w:t>
      </w:r>
      <w:r w:rsidR="007661A5">
        <w:t xml:space="preserve"> </w:t>
      </w:r>
      <w:r w:rsidRPr="007661A5">
        <w:t>0.0997 to -</w:t>
      </w:r>
      <w:r w:rsidR="007661A5">
        <w:t xml:space="preserve"> 0.0482) for apixaban 5 mg.</w:t>
      </w:r>
      <w:r w:rsidRPr="007661A5">
        <w:t xml:space="preserve"> All these hypothesis tests were significant to p &lt;</w:t>
      </w:r>
      <w:r w:rsidR="007661A5">
        <w:t xml:space="preserve"> </w:t>
      </w:r>
      <w:r w:rsidRPr="007661A5">
        <w:t>0.0001.</w:t>
      </w:r>
      <w:r w:rsidR="007661A5">
        <w:t xml:space="preserve"> </w:t>
      </w:r>
      <w:r w:rsidRPr="007661A5">
        <w:t>The secondary efficacy outcome measures were also supportive of superiority.</w:t>
      </w:r>
    </w:p>
    <w:p w:rsidR="00EC0EB7" w:rsidRPr="007661A5" w:rsidRDefault="00870819" w:rsidP="007661A5">
      <w:r w:rsidRPr="007661A5">
        <w:t>The study desig</w:t>
      </w:r>
      <w:r w:rsidR="007661A5">
        <w:t xml:space="preserve">n conformed with EMA guidance. </w:t>
      </w:r>
      <w:r w:rsidRPr="007661A5">
        <w:t>The study population included appropriate at-risk groups and a</w:t>
      </w:r>
      <w:r w:rsidR="007661A5">
        <w:t xml:space="preserve">lso included elderly subjects. </w:t>
      </w:r>
      <w:r w:rsidRPr="007661A5">
        <w:t xml:space="preserve">The comparator treatment was placebo, which is appropriate because </w:t>
      </w:r>
      <w:r w:rsidR="00BC0EF1">
        <w:t>‘</w:t>
      </w:r>
      <w:r w:rsidRPr="007661A5">
        <w:t>no treatment</w:t>
      </w:r>
      <w:r w:rsidR="00BC0EF1">
        <w:t>’</w:t>
      </w:r>
      <w:r w:rsidRPr="007661A5">
        <w:t xml:space="preserve"> is</w:t>
      </w:r>
      <w:r w:rsidR="007661A5">
        <w:t xml:space="preserve"> an accepted standard of care. </w:t>
      </w:r>
      <w:r w:rsidRPr="007661A5">
        <w:t>The outcome measures wer</w:t>
      </w:r>
      <w:r w:rsidR="007661A5">
        <w:t xml:space="preserve">e in accordance with guidance. </w:t>
      </w:r>
      <w:r w:rsidRPr="007661A5">
        <w:t>The statistica</w:t>
      </w:r>
      <w:r w:rsidR="007661A5">
        <w:t xml:space="preserve">l procedures were appropriate. </w:t>
      </w:r>
      <w:r w:rsidRPr="007661A5">
        <w:t>The subgroup analysis was extensive and included c</w:t>
      </w:r>
      <w:r w:rsidR="007661A5">
        <w:t>linically relevant groupings.</w:t>
      </w:r>
    </w:p>
    <w:p w:rsidR="00C22678" w:rsidRDefault="00C22678" w:rsidP="00C22678">
      <w:pPr>
        <w:pStyle w:val="Heading2"/>
      </w:pPr>
      <w:bookmarkStart w:id="169" w:name="_Toc436383341"/>
      <w:r>
        <w:t>Clinical safety</w:t>
      </w:r>
      <w:bookmarkEnd w:id="169"/>
    </w:p>
    <w:p w:rsidR="007661A5" w:rsidRPr="007661A5" w:rsidRDefault="007661A5" w:rsidP="007661A5">
      <w:pPr>
        <w:pStyle w:val="Heading3"/>
      </w:pPr>
      <w:bookmarkStart w:id="170" w:name="_Toc272414659"/>
      <w:bookmarkStart w:id="171" w:name="_Toc290846284"/>
      <w:bookmarkStart w:id="172" w:name="_Toc407734489"/>
      <w:bookmarkStart w:id="173" w:name="_Toc436383342"/>
      <w:r w:rsidRPr="007661A5">
        <w:t>Studies providing evaluable safety data</w:t>
      </w:r>
      <w:bookmarkEnd w:id="170"/>
      <w:bookmarkEnd w:id="171"/>
      <w:bookmarkEnd w:id="172"/>
      <w:bookmarkEnd w:id="173"/>
    </w:p>
    <w:p w:rsidR="007661A5" w:rsidRPr="003F3088" w:rsidRDefault="007661A5" w:rsidP="007661A5">
      <w:bookmarkStart w:id="174" w:name="_Ref268776745"/>
      <w:r w:rsidRPr="007661A5">
        <w:t xml:space="preserve">The following studies </w:t>
      </w:r>
      <w:r w:rsidR="003F3088">
        <w:t>provided evaluable safety data:</w:t>
      </w:r>
    </w:p>
    <w:p w:rsidR="007661A5" w:rsidRPr="003F3088" w:rsidRDefault="007661A5" w:rsidP="003F3088">
      <w:pPr>
        <w:pStyle w:val="Heading4"/>
      </w:pPr>
      <w:r w:rsidRPr="003F3088">
        <w:t>Pivotal efficacy studies</w:t>
      </w:r>
      <w:bookmarkEnd w:id="174"/>
    </w:p>
    <w:p w:rsidR="007661A5" w:rsidRPr="003F3088" w:rsidRDefault="007661A5" w:rsidP="003F3088">
      <w:r w:rsidRPr="003F3088">
        <w:t>In the pivotal efficacy studies, the following safety data were collected:</w:t>
      </w:r>
    </w:p>
    <w:p w:rsidR="007661A5" w:rsidRPr="003F3088" w:rsidRDefault="007661A5" w:rsidP="003F3088">
      <w:pPr>
        <w:pStyle w:val="ListBullet"/>
      </w:pPr>
      <w:r w:rsidRPr="003F3088">
        <w:t>Major or CRNMB during the treatment period</w:t>
      </w:r>
    </w:p>
    <w:p w:rsidR="007661A5" w:rsidRPr="003F3088" w:rsidRDefault="007661A5" w:rsidP="007661A5">
      <w:pPr>
        <w:pStyle w:val="ListBullet"/>
      </w:pPr>
      <w:r w:rsidRPr="003F3088">
        <w:t>AEs, laborato</w:t>
      </w:r>
      <w:r w:rsidR="003F3088">
        <w:t>ry tests, vital signs and ECGs.</w:t>
      </w:r>
    </w:p>
    <w:p w:rsidR="007661A5" w:rsidRPr="003F3088" w:rsidRDefault="007661A5" w:rsidP="003F3088">
      <w:pPr>
        <w:pStyle w:val="Heading4"/>
      </w:pPr>
      <w:r w:rsidRPr="003F3088">
        <w:t>Pivotal studies that assessed safety as a primary outcome</w:t>
      </w:r>
    </w:p>
    <w:p w:rsidR="007661A5" w:rsidRPr="003F3088" w:rsidRDefault="007661A5" w:rsidP="007661A5">
      <w:bookmarkStart w:id="175" w:name="_Toc397246756"/>
      <w:r w:rsidRPr="003F3088">
        <w:t>There were no pivotal studies that assessed safety alone as the primary outcome.</w:t>
      </w:r>
      <w:bookmarkEnd w:id="175"/>
    </w:p>
    <w:p w:rsidR="007661A5" w:rsidRPr="003F3088" w:rsidRDefault="007661A5" w:rsidP="003F3088">
      <w:pPr>
        <w:pStyle w:val="Heading4"/>
      </w:pPr>
      <w:r w:rsidRPr="003F3088">
        <w:t>Dose-response and non-pivotal efficacy studies</w:t>
      </w:r>
    </w:p>
    <w:p w:rsidR="007661A5" w:rsidRPr="003F3088" w:rsidRDefault="007661A5" w:rsidP="003F3088">
      <w:r w:rsidRPr="003F3088">
        <w:t>The dose-response study provided safety data, as follows:</w:t>
      </w:r>
    </w:p>
    <w:p w:rsidR="007661A5" w:rsidRPr="003F3088" w:rsidRDefault="003F3088" w:rsidP="003F3088">
      <w:pPr>
        <w:pStyle w:val="ListBullet"/>
      </w:pPr>
      <w:r>
        <w:t>Major and CRNMB.</w:t>
      </w:r>
    </w:p>
    <w:p w:rsidR="007661A5" w:rsidRPr="003F3088" w:rsidRDefault="007661A5" w:rsidP="007661A5">
      <w:pPr>
        <w:pStyle w:val="ListBullet"/>
      </w:pPr>
      <w:r w:rsidRPr="003F3088">
        <w:t>AEs, clinical laborato</w:t>
      </w:r>
      <w:r w:rsidR="003F3088">
        <w:t>ry evaluations and vital signs.</w:t>
      </w:r>
    </w:p>
    <w:p w:rsidR="007661A5" w:rsidRPr="003F3088" w:rsidRDefault="007661A5" w:rsidP="003F3088">
      <w:pPr>
        <w:pStyle w:val="Heading4"/>
      </w:pPr>
      <w:r w:rsidRPr="003F3088">
        <w:t>Other studies evaluable for safety only</w:t>
      </w:r>
    </w:p>
    <w:p w:rsidR="007661A5" w:rsidRPr="003F3088" w:rsidRDefault="007661A5" w:rsidP="003F3088">
      <w:r w:rsidRPr="003F3088">
        <w:t>Clinical pharmacology studies:</w:t>
      </w:r>
    </w:p>
    <w:p w:rsidR="003F3088" w:rsidRDefault="007661A5" w:rsidP="003F3088">
      <w:pPr>
        <w:pStyle w:val="ListBullet"/>
      </w:pPr>
      <w:r w:rsidRPr="003F3088">
        <w:t>AEs, clinical laboratory tests and ECGs</w:t>
      </w:r>
      <w:r w:rsidR="00AA5825">
        <w:t>.</w:t>
      </w:r>
    </w:p>
    <w:p w:rsidR="003F3088" w:rsidRPr="003F3088" w:rsidRDefault="003F3088" w:rsidP="003F3088">
      <w:pPr>
        <w:pStyle w:val="Heading3"/>
      </w:pPr>
      <w:bookmarkStart w:id="176" w:name="_Ref271195835"/>
      <w:bookmarkStart w:id="177" w:name="_Ref271195841"/>
      <w:bookmarkStart w:id="178" w:name="_Toc272414660"/>
      <w:bookmarkStart w:id="179" w:name="_Toc290846285"/>
      <w:bookmarkStart w:id="180" w:name="_Toc407734490"/>
      <w:bookmarkStart w:id="181" w:name="_Toc436383343"/>
      <w:r w:rsidRPr="003F3088">
        <w:t>Pivotal studies that assessed safety as a primary outcome</w:t>
      </w:r>
      <w:bookmarkEnd w:id="176"/>
      <w:bookmarkEnd w:id="177"/>
      <w:bookmarkEnd w:id="178"/>
      <w:bookmarkEnd w:id="179"/>
      <w:bookmarkEnd w:id="180"/>
      <w:bookmarkEnd w:id="181"/>
    </w:p>
    <w:p w:rsidR="003F3088" w:rsidRPr="003F3088" w:rsidRDefault="003F3088" w:rsidP="003F3088">
      <w:r w:rsidRPr="003F3088">
        <w:t>There were no pivotal studies that assessed safet</w:t>
      </w:r>
      <w:r>
        <w:t>y alone as the primary outcome.</w:t>
      </w:r>
    </w:p>
    <w:p w:rsidR="003F3088" w:rsidRPr="003F3088" w:rsidRDefault="003F3088" w:rsidP="003F3088">
      <w:pPr>
        <w:pStyle w:val="Heading3"/>
      </w:pPr>
      <w:bookmarkStart w:id="182" w:name="_Toc241374318"/>
      <w:bookmarkStart w:id="183" w:name="_Ref271196630"/>
      <w:bookmarkStart w:id="184" w:name="_Toc272414662"/>
      <w:bookmarkStart w:id="185" w:name="_Toc290846300"/>
      <w:bookmarkStart w:id="186" w:name="_Toc407734491"/>
      <w:bookmarkStart w:id="187" w:name="_Toc436383344"/>
      <w:r w:rsidRPr="003F3088">
        <w:t>Patient exposure</w:t>
      </w:r>
      <w:bookmarkEnd w:id="182"/>
      <w:bookmarkEnd w:id="183"/>
      <w:bookmarkEnd w:id="184"/>
      <w:bookmarkEnd w:id="185"/>
      <w:bookmarkEnd w:id="186"/>
      <w:bookmarkEnd w:id="187"/>
    </w:p>
    <w:p w:rsidR="003F3088" w:rsidRPr="003F3088" w:rsidRDefault="003F3088" w:rsidP="003F3088">
      <w:r w:rsidRPr="003F3088">
        <w:t>In Study CV185017 there were 128 subjects exposed to apixaban 5 mg twice daily, 133 to 10 mg twice daily and 124 to 20 mg once daily, for up to 12 weeks.</w:t>
      </w:r>
    </w:p>
    <w:p w:rsidR="003F3088" w:rsidRPr="003F3088" w:rsidRDefault="003F3088" w:rsidP="003F3088">
      <w:r w:rsidRPr="003F3088">
        <w:t>In Study CV185056 there were 2676 subjects exposed to apixaban, with 244 exposed for more tha</w:t>
      </w:r>
      <w:r>
        <w:t xml:space="preserve">n 172 days. </w:t>
      </w:r>
      <w:r w:rsidRPr="003F3088">
        <w:t>The median durat</w:t>
      </w:r>
      <w:r>
        <w:t>ion of exposure was 168 days.</w:t>
      </w:r>
    </w:p>
    <w:p w:rsidR="003F3088" w:rsidRPr="003F3088" w:rsidRDefault="003F3088" w:rsidP="003F3088">
      <w:r w:rsidRPr="003F3088">
        <w:t>In Study CV185057 there were 840 subjects exposed to apixaban 2.5 mg twice daily; with 58 (6.9%) exposed for &gt;</w:t>
      </w:r>
      <w:r>
        <w:t xml:space="preserve"> </w:t>
      </w:r>
      <w:r w:rsidRPr="003F3088">
        <w:t>367 days, and the median exp</w:t>
      </w:r>
      <w:r>
        <w:t xml:space="preserve">osure was 360 days. </w:t>
      </w:r>
      <w:r w:rsidRPr="003F3088">
        <w:t>There were 811 subjects exposed to apixaban 5 mg twice daily; with 38 (4.7%) exposed for &gt;</w:t>
      </w:r>
      <w:r>
        <w:t xml:space="preserve"> </w:t>
      </w:r>
      <w:r w:rsidRPr="003F3088">
        <w:t>367 days, and the</w:t>
      </w:r>
      <w:r>
        <w:t xml:space="preserve"> median exposure was 360 days.</w:t>
      </w:r>
    </w:p>
    <w:p w:rsidR="003F3088" w:rsidRPr="003F3088" w:rsidRDefault="003F3088" w:rsidP="003F3088">
      <w:pPr>
        <w:pStyle w:val="Heading3"/>
      </w:pPr>
      <w:bookmarkStart w:id="188" w:name="_Toc241374319"/>
      <w:bookmarkStart w:id="189" w:name="_Ref271044764"/>
      <w:bookmarkStart w:id="190" w:name="_Toc272414663"/>
      <w:bookmarkStart w:id="191" w:name="_Toc290846301"/>
      <w:bookmarkStart w:id="192" w:name="_Toc407734492"/>
      <w:bookmarkStart w:id="193" w:name="_Toc436383345"/>
      <w:r w:rsidRPr="003F3088">
        <w:lastRenderedPageBreak/>
        <w:t>Adverse events</w:t>
      </w:r>
      <w:bookmarkEnd w:id="188"/>
      <w:bookmarkEnd w:id="189"/>
      <w:bookmarkEnd w:id="190"/>
      <w:bookmarkEnd w:id="191"/>
      <w:bookmarkEnd w:id="192"/>
      <w:bookmarkEnd w:id="193"/>
    </w:p>
    <w:p w:rsidR="003F3088" w:rsidRPr="003F3088" w:rsidRDefault="003F3088" w:rsidP="003F3088">
      <w:pPr>
        <w:pStyle w:val="Heading4"/>
      </w:pPr>
      <w:bookmarkStart w:id="194" w:name="_Ref272317284"/>
      <w:bookmarkStart w:id="195" w:name="_Ref272333565"/>
      <w:bookmarkStart w:id="196" w:name="_Toc272414664"/>
      <w:bookmarkStart w:id="197" w:name="_Toc290846302"/>
      <w:bookmarkStart w:id="198" w:name="_Toc407734493"/>
      <w:r w:rsidRPr="003F3088">
        <w:t>All adverse events (irrespective of relationship to study treatment)</w:t>
      </w:r>
      <w:bookmarkEnd w:id="194"/>
      <w:bookmarkEnd w:id="195"/>
      <w:bookmarkEnd w:id="196"/>
      <w:bookmarkEnd w:id="197"/>
      <w:bookmarkEnd w:id="198"/>
    </w:p>
    <w:p w:rsidR="003F3088" w:rsidRPr="003F3088" w:rsidRDefault="003F3088" w:rsidP="003F3088">
      <w:pPr>
        <w:pStyle w:val="Heading5"/>
      </w:pPr>
      <w:r w:rsidRPr="003F3088">
        <w:t>Pivotal studies</w:t>
      </w:r>
    </w:p>
    <w:p w:rsidR="003F3088" w:rsidRDefault="003F3088" w:rsidP="003F3088">
      <w:r w:rsidRPr="003F3088">
        <w:t>In Study CV185056, TEAEs were reported in 1795 (67.1%) subjects in the apixaban group and 1923 (71.5%</w:t>
      </w:r>
      <w:r>
        <w:t xml:space="preserve">) in the </w:t>
      </w:r>
      <w:r w:rsidR="006135FE">
        <w:t>enoxaparin/warfarin</w:t>
      </w:r>
      <w:r>
        <w:t xml:space="preserve">. </w:t>
      </w:r>
      <w:r w:rsidRPr="003F3088">
        <w:t xml:space="preserve">The commonest TEAE was headache, reported in 169 (6.3%) subjects </w:t>
      </w:r>
      <w:r w:rsidRPr="00F1597D">
        <w:t xml:space="preserve">in the apixaban group and 168 (6.2%) in the </w:t>
      </w:r>
      <w:r w:rsidR="006135FE" w:rsidRPr="00F1597D">
        <w:t>enoxaparin/warfarin</w:t>
      </w:r>
      <w:r w:rsidRPr="00F1597D">
        <w:t xml:space="preserve"> (Table </w:t>
      </w:r>
      <w:r w:rsidR="00F1597D" w:rsidRPr="00F1597D">
        <w:t>16</w:t>
      </w:r>
      <w:r w:rsidRPr="00F1597D">
        <w:t xml:space="preserve">). In the follow-up period TEAEs were reported in 195 (7.5%) subjects in the apixaban group and 217 (8.2%) in the </w:t>
      </w:r>
      <w:r w:rsidR="006135FE" w:rsidRPr="00F1597D">
        <w:t>enoxaparin</w:t>
      </w:r>
      <w:r w:rsidR="006135FE">
        <w:t>/warfarin</w:t>
      </w:r>
      <w:r w:rsidRPr="003F3088">
        <w:t>.</w:t>
      </w:r>
    </w:p>
    <w:p w:rsidR="00F1597D" w:rsidRPr="002D4BF7" w:rsidRDefault="00F1597D" w:rsidP="00F1597D">
      <w:pPr>
        <w:pStyle w:val="Tabletitle"/>
      </w:pPr>
      <w:r w:rsidRPr="002D4BF7">
        <w:rPr>
          <w:rFonts w:eastAsia="TimesNewRoman"/>
        </w:rPr>
        <w:t xml:space="preserve">Table </w:t>
      </w:r>
      <w:r>
        <w:rPr>
          <w:rFonts w:eastAsia="TimesNewRoman"/>
        </w:rPr>
        <w:t xml:space="preserve">16: </w:t>
      </w:r>
      <w:r w:rsidRPr="002D4BF7">
        <w:t>Summary of the Most Frequently Reported (≥2% in Either Treatment Group) Adverse Events With Onset During the Trea</w:t>
      </w:r>
      <w:r w:rsidR="00AA5825">
        <w:t>tment Period (Treated Subjects)</w:t>
      </w:r>
    </w:p>
    <w:p w:rsidR="00F1597D" w:rsidRDefault="00F1597D" w:rsidP="00F1597D">
      <w:pPr>
        <w:rPr>
          <w:rFonts w:ascii="Times New Roman" w:hAnsi="Times New Roman"/>
          <w:sz w:val="24"/>
        </w:rPr>
      </w:pPr>
      <w:r>
        <w:rPr>
          <w:rFonts w:ascii="Times New Roman" w:hAnsi="Times New Roman"/>
          <w:noProof/>
          <w:sz w:val="24"/>
          <w:lang w:eastAsia="en-AU"/>
        </w:rPr>
        <w:drawing>
          <wp:inline distT="0" distB="0" distL="0" distR="0" wp14:anchorId="075003D4" wp14:editId="23AF9843">
            <wp:extent cx="5094514" cy="6067425"/>
            <wp:effectExtent l="0" t="0" r="0" b="0"/>
            <wp:docPr id="28" name="Picture 28" descr="Table 16: Summary of the Most Frequently Reported (≥2% in Either Treatment Group) Adverse Events With Onset During the Treatment Period (Treat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5094514" cy="6067425"/>
                    </a:xfrm>
                    <a:prstGeom prst="rect">
                      <a:avLst/>
                    </a:prstGeom>
                    <a:noFill/>
                    <a:ln>
                      <a:noFill/>
                    </a:ln>
                  </pic:spPr>
                </pic:pic>
              </a:graphicData>
            </a:graphic>
          </wp:inline>
        </w:drawing>
      </w:r>
    </w:p>
    <w:p w:rsidR="00F1597D" w:rsidRPr="002D4BF7" w:rsidRDefault="00F1597D" w:rsidP="00F1597D">
      <w:pPr>
        <w:pStyle w:val="Tabletext"/>
      </w:pPr>
      <w:r>
        <w:t>The denominator to calculate each percentage was the total number of treated subjects within each group. AE=adverse event; n=number of subjects with AE, N=total number of subjects in respective group.</w:t>
      </w:r>
    </w:p>
    <w:p w:rsidR="003F3088" w:rsidRDefault="003F3088" w:rsidP="003F3088">
      <w:r w:rsidRPr="003F3088">
        <w:lastRenderedPageBreak/>
        <w:t>In Study CV185057, TEAEs were reported in 596 (71.0%) subjects in the apixaban 2.5 mg group, 542 (66.8%) in the apixaban 5 mg, a</w:t>
      </w:r>
      <w:r>
        <w:t xml:space="preserve">nd 606 (73.4%) in the placebo. </w:t>
      </w:r>
      <w:r w:rsidRPr="003F3088">
        <w:t xml:space="preserve">DVT was reported as a TEAE more commonly in the placebo </w:t>
      </w:r>
      <w:r w:rsidRPr="00F501C4">
        <w:t>group (</w:t>
      </w:r>
      <w:r w:rsidR="00F501C4" w:rsidRPr="00F501C4">
        <w:t>Table 17</w:t>
      </w:r>
      <w:r w:rsidRPr="00F501C4">
        <w:t>). In the</w:t>
      </w:r>
      <w:r w:rsidRPr="003F3088">
        <w:t xml:space="preserve"> follow-up period TEAEs were reported in 58 (6.9%) subjects in the apixaban 2.5 mg group, 47 (5.8%) in the apixaban 5 mg, and 52 (6.4%) in the placebo.</w:t>
      </w:r>
    </w:p>
    <w:p w:rsidR="00F501C4" w:rsidRPr="002D4BF7" w:rsidRDefault="00F501C4" w:rsidP="00F501C4">
      <w:pPr>
        <w:pStyle w:val="Tabletitle"/>
      </w:pPr>
      <w:r w:rsidRPr="002D4BF7">
        <w:rPr>
          <w:rFonts w:eastAsia="TimesNewRoman"/>
        </w:rPr>
        <w:t xml:space="preserve">Table </w:t>
      </w:r>
      <w:r>
        <w:rPr>
          <w:rFonts w:eastAsia="TimesNewRoman"/>
        </w:rPr>
        <w:t xml:space="preserve">17: </w:t>
      </w:r>
      <w:r w:rsidRPr="002D4BF7">
        <w:t xml:space="preserve">Summary of the Most Frequently Reported (≥2% in Any Treatment Group) Adverse Events </w:t>
      </w:r>
      <w:r>
        <w:t>w</w:t>
      </w:r>
      <w:r w:rsidRPr="002D4BF7">
        <w:t>ith Onset During the Treat</w:t>
      </w:r>
      <w:r w:rsidR="00AA5825">
        <w:t>ment Period (Treated Subjects)</w:t>
      </w:r>
    </w:p>
    <w:p w:rsidR="00F501C4" w:rsidRPr="002D4BF7" w:rsidRDefault="00F501C4" w:rsidP="00F501C4">
      <w:pPr>
        <w:rPr>
          <w:rFonts w:ascii="Times New Roman" w:hAnsi="Times New Roman"/>
          <w:sz w:val="24"/>
        </w:rPr>
      </w:pPr>
      <w:r>
        <w:rPr>
          <w:rFonts w:ascii="Times New Roman" w:hAnsi="Times New Roman"/>
          <w:noProof/>
          <w:sz w:val="24"/>
          <w:lang w:eastAsia="en-AU"/>
        </w:rPr>
        <w:drawing>
          <wp:inline distT="0" distB="0" distL="0" distR="0" wp14:anchorId="2270F751" wp14:editId="62CCA202">
            <wp:extent cx="5486400" cy="6962775"/>
            <wp:effectExtent l="0" t="0" r="0" b="9525"/>
            <wp:docPr id="37" name="Picture 37" descr="Table 17: Summary of the Most Frequently Reported (≥2% in Any Treatment Group) Adverse Events With Onset During the Treatment Period (Treat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486400" cy="6962775"/>
                    </a:xfrm>
                    <a:prstGeom prst="rect">
                      <a:avLst/>
                    </a:prstGeom>
                    <a:noFill/>
                    <a:ln>
                      <a:noFill/>
                    </a:ln>
                  </pic:spPr>
                </pic:pic>
              </a:graphicData>
            </a:graphic>
          </wp:inline>
        </w:drawing>
      </w:r>
    </w:p>
    <w:p w:rsidR="003F3088" w:rsidRPr="003F3088" w:rsidRDefault="003F3088" w:rsidP="003F3088">
      <w:pPr>
        <w:pStyle w:val="Heading5"/>
      </w:pPr>
      <w:r w:rsidRPr="003F3088">
        <w:lastRenderedPageBreak/>
        <w:t>Other studies</w:t>
      </w:r>
    </w:p>
    <w:p w:rsidR="00F501C4" w:rsidRDefault="003F3088" w:rsidP="00F501C4">
      <w:r w:rsidRPr="003F3088">
        <w:t>In Study CV185017</w:t>
      </w:r>
      <w:r w:rsidR="003B3230">
        <w:t>,</w:t>
      </w:r>
      <w:r w:rsidRPr="003F3088">
        <w:t xml:space="preserve"> TEAEs were reported in 77 (60.2) % subjects in the 5 mg twice daily group, 72 (54.1%) in the 10 mg twice daily, 82 (66.1%) in the 20 mg once daily and 72 </w:t>
      </w:r>
      <w:r>
        <w:t xml:space="preserve">(57.1%) in the LMWH/VKA group. </w:t>
      </w:r>
      <w:r w:rsidRPr="003F3088">
        <w:t>Overall in the apixaban groups, the commonest TEAEs were headache, 31 (8.1%) subjects, pain in the extremity, 19 (4.9%) subjects, an</w:t>
      </w:r>
      <w:r w:rsidR="00CB4F5C">
        <w:t xml:space="preserve">d diarrhoea, 16 (4.2%) </w:t>
      </w:r>
      <w:r w:rsidR="00CB4F5C" w:rsidRPr="00CB4F5C">
        <w:t>subjects</w:t>
      </w:r>
      <w:r w:rsidRPr="00CB4F5C">
        <w:t>.</w:t>
      </w:r>
    </w:p>
    <w:p w:rsidR="00F501C4" w:rsidRDefault="00F501C4">
      <w:pPr>
        <w:spacing w:before="0" w:after="200" w:line="0" w:lineRule="auto"/>
        <w:rPr>
          <w:rFonts w:ascii="Times New Roman" w:hAnsi="Times New Roman"/>
          <w:bCs/>
          <w:sz w:val="24"/>
        </w:rPr>
      </w:pPr>
    </w:p>
    <w:p w:rsidR="003F3088" w:rsidRPr="003F3088" w:rsidRDefault="003F3088" w:rsidP="003F3088">
      <w:pPr>
        <w:pStyle w:val="Heading4"/>
      </w:pPr>
      <w:bookmarkStart w:id="199" w:name="_Ref272333567"/>
      <w:bookmarkStart w:id="200" w:name="_Toc272414665"/>
      <w:bookmarkStart w:id="201" w:name="_Toc290846303"/>
      <w:bookmarkStart w:id="202" w:name="_Toc407734494"/>
      <w:r w:rsidRPr="003F3088">
        <w:t>Treatment-related adverse events (adverse drug reactions)</w:t>
      </w:r>
      <w:bookmarkEnd w:id="199"/>
      <w:bookmarkEnd w:id="200"/>
      <w:bookmarkEnd w:id="201"/>
      <w:bookmarkEnd w:id="202"/>
    </w:p>
    <w:p w:rsidR="003F3088" w:rsidRPr="003F3088" w:rsidRDefault="003F3088" w:rsidP="003F3088">
      <w:pPr>
        <w:pStyle w:val="Heading5"/>
      </w:pPr>
      <w:r w:rsidRPr="003F3088">
        <w:t>Pivotal studies</w:t>
      </w:r>
    </w:p>
    <w:p w:rsidR="003F3088" w:rsidRDefault="003F3088" w:rsidP="003F3088">
      <w:r w:rsidRPr="003F3088">
        <w:t xml:space="preserve">In Study CV185056 treatment related TEAEs were reported in 520 (19.4%) subjects in the apixaban group and 815 (30.3%) in the </w:t>
      </w:r>
      <w:r w:rsidR="006135FE">
        <w:t>enoxaparin/warfarin</w:t>
      </w:r>
      <w:r>
        <w:t xml:space="preserve">. </w:t>
      </w:r>
      <w:r w:rsidRPr="003F3088">
        <w:t xml:space="preserve">Epistaxis was reported in 63 (2.4%) subjects in the apixaban group and 123 (4.6%) in the </w:t>
      </w:r>
      <w:r w:rsidR="006135FE">
        <w:t>enoxaparin/</w:t>
      </w:r>
      <w:r w:rsidR="006135FE" w:rsidRPr="00951964">
        <w:t>warfarin</w:t>
      </w:r>
      <w:r w:rsidRPr="00951964">
        <w:t xml:space="preserve"> (Table </w:t>
      </w:r>
      <w:r w:rsidR="00E57B0F" w:rsidRPr="00951964">
        <w:t>18</w:t>
      </w:r>
      <w:r w:rsidRPr="00951964">
        <w:t>).</w:t>
      </w:r>
    </w:p>
    <w:p w:rsidR="008320D3" w:rsidRPr="002D4BF7" w:rsidRDefault="008320D3" w:rsidP="00E57B0F">
      <w:pPr>
        <w:pStyle w:val="Tabletitle"/>
      </w:pPr>
      <w:r w:rsidRPr="002D4BF7">
        <w:t xml:space="preserve">Table </w:t>
      </w:r>
      <w:r w:rsidR="00E57B0F">
        <w:t xml:space="preserve">18: </w:t>
      </w:r>
      <w:r w:rsidRPr="002D4BF7">
        <w:t>Summary of the Most Frequently Reported (≥1% in Either Treatment Group) Treatment-Related Adverse Events With Onset During the Treatment Period  Study CV185056</w:t>
      </w:r>
    </w:p>
    <w:p w:rsidR="008320D3" w:rsidRPr="003F3088" w:rsidRDefault="008320D3" w:rsidP="008320D3">
      <w:r>
        <w:rPr>
          <w:rFonts w:ascii="Times New Roman" w:hAnsi="Times New Roman"/>
          <w:noProof/>
          <w:sz w:val="24"/>
          <w:lang w:eastAsia="en-AU"/>
        </w:rPr>
        <w:drawing>
          <wp:inline distT="0" distB="0" distL="0" distR="0">
            <wp:extent cx="5486400" cy="5057775"/>
            <wp:effectExtent l="0" t="0" r="0" b="9525"/>
            <wp:docPr id="48" name="Picture 48" descr="Table 18: Summary of the Most Frequently Reported (≥1% in Either Treatment Group) Treatment-Related Adverse Events With Onset During the Treatment Period  Study CV1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5486400" cy="5057775"/>
                    </a:xfrm>
                    <a:prstGeom prst="rect">
                      <a:avLst/>
                    </a:prstGeom>
                    <a:noFill/>
                    <a:ln>
                      <a:noFill/>
                    </a:ln>
                  </pic:spPr>
                </pic:pic>
              </a:graphicData>
            </a:graphic>
          </wp:inline>
        </w:drawing>
      </w:r>
    </w:p>
    <w:p w:rsidR="003F3088" w:rsidRDefault="003F3088" w:rsidP="003F3088">
      <w:r w:rsidRPr="003F3088">
        <w:t>In Study CV185057 treatment related TEAEs were reported in 149 (17.7%) subjects in the apixaban 2.5 mg group, 145 (17.9%) in the apixaban 5 mg, a</w:t>
      </w:r>
      <w:r>
        <w:t xml:space="preserve">nd 127 (14.4%) in the placebo. </w:t>
      </w:r>
      <w:r w:rsidRPr="003F3088">
        <w:t xml:space="preserve">Epistaxis was reported in 12 (1.4%) subjects in the apixaban 2.5 mg group, 21 (2.6%) in the 5 mg and seven (0.8%) in the </w:t>
      </w:r>
      <w:r w:rsidRPr="00951964">
        <w:t xml:space="preserve">placebo (Table </w:t>
      </w:r>
      <w:r w:rsidR="00E57B0F" w:rsidRPr="00951964">
        <w:t>19</w:t>
      </w:r>
      <w:r w:rsidRPr="00951964">
        <w:t>).</w:t>
      </w:r>
    </w:p>
    <w:p w:rsidR="008320D3" w:rsidRPr="002D4BF7" w:rsidRDefault="008320D3" w:rsidP="00E57B0F">
      <w:pPr>
        <w:pStyle w:val="Tabletitle"/>
      </w:pPr>
      <w:r w:rsidRPr="002D4BF7">
        <w:lastRenderedPageBreak/>
        <w:t xml:space="preserve">Table </w:t>
      </w:r>
      <w:r w:rsidR="00E57B0F">
        <w:t xml:space="preserve">19: </w:t>
      </w:r>
      <w:r w:rsidRPr="002D4BF7">
        <w:t>Summary of the Most Frequently Reported (≥1% in Any Treatment Group) Treatment-Related Adverse Events With Onset During the Treatment Period (Treated Subjects) Study CV185057</w:t>
      </w:r>
    </w:p>
    <w:p w:rsidR="008320D3" w:rsidRPr="003F3088" w:rsidRDefault="008320D3" w:rsidP="008320D3">
      <w:r>
        <w:rPr>
          <w:rFonts w:ascii="Times New Roman" w:hAnsi="Times New Roman"/>
          <w:noProof/>
          <w:sz w:val="24"/>
          <w:lang w:eastAsia="en-AU"/>
        </w:rPr>
        <w:drawing>
          <wp:inline distT="0" distB="0" distL="0" distR="0">
            <wp:extent cx="5486400" cy="3686175"/>
            <wp:effectExtent l="0" t="0" r="0" b="9525"/>
            <wp:docPr id="49" name="Picture 49" descr="Table 19: Summary of the Most Frequently Reported (≥1% in Any Treatment Group) Treatment-Related Adverse Events With Onset During the Treatment Period (Treated Subjects) Study CV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5486400" cy="3686175"/>
                    </a:xfrm>
                    <a:prstGeom prst="rect">
                      <a:avLst/>
                    </a:prstGeom>
                    <a:noFill/>
                    <a:ln>
                      <a:noFill/>
                    </a:ln>
                  </pic:spPr>
                </pic:pic>
              </a:graphicData>
            </a:graphic>
          </wp:inline>
        </w:drawing>
      </w:r>
    </w:p>
    <w:p w:rsidR="003F3088" w:rsidRPr="003F3088" w:rsidRDefault="003F3088" w:rsidP="003F3088">
      <w:pPr>
        <w:pStyle w:val="Heading5"/>
      </w:pPr>
      <w:r w:rsidRPr="003F3088">
        <w:t>Other studies</w:t>
      </w:r>
    </w:p>
    <w:p w:rsidR="003F3088" w:rsidRDefault="003F3088" w:rsidP="003F3088">
      <w:r w:rsidRPr="003F3088">
        <w:t>In Study CV185017 treatment related TEAEs were reported in 28 (21.9) % subjects in the 5 mg twice daily group, 29 (21.8%) in the 10 mg twice daily, 32 (25.8%) in the 20 mg once daily and 33</w:t>
      </w:r>
      <w:r>
        <w:t xml:space="preserve"> (26.2%) in the LMWH/VKA group.</w:t>
      </w:r>
      <w:r w:rsidRPr="003F3088">
        <w:t xml:space="preserve"> The most common treatment related TEAE in the apixaban groups was headache, ten (2.6%) subjects</w:t>
      </w:r>
      <w:r w:rsidR="00B83637">
        <w:t>.</w:t>
      </w:r>
    </w:p>
    <w:p w:rsidR="003F3088" w:rsidRPr="003F3088" w:rsidRDefault="003F3088" w:rsidP="003F3088">
      <w:pPr>
        <w:pStyle w:val="Heading4"/>
      </w:pPr>
      <w:bookmarkStart w:id="203" w:name="_Toc241374320"/>
      <w:bookmarkStart w:id="204" w:name="_Ref272333507"/>
      <w:bookmarkStart w:id="205" w:name="_Toc272414666"/>
      <w:bookmarkStart w:id="206" w:name="_Toc290846304"/>
      <w:bookmarkStart w:id="207" w:name="_Toc407734495"/>
      <w:r w:rsidRPr="003F3088">
        <w:t>Deaths and other serious adverse events</w:t>
      </w:r>
      <w:bookmarkEnd w:id="203"/>
      <w:bookmarkEnd w:id="204"/>
      <w:bookmarkEnd w:id="205"/>
      <w:bookmarkEnd w:id="206"/>
      <w:bookmarkEnd w:id="207"/>
    </w:p>
    <w:p w:rsidR="003F3088" w:rsidRPr="003F3088" w:rsidRDefault="003F3088" w:rsidP="003F3088">
      <w:pPr>
        <w:pStyle w:val="Heading5"/>
      </w:pPr>
      <w:r w:rsidRPr="003F3088">
        <w:t>Pivotal studies</w:t>
      </w:r>
    </w:p>
    <w:p w:rsidR="003F3088" w:rsidRDefault="003F3088" w:rsidP="003F3088">
      <w:r w:rsidRPr="003F3088">
        <w:t xml:space="preserve">In </w:t>
      </w:r>
      <w:r w:rsidRPr="00951964">
        <w:t xml:space="preserve">Study CV185056 death was reported in 37 (1.4%) subjects in the apixaban group and 44 (1.6%) in the </w:t>
      </w:r>
      <w:r w:rsidR="006135FE" w:rsidRPr="00951964">
        <w:t>enoxaparin/warfarin</w:t>
      </w:r>
      <w:r w:rsidRPr="00951964">
        <w:t xml:space="preserve">. The causes of death were similar for the two treatment groups (Table </w:t>
      </w:r>
      <w:r w:rsidR="00E57B0F" w:rsidRPr="00951964">
        <w:t>20</w:t>
      </w:r>
      <w:r w:rsidRPr="00951964">
        <w:t>). In Study CV185056 SAEs were reported in 417 (15.6%) subjects in the apixaban group and</w:t>
      </w:r>
      <w:r w:rsidRPr="003F3088">
        <w:t xml:space="preserve"> 410 (15.2%</w:t>
      </w:r>
      <w:r>
        <w:t xml:space="preserve">) in the </w:t>
      </w:r>
      <w:r w:rsidR="006135FE">
        <w:t>enoxaparin/warfarin</w:t>
      </w:r>
      <w:r>
        <w:t xml:space="preserve">. </w:t>
      </w:r>
      <w:r w:rsidRPr="003F3088">
        <w:t xml:space="preserve">The commonest SAEs were PE, reported in 24 (0.9%) subjects in the apixaban group and 38 (1.4%) in the </w:t>
      </w:r>
      <w:r w:rsidR="006135FE">
        <w:t>enoxaparin/warfarin</w:t>
      </w:r>
      <w:r w:rsidRPr="003F3088">
        <w:t xml:space="preserve">, and DVT, reported in 20 (0.7%) subjects in the apixaban group and 33 (1.2%) in the </w:t>
      </w:r>
      <w:r w:rsidR="006135FE">
        <w:t>enoxaparin/warfarin</w:t>
      </w:r>
      <w:r w:rsidRPr="003F3088">
        <w:t>.</w:t>
      </w:r>
    </w:p>
    <w:p w:rsidR="00654307" w:rsidRPr="002D4BF7" w:rsidRDefault="00654307" w:rsidP="00E57B0F">
      <w:pPr>
        <w:pStyle w:val="Tabletitle"/>
      </w:pPr>
      <w:r w:rsidRPr="002D4BF7">
        <w:lastRenderedPageBreak/>
        <w:t xml:space="preserve">Table </w:t>
      </w:r>
      <w:r w:rsidR="00E57B0F">
        <w:t xml:space="preserve">20: </w:t>
      </w:r>
      <w:r w:rsidRPr="002D4BF7">
        <w:t>Summary of Serious Adverse Events With Outcome of Death During the Treatment Period (T</w:t>
      </w:r>
      <w:r w:rsidR="008C7E54">
        <w:t>reated Subjects) Study CV185056</w:t>
      </w:r>
    </w:p>
    <w:p w:rsidR="00654307" w:rsidRPr="002D4BF7" w:rsidRDefault="00654307" w:rsidP="00654307">
      <w:pPr>
        <w:rPr>
          <w:rFonts w:ascii="Times New Roman" w:hAnsi="Times New Roman"/>
          <w:sz w:val="24"/>
        </w:rPr>
      </w:pPr>
      <w:r>
        <w:rPr>
          <w:rFonts w:ascii="Times New Roman" w:hAnsi="Times New Roman"/>
          <w:noProof/>
          <w:sz w:val="24"/>
          <w:lang w:eastAsia="en-AU"/>
        </w:rPr>
        <w:drawing>
          <wp:inline distT="0" distB="0" distL="0" distR="0">
            <wp:extent cx="5486400" cy="7115175"/>
            <wp:effectExtent l="0" t="0" r="0" b="9525"/>
            <wp:docPr id="52" name="Picture 52" descr="Table 20: Summary of Serious Adverse Events With Outcome of Death During the Treatment Period (Treated Subjects) Study CV185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486400" cy="7115175"/>
                    </a:xfrm>
                    <a:prstGeom prst="rect">
                      <a:avLst/>
                    </a:prstGeom>
                    <a:noFill/>
                    <a:ln>
                      <a:noFill/>
                    </a:ln>
                  </pic:spPr>
                </pic:pic>
              </a:graphicData>
            </a:graphic>
          </wp:inline>
        </w:drawing>
      </w:r>
    </w:p>
    <w:p w:rsidR="00654307" w:rsidRPr="00E57B0F" w:rsidRDefault="00E57B0F" w:rsidP="008C7E54">
      <w:pPr>
        <w:pStyle w:val="Tabletitle"/>
        <w:pageBreakBefore/>
      </w:pPr>
      <w:r w:rsidRPr="002D4BF7">
        <w:lastRenderedPageBreak/>
        <w:t xml:space="preserve">Table </w:t>
      </w:r>
      <w:r>
        <w:t xml:space="preserve">20 continued: </w:t>
      </w:r>
      <w:r w:rsidRPr="002D4BF7">
        <w:t xml:space="preserve">Summary of Serious Adverse Events With Outcome of Death During the Treatment Period (Treated Subjects) Study CV185056 </w:t>
      </w:r>
    </w:p>
    <w:p w:rsidR="00654307" w:rsidRPr="002D4BF7" w:rsidRDefault="00654307" w:rsidP="00654307">
      <w:pPr>
        <w:rPr>
          <w:rFonts w:ascii="Times New Roman" w:hAnsi="Times New Roman"/>
          <w:sz w:val="24"/>
        </w:rPr>
      </w:pPr>
      <w:r>
        <w:rPr>
          <w:rFonts w:ascii="Times New Roman" w:hAnsi="Times New Roman"/>
          <w:noProof/>
          <w:sz w:val="24"/>
          <w:lang w:eastAsia="en-AU"/>
        </w:rPr>
        <w:drawing>
          <wp:inline distT="0" distB="0" distL="0" distR="0">
            <wp:extent cx="5486400" cy="3752850"/>
            <wp:effectExtent l="0" t="0" r="0" b="0"/>
            <wp:docPr id="51" name="Picture 51" descr="Table 20 continued: Summary of Serious Adverse Events With Outcome of Death During the Treatment Period (Treated Subjects) Study CV18505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5486400" cy="3752850"/>
                    </a:xfrm>
                    <a:prstGeom prst="rect">
                      <a:avLst/>
                    </a:prstGeom>
                    <a:noFill/>
                    <a:ln>
                      <a:noFill/>
                    </a:ln>
                  </pic:spPr>
                </pic:pic>
              </a:graphicData>
            </a:graphic>
          </wp:inline>
        </w:drawing>
      </w:r>
    </w:p>
    <w:p w:rsidR="003F3088" w:rsidRDefault="003F3088" w:rsidP="003F3088">
      <w:r w:rsidRPr="003F3088">
        <w:t xml:space="preserve">In Study CV185057 death was reported for three (0.4%) subjects in the apixaban 2.5 mg group, four (0.5%) in the apixaban 5 mg, </w:t>
      </w:r>
      <w:r>
        <w:t xml:space="preserve">and ten (1.2%) in the placebo. </w:t>
      </w:r>
      <w:r w:rsidRPr="003F3088">
        <w:t xml:space="preserve">Two of the deaths in the placebo group were due </w:t>
      </w:r>
      <w:r w:rsidRPr="00951964">
        <w:t xml:space="preserve">to PE (Table </w:t>
      </w:r>
      <w:r w:rsidR="00E57B0F" w:rsidRPr="00951964">
        <w:t>21</w:t>
      </w:r>
      <w:r w:rsidRPr="00951964">
        <w:t>). SAEs were reported in 112 (13.3%) subjects in the apixaban 2.5 mg group, 107 (13.2%) in the apixaban 5 mg</w:t>
      </w:r>
      <w:r w:rsidRPr="003F3088">
        <w:t>, and 158 (19.1%) in the placebo. DVT as a SAE was reported for three (0.4%) subjects in the apixaban 2.5 mg group, nine (1.1%) in the 5 mg and 40 (4.8%) in the placebo</w:t>
      </w:r>
      <w:r>
        <w:t xml:space="preserve">. </w:t>
      </w:r>
      <w:r w:rsidRPr="003F3088">
        <w:t>PE as a SAE was reported for five (0.6%) subjects in the apixaban 2.5 mg group, three (0.3%) in the 5 mg and 20 (2.4%) in the placebo.</w:t>
      </w:r>
    </w:p>
    <w:p w:rsidR="00654307" w:rsidRPr="002D4BF7" w:rsidRDefault="00654307" w:rsidP="00E57B0F">
      <w:pPr>
        <w:pStyle w:val="Tabletitle"/>
      </w:pPr>
      <w:r w:rsidRPr="002D4BF7">
        <w:lastRenderedPageBreak/>
        <w:t>Table</w:t>
      </w:r>
      <w:r w:rsidR="00E57B0F">
        <w:t xml:space="preserve"> 21: </w:t>
      </w:r>
      <w:r w:rsidRPr="002D4BF7">
        <w:t>Summary of Serious Adverse Events With Outcome of Death During the Treatment Period (Treated Subjects) Study CV185057</w:t>
      </w:r>
    </w:p>
    <w:p w:rsidR="00654307" w:rsidRPr="003F3088" w:rsidRDefault="00654307" w:rsidP="00654307">
      <w:r>
        <w:rPr>
          <w:rFonts w:ascii="Times New Roman" w:hAnsi="Times New Roman"/>
          <w:noProof/>
          <w:sz w:val="24"/>
          <w:lang w:eastAsia="en-AU"/>
        </w:rPr>
        <w:drawing>
          <wp:inline distT="0" distB="0" distL="0" distR="0">
            <wp:extent cx="5486400" cy="3962400"/>
            <wp:effectExtent l="0" t="0" r="0" b="0"/>
            <wp:docPr id="53" name="Picture 53" descr="Table 21: Summary of Serious Adverse Events With Outcome of Death During the Treatment Period (Treated Subjects) Study CV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5486400" cy="3962400"/>
                    </a:xfrm>
                    <a:prstGeom prst="rect">
                      <a:avLst/>
                    </a:prstGeom>
                    <a:noFill/>
                    <a:ln>
                      <a:noFill/>
                    </a:ln>
                  </pic:spPr>
                </pic:pic>
              </a:graphicData>
            </a:graphic>
          </wp:inline>
        </w:drawing>
      </w:r>
    </w:p>
    <w:p w:rsidR="003F3088" w:rsidRPr="003F3088" w:rsidRDefault="003F3088" w:rsidP="003F3088">
      <w:pPr>
        <w:pStyle w:val="Heading5"/>
      </w:pPr>
      <w:r w:rsidRPr="003F3088">
        <w:t>Other studies</w:t>
      </w:r>
    </w:p>
    <w:p w:rsidR="003F3088" w:rsidRPr="003F3088" w:rsidRDefault="003F3088" w:rsidP="003F3088">
      <w:r w:rsidRPr="003F3088">
        <w:t>In Study CV185017 death was reported during the treatment period in two (1.6) % subjects in the 5 mg twice daily group (suicide, brain metastases), none (0.0%) in the 10 mg twice daily, one (0.8%) in the 20 mg once daily (PE) and none (0.0%) in the LMWH/VKA group</w:t>
      </w:r>
      <w:r>
        <w:t xml:space="preserve">. </w:t>
      </w:r>
      <w:r w:rsidRPr="003F3088">
        <w:t xml:space="preserve">An additional five deaths occurred between 31 and 87 days after discontinuation of study treatment. SAEs were reported in 16 (12.5) % subjects in the 5 mg twice daily group, 11 (8.3%) in the 10 mg twice daily, 20 (16.1%) in the 20 mg once daily and 47 </w:t>
      </w:r>
      <w:r>
        <w:t xml:space="preserve">(12.2%) in the LMWH/VKA group. </w:t>
      </w:r>
      <w:r w:rsidRPr="003F3088">
        <w:t>The commonest SAE in the apixaban groups was dizziness, reported in three (0.8%) subjects</w:t>
      </w:r>
      <w:r w:rsidR="00E57B0F">
        <w:t>.</w:t>
      </w:r>
    </w:p>
    <w:p w:rsidR="003F3088" w:rsidRPr="003F3088" w:rsidRDefault="003F3088" w:rsidP="003F3088">
      <w:pPr>
        <w:pStyle w:val="Heading4"/>
      </w:pPr>
      <w:bookmarkStart w:id="208" w:name="_Toc241374325"/>
      <w:bookmarkStart w:id="209" w:name="_Ref272333477"/>
      <w:bookmarkStart w:id="210" w:name="_Toc272414667"/>
      <w:bookmarkStart w:id="211" w:name="_Toc290846305"/>
      <w:bookmarkStart w:id="212" w:name="_Toc407734496"/>
      <w:r w:rsidRPr="003F3088">
        <w:t>Discontinuation due to adverse events</w:t>
      </w:r>
      <w:bookmarkEnd w:id="208"/>
      <w:bookmarkEnd w:id="209"/>
      <w:bookmarkEnd w:id="210"/>
      <w:bookmarkEnd w:id="211"/>
      <w:bookmarkEnd w:id="212"/>
    </w:p>
    <w:p w:rsidR="003F3088" w:rsidRPr="003F3088" w:rsidRDefault="003F3088" w:rsidP="003F3088">
      <w:pPr>
        <w:pStyle w:val="Heading5"/>
      </w:pPr>
      <w:r w:rsidRPr="003F3088">
        <w:t>Pivotal studies</w:t>
      </w:r>
    </w:p>
    <w:p w:rsidR="003F3088" w:rsidRDefault="003F3088" w:rsidP="003F3088">
      <w:r w:rsidRPr="003F3088">
        <w:t xml:space="preserve">In Study CV185056 DAE was reported for 162 (6.1%) subjects in the apixaban group and 199 (7.4%) in the </w:t>
      </w:r>
      <w:r w:rsidR="006135FE">
        <w:t>enoxaparin/</w:t>
      </w:r>
      <w:r w:rsidR="006135FE" w:rsidRPr="00951964">
        <w:t>warfarin</w:t>
      </w:r>
      <w:r w:rsidRPr="00951964">
        <w:t xml:space="preserve">. No individual AE resulted in discontinuation in ≥ 1% subjects in either treatment group (Table </w:t>
      </w:r>
      <w:r w:rsidR="00E57B0F" w:rsidRPr="00951964">
        <w:t>22</w:t>
      </w:r>
      <w:r w:rsidRPr="00951964">
        <w:t>).</w:t>
      </w:r>
    </w:p>
    <w:p w:rsidR="008320D3" w:rsidRPr="002D4BF7" w:rsidRDefault="008320D3" w:rsidP="00E57B0F">
      <w:pPr>
        <w:pStyle w:val="Tabletitle"/>
      </w:pPr>
      <w:r w:rsidRPr="002D4BF7">
        <w:lastRenderedPageBreak/>
        <w:t xml:space="preserve">Table </w:t>
      </w:r>
      <w:r w:rsidR="00E57B0F">
        <w:t xml:space="preserve">22: </w:t>
      </w:r>
      <w:r w:rsidRPr="002D4BF7">
        <w:t>Summary of the Most Frequently Reported Adverse Events Leading to Treatment Discontinuation of &gt;1 Subject in Either Treatment Group (Treated Subjects) Study CV185056</w:t>
      </w:r>
    </w:p>
    <w:p w:rsidR="008320D3" w:rsidRPr="002D4BF7" w:rsidRDefault="008320D3" w:rsidP="008320D3">
      <w:pPr>
        <w:rPr>
          <w:rFonts w:ascii="Times New Roman" w:hAnsi="Times New Roman"/>
          <w:sz w:val="24"/>
        </w:rPr>
      </w:pPr>
      <w:r>
        <w:rPr>
          <w:rFonts w:ascii="Times New Roman" w:hAnsi="Times New Roman"/>
          <w:noProof/>
          <w:sz w:val="24"/>
          <w:lang w:eastAsia="en-AU"/>
        </w:rPr>
        <w:drawing>
          <wp:inline distT="0" distB="0" distL="0" distR="0">
            <wp:extent cx="5048093" cy="6362700"/>
            <wp:effectExtent l="0" t="0" r="635" b="0"/>
            <wp:docPr id="46" name="Picture 46" descr="Table 22: Summary of the Most Frequently Reported Adverse Events Leading to Treatment Discontinuation of &gt;1 Subject in Either Treatment Group (Treated Subjects) Study CV1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5048093" cy="6362700"/>
                    </a:xfrm>
                    <a:prstGeom prst="rect">
                      <a:avLst/>
                    </a:prstGeom>
                    <a:noFill/>
                    <a:ln>
                      <a:noFill/>
                    </a:ln>
                  </pic:spPr>
                </pic:pic>
              </a:graphicData>
            </a:graphic>
          </wp:inline>
        </w:drawing>
      </w:r>
    </w:p>
    <w:p w:rsidR="00E57B0F" w:rsidRPr="002D4BF7" w:rsidRDefault="00E57B0F" w:rsidP="00E57B0F">
      <w:pPr>
        <w:pStyle w:val="Tabletitle"/>
      </w:pPr>
      <w:r w:rsidRPr="002D4BF7">
        <w:lastRenderedPageBreak/>
        <w:t xml:space="preserve">Table </w:t>
      </w:r>
      <w:r>
        <w:t xml:space="preserve">22 continued: </w:t>
      </w:r>
      <w:r w:rsidRPr="002D4BF7">
        <w:t>Summary of the Most Frequently Reported Adverse Events Leading to Treatment Discontinuation of &gt;1 Subject in Either Treatment Group (Treated Subjects) Study CV185056</w:t>
      </w:r>
    </w:p>
    <w:p w:rsidR="008320D3" w:rsidRPr="002D4BF7" w:rsidRDefault="008320D3" w:rsidP="008320D3">
      <w:pPr>
        <w:rPr>
          <w:rFonts w:ascii="Times New Roman" w:hAnsi="Times New Roman"/>
          <w:sz w:val="24"/>
        </w:rPr>
      </w:pPr>
      <w:r>
        <w:rPr>
          <w:rFonts w:ascii="Times New Roman" w:hAnsi="Times New Roman"/>
          <w:noProof/>
          <w:sz w:val="24"/>
          <w:lang w:eastAsia="en-AU"/>
        </w:rPr>
        <w:t xml:space="preserve"> </w:t>
      </w:r>
      <w:r>
        <w:rPr>
          <w:rFonts w:ascii="Times New Roman" w:hAnsi="Times New Roman"/>
          <w:noProof/>
          <w:sz w:val="24"/>
          <w:lang w:eastAsia="en-AU"/>
        </w:rPr>
        <w:drawing>
          <wp:inline distT="0" distB="0" distL="0" distR="0">
            <wp:extent cx="4992534" cy="5295900"/>
            <wp:effectExtent l="0" t="0" r="0" b="0"/>
            <wp:docPr id="45" name="Picture 45" descr="Table 22 continued: Summary of the Most Frequently Reported Adverse Events Leading to Treatment Discontinuation of &gt;1 Subject in Either Treatment Group (Treated Subjects) Study CV1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4998191" cy="5301901"/>
                    </a:xfrm>
                    <a:prstGeom prst="rect">
                      <a:avLst/>
                    </a:prstGeom>
                    <a:noFill/>
                    <a:ln>
                      <a:noFill/>
                    </a:ln>
                  </pic:spPr>
                </pic:pic>
              </a:graphicData>
            </a:graphic>
          </wp:inline>
        </w:drawing>
      </w:r>
    </w:p>
    <w:p w:rsidR="003F3088" w:rsidRDefault="003F3088" w:rsidP="003F3088">
      <w:r w:rsidRPr="003F3088">
        <w:t>In Study CV185057 DAE was reported in 67 (8.0%) subjects in the apixaban 2.5 mg group, 61 (7.5%) in the apixaban 5 mg, and 134 (16</w:t>
      </w:r>
      <w:r>
        <w:t xml:space="preserve">.2%) in the placebo. </w:t>
      </w:r>
      <w:r w:rsidRPr="003F3088">
        <w:t>Withdrawal due to DVT was reported for four (</w:t>
      </w:r>
      <w:r w:rsidRPr="00951964">
        <w:t xml:space="preserve">0.5%) subjects in the apixaban 2.5 mg group, eight (1.0%) in the 5 mg and 55 (6.7%) in the placebo (Table </w:t>
      </w:r>
      <w:r w:rsidR="00E57B0F" w:rsidRPr="00951964">
        <w:t>23</w:t>
      </w:r>
      <w:r w:rsidRPr="00951964">
        <w:t>). Withdrawal</w:t>
      </w:r>
      <w:r w:rsidRPr="003F3088">
        <w:t xml:space="preserve"> due to PE was reported for four (0.5%) subjects in the apixaban 2.5 mg group, two (0.2%) in the 5 mg and 19 (2.3%) in the placebo.</w:t>
      </w:r>
    </w:p>
    <w:p w:rsidR="008320D3" w:rsidRPr="002D4BF7" w:rsidRDefault="008320D3" w:rsidP="00E57B0F">
      <w:pPr>
        <w:pStyle w:val="Tabletitle"/>
      </w:pPr>
      <w:r w:rsidRPr="002D4BF7">
        <w:lastRenderedPageBreak/>
        <w:t xml:space="preserve">Table </w:t>
      </w:r>
      <w:r w:rsidR="00E57B0F">
        <w:t xml:space="preserve">23: </w:t>
      </w:r>
      <w:r w:rsidRPr="002D4BF7">
        <w:t xml:space="preserve">Summary of the Most Frequently Reported Adverse Events Leading to Treatment Discontinuation of &gt;1 Subject in Any Treatment Group (Treated Subjects) </w:t>
      </w:r>
      <w:r w:rsidR="00E57B0F">
        <w:t>Study CV185057</w:t>
      </w:r>
    </w:p>
    <w:p w:rsidR="008320D3" w:rsidRPr="002D4BF7" w:rsidRDefault="008320D3" w:rsidP="008320D3">
      <w:pPr>
        <w:rPr>
          <w:rFonts w:ascii="Times New Roman" w:hAnsi="Times New Roman"/>
          <w:sz w:val="24"/>
        </w:rPr>
      </w:pPr>
      <w:r>
        <w:rPr>
          <w:rFonts w:ascii="Times New Roman" w:hAnsi="Times New Roman"/>
          <w:noProof/>
          <w:sz w:val="24"/>
          <w:lang w:eastAsia="en-AU"/>
        </w:rPr>
        <w:drawing>
          <wp:inline distT="0" distB="0" distL="0" distR="0">
            <wp:extent cx="4813825" cy="6067425"/>
            <wp:effectExtent l="0" t="0" r="6350" b="0"/>
            <wp:docPr id="47" name="Picture 47" descr="Table 23: Summary of the Most Frequently Reported Adverse Events Leading to Treatment Discontinuation of &gt;1 Subject in Any Treatment Group (Treated Subjects) Study CV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4813825" cy="6067425"/>
                    </a:xfrm>
                    <a:prstGeom prst="rect">
                      <a:avLst/>
                    </a:prstGeom>
                    <a:noFill/>
                    <a:ln>
                      <a:noFill/>
                    </a:ln>
                  </pic:spPr>
                </pic:pic>
              </a:graphicData>
            </a:graphic>
          </wp:inline>
        </w:drawing>
      </w:r>
    </w:p>
    <w:p w:rsidR="003F3088" w:rsidRPr="003F3088" w:rsidRDefault="003F3088" w:rsidP="003F3088">
      <w:pPr>
        <w:pStyle w:val="Heading5"/>
      </w:pPr>
      <w:r w:rsidRPr="003F3088">
        <w:t>Other studies</w:t>
      </w:r>
    </w:p>
    <w:p w:rsidR="003F3088" w:rsidRPr="003F3088" w:rsidRDefault="003F3088" w:rsidP="003F3088">
      <w:r w:rsidRPr="003F3088">
        <w:t>In Study CV185017 DAE was reported in nine (7.0) % subjects in the 5 mg twice daily group, six (4.5%) in the 10 mg twice daily, 11 (8.9%) in the 20 mg once daily and five</w:t>
      </w:r>
      <w:r>
        <w:t xml:space="preserve"> (4.0%) in the LMWH/VKA group. </w:t>
      </w:r>
      <w:r w:rsidRPr="003F3088">
        <w:t>Vaginal haemorrhage and dizziness were each reported in two (0.5%) subjects in the apixaban groups</w:t>
      </w:r>
      <w:r w:rsidR="008320D3">
        <w:t>.</w:t>
      </w:r>
    </w:p>
    <w:p w:rsidR="003F3088" w:rsidRPr="003F3088" w:rsidRDefault="003F3088" w:rsidP="003F3088">
      <w:pPr>
        <w:pStyle w:val="Heading3"/>
      </w:pPr>
      <w:bookmarkStart w:id="213" w:name="_Toc241374321"/>
      <w:bookmarkStart w:id="214" w:name="_Ref271044780"/>
      <w:bookmarkStart w:id="215" w:name="_Ref271196640"/>
      <w:bookmarkStart w:id="216" w:name="_Ref272333085"/>
      <w:bookmarkStart w:id="217" w:name="_Toc272414668"/>
      <w:bookmarkStart w:id="218" w:name="_Toc290846306"/>
      <w:bookmarkStart w:id="219" w:name="_Toc407734497"/>
      <w:bookmarkStart w:id="220" w:name="_Toc436383346"/>
      <w:r w:rsidRPr="003F3088">
        <w:lastRenderedPageBreak/>
        <w:t>Laboratory tests</w:t>
      </w:r>
      <w:bookmarkEnd w:id="213"/>
      <w:bookmarkEnd w:id="214"/>
      <w:bookmarkEnd w:id="215"/>
      <w:bookmarkEnd w:id="216"/>
      <w:bookmarkEnd w:id="217"/>
      <w:bookmarkEnd w:id="218"/>
      <w:bookmarkEnd w:id="219"/>
      <w:bookmarkEnd w:id="220"/>
    </w:p>
    <w:p w:rsidR="003F3088" w:rsidRPr="003F3088" w:rsidRDefault="003F3088" w:rsidP="003F3088">
      <w:pPr>
        <w:pStyle w:val="Heading4"/>
      </w:pPr>
      <w:bookmarkStart w:id="221" w:name="_Toc272414669"/>
      <w:bookmarkStart w:id="222" w:name="_Toc290846307"/>
      <w:bookmarkStart w:id="223" w:name="_Toc407734498"/>
      <w:r w:rsidRPr="003F3088">
        <w:t>Liver function</w:t>
      </w:r>
      <w:bookmarkEnd w:id="221"/>
      <w:bookmarkEnd w:id="222"/>
      <w:bookmarkEnd w:id="223"/>
    </w:p>
    <w:p w:rsidR="003F3088" w:rsidRPr="003F3088" w:rsidRDefault="003F3088" w:rsidP="003F3088">
      <w:pPr>
        <w:pStyle w:val="Heading5"/>
      </w:pPr>
      <w:r w:rsidRPr="003F3088">
        <w:t>Pivotal studies</w:t>
      </w:r>
    </w:p>
    <w:p w:rsidR="003F3088" w:rsidRPr="00951964" w:rsidRDefault="003F3088" w:rsidP="003F3088">
      <w:r w:rsidRPr="003F3088">
        <w:t xml:space="preserve">In Study CV185056 AEs relating to elevated liver enzymes were reported in 162 (6.1%) subjects in the apixaban group and 308 (11.5%) in the </w:t>
      </w:r>
      <w:r w:rsidR="006135FE">
        <w:t>enoxaparin/warfarin</w:t>
      </w:r>
      <w:r w:rsidR="003E639E">
        <w:t xml:space="preserve">. </w:t>
      </w:r>
      <w:r w:rsidRPr="003F3088">
        <w:t>There were four (0.2%) subjects in the apixaban group and one (&lt;</w:t>
      </w:r>
      <w:r w:rsidR="003E639E">
        <w:t xml:space="preserve"> </w:t>
      </w:r>
      <w:r w:rsidRPr="003F3088">
        <w:t xml:space="preserve">0.1%) in the </w:t>
      </w:r>
      <w:r w:rsidR="006135FE">
        <w:t>enoxaparin/warfarin</w:t>
      </w:r>
      <w:r w:rsidRPr="003F3088">
        <w:t xml:space="preserve"> with ALT or AST &gt;</w:t>
      </w:r>
      <w:r w:rsidR="003E639E">
        <w:t xml:space="preserve"> </w:t>
      </w:r>
      <w:r w:rsidRPr="003F3088">
        <w:t>3xULN and total bilirubin &gt;</w:t>
      </w:r>
      <w:r w:rsidR="003E639E">
        <w:t xml:space="preserve"> </w:t>
      </w:r>
      <w:r w:rsidRPr="003F3088">
        <w:t xml:space="preserve">2xULN </w:t>
      </w:r>
      <w:r w:rsidR="008320D3">
        <w:t>on the same date</w:t>
      </w:r>
      <w:r w:rsidRPr="003F3088">
        <w:t>.</w:t>
      </w:r>
      <w:r w:rsidR="003E639E">
        <w:t xml:space="preserve"> </w:t>
      </w:r>
      <w:r w:rsidRPr="003F3088">
        <w:t xml:space="preserve">For three of the four subjects in the apixaban </w:t>
      </w:r>
      <w:r w:rsidRPr="00951964">
        <w:t>group the elevations were noted after Day 120 of treatment.</w:t>
      </w:r>
    </w:p>
    <w:p w:rsidR="003F3088" w:rsidRDefault="003F3088" w:rsidP="003F3088">
      <w:r w:rsidRPr="00951964">
        <w:t xml:space="preserve">In Study CV185057 TEAEs relating to elevated liver enzymes were reported in 31 (3.7%) subjects in the apixaban 2.5 mg group, 24 (3.0%) in the apixaban 5 mg, and 27 (3.3%) in the placebo (Table </w:t>
      </w:r>
      <w:r w:rsidR="00E57B0F" w:rsidRPr="00951964">
        <w:t>24</w:t>
      </w:r>
      <w:r w:rsidR="003E639E" w:rsidRPr="00951964">
        <w:t xml:space="preserve">). </w:t>
      </w:r>
      <w:r w:rsidRPr="00951964">
        <w:t>Elevation of AST &gt;</w:t>
      </w:r>
      <w:r w:rsidR="003E639E" w:rsidRPr="00951964">
        <w:t xml:space="preserve"> </w:t>
      </w:r>
      <w:r w:rsidRPr="00951964">
        <w:t>3×ULN was reported in five (0.6%) subjects in the apixaban 2.5 mg group, eight (1.0%) in the 5 mg and five (0.6%) in the placebo</w:t>
      </w:r>
      <w:r w:rsidR="003E639E" w:rsidRPr="00951964">
        <w:t xml:space="preserve">. </w:t>
      </w:r>
      <w:r w:rsidRPr="00951964">
        <w:t>Elevation of ALT &gt;</w:t>
      </w:r>
      <w:r w:rsidR="003E639E" w:rsidRPr="00951964">
        <w:t xml:space="preserve"> </w:t>
      </w:r>
      <w:r w:rsidRPr="00951964">
        <w:t>3×ULN was reported</w:t>
      </w:r>
      <w:r w:rsidRPr="003F3088">
        <w:t xml:space="preserve"> in nine (1.1%) subjects in the apixaban 2.5 mg group, five (0.6%) in the 5 mg a</w:t>
      </w:r>
      <w:r w:rsidR="003E639E">
        <w:t xml:space="preserve">nd nine (1.1%) in the placebo. </w:t>
      </w:r>
      <w:r w:rsidRPr="003F3088">
        <w:t>There was one subject in the apixaban 2.5 mg group and three in the placebo with ALT or AST &gt;</w:t>
      </w:r>
      <w:r w:rsidR="003E639E">
        <w:t xml:space="preserve"> </w:t>
      </w:r>
      <w:r w:rsidRPr="003F3088">
        <w:t>3xULN and total bilirubin &gt;</w:t>
      </w:r>
      <w:r w:rsidR="00E06780">
        <w:t> </w:t>
      </w:r>
      <w:r w:rsidRPr="003F3088">
        <w:t>2xULN on the same date, but the subject in the apixaban 2.5 mg treatment group had comorbidities that included cholangitis, pancreatitis, and cholelithiasis that required cholecystectomy (and therefore did not fulfil the criteria for Hy’s Law).</w:t>
      </w:r>
    </w:p>
    <w:p w:rsidR="008320D3" w:rsidRPr="002D4BF7" w:rsidRDefault="008320D3" w:rsidP="008320D3">
      <w:pPr>
        <w:pStyle w:val="Tabletitle"/>
      </w:pPr>
      <w:r w:rsidRPr="002D4BF7">
        <w:t xml:space="preserve">Table </w:t>
      </w:r>
      <w:r w:rsidR="00E57B0F">
        <w:t xml:space="preserve">24: </w:t>
      </w:r>
      <w:r w:rsidRPr="002D4BF7">
        <w:t>Summary of Adverse Events Related to Elevation in LFTs With Onset During the Treatment Period (Treated Subjects) Study CV185057</w:t>
      </w:r>
    </w:p>
    <w:p w:rsidR="008320D3" w:rsidRPr="003F3088" w:rsidRDefault="008320D3" w:rsidP="008320D3">
      <w:r>
        <w:rPr>
          <w:rFonts w:ascii="Times New Roman" w:hAnsi="Times New Roman"/>
          <w:noProof/>
          <w:sz w:val="24"/>
          <w:lang w:eastAsia="en-AU"/>
        </w:rPr>
        <w:drawing>
          <wp:inline distT="0" distB="0" distL="0" distR="0">
            <wp:extent cx="5063613" cy="4905375"/>
            <wp:effectExtent l="0" t="0" r="3810" b="0"/>
            <wp:docPr id="44" name="Picture 44" descr="Table 24: Summary of Adverse Events Related to Elevation in LFTs With Onset During the Treatment Period (Treated Subjects) Study CV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5063613" cy="4905375"/>
                    </a:xfrm>
                    <a:prstGeom prst="rect">
                      <a:avLst/>
                    </a:prstGeom>
                    <a:noFill/>
                    <a:ln>
                      <a:noFill/>
                    </a:ln>
                  </pic:spPr>
                </pic:pic>
              </a:graphicData>
            </a:graphic>
          </wp:inline>
        </w:drawing>
      </w:r>
    </w:p>
    <w:p w:rsidR="003F3088" w:rsidRPr="003F3088" w:rsidRDefault="003F3088" w:rsidP="003F3088">
      <w:pPr>
        <w:pStyle w:val="Heading5"/>
      </w:pPr>
      <w:r w:rsidRPr="003F3088">
        <w:lastRenderedPageBreak/>
        <w:t>Other studies</w:t>
      </w:r>
    </w:p>
    <w:p w:rsidR="003F3088" w:rsidRPr="003E639E" w:rsidRDefault="003F3088" w:rsidP="003E639E">
      <w:r w:rsidRPr="003E639E">
        <w:t>In Study CV185017 no subject in any treatment group had a concomitant elevation of total bilirubin&gt;</w:t>
      </w:r>
      <w:r w:rsidR="003E639E">
        <w:t xml:space="preserve"> </w:t>
      </w:r>
      <w:r w:rsidRPr="003E639E">
        <w:t>2xULN and ALT&gt;</w:t>
      </w:r>
      <w:r w:rsidR="003E639E">
        <w:t xml:space="preserve"> 3xULN. </w:t>
      </w:r>
      <w:r w:rsidRPr="003E639E">
        <w:t>Elevated bilirubin was reported in eight (2.2%) subjects in the apixaban groups and two (1.7%) in the LMWH/VKA</w:t>
      </w:r>
      <w:r w:rsidR="003E639E">
        <w:t xml:space="preserve">. </w:t>
      </w:r>
      <w:r w:rsidRPr="003E639E">
        <w:t>Elevation of ALT or AST &gt;</w:t>
      </w:r>
      <w:r w:rsidR="003E639E">
        <w:t xml:space="preserve"> </w:t>
      </w:r>
      <w:r w:rsidRPr="003E639E">
        <w:t>3xULN was reported for five (1.3%) subjects in the apixaban groups and two (1.6%) in the LMWH/VKA</w:t>
      </w:r>
      <w:r w:rsidR="008320D3">
        <w:t>.</w:t>
      </w:r>
    </w:p>
    <w:p w:rsidR="003E639E" w:rsidRPr="003E639E" w:rsidRDefault="003E639E" w:rsidP="003E639E">
      <w:pPr>
        <w:pStyle w:val="Heading4"/>
      </w:pPr>
      <w:bookmarkStart w:id="224" w:name="_Toc272414670"/>
      <w:bookmarkStart w:id="225" w:name="_Toc290846308"/>
      <w:bookmarkStart w:id="226" w:name="_Toc407734499"/>
      <w:r w:rsidRPr="003E639E">
        <w:t>Kidney function</w:t>
      </w:r>
      <w:bookmarkEnd w:id="224"/>
      <w:bookmarkEnd w:id="225"/>
      <w:bookmarkEnd w:id="226"/>
    </w:p>
    <w:p w:rsidR="003E639E" w:rsidRPr="003E639E" w:rsidRDefault="003E639E" w:rsidP="003E639E">
      <w:r w:rsidRPr="003E639E">
        <w:t>In Study CV185017, marked elevation in serum creatinine (&gt;</w:t>
      </w:r>
      <w:r>
        <w:t xml:space="preserve"> </w:t>
      </w:r>
      <w:r w:rsidRPr="003E639E">
        <w:t>1.5xULN) was reported in 2 (1.6%) subjects in the apixaban 5 mg group, one (0.8%) in the 10 mg group, 2 (1.7%) in the 20 mg group, and 2 (1.7%) in the LMWH/VKA group</w:t>
      </w:r>
      <w:r>
        <w:t>.</w:t>
      </w:r>
    </w:p>
    <w:p w:rsidR="003E639E" w:rsidRPr="003E639E" w:rsidRDefault="003E639E" w:rsidP="003E639E">
      <w:r w:rsidRPr="003E639E">
        <w:t xml:space="preserve">In Study CV185056, marked elevation in serum creatinine was reported in 47 (1.8%) subjects in the apixaban group and 37 (1.4%) in the </w:t>
      </w:r>
      <w:r w:rsidR="006135FE">
        <w:t>enoxaparin/warfarin</w:t>
      </w:r>
      <w:r w:rsidRPr="003E639E">
        <w:t>.</w:t>
      </w:r>
    </w:p>
    <w:p w:rsidR="003E639E" w:rsidRPr="003E639E" w:rsidRDefault="003E639E" w:rsidP="003E639E">
      <w:r w:rsidRPr="003E639E">
        <w:t>In Study CV185057, marked elevation in serum creatinine was reported in 7 (0.8%) subjects in the apixaban 2.5 mg group, 13 (1.6%) in the 5 mg, and 11 (1.3%) in the placebo.</w:t>
      </w:r>
    </w:p>
    <w:p w:rsidR="003E639E" w:rsidRPr="003E639E" w:rsidRDefault="003E639E" w:rsidP="003E639E">
      <w:pPr>
        <w:pStyle w:val="Heading4"/>
      </w:pPr>
      <w:bookmarkStart w:id="227" w:name="_Toc272414671"/>
      <w:bookmarkStart w:id="228" w:name="_Toc290846309"/>
      <w:bookmarkStart w:id="229" w:name="_Toc407734500"/>
      <w:r w:rsidRPr="003E639E">
        <w:t>Other clinical chemistry</w:t>
      </w:r>
      <w:bookmarkEnd w:id="227"/>
      <w:bookmarkEnd w:id="228"/>
      <w:bookmarkEnd w:id="229"/>
    </w:p>
    <w:p w:rsidR="003E639E" w:rsidRPr="003E639E" w:rsidRDefault="003E639E" w:rsidP="003E639E">
      <w:pPr>
        <w:pStyle w:val="Heading5"/>
      </w:pPr>
      <w:r w:rsidRPr="003E639E">
        <w:t>Pivotal studies</w:t>
      </w:r>
    </w:p>
    <w:p w:rsidR="003E639E" w:rsidRPr="003E639E" w:rsidRDefault="003E639E" w:rsidP="003E639E">
      <w:r w:rsidRPr="003E639E">
        <w:t xml:space="preserve">In Study CV185056, there were 20 (0.8%) subjects in the apixaban group and 24 (0.9%) in the </w:t>
      </w:r>
      <w:r w:rsidR="006135FE">
        <w:t>enoxaparin/warfarin</w:t>
      </w:r>
      <w:r w:rsidRPr="003E639E">
        <w:t xml:space="preserve"> with CK elevated &gt;</w:t>
      </w:r>
      <w:r>
        <w:t xml:space="preserve"> </w:t>
      </w:r>
      <w:r w:rsidRPr="003E639E">
        <w:t>5xULN during the treatment period.</w:t>
      </w:r>
    </w:p>
    <w:p w:rsidR="003E639E" w:rsidRPr="003E639E" w:rsidRDefault="003E639E" w:rsidP="003E639E">
      <w:r w:rsidRPr="003E639E">
        <w:t>In Study CV185057 elevated CK was reported in five (0.6%) subjects in the apixaban 2.5 mg group, ten (1.3%) in the apixaban 5 mg, and nine (1.1%) in the placebo.</w:t>
      </w:r>
    </w:p>
    <w:p w:rsidR="003E639E" w:rsidRPr="003E639E" w:rsidRDefault="003E639E" w:rsidP="003E639E">
      <w:pPr>
        <w:pStyle w:val="Heading4"/>
      </w:pPr>
      <w:bookmarkStart w:id="230" w:name="_Toc272414672"/>
      <w:bookmarkStart w:id="231" w:name="_Toc290846310"/>
      <w:bookmarkStart w:id="232" w:name="_Toc407734501"/>
      <w:r w:rsidRPr="003E639E">
        <w:t>Haematology</w:t>
      </w:r>
      <w:bookmarkEnd w:id="230"/>
      <w:bookmarkEnd w:id="231"/>
      <w:bookmarkEnd w:id="232"/>
    </w:p>
    <w:p w:rsidR="003E639E" w:rsidRPr="003E639E" w:rsidRDefault="003E639E" w:rsidP="003E639E">
      <w:pPr>
        <w:pStyle w:val="Heading5"/>
      </w:pPr>
      <w:r w:rsidRPr="003E639E">
        <w:t>Pivotal studies</w:t>
      </w:r>
    </w:p>
    <w:p w:rsidR="003E639E" w:rsidRPr="003E639E" w:rsidRDefault="003E639E" w:rsidP="003E639E">
      <w:r w:rsidRPr="003E639E">
        <w:t xml:space="preserve">In Study CV185056 there were 22 (0.8%) subjects in the apixaban group and 9 (0.3%) in the </w:t>
      </w:r>
      <w:r w:rsidR="006135FE">
        <w:t>enoxaparin/warfarin</w:t>
      </w:r>
      <w:r w:rsidRPr="003E639E">
        <w:t xml:space="preserve"> with platelet counts decreased to &lt;</w:t>
      </w:r>
      <w:r>
        <w:t xml:space="preserve"> </w:t>
      </w:r>
      <w:r w:rsidRPr="003E639E">
        <w:t>100x10</w:t>
      </w:r>
      <w:r w:rsidRPr="008C2467">
        <w:rPr>
          <w:vertAlign w:val="superscript"/>
        </w:rPr>
        <w:t>9</w:t>
      </w:r>
      <w:r w:rsidRPr="003E639E">
        <w:t>/L during the treatment period.</w:t>
      </w:r>
    </w:p>
    <w:p w:rsidR="003E639E" w:rsidRPr="003E639E" w:rsidRDefault="003E639E" w:rsidP="003E639E">
      <w:r w:rsidRPr="003E639E">
        <w:t>In Study CV185057 platelet counts decreased to &lt;</w:t>
      </w:r>
      <w:r>
        <w:t xml:space="preserve"> </w:t>
      </w:r>
      <w:r w:rsidRPr="003E639E">
        <w:t>100x10</w:t>
      </w:r>
      <w:r w:rsidRPr="00CB4F5C">
        <w:rPr>
          <w:vertAlign w:val="superscript"/>
        </w:rPr>
        <w:t>9</w:t>
      </w:r>
      <w:r w:rsidRPr="003E639E">
        <w:t>/L was reported in eleven (1.3%) subjects in the apixaban 2.5 mg group, four (0.5%) in the apixaban 5 mg, and six (0.7%) in t</w:t>
      </w:r>
      <w:r>
        <w:t>he placebo</w:t>
      </w:r>
      <w:r w:rsidR="00CB4F5C">
        <w:t>.</w:t>
      </w:r>
    </w:p>
    <w:p w:rsidR="003E639E" w:rsidRPr="003E639E" w:rsidRDefault="003E639E" w:rsidP="003E639E">
      <w:pPr>
        <w:pStyle w:val="Heading5"/>
      </w:pPr>
      <w:r w:rsidRPr="003E639E">
        <w:t>Other studies</w:t>
      </w:r>
    </w:p>
    <w:p w:rsidR="003E639E" w:rsidRPr="003E639E" w:rsidRDefault="003E639E" w:rsidP="003E639E">
      <w:r w:rsidRPr="003E639E">
        <w:t>In Study CV185017 low haemoglobin (&gt;</w:t>
      </w:r>
      <w:r>
        <w:t xml:space="preserve"> </w:t>
      </w:r>
      <w:r w:rsidRPr="003E639E">
        <w:t>2 g/dL decrease from pre-treatment values or Hb ≤</w:t>
      </w:r>
      <w:r>
        <w:t xml:space="preserve"> </w:t>
      </w:r>
      <w:r w:rsidRPr="003E639E">
        <w:t>8.0 g/dL) was reported in seven (2.3%) subjects in the apixaban groups and five (4.8%) in the LMWH/VKA.</w:t>
      </w:r>
      <w:r>
        <w:t xml:space="preserve"> </w:t>
      </w:r>
      <w:r w:rsidR="008C2467">
        <w:t>In the opinion of the e</w:t>
      </w:r>
      <w:r w:rsidRPr="003E639E">
        <w:t>valuator this does not appear to represent a pattern.</w:t>
      </w:r>
    </w:p>
    <w:p w:rsidR="003E639E" w:rsidRPr="003E639E" w:rsidRDefault="003E639E" w:rsidP="003E639E">
      <w:pPr>
        <w:pStyle w:val="Heading3"/>
      </w:pPr>
      <w:bookmarkStart w:id="233" w:name="_Toc241374326"/>
      <w:bookmarkStart w:id="234" w:name="_Ref272333048"/>
      <w:bookmarkStart w:id="235" w:name="_Toc272414679"/>
      <w:bookmarkStart w:id="236" w:name="_Toc290846317"/>
      <w:bookmarkStart w:id="237" w:name="_Toc407734502"/>
      <w:bookmarkStart w:id="238" w:name="_Toc436383347"/>
      <w:r w:rsidRPr="003E639E">
        <w:t>Post-marketing experience</w:t>
      </w:r>
      <w:bookmarkEnd w:id="233"/>
      <w:bookmarkEnd w:id="234"/>
      <w:bookmarkEnd w:id="235"/>
      <w:bookmarkEnd w:id="236"/>
      <w:bookmarkEnd w:id="237"/>
      <w:bookmarkEnd w:id="238"/>
    </w:p>
    <w:p w:rsidR="003E639E" w:rsidRPr="003E639E" w:rsidRDefault="003E639E" w:rsidP="003E639E">
      <w:pPr>
        <w:pStyle w:val="Heading4"/>
      </w:pPr>
      <w:bookmarkStart w:id="239" w:name="_Toc407734503"/>
      <w:r w:rsidRPr="003E639E">
        <w:t>Post-marketing data</w:t>
      </w:r>
      <w:bookmarkEnd w:id="239"/>
    </w:p>
    <w:p w:rsidR="003E639E" w:rsidRPr="003E639E" w:rsidRDefault="003E639E" w:rsidP="003E639E">
      <w:r w:rsidRPr="003E639E">
        <w:t>No post-marketing data were included in the submission.</w:t>
      </w:r>
    </w:p>
    <w:p w:rsidR="003E639E" w:rsidRPr="003E639E" w:rsidRDefault="003E639E" w:rsidP="003E639E">
      <w:pPr>
        <w:pStyle w:val="Heading4"/>
      </w:pPr>
      <w:bookmarkStart w:id="240" w:name="_Toc407734504"/>
      <w:r w:rsidRPr="003E639E">
        <w:t xml:space="preserve">Risk </w:t>
      </w:r>
      <w:r w:rsidR="00903B5B">
        <w:t>m</w:t>
      </w:r>
      <w:r w:rsidRPr="003E639E">
        <w:t xml:space="preserve">anagement </w:t>
      </w:r>
      <w:r w:rsidR="00903B5B">
        <w:t>p</w:t>
      </w:r>
      <w:r w:rsidRPr="003E639E">
        <w:t>lan</w:t>
      </w:r>
      <w:bookmarkEnd w:id="240"/>
    </w:p>
    <w:p w:rsidR="003E639E" w:rsidRPr="003E639E" w:rsidRDefault="003E639E" w:rsidP="003E639E">
      <w:r w:rsidRPr="003E639E">
        <w:t>The important identified risks are:</w:t>
      </w:r>
    </w:p>
    <w:p w:rsidR="003E639E" w:rsidRPr="003E639E" w:rsidRDefault="003E639E" w:rsidP="003E639E">
      <w:pPr>
        <w:pStyle w:val="ListBullet"/>
      </w:pPr>
      <w:r w:rsidRPr="003E639E">
        <w:t>VTE prevention, AF</w:t>
      </w:r>
    </w:p>
    <w:p w:rsidR="003E639E" w:rsidRPr="003E639E" w:rsidRDefault="003E639E" w:rsidP="003E639E">
      <w:pPr>
        <w:pStyle w:val="ListBullet"/>
      </w:pPr>
      <w:r w:rsidRPr="003E639E">
        <w:t>VTE Treatment, and Prevention of Recurrent VTE: bleeding</w:t>
      </w:r>
    </w:p>
    <w:p w:rsidR="003E639E" w:rsidRPr="003E639E" w:rsidRDefault="003E639E" w:rsidP="003E639E">
      <w:pPr>
        <w:pStyle w:val="ListBullet"/>
      </w:pPr>
      <w:r w:rsidRPr="003E639E">
        <w:t>VTE prevention : transient elevation of liver tests</w:t>
      </w:r>
    </w:p>
    <w:p w:rsidR="003E639E" w:rsidRPr="003E639E" w:rsidRDefault="003E639E" w:rsidP="003E639E">
      <w:pPr>
        <w:pStyle w:val="ListBullet"/>
      </w:pPr>
      <w:r w:rsidRPr="003E639E">
        <w:t>GI Bleeding in those ≥</w:t>
      </w:r>
      <w:r>
        <w:t xml:space="preserve"> </w:t>
      </w:r>
      <w:r w:rsidRPr="003E639E">
        <w:t>80 years for AF</w:t>
      </w:r>
    </w:p>
    <w:p w:rsidR="003E639E" w:rsidRPr="003E639E" w:rsidRDefault="003E639E" w:rsidP="003E639E">
      <w:pPr>
        <w:pStyle w:val="ListBullet"/>
      </w:pPr>
      <w:r w:rsidRPr="003E639E">
        <w:lastRenderedPageBreak/>
        <w:t>Ocular bleeding in those ≥</w:t>
      </w:r>
      <w:r>
        <w:t xml:space="preserve"> </w:t>
      </w:r>
      <w:r w:rsidRPr="003E639E">
        <w:t>80 years for AF</w:t>
      </w:r>
    </w:p>
    <w:p w:rsidR="003E639E" w:rsidRPr="003E639E" w:rsidRDefault="003E639E" w:rsidP="003E639E">
      <w:r w:rsidRPr="003E639E">
        <w:t>The important potential risks are:</w:t>
      </w:r>
    </w:p>
    <w:p w:rsidR="003E639E" w:rsidRPr="003E639E" w:rsidRDefault="003E639E" w:rsidP="003E639E">
      <w:pPr>
        <w:pStyle w:val="ListBullet"/>
      </w:pPr>
      <w:r w:rsidRPr="003E639E">
        <w:t>AF, VTE Treatment, and Prevention of Recurrent VTE: Liver Injury</w:t>
      </w:r>
    </w:p>
    <w:p w:rsidR="003E639E" w:rsidRPr="003E639E" w:rsidRDefault="003E639E" w:rsidP="003E639E">
      <w:r w:rsidRPr="003E639E">
        <w:t>Important missing information is:</w:t>
      </w:r>
    </w:p>
    <w:p w:rsidR="003E639E" w:rsidRPr="003E639E" w:rsidRDefault="003E639E" w:rsidP="003E639E">
      <w:pPr>
        <w:pStyle w:val="ListBullet"/>
      </w:pPr>
      <w:r w:rsidRPr="003E639E">
        <w:t>Management of severe bleeding</w:t>
      </w:r>
    </w:p>
    <w:p w:rsidR="003E639E" w:rsidRPr="003E639E" w:rsidRDefault="003E639E" w:rsidP="003E639E">
      <w:pPr>
        <w:pStyle w:val="ListBullet"/>
      </w:pPr>
      <w:r w:rsidRPr="003E639E">
        <w:t>Use in the Very Elderly (≥</w:t>
      </w:r>
      <w:r>
        <w:t xml:space="preserve"> </w:t>
      </w:r>
      <w:r w:rsidRPr="003E639E">
        <w:t>75 years) for VTE prophylaxis</w:t>
      </w:r>
    </w:p>
    <w:p w:rsidR="003E639E" w:rsidRPr="003E639E" w:rsidRDefault="003E639E" w:rsidP="003E639E">
      <w:pPr>
        <w:pStyle w:val="ListBullet"/>
      </w:pPr>
      <w:r w:rsidRPr="003E639E">
        <w:t>Overdose / Coagulation monitoring</w:t>
      </w:r>
    </w:p>
    <w:p w:rsidR="003E639E" w:rsidRPr="003E639E" w:rsidRDefault="003E639E" w:rsidP="003E639E">
      <w:pPr>
        <w:pStyle w:val="ListBullet"/>
      </w:pPr>
      <w:r w:rsidRPr="003E639E">
        <w:t>Paediatrics</w:t>
      </w:r>
    </w:p>
    <w:p w:rsidR="003E639E" w:rsidRPr="003E639E" w:rsidRDefault="003E639E" w:rsidP="003E639E">
      <w:pPr>
        <w:pStyle w:val="ListBullet"/>
      </w:pPr>
      <w:r w:rsidRPr="003E639E">
        <w:t>Pregnant or lactating women</w:t>
      </w:r>
    </w:p>
    <w:p w:rsidR="003E639E" w:rsidRPr="003E639E" w:rsidRDefault="003E639E" w:rsidP="003E639E">
      <w:pPr>
        <w:pStyle w:val="ListBullet"/>
      </w:pPr>
      <w:r w:rsidRPr="003E639E">
        <w:t>Severe hepatic impairment</w:t>
      </w:r>
    </w:p>
    <w:p w:rsidR="003E639E" w:rsidRPr="003E639E" w:rsidRDefault="003E639E" w:rsidP="003E639E">
      <w:pPr>
        <w:pStyle w:val="ListBullet"/>
      </w:pPr>
      <w:r w:rsidRPr="003E639E">
        <w:t>Severe renal impairment</w:t>
      </w:r>
    </w:p>
    <w:p w:rsidR="003E639E" w:rsidRPr="003E639E" w:rsidRDefault="003E639E" w:rsidP="003E639E">
      <w:pPr>
        <w:pStyle w:val="ListBullet"/>
      </w:pPr>
      <w:r w:rsidRPr="003E639E">
        <w:t>Black/African American population</w:t>
      </w:r>
    </w:p>
    <w:p w:rsidR="003E639E" w:rsidRPr="003E639E" w:rsidRDefault="003E639E" w:rsidP="003E639E">
      <w:pPr>
        <w:pStyle w:val="ListBullet"/>
      </w:pPr>
      <w:r w:rsidRPr="003E639E">
        <w:t>Hip fracture surgery, AF with valvular disease, patients with prosthetic heart valve, and haemodynamically unstable PE patients</w:t>
      </w:r>
    </w:p>
    <w:p w:rsidR="003E639E" w:rsidRPr="003E639E" w:rsidRDefault="003E639E" w:rsidP="003E639E">
      <w:pPr>
        <w:pStyle w:val="ListBullet"/>
      </w:pPr>
      <w:r w:rsidRPr="003E639E">
        <w:t>Non-Ca</w:t>
      </w:r>
      <w:r>
        <w:t>ucasian and non-Asian ethnicity</w:t>
      </w:r>
    </w:p>
    <w:p w:rsidR="003E639E" w:rsidRPr="003E639E" w:rsidRDefault="003E639E" w:rsidP="003E639E">
      <w:bookmarkStart w:id="241" w:name="_Toc397246772"/>
      <w:r w:rsidRPr="003E639E">
        <w:t>An additional safety concern is off-label use.</w:t>
      </w:r>
      <w:bookmarkEnd w:id="241"/>
    </w:p>
    <w:p w:rsidR="003E639E" w:rsidRPr="003E639E" w:rsidRDefault="003E639E" w:rsidP="003E639E">
      <w:pPr>
        <w:pStyle w:val="Heading3"/>
      </w:pPr>
      <w:bookmarkStart w:id="242" w:name="_Ref272333005"/>
      <w:bookmarkStart w:id="243" w:name="_Toc272414680"/>
      <w:bookmarkStart w:id="244" w:name="_Toc290846318"/>
      <w:bookmarkStart w:id="245" w:name="_Toc407734505"/>
      <w:bookmarkStart w:id="246" w:name="_Toc436383348"/>
      <w:r w:rsidRPr="003E639E">
        <w:t>Safety issues with the potential for major regulatory imp</w:t>
      </w:r>
      <w:bookmarkEnd w:id="242"/>
      <w:bookmarkEnd w:id="243"/>
      <w:r w:rsidRPr="003E639E">
        <w:t>act</w:t>
      </w:r>
      <w:bookmarkEnd w:id="244"/>
      <w:bookmarkEnd w:id="245"/>
      <w:bookmarkEnd w:id="246"/>
    </w:p>
    <w:p w:rsidR="003E639E" w:rsidRPr="003E639E" w:rsidRDefault="003E639E" w:rsidP="003E639E">
      <w:pPr>
        <w:pStyle w:val="Heading4"/>
      </w:pPr>
      <w:bookmarkStart w:id="247" w:name="_Toc407734506"/>
      <w:r w:rsidRPr="003E639E">
        <w:t>Bleeding related adverse events</w:t>
      </w:r>
      <w:bookmarkEnd w:id="247"/>
    </w:p>
    <w:p w:rsidR="003E639E" w:rsidRPr="003E639E" w:rsidRDefault="003E639E" w:rsidP="003E639E">
      <w:r w:rsidRPr="003E639E">
        <w:t xml:space="preserve">In Study CV185017 bleeding AEs were reported in 15 (11.7) % subjects in the 5 mg twice daily group, 17 (12.8%) in the 10 mg twice daily, 13 (10.5%) in the 20 mg once daily and 24 </w:t>
      </w:r>
      <w:r>
        <w:t xml:space="preserve">(19.0%) in the LMWH/VKA group. </w:t>
      </w:r>
      <w:r w:rsidRPr="003E639E">
        <w:t>Adjudicated bleeding events were reported in 14 (10.9) % subjects in the 5 mg twice daily group, 17 (12.8%) in the 10 mg twice daily, 13 (10.5%) in the 20 mg once daily and 20 (15.9%) in the LMWH/VKA group</w:t>
      </w:r>
      <w:r>
        <w:t xml:space="preserve">. </w:t>
      </w:r>
      <w:r w:rsidRPr="003E639E">
        <w:t>Adjudicated major bleeding events were reported in one (0.8) % subjects in the 5 mg twice daily group, none (0.0%) in the 10 mg twice daily, one (0.8%) in the 20 mg once daily and none</w:t>
      </w:r>
      <w:r>
        <w:t xml:space="preserve"> (0.0%) in the LMWH/VKA group. </w:t>
      </w:r>
      <w:r w:rsidRPr="003E639E">
        <w:t>There was one major bleeding episode in the 5 mg group (bloody pleural effusion), one in the 20 mg (intracerebral bl</w:t>
      </w:r>
      <w:r>
        <w:t xml:space="preserve">eed) and none in the LMWH/VKA. </w:t>
      </w:r>
      <w:r w:rsidRPr="003E639E">
        <w:t>There were no repor</w:t>
      </w:r>
      <w:r>
        <w:t xml:space="preserve">ts of intraocular haemorrhage. </w:t>
      </w:r>
      <w:r w:rsidRPr="003E639E">
        <w:t>Major bleeding or CRNMB was reported in 11 (8.6) % subjects in the 5 mg twice daily group, six (4.5%) in the 10 mg twice daily, nine (7.3%) in the 20 mg once daily and 10</w:t>
      </w:r>
      <w:r>
        <w:t xml:space="preserve"> (7.9%) in the LMWH/VKA group. </w:t>
      </w:r>
      <w:r w:rsidRPr="003E639E">
        <w:t>The event rate (95% CI) for major bleeding or CRNMB was 8.6 (4.4 to 14.9) % for 5 mg twice daily, 4.5 (1.7 to 9.6) % for 10 mg twice daily, 7.3 (3.4 to 13.3) % for 20 mg once daily and 7.9</w:t>
      </w:r>
      <w:r>
        <w:t xml:space="preserve"> (3.9 to 14.1) % for LMWH/VKA. </w:t>
      </w:r>
      <w:r w:rsidRPr="003E639E">
        <w:t>The most common bleeding related AEs were haematuria, haematoma and epistaxis</w:t>
      </w:r>
      <w:r w:rsidR="00CB4F5C">
        <w:t>.</w:t>
      </w:r>
    </w:p>
    <w:p w:rsidR="003E639E" w:rsidRPr="003E639E" w:rsidRDefault="003E639E" w:rsidP="003E639E">
      <w:r w:rsidRPr="003E639E">
        <w:t>In Study CV185056 bleeding AEs were reported in 415 (15.5%) subjects in the apixaban group and 695 (25.8%</w:t>
      </w:r>
      <w:r>
        <w:t xml:space="preserve">) in the </w:t>
      </w:r>
      <w:r w:rsidR="006135FE">
        <w:t>enoxaparin/warfarin</w:t>
      </w:r>
      <w:r>
        <w:t xml:space="preserve">. </w:t>
      </w:r>
      <w:r w:rsidRPr="003E639E">
        <w:t xml:space="preserve">The commonest bleeding related AEs were: epistaxis 77 (2.9%) subjects in the apixaban group and 146 (5.4%) in the </w:t>
      </w:r>
      <w:r w:rsidR="006135FE">
        <w:t>enoxaparin/warfarin</w:t>
      </w:r>
      <w:r w:rsidRPr="003E639E">
        <w:t xml:space="preserve">; contusion, 49 (1.8%) subjects in the apixaban group and 97 (3.6%) in the </w:t>
      </w:r>
      <w:r w:rsidR="006135FE">
        <w:t>enoxaparin/warfarin</w:t>
      </w:r>
      <w:r w:rsidRPr="003E639E">
        <w:t xml:space="preserve">; haematuria, 46 (1.7%) subjects in the apixaban group and 106 (3.9%) in the </w:t>
      </w:r>
      <w:r w:rsidR="006135FE">
        <w:t>enoxaparin/warfarin</w:t>
      </w:r>
      <w:r w:rsidRPr="003E639E">
        <w:t xml:space="preserve">; menorrhagia 38 (1.4%) subjects in the apixaban group and 30 (1.1%) in the </w:t>
      </w:r>
      <w:r w:rsidR="006135FE">
        <w:t>enoxaparin/warfarin</w:t>
      </w:r>
      <w:r w:rsidRPr="003E639E">
        <w:t xml:space="preserve">; and haematoma 35 (1.3%) subjects in the apixaban group and 76 (2.8%) in the </w:t>
      </w:r>
      <w:r w:rsidR="006135FE">
        <w:t>enoxaparin/warfarin</w:t>
      </w:r>
      <w:r>
        <w:t xml:space="preserve">). </w:t>
      </w:r>
      <w:r w:rsidRPr="003E639E">
        <w:t xml:space="preserve">Superiority was achieved for apixaban over standard </w:t>
      </w:r>
      <w:r w:rsidR="006135FE">
        <w:t>enoxaparin/warfarin</w:t>
      </w:r>
      <w:r w:rsidRPr="003E639E">
        <w:t xml:space="preserve"> treatment in adjudicated major bleeding: RR (95% CI) 0.3070 (0.1728 to 0.5452) p &lt;</w:t>
      </w:r>
      <w:r>
        <w:t xml:space="preserve"> </w:t>
      </w:r>
      <w:r w:rsidRPr="003E639E">
        <w:t>0.0001.</w:t>
      </w:r>
      <w:r>
        <w:t xml:space="preserve"> </w:t>
      </w:r>
      <w:r w:rsidRPr="003E639E">
        <w:t xml:space="preserve">There were three subjects with intracranial bleeds in the apixaban group </w:t>
      </w:r>
      <w:r w:rsidRPr="003E639E">
        <w:lastRenderedPageBreak/>
        <w:t>and si</w:t>
      </w:r>
      <w:r>
        <w:t xml:space="preserve">x in the </w:t>
      </w:r>
      <w:r w:rsidR="006135FE">
        <w:t>enoxaparin/warfarin</w:t>
      </w:r>
      <w:r>
        <w:t xml:space="preserve">. </w:t>
      </w:r>
      <w:r w:rsidRPr="003E639E">
        <w:t xml:space="preserve">There were no subjects with intraocular bleeds in the apixaban group and two in the </w:t>
      </w:r>
      <w:r w:rsidR="006135FE">
        <w:t>enoxaparin/warfarin</w:t>
      </w:r>
      <w:r w:rsidRPr="003E639E">
        <w:t>.</w:t>
      </w:r>
      <w:r>
        <w:t xml:space="preserve"> </w:t>
      </w:r>
      <w:r w:rsidRPr="003E639E">
        <w:t xml:space="preserve">There were six subjects with gastrointestinal bleeds in the apixaban group and 17 in the </w:t>
      </w:r>
      <w:r w:rsidR="006135FE">
        <w:t>enoxaparin/warfarin</w:t>
      </w:r>
      <w:r w:rsidRPr="003E639E">
        <w:t>.</w:t>
      </w:r>
    </w:p>
    <w:p w:rsidR="003E639E" w:rsidRPr="003E639E" w:rsidRDefault="003E639E" w:rsidP="003E639E">
      <w:r w:rsidRPr="003E639E">
        <w:t>In Study CV185057 bleeding AEs were reported in 99 (11.8%) subjects in the apixaban 2.5 mg group, 124 (15.3%) in the apixaban 5 mg,</w:t>
      </w:r>
      <w:r>
        <w:t xml:space="preserve"> and 78 (9.4%) in the placebo. </w:t>
      </w:r>
      <w:r w:rsidRPr="003E639E">
        <w:t>The commonest bleeding AE was epistaxis: 13 (1.5%) subjects in the apixaban 2.5 mg group, 29 (3.6%) in the 5 mg and eight (1.0%) in the placebo</w:t>
      </w:r>
      <w:r>
        <w:t xml:space="preserve">. </w:t>
      </w:r>
      <w:r w:rsidRPr="003E639E">
        <w:t>Gastrointestinal bleeds were reported in 22 (2.6%) subjects in the apixaban 2.5 mg group, 29 (3.6%) in the 5 m</w:t>
      </w:r>
      <w:r>
        <w:t>g and 13 (1.6%) in the placebo.</w:t>
      </w:r>
      <w:r w:rsidRPr="003E639E">
        <w:t xml:space="preserve"> There were no reports of intr</w:t>
      </w:r>
      <w:r>
        <w:t xml:space="preserve">acranial haemorrhage. </w:t>
      </w:r>
      <w:r w:rsidRPr="003E639E">
        <w:t xml:space="preserve">There were two reports of intraocular haemorrhage in the apixaban 2.5 mg group, none in the 5 mg and one in </w:t>
      </w:r>
      <w:r>
        <w:t xml:space="preserve">the placebo. </w:t>
      </w:r>
      <w:r w:rsidRPr="003E639E">
        <w:t>In the follow-up period bleeding TEAEs were reported in six (0.7%) subjects in the apixaban 2.5 mg group, six (0.7%) in the apixaban 5 mg, and nine (1.1%) in the placebo.</w:t>
      </w:r>
    </w:p>
    <w:p w:rsidR="003E639E" w:rsidRPr="003E639E" w:rsidRDefault="003E639E" w:rsidP="003E639E">
      <w:pPr>
        <w:pStyle w:val="Heading4"/>
      </w:pPr>
      <w:bookmarkStart w:id="248" w:name="_Toc407734507"/>
      <w:r w:rsidRPr="003E639E">
        <w:t>Neurological and cardiovascular events of special interest</w:t>
      </w:r>
      <w:bookmarkEnd w:id="248"/>
    </w:p>
    <w:p w:rsidR="003E639E" w:rsidRPr="003E639E" w:rsidRDefault="003E639E" w:rsidP="003E639E">
      <w:r w:rsidRPr="003E639E">
        <w:t xml:space="preserve">In Study CV185056 neurological AEs were reported in 70 (2.6%) subjects in the apixaban group and 85 (3.2%) in the </w:t>
      </w:r>
      <w:r w:rsidR="006135FE">
        <w:t>enoxaparin/warfarin</w:t>
      </w:r>
      <w:r>
        <w:t xml:space="preserve">. </w:t>
      </w:r>
      <w:r w:rsidRPr="003E639E">
        <w:t xml:space="preserve">The most commonly reported neurological AE was paraesthesia, reported in 20 (0.7%) subjects in the apixaban group and 40 (1.5%) in the </w:t>
      </w:r>
      <w:r w:rsidR="006135FE">
        <w:t>enoxaparin/warfarin</w:t>
      </w:r>
      <w:r>
        <w:t xml:space="preserve">. </w:t>
      </w:r>
      <w:r w:rsidRPr="003E639E">
        <w:t xml:space="preserve">Other events of special interest were uncommon and there was no significant increase in relative risk for any of the </w:t>
      </w:r>
      <w:r w:rsidRPr="00CB4F5C">
        <w:t>events.</w:t>
      </w:r>
    </w:p>
    <w:p w:rsidR="003E639E" w:rsidRPr="003E639E" w:rsidRDefault="003E639E" w:rsidP="003E639E">
      <w:r w:rsidRPr="003E639E">
        <w:t>In Study CV185057 neurological TEAEs were reported in 23 (3.0%) subjects in the apixaban 2.5 mg group, 21 (2.6%) in the apixaban 5 mg, and 26 (3.1%) in the placebo</w:t>
      </w:r>
      <w:r>
        <w:t xml:space="preserve">. </w:t>
      </w:r>
      <w:r w:rsidRPr="003E639E">
        <w:t>There was no increase in the risk of thrombotic events or thrombocytopenia w</w:t>
      </w:r>
      <w:r>
        <w:t>ith apixaban</w:t>
      </w:r>
      <w:r w:rsidR="00CB4F5C">
        <w:t>.</w:t>
      </w:r>
    </w:p>
    <w:p w:rsidR="003E639E" w:rsidRPr="003E639E" w:rsidRDefault="003E639E" w:rsidP="003E639E">
      <w:pPr>
        <w:pStyle w:val="Heading3"/>
      </w:pPr>
      <w:bookmarkStart w:id="249" w:name="_Toc272414686"/>
      <w:bookmarkStart w:id="250" w:name="_Ref273005527"/>
      <w:bookmarkStart w:id="251" w:name="_Toc290846324"/>
      <w:bookmarkStart w:id="252" w:name="_Toc407734508"/>
      <w:bookmarkStart w:id="253" w:name="_Toc436383349"/>
      <w:r w:rsidRPr="003E639E">
        <w:t>Other safety issues</w:t>
      </w:r>
      <w:bookmarkEnd w:id="249"/>
      <w:bookmarkEnd w:id="250"/>
      <w:bookmarkEnd w:id="251"/>
      <w:bookmarkEnd w:id="252"/>
      <w:bookmarkEnd w:id="253"/>
    </w:p>
    <w:p w:rsidR="003E639E" w:rsidRPr="003E639E" w:rsidRDefault="003E639E" w:rsidP="003E639E">
      <w:pPr>
        <w:pStyle w:val="Heading4"/>
      </w:pPr>
      <w:bookmarkStart w:id="254" w:name="_Toc241374322"/>
      <w:bookmarkStart w:id="255" w:name="_Ref272331212"/>
      <w:bookmarkStart w:id="256" w:name="_Toc272414687"/>
      <w:bookmarkStart w:id="257" w:name="_Toc290846325"/>
      <w:bookmarkStart w:id="258" w:name="_Toc407734509"/>
      <w:r w:rsidRPr="003E639E">
        <w:t>Safety in special populations</w:t>
      </w:r>
      <w:bookmarkEnd w:id="254"/>
      <w:bookmarkEnd w:id="255"/>
      <w:bookmarkEnd w:id="256"/>
      <w:bookmarkEnd w:id="257"/>
      <w:bookmarkEnd w:id="258"/>
    </w:p>
    <w:p w:rsidR="003E639E" w:rsidRPr="003E639E" w:rsidRDefault="003E639E" w:rsidP="003E639E">
      <w:r w:rsidRPr="003E639E">
        <w:t>Although not addressed in the clinical trials, breast feeding may be an issue as the milk: plasma ratio in rats is 30 and apixaban is kn</w:t>
      </w:r>
      <w:r>
        <w:t xml:space="preserve">own to be a substrate of BCRP. </w:t>
      </w:r>
      <w:r w:rsidRPr="003E639E">
        <w:t>Breast fed infants are already at risk of Vitamin K deficiency and haemorrhagic disease of the newborn.</w:t>
      </w:r>
      <w:r>
        <w:t xml:space="preserve"> </w:t>
      </w:r>
      <w:r w:rsidRPr="003E639E">
        <w:t xml:space="preserve">Hence, in the opinion of the </w:t>
      </w:r>
      <w:r w:rsidR="008C2467">
        <w:t>e</w:t>
      </w:r>
      <w:r w:rsidRPr="003E639E">
        <w:t>valuator, apixaban may pose a risk to breast fed infants.</w:t>
      </w:r>
    </w:p>
    <w:p w:rsidR="003E639E" w:rsidRPr="003E639E" w:rsidRDefault="003E639E" w:rsidP="003E639E">
      <w:pPr>
        <w:pStyle w:val="Heading4"/>
      </w:pPr>
      <w:bookmarkStart w:id="259" w:name="_Toc407734510"/>
      <w:r w:rsidRPr="003E639E">
        <w:t>Overdose</w:t>
      </w:r>
      <w:bookmarkEnd w:id="259"/>
    </w:p>
    <w:p w:rsidR="003E639E" w:rsidRPr="003E639E" w:rsidRDefault="003E639E" w:rsidP="003E639E">
      <w:r w:rsidRPr="003E639E">
        <w:t>In overdose, therapeutic or otherwise, there is no specific treatment to counter the effects of apixaban.</w:t>
      </w:r>
      <w:r>
        <w:t xml:space="preserve"> </w:t>
      </w:r>
      <w:r w:rsidRPr="003E639E">
        <w:t>There is insufficient experience from overdose in the clinical trials to be able to predict risk.</w:t>
      </w:r>
    </w:p>
    <w:p w:rsidR="003E639E" w:rsidRPr="003E639E" w:rsidRDefault="003E639E" w:rsidP="003E639E">
      <w:pPr>
        <w:pStyle w:val="Heading3"/>
      </w:pPr>
      <w:bookmarkStart w:id="260" w:name="_Toc241374328"/>
      <w:bookmarkStart w:id="261" w:name="_Toc272414691"/>
      <w:bookmarkStart w:id="262" w:name="_Toc290846329"/>
      <w:bookmarkStart w:id="263" w:name="_Toc407734511"/>
      <w:bookmarkStart w:id="264" w:name="_Toc436383350"/>
      <w:r w:rsidRPr="003E639E">
        <w:t>Evaluator’s overall conclusions on clinical safety</w:t>
      </w:r>
      <w:bookmarkEnd w:id="260"/>
      <w:bookmarkEnd w:id="261"/>
      <w:bookmarkEnd w:id="262"/>
      <w:bookmarkEnd w:id="263"/>
      <w:bookmarkEnd w:id="264"/>
    </w:p>
    <w:p w:rsidR="003E639E" w:rsidRPr="003E639E" w:rsidRDefault="003E639E" w:rsidP="003E639E">
      <w:r w:rsidRPr="003E639E">
        <w:t xml:space="preserve">Apixaban has a similar adverse effects profile to </w:t>
      </w:r>
      <w:r w:rsidR="006135FE">
        <w:t>enoxaparin/warfarin</w:t>
      </w:r>
      <w:r w:rsidRPr="003E639E">
        <w:t xml:space="preserve"> but appears to have a decreased risk of bleeding related AEs with the dose regimen intended for</w:t>
      </w:r>
      <w:r>
        <w:t xml:space="preserve"> the proposed new indications. </w:t>
      </w:r>
      <w:r w:rsidRPr="003E639E">
        <w:t>Overall, in Study CV185056</w:t>
      </w:r>
      <w:r w:rsidR="008C2467">
        <w:t>,</w:t>
      </w:r>
      <w:r w:rsidRPr="003E639E">
        <w:t xml:space="preserve"> TEAEs were reported in 1795 (67.1%) subjects in the apixaban group and 1923 (71.5</w:t>
      </w:r>
      <w:r>
        <w:t xml:space="preserve">%) in the </w:t>
      </w:r>
      <w:r w:rsidR="006135FE">
        <w:t>enoxaparin/warfarin</w:t>
      </w:r>
      <w:r>
        <w:t>.</w:t>
      </w:r>
      <w:r w:rsidRPr="003E639E">
        <w:t xml:space="preserve"> Death was reported in 37 (1.4%) subjects in the apixaban group and 44 (1.6%</w:t>
      </w:r>
      <w:r>
        <w:t xml:space="preserve">) in the </w:t>
      </w:r>
      <w:r w:rsidR="006135FE">
        <w:t>enoxaparin/warfarin</w:t>
      </w:r>
      <w:r>
        <w:t xml:space="preserve">. </w:t>
      </w:r>
      <w:r w:rsidRPr="003E639E">
        <w:t>SAEs were reported in 417 (15.6%) subjects in the apixaban group and 410 (15.2%</w:t>
      </w:r>
      <w:r>
        <w:t xml:space="preserve">) in the </w:t>
      </w:r>
      <w:r w:rsidR="006135FE">
        <w:t>enoxaparin/warfarin</w:t>
      </w:r>
      <w:r>
        <w:t>.</w:t>
      </w:r>
    </w:p>
    <w:p w:rsidR="003E639E" w:rsidRPr="003E639E" w:rsidRDefault="003E639E" w:rsidP="003E639E">
      <w:r w:rsidRPr="003E639E">
        <w:t>In comparison with placebo, when used for prevention of recurrent DVT and PE, apixaban had a similar overall rate of AEs in comparison with placebo, but there were more bleeding related AEs with apixa</w:t>
      </w:r>
      <w:r>
        <w:t xml:space="preserve">ban and more VTE with placebo. </w:t>
      </w:r>
      <w:r w:rsidRPr="003E639E">
        <w:t>In Study CV185057 TEAEs were reported in 596 (71.0%) subjects in the apixaban 2.5 mg group, 542 (66.8%) in the apixaban 5 mg, a</w:t>
      </w:r>
      <w:r>
        <w:t xml:space="preserve">nd 606 (73.4%) in the placebo. </w:t>
      </w:r>
      <w:r w:rsidRPr="003E639E">
        <w:t xml:space="preserve">Death was reported for three (0.4%) subjects in the apixaban 2.5 mg group, four (0.5%) in the apixaban 5 mg, </w:t>
      </w:r>
      <w:r>
        <w:t xml:space="preserve">and ten (1.2%) in the placebo. </w:t>
      </w:r>
      <w:r w:rsidRPr="003E639E">
        <w:t xml:space="preserve">SAEs were reported in 112 (13.3%) subjects in the apixaban 2.5 mg group, 107 (13.2%) in the apixaban 5 mg, and 158 (19.1%) </w:t>
      </w:r>
      <w:r>
        <w:t xml:space="preserve">in the placebo. </w:t>
      </w:r>
      <w:r w:rsidRPr="003E639E">
        <w:t xml:space="preserve">DVT was reported as a SAE for three (0.4%) subjects in the apixaban 2.5 </w:t>
      </w:r>
      <w:r w:rsidRPr="003E639E">
        <w:lastRenderedPageBreak/>
        <w:t>mg group, nine (1.1%) in the 5 mg and 40 (4.8%) in the placebo; and PE was reported as a SAE for five (0.6%) subjects in the apixaban 2.5 mg group, three (0.3%) in the 5 mg and 20 (2.4%) in the placebo.</w:t>
      </w:r>
    </w:p>
    <w:p w:rsidR="003E639E" w:rsidRPr="003E639E" w:rsidRDefault="003E639E" w:rsidP="003E639E">
      <w:r w:rsidRPr="003E639E">
        <w:t xml:space="preserve">Bleeding related AEs occurred at a lesser frequency with apixaban, using the dosing regimen intended for treatment of DVT and pulmonary embolism PE, in comparison with </w:t>
      </w:r>
      <w:r w:rsidR="006135FE">
        <w:t>enoxaparin/warfarin</w:t>
      </w:r>
      <w:r>
        <w:t xml:space="preserve">. </w:t>
      </w:r>
      <w:r w:rsidRPr="003E639E">
        <w:t>In Study CV185056, bleeding AEs were reported in 415 (15.5%)</w:t>
      </w:r>
      <w:r w:rsidRPr="002D4BF7">
        <w:t xml:space="preserve"> </w:t>
      </w:r>
      <w:r w:rsidRPr="003E639E">
        <w:t>subjects in the apixaban group and 695 (25.8%</w:t>
      </w:r>
      <w:r>
        <w:t xml:space="preserve">) in the </w:t>
      </w:r>
      <w:r w:rsidR="006135FE">
        <w:t>enoxaparin/warfarin</w:t>
      </w:r>
      <w:r>
        <w:t xml:space="preserve">. </w:t>
      </w:r>
      <w:r w:rsidRPr="003E639E">
        <w:t xml:space="preserve">Superiority was achieved for apixaban over standard </w:t>
      </w:r>
      <w:r w:rsidR="006135FE">
        <w:t>enoxaparin/warfarin</w:t>
      </w:r>
      <w:r w:rsidRPr="003E639E">
        <w:t xml:space="preserve"> treatment in adjudicated major bleeding: RR (95% CI) 0.3070 (0.1728 to 0.5452) p &lt;</w:t>
      </w:r>
      <w:r>
        <w:t xml:space="preserve"> </w:t>
      </w:r>
      <w:r w:rsidRPr="003E639E">
        <w:t>0.0001.</w:t>
      </w:r>
    </w:p>
    <w:p w:rsidR="003E639E" w:rsidRPr="003E639E" w:rsidRDefault="003E639E" w:rsidP="003E639E">
      <w:r w:rsidRPr="003E639E">
        <w:t>There was clearly an increased risk of bleeding related AEs in comparison with placebo, but this risk was less than the increased risk of VTE in the placebo group.</w:t>
      </w:r>
    </w:p>
    <w:p w:rsidR="003E639E" w:rsidRPr="003E639E" w:rsidRDefault="003E639E" w:rsidP="003E639E">
      <w:r w:rsidRPr="003E639E">
        <w:t xml:space="preserve">In the opinion of the </w:t>
      </w:r>
      <w:r w:rsidR="008C2467">
        <w:t>e</w:t>
      </w:r>
      <w:r w:rsidRPr="003E639E">
        <w:t>valuator, the pattern of bleeding related adverse events is consistent with that observed with the currently approved indications for apixaban.</w:t>
      </w:r>
    </w:p>
    <w:p w:rsidR="003F3088" w:rsidRPr="003E639E" w:rsidRDefault="00BC0EF1" w:rsidP="003E639E">
      <w:r>
        <w:t>The sponsor</w:t>
      </w:r>
      <w:r w:rsidR="003E639E" w:rsidRPr="003E639E">
        <w:t xml:space="preserve"> has stated in the PI that no dose adjustme</w:t>
      </w:r>
      <w:r w:rsidR="003E639E">
        <w:t xml:space="preserve">nt is required in the elderly. </w:t>
      </w:r>
      <w:r w:rsidR="003E639E" w:rsidRPr="003E639E">
        <w:t>This statement is supported by the data.</w:t>
      </w:r>
    </w:p>
    <w:p w:rsidR="00C22678" w:rsidRDefault="00C22678" w:rsidP="00C22678">
      <w:pPr>
        <w:pStyle w:val="Heading2"/>
      </w:pPr>
      <w:bookmarkStart w:id="265" w:name="_Toc436383351"/>
      <w:r>
        <w:t>First round benefit-risk assessment</w:t>
      </w:r>
      <w:bookmarkEnd w:id="265"/>
    </w:p>
    <w:p w:rsidR="003E639E" w:rsidRPr="003E639E" w:rsidRDefault="003E639E" w:rsidP="003E639E">
      <w:pPr>
        <w:pStyle w:val="Heading3"/>
      </w:pPr>
      <w:bookmarkStart w:id="266" w:name="_Toc236802592"/>
      <w:bookmarkStart w:id="267" w:name="_Toc241374331"/>
      <w:bookmarkStart w:id="268" w:name="_Ref272160836"/>
      <w:bookmarkStart w:id="269" w:name="_Toc272414693"/>
      <w:bookmarkStart w:id="270" w:name="_Toc290846331"/>
      <w:bookmarkStart w:id="271" w:name="_Toc407734513"/>
      <w:bookmarkStart w:id="272" w:name="_Toc436383352"/>
      <w:r w:rsidRPr="003E639E">
        <w:t>First round assessment of benefits</w:t>
      </w:r>
      <w:bookmarkEnd w:id="266"/>
      <w:bookmarkEnd w:id="267"/>
      <w:bookmarkEnd w:id="268"/>
      <w:bookmarkEnd w:id="269"/>
      <w:bookmarkEnd w:id="270"/>
      <w:bookmarkEnd w:id="271"/>
      <w:bookmarkEnd w:id="272"/>
    </w:p>
    <w:p w:rsidR="003E639E" w:rsidRPr="003E639E" w:rsidRDefault="003E639E" w:rsidP="003E639E">
      <w:pPr>
        <w:pStyle w:val="Heading4"/>
      </w:pPr>
      <w:bookmarkStart w:id="273" w:name="_Toc407734514"/>
      <w:r w:rsidRPr="003E639E">
        <w:t>Benefits for treatment DVT and PE</w:t>
      </w:r>
      <w:bookmarkEnd w:id="273"/>
    </w:p>
    <w:p w:rsidR="003E639E" w:rsidRPr="00566D77" w:rsidRDefault="003E639E" w:rsidP="003E639E">
      <w:r w:rsidRPr="00566D77">
        <w:t>Non-inferiority was demonstrated for apixaban in comparison with conventional treatment accordi</w:t>
      </w:r>
      <w:r w:rsidR="00566D77">
        <w:t xml:space="preserve">ng to the predefined criteria. </w:t>
      </w:r>
      <w:r w:rsidRPr="00566D77">
        <w:t>There were 59 events (symptomatic, recurrent VTE [nonfatal DVT or nonfatal PE] or VTE-related death) in the apixaban population and 7</w:t>
      </w:r>
      <w:r w:rsidR="00566D77">
        <w:t xml:space="preserve">1 in the </w:t>
      </w:r>
      <w:r w:rsidR="006135FE">
        <w:t>enoxaparin/warfarin</w:t>
      </w:r>
      <w:r w:rsidR="00566D77">
        <w:t xml:space="preserve">. </w:t>
      </w:r>
      <w:r w:rsidRPr="00566D77">
        <w:t>The RR (95% CI) for the primary efficacy outcome measure in the per-protocol population was 0.6611 (0.4243 to 1.0301) with the upper 95% CI being &lt;</w:t>
      </w:r>
      <w:r w:rsidR="00566D77">
        <w:t xml:space="preserve"> </w:t>
      </w:r>
      <w:r w:rsidRPr="00566D77">
        <w:t>1.8 (the criterion for non-inferiority)</w:t>
      </w:r>
      <w:r w:rsidR="00566D77">
        <w:t xml:space="preserve">. </w:t>
      </w:r>
      <w:r w:rsidRPr="00566D77">
        <w:t>In the primary efficacy population the RR (95% CI) was 0.8390 (0.2965 to 1.1802), and the risk difference (95% CI) was -</w:t>
      </w:r>
      <w:r w:rsidR="00566D77">
        <w:t xml:space="preserve"> </w:t>
      </w:r>
      <w:r w:rsidRPr="00566D77">
        <w:t>0.0044 (-</w:t>
      </w:r>
      <w:r w:rsidR="00566D77">
        <w:t xml:space="preserve"> 0.0128 to 0.0040). </w:t>
      </w:r>
      <w:r w:rsidRPr="00566D77">
        <w:t>The secondary outcome measures were also supportive for similar efficacy of apixaban and conventional treatment.</w:t>
      </w:r>
    </w:p>
    <w:p w:rsidR="003E639E" w:rsidRPr="00566D77" w:rsidRDefault="003E639E" w:rsidP="00566D77">
      <w:pPr>
        <w:pStyle w:val="Heading4"/>
      </w:pPr>
      <w:bookmarkStart w:id="274" w:name="_Toc407734515"/>
      <w:r w:rsidRPr="00566D77">
        <w:t>Benefits for prevention of recurrent DVT and PE</w:t>
      </w:r>
      <w:bookmarkEnd w:id="274"/>
    </w:p>
    <w:p w:rsidR="003E639E" w:rsidRPr="00566D77" w:rsidRDefault="003E639E" w:rsidP="00566D77">
      <w:r w:rsidRPr="00566D77">
        <w:t>Both apixaban treatment regimens were superior to placebo with no apparent difference in effica</w:t>
      </w:r>
      <w:r w:rsidR="00566D77">
        <w:t xml:space="preserve">cy between the apixaban doses. </w:t>
      </w:r>
      <w:r w:rsidRPr="00566D77">
        <w:t>There were 19 events (symptomatic, recurrent VTE [nonfatal DVT or nonfatal PE] or all-cause death) in the apixaban 2.5 mg group, 14 in t</w:t>
      </w:r>
      <w:r w:rsidR="00566D77">
        <w:t xml:space="preserve">he 5 mg and 77 in the placebo. </w:t>
      </w:r>
      <w:r w:rsidRPr="00566D77">
        <w:t>In addition, there were 13 imputed events in the apixaban 2.5 mg group, 20 in the 5 mg and 19 in the plac</w:t>
      </w:r>
      <w:r w:rsidR="00566D77">
        <w:t xml:space="preserve">ebo. </w:t>
      </w:r>
      <w:r w:rsidRPr="00566D77">
        <w:t>The RR (95% CI) compared to placebo for apixaban 2.5 mg was 0.3283 (0.2225 to 0.4844) and for apixaban 5 mg was 0.3615 (0.2475 to 0.5281). The Risk difference (95% CI) compared to placebo was -</w:t>
      </w:r>
      <w:r w:rsidR="00566D77">
        <w:t xml:space="preserve"> </w:t>
      </w:r>
      <w:r w:rsidRPr="00566D77">
        <w:t>0.0779 (-</w:t>
      </w:r>
      <w:r w:rsidR="00566D77">
        <w:t xml:space="preserve"> </w:t>
      </w:r>
      <w:r w:rsidRPr="00566D77">
        <w:t>0.1032 to -</w:t>
      </w:r>
      <w:r w:rsidR="00566D77">
        <w:t xml:space="preserve"> </w:t>
      </w:r>
      <w:r w:rsidRPr="00566D77">
        <w:t>0.0526) for apixaban 2.5 mg and -</w:t>
      </w:r>
      <w:r w:rsidR="00566D77">
        <w:t xml:space="preserve"> </w:t>
      </w:r>
      <w:r w:rsidRPr="00566D77">
        <w:t>0.0740 (-</w:t>
      </w:r>
      <w:r w:rsidR="00566D77">
        <w:t xml:space="preserve"> </w:t>
      </w:r>
      <w:r w:rsidRPr="00566D77">
        <w:t>0.0997 to -</w:t>
      </w:r>
      <w:r w:rsidR="00566D77">
        <w:t xml:space="preserve"> 0.0482) for apixaban 5 mg. </w:t>
      </w:r>
      <w:r w:rsidRPr="00566D77">
        <w:t>All these hypothesis tests were significant to p &lt;</w:t>
      </w:r>
      <w:r w:rsidR="00566D77">
        <w:t xml:space="preserve"> 0.0001. </w:t>
      </w:r>
      <w:r w:rsidRPr="00566D77">
        <w:t>The secondary efficacy outcome measures were also supportive of superiority.</w:t>
      </w:r>
    </w:p>
    <w:p w:rsidR="003E639E" w:rsidRPr="00566D77" w:rsidRDefault="00BC0EF1" w:rsidP="003E639E">
      <w:r>
        <w:t>The sponsor</w:t>
      </w:r>
      <w:r w:rsidR="003E639E" w:rsidRPr="00566D77">
        <w:t xml:space="preserve"> has chosen the lower dose regimen to be recommended in clinica</w:t>
      </w:r>
      <w:r w:rsidR="00566D77">
        <w:t xml:space="preserve">l practice. </w:t>
      </w:r>
      <w:r w:rsidR="003E639E" w:rsidRPr="00566D77">
        <w:t xml:space="preserve">In the opinion of the </w:t>
      </w:r>
      <w:r w:rsidR="00734AE2">
        <w:t>e</w:t>
      </w:r>
      <w:r w:rsidR="003E639E" w:rsidRPr="00566D77">
        <w:t>valuator this is appropriate as it minimises exposure to apixaban without compromising efficacy.</w:t>
      </w:r>
    </w:p>
    <w:p w:rsidR="003E639E" w:rsidRPr="00566D77" w:rsidRDefault="003E639E" w:rsidP="00566D77">
      <w:pPr>
        <w:pStyle w:val="Heading3"/>
      </w:pPr>
      <w:bookmarkStart w:id="275" w:name="_Toc236802596"/>
      <w:bookmarkStart w:id="276" w:name="_Toc241374334"/>
      <w:bookmarkStart w:id="277" w:name="_Ref272160964"/>
      <w:bookmarkStart w:id="278" w:name="_Toc272414694"/>
      <w:bookmarkStart w:id="279" w:name="_Toc290846332"/>
      <w:bookmarkStart w:id="280" w:name="_Toc407734516"/>
      <w:bookmarkStart w:id="281" w:name="_Toc436383353"/>
      <w:r w:rsidRPr="00566D77">
        <w:lastRenderedPageBreak/>
        <w:t>First round assessment of risks</w:t>
      </w:r>
      <w:bookmarkEnd w:id="275"/>
      <w:bookmarkEnd w:id="276"/>
      <w:bookmarkEnd w:id="277"/>
      <w:bookmarkEnd w:id="278"/>
      <w:bookmarkEnd w:id="279"/>
      <w:bookmarkEnd w:id="280"/>
      <w:bookmarkEnd w:id="281"/>
    </w:p>
    <w:p w:rsidR="003E639E" w:rsidRPr="00566D77" w:rsidRDefault="003E639E" w:rsidP="00566D77">
      <w:r w:rsidRPr="00566D77">
        <w:t xml:space="preserve">When used for the treatment of DVT and PE apixaban has a similar adverse effects profile to </w:t>
      </w:r>
      <w:r w:rsidR="006135FE">
        <w:t>enoxaparin/warfarin</w:t>
      </w:r>
      <w:r w:rsidRPr="00566D77">
        <w:t xml:space="preserve"> but appears to have a decreased risk of bleeding related AEs with the dose regimen intended for</w:t>
      </w:r>
      <w:r w:rsidR="00566D77">
        <w:t xml:space="preserve"> the proposed new indications. </w:t>
      </w:r>
      <w:r w:rsidRPr="00566D77">
        <w:t>Overall, in Study CV185056, TEAEs were reported in 1795 (67.1%) subjects in the apixaban group and 1923 (71.5%</w:t>
      </w:r>
      <w:r w:rsidR="00566D77">
        <w:t xml:space="preserve">) in the </w:t>
      </w:r>
      <w:r w:rsidR="006135FE">
        <w:t>enoxaparin/warfarin</w:t>
      </w:r>
      <w:r w:rsidR="00566D77">
        <w:t xml:space="preserve">. </w:t>
      </w:r>
      <w:r w:rsidRPr="00566D77">
        <w:t>Death was reported in 37 (1.4%) subjects in the apixaban group and 44 (1.6%</w:t>
      </w:r>
      <w:r w:rsidR="00566D77">
        <w:t xml:space="preserve">) in the </w:t>
      </w:r>
      <w:r w:rsidR="006135FE">
        <w:t>enoxaparin/warfarin</w:t>
      </w:r>
      <w:r w:rsidR="00566D77">
        <w:t xml:space="preserve">. </w:t>
      </w:r>
      <w:r w:rsidRPr="00566D77">
        <w:t xml:space="preserve">SAEs were reported in 417 (15.6%) subjects in the apixaban group and 410 (15.2%) in the </w:t>
      </w:r>
      <w:r w:rsidR="006135FE">
        <w:t>enoxaparin/warfarin</w:t>
      </w:r>
      <w:r w:rsidR="00566D77">
        <w:t>.</w:t>
      </w:r>
    </w:p>
    <w:p w:rsidR="003E639E" w:rsidRPr="00566D77" w:rsidRDefault="003E639E" w:rsidP="00566D77">
      <w:r w:rsidRPr="00566D77">
        <w:t>In comparison with placebo, when used for prevention of recurrent DVT and PE, apixaban had a similar overall rate of AEs in comparison with placebo, but there were more bleeding related AEs with apixa</w:t>
      </w:r>
      <w:r w:rsidR="00566D77">
        <w:t xml:space="preserve">ban and more VTE with placebo. </w:t>
      </w:r>
      <w:r w:rsidRPr="00566D77">
        <w:t>In Study CV185057</w:t>
      </w:r>
      <w:r w:rsidR="00734AE2">
        <w:t xml:space="preserve"> </w:t>
      </w:r>
      <w:r w:rsidRPr="00566D77">
        <w:t>TEAEs were reported in 596 (71.0%) subjects in the apixaban 2.5 mg group, 542 (66.8%) in the apixaban 5 mg, a</w:t>
      </w:r>
      <w:r w:rsidR="00566D77">
        <w:t xml:space="preserve">nd 606 (73.4%) in the placebo. </w:t>
      </w:r>
      <w:r w:rsidRPr="00566D77">
        <w:t xml:space="preserve">Death was reported for three (0.4%) subjects in the apixaban 2.5 mg group, four (0.5%) in the apixaban 5 mg, </w:t>
      </w:r>
      <w:r w:rsidR="00566D77">
        <w:t xml:space="preserve">and ten (1.2%) in the placebo. </w:t>
      </w:r>
      <w:r w:rsidRPr="00566D77">
        <w:t>SAEs were reported in 112 (13.3%) subjects in the apixaban 2.5 mg group, 107 (13.2%) in the apixaban 5 mg, a</w:t>
      </w:r>
      <w:r w:rsidR="00566D77">
        <w:t xml:space="preserve">nd 158 (19.1%) in the placebo. </w:t>
      </w:r>
      <w:r w:rsidRPr="00566D77">
        <w:t>DVT was reported as a SAE for three (0.4%) subjects in the apixaban 2.5 mg group, nine (1.1%) in the 5 mg and 40 (4.8%) in the placebo; and PE was reported as a SAE for five (0.6%) subjects in the apixaban 2.5 mg group, three (0.3%) in the 5 mg and 20 (2.4%) in the placebo.</w:t>
      </w:r>
    </w:p>
    <w:p w:rsidR="00CB4F5C" w:rsidRDefault="003E639E" w:rsidP="00566D77">
      <w:r w:rsidRPr="00566D77">
        <w:t>The previously identified risks with apixaban are bleeding related AE</w:t>
      </w:r>
      <w:r w:rsidR="00566D77">
        <w:t xml:space="preserve">s and potentially hepatic AEs. </w:t>
      </w:r>
      <w:r w:rsidRPr="00566D77">
        <w:t xml:space="preserve">Other than these risks, the profile of AEs indicated by the PI and from Study CV185057 is similar to that of </w:t>
      </w:r>
      <w:r w:rsidRPr="00E57B0F">
        <w:t xml:space="preserve">placebo (Table </w:t>
      </w:r>
      <w:r w:rsidR="00E57B0F" w:rsidRPr="00E57B0F">
        <w:t>25</w:t>
      </w:r>
      <w:r w:rsidRPr="00E57B0F">
        <w:t>)</w:t>
      </w:r>
      <w:r w:rsidR="00566D77" w:rsidRPr="00E57B0F">
        <w:t>.</w:t>
      </w:r>
    </w:p>
    <w:p w:rsidR="00CB4F5C" w:rsidRPr="002D4BF7" w:rsidRDefault="00CB4F5C" w:rsidP="00CB4F5C">
      <w:pPr>
        <w:pStyle w:val="Tabletitle"/>
      </w:pPr>
      <w:r w:rsidRPr="002D4BF7">
        <w:rPr>
          <w:rFonts w:eastAsia="TimesNewRoman"/>
        </w:rPr>
        <w:lastRenderedPageBreak/>
        <w:t xml:space="preserve">Table </w:t>
      </w:r>
      <w:r w:rsidR="00E57B0F">
        <w:rPr>
          <w:rFonts w:eastAsia="TimesNewRoman"/>
        </w:rPr>
        <w:t xml:space="preserve">25: </w:t>
      </w:r>
      <w:r w:rsidRPr="002D4BF7">
        <w:t>Summary of the Most Frequently Reported (≥2% in Any Treatment Group) Adverse Events With Onset During the Treat</w:t>
      </w:r>
      <w:r>
        <w:t xml:space="preserve">ment Period (Treated Subjects) </w:t>
      </w:r>
      <w:r w:rsidRPr="002D4BF7">
        <w:t>Study CV185057</w:t>
      </w:r>
    </w:p>
    <w:p w:rsidR="00CB4F5C" w:rsidRPr="002D4BF7" w:rsidRDefault="00CB4F5C" w:rsidP="00CB4F5C">
      <w:pPr>
        <w:rPr>
          <w:rFonts w:ascii="Times New Roman" w:hAnsi="Times New Roman"/>
          <w:sz w:val="24"/>
        </w:rPr>
      </w:pPr>
      <w:r>
        <w:rPr>
          <w:rFonts w:ascii="Times New Roman" w:hAnsi="Times New Roman"/>
          <w:noProof/>
          <w:sz w:val="24"/>
          <w:lang w:eastAsia="en-AU"/>
        </w:rPr>
        <w:drawing>
          <wp:inline distT="0" distB="0" distL="0" distR="0">
            <wp:extent cx="5486400" cy="6962775"/>
            <wp:effectExtent l="0" t="0" r="0" b="9525"/>
            <wp:docPr id="43" name="Picture 43" descr="Table 25: Summary of the Most Frequently Reported (≥2% in Any Treatment Group) Adverse Events With Onset During the Treatment Period (Treated Subjects) Study CV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5486400" cy="6962775"/>
                    </a:xfrm>
                    <a:prstGeom prst="rect">
                      <a:avLst/>
                    </a:prstGeom>
                    <a:noFill/>
                    <a:ln>
                      <a:noFill/>
                    </a:ln>
                  </pic:spPr>
                </pic:pic>
              </a:graphicData>
            </a:graphic>
          </wp:inline>
        </w:drawing>
      </w:r>
    </w:p>
    <w:p w:rsidR="003E639E" w:rsidRPr="00566D77" w:rsidRDefault="003E639E" w:rsidP="00566D77">
      <w:r w:rsidRPr="00566D77">
        <w:t>With regard the proposed new indications:</w:t>
      </w:r>
    </w:p>
    <w:p w:rsidR="003E639E" w:rsidRPr="00566D77" w:rsidRDefault="003E639E" w:rsidP="00566D77">
      <w:pPr>
        <w:pStyle w:val="ListBullet"/>
      </w:pPr>
      <w:r w:rsidRPr="00566D77">
        <w:t xml:space="preserve">Bleeding related AEs occurred at a lesser frequency with apixaban, using the dosing regimen intended for treatment of DVT and pulmonary embolism PE, in comparison with </w:t>
      </w:r>
      <w:r w:rsidR="006135FE">
        <w:t>enoxaparin/warfarin</w:t>
      </w:r>
      <w:r w:rsidR="00566D77">
        <w:t>.</w:t>
      </w:r>
      <w:r w:rsidRPr="00566D77">
        <w:t xml:space="preserve"> In Study CV185056</w:t>
      </w:r>
      <w:r w:rsidR="00734AE2">
        <w:t xml:space="preserve"> </w:t>
      </w:r>
      <w:r w:rsidRPr="00566D77">
        <w:t>bleeding AEs were reported in 415 (15.5%) subjects in the apixaban group and 695 (25.8%</w:t>
      </w:r>
      <w:r w:rsidR="00566D77">
        <w:t xml:space="preserve">) in the </w:t>
      </w:r>
      <w:r w:rsidR="006135FE">
        <w:t>enoxaparin/warfarin</w:t>
      </w:r>
      <w:r w:rsidR="00566D77">
        <w:t xml:space="preserve">. </w:t>
      </w:r>
      <w:r w:rsidRPr="00566D77">
        <w:t xml:space="preserve">Superiority </w:t>
      </w:r>
      <w:r w:rsidRPr="00566D77">
        <w:lastRenderedPageBreak/>
        <w:t xml:space="preserve">was achieved for apixaban over standard </w:t>
      </w:r>
      <w:r w:rsidR="006135FE">
        <w:t>enoxaparin/warfarin</w:t>
      </w:r>
      <w:r w:rsidRPr="00566D77">
        <w:t xml:space="preserve"> treatment in adjudicated major bleeding: RR (95% CI) 0.3070 (0.1728 to 0.5452) p &lt;</w:t>
      </w:r>
      <w:r w:rsidR="00566D77">
        <w:t xml:space="preserve"> 0.0001.</w:t>
      </w:r>
    </w:p>
    <w:p w:rsidR="003E639E" w:rsidRPr="00566D77" w:rsidRDefault="003E639E" w:rsidP="00566D77">
      <w:pPr>
        <w:pStyle w:val="ListBullet"/>
      </w:pPr>
      <w:r w:rsidRPr="00566D77">
        <w:t>When used for the prevention of recurrent DVT and PE, there was clearly an increased risk of bleeding related AEs in comparison with placebo, but this risk was less than the increased risk of VTE in the placebo group.</w:t>
      </w:r>
    </w:p>
    <w:p w:rsidR="003E639E" w:rsidRPr="00566D77" w:rsidRDefault="003E639E" w:rsidP="00566D77">
      <w:r w:rsidRPr="00566D77">
        <w:t>The risks of intracranial, gastrointestinal and intraocular bleeds appear to be similar to that identified in the RMP.</w:t>
      </w:r>
    </w:p>
    <w:p w:rsidR="003E639E" w:rsidRPr="00566D77" w:rsidRDefault="003E639E" w:rsidP="00566D77">
      <w:r w:rsidRPr="00566D77">
        <w:t xml:space="preserve">Elevation of liver enzymes and hepatic AEs appear to occur at a </w:t>
      </w:r>
      <w:r w:rsidR="00566D77">
        <w:t xml:space="preserve">lesser rate than for warfarin. </w:t>
      </w:r>
      <w:r w:rsidRPr="00566D77">
        <w:t>However, it is not clear whether these AEs are more common wi</w:t>
      </w:r>
      <w:r w:rsidR="00566D77">
        <w:t xml:space="preserve">th apixaban than with placebo. </w:t>
      </w:r>
      <w:r w:rsidR="00734AE2">
        <w:t>In the opinion of the e</w:t>
      </w:r>
      <w:r w:rsidRPr="00566D77">
        <w:t>valuator, it is appropriate that liver injury should remain an Impor</w:t>
      </w:r>
      <w:r w:rsidR="00566D77">
        <w:t>tant Potential Risk in the RMP.</w:t>
      </w:r>
    </w:p>
    <w:p w:rsidR="003E639E" w:rsidRPr="00566D77" w:rsidRDefault="003E639E" w:rsidP="00566D77">
      <w:r w:rsidRPr="00566D77">
        <w:t>Although not identified in the clinical data, issues that may arise in clinical practice include lack of practical laboratory methods for monitoring effect, lack of an antidote to reverse effect in an emergency, lack of guidelines for switching to alternative treatments, and the potential for decreased adherence to a twice daily dosing regimen co</w:t>
      </w:r>
      <w:r w:rsidR="00566D77">
        <w:t>mpared to a once daily regimen.</w:t>
      </w:r>
    </w:p>
    <w:p w:rsidR="003E639E" w:rsidRPr="00566D77" w:rsidRDefault="003E639E" w:rsidP="00566D77">
      <w:pPr>
        <w:pStyle w:val="Heading3"/>
      </w:pPr>
      <w:bookmarkStart w:id="282" w:name="_Toc236802597"/>
      <w:bookmarkStart w:id="283" w:name="_Toc241374335"/>
      <w:bookmarkStart w:id="284" w:name="_Toc272414695"/>
      <w:bookmarkStart w:id="285" w:name="_Toc290846333"/>
      <w:bookmarkStart w:id="286" w:name="_Toc407734517"/>
      <w:bookmarkStart w:id="287" w:name="_Toc436383354"/>
      <w:r w:rsidRPr="00566D77">
        <w:t>First round assessment of benefit-risk balance</w:t>
      </w:r>
      <w:bookmarkEnd w:id="282"/>
      <w:bookmarkEnd w:id="283"/>
      <w:bookmarkEnd w:id="284"/>
      <w:bookmarkEnd w:id="285"/>
      <w:bookmarkEnd w:id="286"/>
      <w:bookmarkEnd w:id="287"/>
    </w:p>
    <w:p w:rsidR="003E639E" w:rsidRPr="00566D77" w:rsidRDefault="003E639E" w:rsidP="00566D77">
      <w:r w:rsidRPr="00566D77">
        <w:t xml:space="preserve">The benefit-risk balance of </w:t>
      </w:r>
      <w:r w:rsidR="00BC0EF1">
        <w:t>Eliquis</w:t>
      </w:r>
      <w:r w:rsidRPr="00566D77">
        <w:t xml:space="preserve"> (apixaban), given the proposed usage, is favourable.</w:t>
      </w:r>
      <w:r w:rsidR="00566D77">
        <w:t xml:space="preserve"> </w:t>
      </w:r>
      <w:r w:rsidRPr="00566D77">
        <w:t xml:space="preserve">For the treatment of DVT and PE, apixaban has similar efficacy to </w:t>
      </w:r>
      <w:r w:rsidR="006135FE">
        <w:t>enoxaparin/warfarin</w:t>
      </w:r>
      <w:r w:rsidRPr="00566D77">
        <w:t xml:space="preserve"> but a lower</w:t>
      </w:r>
      <w:r w:rsidR="00566D77">
        <w:t xml:space="preserve"> risk of bleeding related AEs. </w:t>
      </w:r>
      <w:r w:rsidRPr="00566D77">
        <w:t>For the prevention of recurrent DVT and PE, the reduction in DVT, PE and all-cause death with apixaban more than compensates for the increase</w:t>
      </w:r>
      <w:r w:rsidR="00566D77">
        <w:t>d risk of bleeding related AEs.</w:t>
      </w:r>
      <w:r w:rsidRPr="00566D77">
        <w:t xml:space="preserve"> The extended treatment of recurrent VTE is justified by the reduction in risk of DVT and PE in the treated population.</w:t>
      </w:r>
    </w:p>
    <w:p w:rsidR="00C22678" w:rsidRDefault="00C22678" w:rsidP="00C22678">
      <w:pPr>
        <w:pStyle w:val="Heading2"/>
      </w:pPr>
      <w:bookmarkStart w:id="288" w:name="_Toc436383355"/>
      <w:r>
        <w:t>First round recommendation regarding authorisation</w:t>
      </w:r>
      <w:bookmarkEnd w:id="288"/>
    </w:p>
    <w:p w:rsidR="00566D77" w:rsidRPr="00566D77" w:rsidRDefault="00566D77" w:rsidP="00566D77">
      <w:r w:rsidRPr="00566D77">
        <w:t xml:space="preserve">The </w:t>
      </w:r>
      <w:r w:rsidR="00734AE2">
        <w:t>e</w:t>
      </w:r>
      <w:r w:rsidRPr="00566D77">
        <w:t xml:space="preserve">valuator has no objection to the approval of </w:t>
      </w:r>
      <w:r w:rsidR="00BC0EF1">
        <w:t>Eliquis</w:t>
      </w:r>
      <w:r w:rsidRPr="00566D77">
        <w:t xml:space="preserve"> (abixaban) for the following additional indications:</w:t>
      </w:r>
    </w:p>
    <w:p w:rsidR="00566D77" w:rsidRPr="00734AE2" w:rsidRDefault="00BC0EF1" w:rsidP="00734AE2">
      <w:pPr>
        <w:ind w:left="720"/>
        <w:rPr>
          <w:i/>
        </w:rPr>
      </w:pPr>
      <w:r w:rsidRPr="00734AE2">
        <w:rPr>
          <w:i/>
        </w:rPr>
        <w:t>Eliquis</w:t>
      </w:r>
      <w:r w:rsidR="00566D77" w:rsidRPr="00734AE2">
        <w:rPr>
          <w:i/>
        </w:rPr>
        <w:t xml:space="preserve"> is indicated for the treatment of deep vein thrombosis (DVT) and pulmonary embolism (PE).</w:t>
      </w:r>
    </w:p>
    <w:p w:rsidR="00566D77" w:rsidRPr="00734AE2" w:rsidRDefault="00BC0EF1" w:rsidP="00734AE2">
      <w:pPr>
        <w:ind w:left="720"/>
        <w:rPr>
          <w:i/>
        </w:rPr>
      </w:pPr>
      <w:bookmarkStart w:id="289" w:name="_Toc397246787"/>
      <w:r w:rsidRPr="00734AE2">
        <w:rPr>
          <w:i/>
        </w:rPr>
        <w:t>Eliquis</w:t>
      </w:r>
      <w:r w:rsidR="00566D77" w:rsidRPr="00734AE2">
        <w:rPr>
          <w:i/>
        </w:rPr>
        <w:t xml:space="preserve"> is indicated for the prevention of recurrent DVT and PE.</w:t>
      </w:r>
      <w:bookmarkEnd w:id="289"/>
    </w:p>
    <w:p w:rsidR="00566D77" w:rsidRPr="00566D77" w:rsidRDefault="00566D77" w:rsidP="00566D77">
      <w:r w:rsidRPr="00566D77">
        <w:t>However, there are some subgroups of patients not included in the pivotal studies, to whom the results could not be extrapolated and consideration should be given to excluding these patients</w:t>
      </w:r>
      <w:r>
        <w:t xml:space="preserve"> from treatment with apixaban. </w:t>
      </w:r>
      <w:r w:rsidRPr="00566D77">
        <w:t>These patients include: haemodynamically unstable patients, patients with massive PE, patients with multiple DVT/PE or patients with an underlying pro-coagulant disorder.</w:t>
      </w:r>
    </w:p>
    <w:p w:rsidR="00C22678" w:rsidRDefault="00C22678" w:rsidP="00C22678">
      <w:pPr>
        <w:pStyle w:val="Heading2"/>
      </w:pPr>
      <w:bookmarkStart w:id="290" w:name="_Toc436383356"/>
      <w:r>
        <w:t>Clinical questions</w:t>
      </w:r>
      <w:bookmarkEnd w:id="290"/>
    </w:p>
    <w:p w:rsidR="00C22678" w:rsidRDefault="00C618F7" w:rsidP="00C618F7">
      <w:pPr>
        <w:pStyle w:val="Heading3"/>
      </w:pPr>
      <w:bookmarkStart w:id="291" w:name="_Toc436383357"/>
      <w:r>
        <w:t>Pharmacokinetics</w:t>
      </w:r>
      <w:bookmarkEnd w:id="291"/>
    </w:p>
    <w:p w:rsidR="00566D77" w:rsidRPr="00566D77" w:rsidRDefault="00566D77" w:rsidP="00566D77">
      <w:r w:rsidRPr="00566D77">
        <w:t xml:space="preserve">With regard to the effect of food on the bioavailability of the 5 mg tablet demonstrated in Study CV185111, does </w:t>
      </w:r>
      <w:r w:rsidR="00353304">
        <w:t>the sponsor</w:t>
      </w:r>
      <w:r w:rsidRPr="00566D77">
        <w:t xml:space="preserve"> have any additional information that demonstrates no effect of food on the bioavailability of this formulation?</w:t>
      </w:r>
    </w:p>
    <w:p w:rsidR="00C618F7" w:rsidRDefault="00C618F7" w:rsidP="00C618F7">
      <w:pPr>
        <w:pStyle w:val="Heading3"/>
      </w:pPr>
      <w:bookmarkStart w:id="292" w:name="_Toc436383358"/>
      <w:r>
        <w:lastRenderedPageBreak/>
        <w:t>Pharmacodynamics</w:t>
      </w:r>
      <w:bookmarkEnd w:id="292"/>
    </w:p>
    <w:p w:rsidR="00566D77" w:rsidRPr="00566D77" w:rsidRDefault="00566D77" w:rsidP="00566D77">
      <w:r w:rsidRPr="00566D77">
        <w:t>Please provide summary tabulations for the result</w:t>
      </w:r>
      <w:r>
        <w:t xml:space="preserve">s of aPTT from Study CV185073. </w:t>
      </w:r>
      <w:r w:rsidRPr="00566D77">
        <w:t>The tabulations should include mean, median, SD, minimum, maximum, for Day 1, Day 6 and for change from baseline for each of the study groups.</w:t>
      </w:r>
    </w:p>
    <w:p w:rsidR="00C618F7" w:rsidRDefault="00C618F7" w:rsidP="00C618F7">
      <w:pPr>
        <w:pStyle w:val="Heading3"/>
      </w:pPr>
      <w:bookmarkStart w:id="293" w:name="_Toc436383359"/>
      <w:r>
        <w:t>Efficacy</w:t>
      </w:r>
      <w:bookmarkEnd w:id="293"/>
    </w:p>
    <w:p w:rsidR="00566D77" w:rsidRPr="00566D77" w:rsidRDefault="00566D77" w:rsidP="00566D77">
      <w:r w:rsidRPr="00566D77">
        <w:t>Were the formulations of apixaban and comparator used in the pivotal studies the same as those available in Australia?</w:t>
      </w:r>
    </w:p>
    <w:p w:rsidR="00566D77" w:rsidRPr="00566D77" w:rsidRDefault="00566D77" w:rsidP="00566D77">
      <w:bookmarkStart w:id="294" w:name="_Toc397246798"/>
      <w:r w:rsidRPr="00566D77">
        <w:t>What proportion of patients in Study CV185057 with DVT also had a PE?</w:t>
      </w:r>
      <w:bookmarkEnd w:id="294"/>
    </w:p>
    <w:p w:rsidR="00566D77" w:rsidRPr="00566D77" w:rsidRDefault="00566D77" w:rsidP="00566D77">
      <w:r w:rsidRPr="00566D77">
        <w:t>Please clarify, and list, the symptoms used to</w:t>
      </w:r>
      <w:r>
        <w:t xml:space="preserve"> define symptomatic DVT and PE.</w:t>
      </w:r>
    </w:p>
    <w:p w:rsidR="00566D77" w:rsidRPr="00566D77" w:rsidRDefault="00566D77" w:rsidP="00566D77">
      <w:r w:rsidRPr="00566D77">
        <w:t>Please explain why apixaban should not undergo routine, initial or intermittent laboratory monitoring either by plasma concentration monitoring or by using anticoagulation assays such as anti-factor Xa for the proposed indications or populations:</w:t>
      </w:r>
    </w:p>
    <w:p w:rsidR="00566D77" w:rsidRPr="00566D77" w:rsidRDefault="00566D77" w:rsidP="00566D77">
      <w:pPr>
        <w:pStyle w:val="ListBullet"/>
      </w:pPr>
      <w:r w:rsidRPr="00566D77">
        <w:t xml:space="preserve">Discuss if there are any special circumstances/populations where laboratory monitoring could be beneficial, </w:t>
      </w:r>
      <w:r w:rsidR="00181E65">
        <w:t>for example,</w:t>
      </w:r>
      <w:r w:rsidRPr="00566D77">
        <w:t xml:space="preserve"> the peri-operative setting, acute coronary syndrome (where interventions such as PCI or the administration of thrombolytic agents are under consideration), in the event of bleeding or recurrent thrombosis, elderly patients, deteriorating hepatic or renal function, when parenteral anticoagulants are considered, concomitant use of potentially interacting medications, in the event of overdose or to assess possible poor compliance?</w:t>
      </w:r>
    </w:p>
    <w:p w:rsidR="00566D77" w:rsidRPr="00566D77" w:rsidRDefault="00566D77" w:rsidP="00566D77">
      <w:pPr>
        <w:pStyle w:val="ListBullet"/>
      </w:pPr>
      <w:r w:rsidRPr="00566D77">
        <w:t>Discuss whether new patients or patients switching to apixaban could benefit from laboratory monitoring.</w:t>
      </w:r>
    </w:p>
    <w:p w:rsidR="00566D77" w:rsidRPr="00566D77" w:rsidRDefault="00566D77" w:rsidP="00566D77">
      <w:pPr>
        <w:pStyle w:val="ListBullet"/>
      </w:pPr>
      <w:r w:rsidRPr="00566D77">
        <w:t>Discuss whether any changes to the Product Information are pro</w:t>
      </w:r>
      <w:r>
        <w:t>posed as a result of the above?</w:t>
      </w:r>
    </w:p>
    <w:p w:rsidR="00566D77" w:rsidRPr="00566D77" w:rsidRDefault="00566D77" w:rsidP="00566D77">
      <w:r w:rsidRPr="00566D77">
        <w:t>Has there been any modelling or analysis of apixaban plasma concentrations or anticoagulation assay results in the proposed indications or populations to:</w:t>
      </w:r>
    </w:p>
    <w:p w:rsidR="00566D77" w:rsidRPr="00566D77" w:rsidRDefault="00566D77" w:rsidP="00566D77">
      <w:pPr>
        <w:pStyle w:val="ListBullet"/>
      </w:pPr>
      <w:r w:rsidRPr="00566D77">
        <w:t>Investigate the potential role for any laboratory monitoring?</w:t>
      </w:r>
    </w:p>
    <w:p w:rsidR="00566D77" w:rsidRPr="00566D77" w:rsidRDefault="00566D77" w:rsidP="00566D77">
      <w:pPr>
        <w:pStyle w:val="ListBullet"/>
      </w:pPr>
      <w:r w:rsidRPr="00566D77">
        <w:t>Investigate a potentially improved efficacy and/or safety profile for apixaban, or dose adjustment?</w:t>
      </w:r>
    </w:p>
    <w:p w:rsidR="00566D77" w:rsidRPr="00566D77" w:rsidRDefault="00566D77" w:rsidP="00566D77">
      <w:pPr>
        <w:pStyle w:val="ListBullet"/>
      </w:pPr>
      <w:r w:rsidRPr="00566D77">
        <w:t>If there has been any modelling or analysis undertaken for the above questions, please</w:t>
      </w:r>
      <w:r>
        <w:t xml:space="preserve"> submit the reports to the TGA.</w:t>
      </w:r>
    </w:p>
    <w:p w:rsidR="00566D77" w:rsidRPr="00566D77" w:rsidRDefault="00566D77" w:rsidP="00566D77">
      <w:r w:rsidRPr="00566D77">
        <w:t>Have there been any discussions with the FDA, EMA or Health Canada regarding laboratory monitoring of apixaban in relation to the new indications proposed?</w:t>
      </w:r>
    </w:p>
    <w:p w:rsidR="00566D77" w:rsidRPr="00566D77" w:rsidRDefault="00566D77" w:rsidP="00566D77">
      <w:r w:rsidRPr="00566D77">
        <w:t xml:space="preserve">Are there any clinical trials completed, underway or being proposed or discussed for apixaban that include laboratory monitoring as part of the study design, </w:t>
      </w:r>
      <w:r w:rsidR="00181E65">
        <w:t>for example,</w:t>
      </w:r>
      <w:r w:rsidRPr="00566D77">
        <w:t xml:space="preserve"> trials that compare monitored apixaban with unmonit</w:t>
      </w:r>
      <w:r>
        <w:t>ored apixaban or with warfarin?</w:t>
      </w:r>
    </w:p>
    <w:p w:rsidR="00566D77" w:rsidRPr="00566D77" w:rsidRDefault="00566D77" w:rsidP="00566D77">
      <w:r w:rsidRPr="00566D77">
        <w:t>Is the sponsor proposing to include further information in the Product Information for apixaban regarding plasma concentrations, or anticoagulant activity that may be associated with an increased risk of bleeding, or regarding a therapeutic range, or any form of laboratory monitoring in relation to the proposed indications?</w:t>
      </w:r>
    </w:p>
    <w:p w:rsidR="00C618F7" w:rsidRDefault="00C618F7" w:rsidP="00C618F7">
      <w:pPr>
        <w:pStyle w:val="Heading3"/>
      </w:pPr>
      <w:bookmarkStart w:id="295" w:name="_Toc436383360"/>
      <w:r>
        <w:t>Safety</w:t>
      </w:r>
      <w:bookmarkEnd w:id="295"/>
    </w:p>
    <w:p w:rsidR="00566D77" w:rsidRPr="00566D77" w:rsidRDefault="00566D77" w:rsidP="00566D77">
      <w:r w:rsidRPr="00566D77">
        <w:t>In Study CV185056 did any of the four subjects in the apixaban group with ALT or AST &gt;</w:t>
      </w:r>
      <w:r>
        <w:t xml:space="preserve"> </w:t>
      </w:r>
      <w:r w:rsidRPr="00566D77">
        <w:t>3xULN and total bilirubin &gt;</w:t>
      </w:r>
      <w:r>
        <w:t xml:space="preserve"> </w:t>
      </w:r>
      <w:r w:rsidRPr="00566D77">
        <w:t>2xULN on the same date ful</w:t>
      </w:r>
      <w:r>
        <w:t xml:space="preserve">fil the criteria for Hy’s Law? </w:t>
      </w:r>
      <w:r w:rsidRPr="00566D77">
        <w:t xml:space="preserve">What other medical </w:t>
      </w:r>
      <w:r w:rsidRPr="00566D77">
        <w:lastRenderedPageBreak/>
        <w:t>conditions or concomitant treatments would have explained these abnormalities in these individual subjects?</w:t>
      </w:r>
    </w:p>
    <w:p w:rsidR="00566D77" w:rsidRPr="00566D77" w:rsidRDefault="00566D77" w:rsidP="00566D77">
      <w:r w:rsidRPr="00566D77">
        <w:t>Please provide an update on the progress of the drug develo</w:t>
      </w:r>
      <w:r>
        <w:t>pment program for the antidote.</w:t>
      </w:r>
    </w:p>
    <w:p w:rsidR="00C618F7" w:rsidRDefault="00C618F7" w:rsidP="00C618F7">
      <w:pPr>
        <w:pStyle w:val="Heading2"/>
      </w:pPr>
      <w:bookmarkStart w:id="296" w:name="_Toc436383361"/>
      <w:r>
        <w:t>Second round evaluation of clinical data submitted in response to questions</w:t>
      </w:r>
      <w:bookmarkEnd w:id="296"/>
    </w:p>
    <w:p w:rsidR="00402BC5" w:rsidRPr="00402BC5" w:rsidRDefault="003F7487" w:rsidP="00402BC5">
      <w:pPr>
        <w:pStyle w:val="Heading3"/>
      </w:pPr>
      <w:bookmarkStart w:id="297" w:name="_Toc436383362"/>
      <w:r w:rsidRPr="00402BC5">
        <w:rPr>
          <w:rFonts w:eastAsia="TimesNewRoman,Bold"/>
        </w:rPr>
        <w:t>Clinical question</w:t>
      </w:r>
      <w:r w:rsidR="00566D77" w:rsidRPr="00402BC5">
        <w:rPr>
          <w:rFonts w:eastAsia="TimesNewRoman,Bold"/>
        </w:rPr>
        <w:t xml:space="preserve"> 1</w:t>
      </w:r>
      <w:r w:rsidR="00402BC5" w:rsidRPr="00402BC5">
        <w:t xml:space="preserve"> -</w:t>
      </w:r>
      <w:r w:rsidR="00402BC5" w:rsidRPr="00402BC5">
        <w:rPr>
          <w:rFonts w:eastAsia="TimesNewRoman,BoldItalic"/>
        </w:rPr>
        <w:t xml:space="preserve"> </w:t>
      </w:r>
      <w:r w:rsidR="00566D77" w:rsidRPr="00402BC5">
        <w:rPr>
          <w:rFonts w:eastAsia="TimesNewRoman,BoldItalic"/>
        </w:rPr>
        <w:t>Pharmacokinetics</w:t>
      </w:r>
      <w:bookmarkEnd w:id="297"/>
    </w:p>
    <w:p w:rsidR="00566D77" w:rsidRPr="00402BC5" w:rsidRDefault="00566D77" w:rsidP="00402BC5">
      <w:r w:rsidRPr="00402BC5">
        <w:t xml:space="preserve">With regard to the effect of food on the bioavailability of the 5 mg tablet demonstrated in Study CV185111, does </w:t>
      </w:r>
      <w:r w:rsidR="00353304">
        <w:t>the sponsor</w:t>
      </w:r>
      <w:r w:rsidRPr="00402BC5">
        <w:t xml:space="preserve"> have any additional information that demonstrates no effect of food on the bioavailability of this formulation?</w:t>
      </w:r>
    </w:p>
    <w:p w:rsidR="00402BC5" w:rsidRDefault="00F570E4" w:rsidP="00402BC5">
      <w:pPr>
        <w:pStyle w:val="Heading4"/>
      </w:pPr>
      <w:r>
        <w:t>Sponsor’s response</w:t>
      </w:r>
    </w:p>
    <w:p w:rsidR="00566D77" w:rsidRPr="00402BC5" w:rsidRDefault="00BC0EF1" w:rsidP="00402BC5">
      <w:r>
        <w:t>The sponsor</w:t>
      </w:r>
      <w:r w:rsidR="00566D77" w:rsidRPr="00402BC5">
        <w:t xml:space="preserve"> has investigated the effect of food on bioavailability in the following studies:</w:t>
      </w:r>
    </w:p>
    <w:p w:rsidR="00566D77" w:rsidRPr="00402BC5" w:rsidRDefault="00566D77" w:rsidP="00402BC5">
      <w:pPr>
        <w:pStyle w:val="ListBullet"/>
      </w:pPr>
      <w:r w:rsidRPr="00402BC5">
        <w:t>Study SV185008 investigated the effect of a high fat, high calorie meal on t</w:t>
      </w:r>
      <w:r w:rsidR="00402BC5">
        <w:t>he absorption of 2 x 5</w:t>
      </w:r>
      <w:r w:rsidR="003F7487">
        <w:t xml:space="preserve"> </w:t>
      </w:r>
      <w:r w:rsidR="00402BC5">
        <w:t>mg phase II</w:t>
      </w:r>
      <w:r w:rsidRPr="00402BC5">
        <w:t xml:space="preserve"> formulation tablets and found the 90% CIs for the fed/fasted ratios for </w:t>
      </w:r>
      <w:r w:rsidR="00353304" w:rsidRPr="00CA40A2">
        <w:t>C</w:t>
      </w:r>
      <w:r w:rsidR="00353304" w:rsidRPr="00353304">
        <w:rPr>
          <w:vertAlign w:val="subscript"/>
        </w:rPr>
        <w:t>max</w:t>
      </w:r>
      <w:r w:rsidRPr="00402BC5">
        <w:t>, AUC</w:t>
      </w:r>
      <w:r w:rsidRPr="003F7487">
        <w:rPr>
          <w:vertAlign w:val="subscript"/>
        </w:rPr>
        <w:t xml:space="preserve">inf </w:t>
      </w:r>
      <w:r w:rsidRPr="00402BC5">
        <w:t>and AUC</w:t>
      </w:r>
      <w:r w:rsidRPr="003F7487">
        <w:rPr>
          <w:vertAlign w:val="subscript"/>
        </w:rPr>
        <w:t>0-t</w:t>
      </w:r>
      <w:r w:rsidRPr="00402BC5">
        <w:t xml:space="preserve"> to be within the bounds of 80% to 125%.</w:t>
      </w:r>
    </w:p>
    <w:p w:rsidR="00566D77" w:rsidRPr="00402BC5" w:rsidRDefault="00566D77" w:rsidP="00402BC5">
      <w:pPr>
        <w:pStyle w:val="ListBullet"/>
      </w:pPr>
      <w:r w:rsidRPr="00402BC5">
        <w:t>Study B0661019 investigated the effect of a high fat, high calorie meal on the absorption of a 5 mg commercial tablet and found a 20% decrease in AUC</w:t>
      </w:r>
      <w:r w:rsidRPr="003F7487">
        <w:rPr>
          <w:vertAlign w:val="subscript"/>
        </w:rPr>
        <w:t>inf</w:t>
      </w:r>
      <w:r w:rsidRPr="00402BC5">
        <w:t xml:space="preserve"> and a 15% decrease in </w:t>
      </w:r>
      <w:r w:rsidR="00353304" w:rsidRPr="00CA40A2">
        <w:t>C</w:t>
      </w:r>
      <w:r w:rsidR="00353304" w:rsidRPr="00353304">
        <w:rPr>
          <w:vertAlign w:val="subscript"/>
        </w:rPr>
        <w:t>max</w:t>
      </w:r>
      <w:r w:rsidRPr="00402BC5">
        <w:t xml:space="preserve">, with the 90% CIs for the fed/fasted ratios for </w:t>
      </w:r>
      <w:r w:rsidR="00353304" w:rsidRPr="00CA40A2">
        <w:t>C</w:t>
      </w:r>
      <w:r w:rsidR="00353304" w:rsidRPr="00353304">
        <w:rPr>
          <w:vertAlign w:val="subscript"/>
        </w:rPr>
        <w:t>max</w:t>
      </w:r>
      <w:r w:rsidRPr="00402BC5">
        <w:t>, AUC</w:t>
      </w:r>
      <w:r w:rsidRPr="003F7487">
        <w:rPr>
          <w:vertAlign w:val="subscript"/>
        </w:rPr>
        <w:t>inf</w:t>
      </w:r>
      <w:r w:rsidRPr="00402BC5">
        <w:t xml:space="preserve"> and AUC</w:t>
      </w:r>
      <w:r w:rsidRPr="003F7487">
        <w:rPr>
          <w:vertAlign w:val="subscript"/>
        </w:rPr>
        <w:t>0-t</w:t>
      </w:r>
      <w:r w:rsidRPr="00402BC5">
        <w:t xml:space="preserve"> outside the bounds of 80% to 125%</w:t>
      </w:r>
      <w:r w:rsidR="00402BC5">
        <w:t xml:space="preserve">. </w:t>
      </w:r>
      <w:r w:rsidR="00BC0EF1">
        <w:t>The sponsor</w:t>
      </w:r>
      <w:r w:rsidRPr="00402BC5">
        <w:t xml:space="preserve"> does not consider this decrease in bioavailability to be clinically significant.</w:t>
      </w:r>
    </w:p>
    <w:p w:rsidR="00566D77" w:rsidRPr="00402BC5" w:rsidRDefault="00566D77" w:rsidP="00402BC5">
      <w:pPr>
        <w:pStyle w:val="ListBullet"/>
      </w:pPr>
      <w:r w:rsidRPr="00402BC5">
        <w:t>Study CV185292 investigates the effect of crushing tablets and mixing with ap</w:t>
      </w:r>
      <w:r w:rsidR="00402BC5">
        <w:t xml:space="preserve">ple sauce on 2 x 5 mg tablets. </w:t>
      </w:r>
      <w:r w:rsidRPr="00402BC5">
        <w:t>The geometric mean ratio of AUC</w:t>
      </w:r>
      <w:r w:rsidRPr="003F7487">
        <w:rPr>
          <w:vertAlign w:val="subscript"/>
        </w:rPr>
        <w:t xml:space="preserve">inf </w:t>
      </w:r>
      <w:r w:rsidRPr="00402BC5">
        <w:t xml:space="preserve">and </w:t>
      </w:r>
      <w:r w:rsidR="00353304" w:rsidRPr="00CA40A2">
        <w:t>C</w:t>
      </w:r>
      <w:r w:rsidR="00353304" w:rsidRPr="00353304">
        <w:rPr>
          <w:vertAlign w:val="subscript"/>
        </w:rPr>
        <w:t>max</w:t>
      </w:r>
      <w:r w:rsidRPr="00402BC5">
        <w:t xml:space="preserve"> for crushed tablets with apple sauce v</w:t>
      </w:r>
      <w:r w:rsidR="003F7487">
        <w:t>ersus</w:t>
      </w:r>
      <w:r w:rsidRPr="00402BC5">
        <w:t xml:space="preserve"> whole tablets was 83.6% (90% CI: 79.8%, 87.5%) and 78.9% (90% CI: 74.2%, 84.0%) and the lower bound of the CIs fell below the pre-spec</w:t>
      </w:r>
      <w:r w:rsidR="00402BC5">
        <w:t xml:space="preserve">ified bioequivalence interval. </w:t>
      </w:r>
      <w:r w:rsidR="00BC0EF1">
        <w:t>The sponsor</w:t>
      </w:r>
      <w:r w:rsidRPr="00402BC5">
        <w:t xml:space="preserve"> does not consider this decrease in bioavailability to be clinically significant.</w:t>
      </w:r>
    </w:p>
    <w:p w:rsidR="00402BC5" w:rsidRDefault="00F570E4" w:rsidP="00402BC5">
      <w:pPr>
        <w:pStyle w:val="Heading4"/>
      </w:pPr>
      <w:r>
        <w:t>Evaluator’s comments</w:t>
      </w:r>
    </w:p>
    <w:p w:rsidR="00566D77" w:rsidRPr="00402BC5" w:rsidRDefault="00BC0EF1" w:rsidP="00566D77">
      <w:pPr>
        <w:autoSpaceDE w:val="0"/>
        <w:autoSpaceDN w:val="0"/>
        <w:adjustRightInd w:val="0"/>
      </w:pPr>
      <w:r>
        <w:t>The sponsor</w:t>
      </w:r>
      <w:r w:rsidR="00402BC5">
        <w:t xml:space="preserve">’s response is acceptable. </w:t>
      </w:r>
      <w:r w:rsidR="00566D77" w:rsidRPr="00402BC5">
        <w:t>There appears to be a decrease in bioavailability w</w:t>
      </w:r>
      <w:r w:rsidR="00402BC5">
        <w:t xml:space="preserve">ith food of approximately 20%. </w:t>
      </w:r>
      <w:r w:rsidR="00566D77" w:rsidRPr="00402BC5">
        <w:t>The dose finding study and the pivotal trials did not specify whether apixaban should be taken fasted or fed, and the final dosing advic</w:t>
      </w:r>
      <w:r w:rsidR="00402BC5">
        <w:t xml:space="preserve">e is based upon these studies. </w:t>
      </w:r>
      <w:r w:rsidR="00566D77" w:rsidRPr="00402BC5">
        <w:t>The population PK</w:t>
      </w:r>
      <w:r w:rsidR="003F7487">
        <w:t>/</w:t>
      </w:r>
      <w:r w:rsidR="00566D77" w:rsidRPr="00402BC5">
        <w:t>PD study also suggests a 20% decrease in exposure would not be expected to have a</w:t>
      </w:r>
      <w:r w:rsidR="00402BC5">
        <w:t xml:space="preserve"> clinically significant effect.</w:t>
      </w:r>
      <w:r w:rsidR="00566D77" w:rsidRPr="00402BC5">
        <w:t xml:space="preserve"> However, in the opinion of the </w:t>
      </w:r>
      <w:r w:rsidR="003F7487">
        <w:t>e</w:t>
      </w:r>
      <w:r w:rsidR="00566D77" w:rsidRPr="00402BC5">
        <w:t xml:space="preserve">valuator, </w:t>
      </w:r>
      <w:r w:rsidR="00353304">
        <w:t>the sponsor</w:t>
      </w:r>
      <w:r w:rsidR="00566D77" w:rsidRPr="00402BC5">
        <w:t xml:space="preserve"> should perform simulation studies, based upon the population PK</w:t>
      </w:r>
      <w:r w:rsidR="003F7487">
        <w:t>/</w:t>
      </w:r>
      <w:r w:rsidR="00566D77" w:rsidRPr="00402BC5">
        <w:t>PD analysis, to explore the effects of the 2</w:t>
      </w:r>
      <w:r w:rsidR="00402BC5">
        <w:t>0% decrease in bioavailability.</w:t>
      </w:r>
    </w:p>
    <w:p w:rsidR="00402BC5" w:rsidRPr="00402BC5" w:rsidRDefault="003F7487" w:rsidP="00402BC5">
      <w:pPr>
        <w:pStyle w:val="Heading3"/>
        <w:rPr>
          <w:rFonts w:eastAsia="TimesNewRoman,Bold"/>
        </w:rPr>
      </w:pPr>
      <w:bookmarkStart w:id="298" w:name="_Toc436383363"/>
      <w:r w:rsidRPr="00402BC5">
        <w:rPr>
          <w:rFonts w:eastAsia="TimesNewRoman,Bold"/>
        </w:rPr>
        <w:t>Clinical question</w:t>
      </w:r>
      <w:r w:rsidR="00566D77" w:rsidRPr="00402BC5">
        <w:rPr>
          <w:rFonts w:eastAsia="TimesNewRoman,Bold"/>
        </w:rPr>
        <w:t xml:space="preserve"> 2</w:t>
      </w:r>
      <w:r w:rsidR="00402BC5" w:rsidRPr="00402BC5">
        <w:rPr>
          <w:rFonts w:eastAsia="TimesNewRoman,Bold"/>
        </w:rPr>
        <w:t xml:space="preserve"> </w:t>
      </w:r>
      <w:r w:rsidR="00402BC5">
        <w:rPr>
          <w:rFonts w:eastAsia="TimesNewRoman,Bold"/>
        </w:rPr>
        <w:t xml:space="preserve">- </w:t>
      </w:r>
      <w:r w:rsidR="00566D77" w:rsidRPr="00402BC5">
        <w:rPr>
          <w:rFonts w:eastAsia="TimesNewRoman,BoldItalic"/>
        </w:rPr>
        <w:t>Pharmacodynamics</w:t>
      </w:r>
      <w:bookmarkEnd w:id="298"/>
    </w:p>
    <w:p w:rsidR="00566D77" w:rsidRPr="00402BC5" w:rsidRDefault="00566D77" w:rsidP="00402BC5">
      <w:r w:rsidRPr="00402BC5">
        <w:t>Please provide summary tabulations for the result</w:t>
      </w:r>
      <w:r w:rsidR="00402BC5" w:rsidRPr="00402BC5">
        <w:t xml:space="preserve">s of aPTT from Study CV185073. </w:t>
      </w:r>
      <w:r w:rsidRPr="00402BC5">
        <w:t>The tabulations should include mean, median, SD, minimum, maximum, for Day 1, Day 6 and for change from baseline for each of the study groups.</w:t>
      </w:r>
    </w:p>
    <w:p w:rsidR="00402BC5" w:rsidRDefault="00F570E4" w:rsidP="00402BC5">
      <w:pPr>
        <w:pStyle w:val="Heading4"/>
      </w:pPr>
      <w:r>
        <w:t>Sponsor’s response</w:t>
      </w:r>
    </w:p>
    <w:p w:rsidR="00566D77" w:rsidRDefault="00BC0EF1" w:rsidP="00402BC5">
      <w:r>
        <w:t>The sponsor</w:t>
      </w:r>
      <w:r w:rsidR="00566D77" w:rsidRPr="00402BC5">
        <w:t xml:space="preserve"> has drawn attention to the location of these data in </w:t>
      </w:r>
      <w:r w:rsidR="00402BC5">
        <w:t>the report for Study CV185073</w:t>
      </w:r>
      <w:r w:rsidR="00951964">
        <w:t xml:space="preserve"> (Table 26)</w:t>
      </w:r>
      <w:r w:rsidR="00402BC5">
        <w:t xml:space="preserve">. </w:t>
      </w:r>
      <w:r w:rsidR="00566D77" w:rsidRPr="00402BC5">
        <w:t>There were no between group differences, or within group changes, in aPTT during the study</w:t>
      </w:r>
      <w:r w:rsidR="00E57B0F">
        <w:t>.</w:t>
      </w:r>
    </w:p>
    <w:p w:rsidR="00F570E4" w:rsidRDefault="00951964" w:rsidP="00951964">
      <w:pPr>
        <w:pStyle w:val="Tabletitle"/>
      </w:pPr>
      <w:r>
        <w:lastRenderedPageBreak/>
        <w:t>Table 26: Scheduled Laboratory Values and Changes from Baseline Summary.  Population: Safety</w:t>
      </w:r>
    </w:p>
    <w:p w:rsidR="00951964" w:rsidRPr="00402BC5" w:rsidRDefault="00951964" w:rsidP="00F570E4">
      <w:r>
        <w:rPr>
          <w:noProof/>
          <w:lang w:eastAsia="en-AU"/>
        </w:rPr>
        <w:drawing>
          <wp:inline distT="0" distB="0" distL="0" distR="0" wp14:anchorId="64CBC361" wp14:editId="78133BA6">
            <wp:extent cx="6153032" cy="1733550"/>
            <wp:effectExtent l="0" t="0" r="635" b="0"/>
            <wp:docPr id="56" name="Picture 56" descr="Table 26: Scheduled Laboratory Values and Changes from Baseline Summary.  Population: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6153032" cy="1733550"/>
                    </a:xfrm>
                    <a:prstGeom prst="rect">
                      <a:avLst/>
                    </a:prstGeom>
                    <a:noFill/>
                    <a:ln>
                      <a:noFill/>
                    </a:ln>
                  </pic:spPr>
                </pic:pic>
              </a:graphicData>
            </a:graphic>
          </wp:inline>
        </w:drawing>
      </w:r>
    </w:p>
    <w:p w:rsidR="00402BC5" w:rsidRDefault="00F570E4" w:rsidP="00402BC5">
      <w:pPr>
        <w:pStyle w:val="Heading4"/>
      </w:pPr>
      <w:r>
        <w:t>Evaluator’s comments</w:t>
      </w:r>
    </w:p>
    <w:p w:rsidR="00566D77" w:rsidRPr="00402BC5" w:rsidRDefault="00BC0EF1" w:rsidP="00402BC5">
      <w:r>
        <w:t>The sponsor</w:t>
      </w:r>
      <w:r w:rsidR="00566D77" w:rsidRPr="00402BC5">
        <w:t>’s response is acceptable and has resolved the issue.</w:t>
      </w:r>
    </w:p>
    <w:p w:rsidR="00402BC5" w:rsidRPr="00402BC5" w:rsidRDefault="00F570E4" w:rsidP="00402BC5">
      <w:pPr>
        <w:pStyle w:val="Heading3"/>
        <w:rPr>
          <w:rFonts w:eastAsia="TimesNewRoman,Bold"/>
        </w:rPr>
      </w:pPr>
      <w:bookmarkStart w:id="299" w:name="_Toc436383364"/>
      <w:r>
        <w:rPr>
          <w:rFonts w:eastAsia="TimesNewRoman,Bold"/>
        </w:rPr>
        <w:t>Clinical q</w:t>
      </w:r>
      <w:r w:rsidR="003F7487" w:rsidRPr="00402BC5">
        <w:rPr>
          <w:rFonts w:eastAsia="TimesNewRoman,Bold"/>
        </w:rPr>
        <w:t>uestion</w:t>
      </w:r>
      <w:r w:rsidR="00566D77" w:rsidRPr="00402BC5">
        <w:rPr>
          <w:rFonts w:eastAsia="TimesNewRoman,Bold"/>
        </w:rPr>
        <w:t xml:space="preserve"> 3</w:t>
      </w:r>
      <w:r w:rsidR="00402BC5">
        <w:rPr>
          <w:rFonts w:eastAsia="TimesNewRoman,Bold"/>
        </w:rPr>
        <w:t xml:space="preserve"> - </w:t>
      </w:r>
      <w:r w:rsidR="00566D77" w:rsidRPr="00402BC5">
        <w:rPr>
          <w:rFonts w:eastAsia="TimesNewRoman,BoldItalic"/>
        </w:rPr>
        <w:t>Efficacy</w:t>
      </w:r>
      <w:bookmarkEnd w:id="299"/>
    </w:p>
    <w:p w:rsidR="00566D77" w:rsidRPr="00402BC5" w:rsidRDefault="00566D77" w:rsidP="00402BC5">
      <w:r w:rsidRPr="00402BC5">
        <w:t>Were the formulations of apixaban and comparator used in the pivotal studies the same as those available in Australia?</w:t>
      </w:r>
    </w:p>
    <w:p w:rsidR="00402BC5" w:rsidRDefault="00F570E4" w:rsidP="00402BC5">
      <w:pPr>
        <w:pStyle w:val="Heading4"/>
      </w:pPr>
      <w:r>
        <w:t>Sponsor’s response</w:t>
      </w:r>
    </w:p>
    <w:p w:rsidR="00566D77" w:rsidRPr="00402BC5" w:rsidRDefault="00566D77" w:rsidP="00402BC5">
      <w:r w:rsidRPr="00402BC5">
        <w:t xml:space="preserve">The formulations of apixaban used in the pivotal studies were not the same as those </w:t>
      </w:r>
      <w:r w:rsidR="00402BC5">
        <w:t xml:space="preserve">available in Australia. </w:t>
      </w:r>
      <w:r w:rsidRPr="00402BC5">
        <w:t xml:space="preserve">The formulations have the same core composition but are different in </w:t>
      </w:r>
      <w:r w:rsidR="00BC0EF1">
        <w:t>‘</w:t>
      </w:r>
      <w:r w:rsidRPr="00402BC5">
        <w:t>appearance, non-functional film-coat composition, colo</w:t>
      </w:r>
      <w:r w:rsidR="003F7487">
        <w:t>u</w:t>
      </w:r>
      <w:r w:rsidRPr="00402BC5">
        <w:t>r, shape</w:t>
      </w:r>
      <w:r w:rsidR="00402BC5">
        <w:t xml:space="preserve"> and label storage statement</w:t>
      </w:r>
      <w:r w:rsidR="00BC0EF1">
        <w:t>’</w:t>
      </w:r>
      <w:r w:rsidR="00402BC5">
        <w:t xml:space="preserve">. </w:t>
      </w:r>
      <w:r w:rsidR="00BC0EF1">
        <w:t>The sponsor</w:t>
      </w:r>
      <w:r w:rsidRPr="00402BC5">
        <w:t xml:space="preserve"> argues that the formulations would have comparable in vivo</w:t>
      </w:r>
      <w:r w:rsidR="00402BC5">
        <w:t xml:space="preserve"> performance. </w:t>
      </w:r>
      <w:r w:rsidR="00BC0EF1">
        <w:t>The sponsor</w:t>
      </w:r>
      <w:r w:rsidRPr="00402BC5">
        <w:t xml:space="preserve"> has not answered the question with regard to the comparator formulations.</w:t>
      </w:r>
    </w:p>
    <w:p w:rsidR="00402BC5" w:rsidRDefault="00F570E4" w:rsidP="00402BC5">
      <w:pPr>
        <w:pStyle w:val="Heading4"/>
      </w:pPr>
      <w:r>
        <w:t>Evaluator’s comments</w:t>
      </w:r>
    </w:p>
    <w:p w:rsidR="00566D77" w:rsidRPr="00402BC5" w:rsidRDefault="00BC0EF1" w:rsidP="00402BC5">
      <w:r>
        <w:t>The sponsor</w:t>
      </w:r>
      <w:r w:rsidR="00566D77" w:rsidRPr="00402BC5">
        <w:t>’s response is acceptable, and has resolved the issues, with regar</w:t>
      </w:r>
      <w:r w:rsidR="00402BC5">
        <w:t>d the formulations of apixaban.</w:t>
      </w:r>
      <w:r w:rsidR="00566D77" w:rsidRPr="00402BC5">
        <w:t xml:space="preserve"> </w:t>
      </w:r>
      <w:r>
        <w:t>The sponsor</w:t>
      </w:r>
      <w:r w:rsidR="00566D77" w:rsidRPr="00402BC5">
        <w:t>’s response is not acceptable with regar</w:t>
      </w:r>
      <w:r w:rsidR="00402BC5">
        <w:t xml:space="preserve">d the comparator formulations. </w:t>
      </w:r>
      <w:r>
        <w:t>The sponsor</w:t>
      </w:r>
      <w:r w:rsidR="00566D77" w:rsidRPr="00402BC5">
        <w:t xml:space="preserve"> should clarify the formulations of comparator used in the pivotal studies.</w:t>
      </w:r>
    </w:p>
    <w:p w:rsidR="00402BC5" w:rsidRPr="00402BC5" w:rsidRDefault="00B3555F" w:rsidP="00402BC5">
      <w:pPr>
        <w:pStyle w:val="Heading3"/>
        <w:rPr>
          <w:rFonts w:eastAsia="TimesNewRoman,Bold"/>
        </w:rPr>
      </w:pPr>
      <w:bookmarkStart w:id="300" w:name="_Toc436383365"/>
      <w:r>
        <w:rPr>
          <w:rFonts w:eastAsia="TimesNewRoman,Bold"/>
        </w:rPr>
        <w:t>Clinical q</w:t>
      </w:r>
      <w:r w:rsidR="003F7487" w:rsidRPr="00402BC5">
        <w:rPr>
          <w:rFonts w:eastAsia="TimesNewRoman,Bold"/>
        </w:rPr>
        <w:t>uestion</w:t>
      </w:r>
      <w:r w:rsidR="00566D77" w:rsidRPr="00402BC5">
        <w:rPr>
          <w:rFonts w:eastAsia="TimesNewRoman,Bold"/>
        </w:rPr>
        <w:t xml:space="preserve"> 4</w:t>
      </w:r>
      <w:r w:rsidR="00402BC5">
        <w:rPr>
          <w:rFonts w:eastAsia="TimesNewRoman,Bold"/>
        </w:rPr>
        <w:t xml:space="preserve"> - </w:t>
      </w:r>
      <w:r w:rsidR="00566D77" w:rsidRPr="00402BC5">
        <w:rPr>
          <w:rFonts w:eastAsia="TimesNewRoman,BoldItalic"/>
        </w:rPr>
        <w:t>Efficacy</w:t>
      </w:r>
      <w:bookmarkEnd w:id="300"/>
    </w:p>
    <w:p w:rsidR="00566D77" w:rsidRPr="00402BC5" w:rsidRDefault="00566D77" w:rsidP="00402BC5">
      <w:r w:rsidRPr="00402BC5">
        <w:t>What proportion of patients in Study CV185057 with DVT also had a PE?</w:t>
      </w:r>
    </w:p>
    <w:p w:rsidR="00402BC5" w:rsidRPr="00402BC5" w:rsidRDefault="00B3555F" w:rsidP="00402BC5">
      <w:pPr>
        <w:pStyle w:val="Heading4"/>
      </w:pPr>
      <w:r>
        <w:t>Sponsors response</w:t>
      </w:r>
    </w:p>
    <w:p w:rsidR="00566D77" w:rsidRPr="00402BC5" w:rsidRDefault="00566D77" w:rsidP="00402BC5">
      <w:r w:rsidRPr="00402BC5">
        <w:t>In Study CV185057 there were 52 (6.2%) subjects in the apixaban 2.5 mg group, 62 (7.6%) in the apixaban 5 mg and 49 (5.9%) i</w:t>
      </w:r>
      <w:r w:rsidR="00402BC5">
        <w:t xml:space="preserve">n the placebo with DVT and PE. </w:t>
      </w:r>
      <w:r w:rsidRPr="00402BC5">
        <w:t>There was one (0.1%) subject in the apixaban 2.5 mg group, one (0.1%) in the apixaban 5 mg and two (0.2%) in the pla</w:t>
      </w:r>
      <w:r w:rsidR="00402BC5">
        <w:t>cebo with recurrent DVT and PE.</w:t>
      </w:r>
    </w:p>
    <w:p w:rsidR="00402BC5" w:rsidRDefault="00B3555F" w:rsidP="00402BC5">
      <w:pPr>
        <w:pStyle w:val="Heading4"/>
      </w:pPr>
      <w:r>
        <w:t>Evaluator’s comments</w:t>
      </w:r>
    </w:p>
    <w:p w:rsidR="00566D77" w:rsidRPr="00402BC5" w:rsidRDefault="00BC0EF1" w:rsidP="00402BC5">
      <w:r>
        <w:t>The sponsor</w:t>
      </w:r>
      <w:r w:rsidR="00566D77" w:rsidRPr="00402BC5">
        <w:t>’s response is acceptab</w:t>
      </w:r>
      <w:r w:rsidR="00402BC5">
        <w:t>le, and has resolved the issue.</w:t>
      </w:r>
      <w:r w:rsidR="00566D77" w:rsidRPr="00402BC5">
        <w:t xml:space="preserve"> The proportions are similar for each of the groups.</w:t>
      </w:r>
    </w:p>
    <w:p w:rsidR="00402BC5" w:rsidRPr="00402BC5" w:rsidRDefault="003F7487" w:rsidP="00402BC5">
      <w:pPr>
        <w:pStyle w:val="Heading3"/>
        <w:rPr>
          <w:rFonts w:eastAsia="TimesNewRoman,Bold"/>
        </w:rPr>
      </w:pPr>
      <w:bookmarkStart w:id="301" w:name="_Toc436383366"/>
      <w:r w:rsidRPr="00402BC5">
        <w:rPr>
          <w:rFonts w:eastAsia="TimesNewRoman,Bold"/>
        </w:rPr>
        <w:t>Cli</w:t>
      </w:r>
      <w:r w:rsidR="00B3555F">
        <w:rPr>
          <w:rFonts w:eastAsia="TimesNewRoman,Bold"/>
        </w:rPr>
        <w:t>nical q</w:t>
      </w:r>
      <w:r w:rsidRPr="00402BC5">
        <w:rPr>
          <w:rFonts w:eastAsia="TimesNewRoman,Bold"/>
        </w:rPr>
        <w:t>uestion</w:t>
      </w:r>
      <w:r w:rsidR="00566D77" w:rsidRPr="00402BC5">
        <w:rPr>
          <w:rFonts w:eastAsia="TimesNewRoman,Bold"/>
        </w:rPr>
        <w:t xml:space="preserve"> 5</w:t>
      </w:r>
      <w:r w:rsidR="00402BC5">
        <w:rPr>
          <w:rFonts w:eastAsia="TimesNewRoman,Bold"/>
        </w:rPr>
        <w:t xml:space="preserve"> - </w:t>
      </w:r>
      <w:r w:rsidR="00566D77" w:rsidRPr="00402BC5">
        <w:rPr>
          <w:rFonts w:eastAsia="TimesNewRoman,BoldItalic"/>
        </w:rPr>
        <w:t>Efficacy</w:t>
      </w:r>
      <w:bookmarkEnd w:id="301"/>
    </w:p>
    <w:p w:rsidR="00566D77" w:rsidRPr="00402BC5" w:rsidRDefault="00566D77" w:rsidP="00402BC5">
      <w:r w:rsidRPr="00402BC5">
        <w:t>Please clarify, and list, the symptoms used to define symptomatic DVT and PE.</w:t>
      </w:r>
    </w:p>
    <w:p w:rsidR="00402BC5" w:rsidRPr="00402BC5" w:rsidRDefault="00B3555F" w:rsidP="00402BC5">
      <w:pPr>
        <w:pStyle w:val="Heading4"/>
      </w:pPr>
      <w:r>
        <w:lastRenderedPageBreak/>
        <w:t>Sponsor’s response</w:t>
      </w:r>
    </w:p>
    <w:p w:rsidR="00566D77" w:rsidRPr="00402BC5" w:rsidRDefault="00BC0EF1" w:rsidP="00402BC5">
      <w:r>
        <w:t>The sponsor</w:t>
      </w:r>
      <w:r w:rsidR="00566D77" w:rsidRPr="00402BC5">
        <w:t xml:space="preserve"> has responded that </w:t>
      </w:r>
      <w:r>
        <w:t>‘</w:t>
      </w:r>
      <w:r w:rsidR="00566D77" w:rsidRPr="00402BC5">
        <w:t>A specific list of symptoms was not provided to the investigators as the clinical symptoms of VTE are very variable at presentation. This was considered the best approach, as providing specific symptoms could potentially influence the investigators clinical evaluation of the subjects.</w:t>
      </w:r>
      <w:r>
        <w:t>’</w:t>
      </w:r>
      <w:r w:rsidR="00402BC5">
        <w:t xml:space="preserve"> </w:t>
      </w:r>
      <w:r>
        <w:t>The sponsor</w:t>
      </w:r>
      <w:r w:rsidR="00566D77" w:rsidRPr="00402BC5">
        <w:t xml:space="preserve"> used an adjudication committee consisting of </w:t>
      </w:r>
      <w:r>
        <w:t>‘</w:t>
      </w:r>
      <w:r w:rsidR="00566D77" w:rsidRPr="00402BC5">
        <w:t>experts experienced in the conduct of VTE treatment trials and assessments of endpoints in such trials</w:t>
      </w:r>
      <w:r>
        <w:t>’</w:t>
      </w:r>
      <w:r w:rsidR="00566D77" w:rsidRPr="00402BC5">
        <w:t xml:space="preserve"> to determine the diagn</w:t>
      </w:r>
      <w:r w:rsidR="00402BC5">
        <w:t xml:space="preserve">osis of symptomatic DVT or PE. </w:t>
      </w:r>
      <w:r w:rsidR="00566D77" w:rsidRPr="00402BC5">
        <w:t xml:space="preserve">However, </w:t>
      </w:r>
      <w:r w:rsidR="00353304">
        <w:t>the sponsor</w:t>
      </w:r>
      <w:r w:rsidR="00566D77" w:rsidRPr="00402BC5">
        <w:t xml:space="preserve"> also refers to </w:t>
      </w:r>
      <w:r>
        <w:t>‘</w:t>
      </w:r>
      <w:r w:rsidR="00566D77" w:rsidRPr="00402BC5">
        <w:t>pre-specified criteria for diagno</w:t>
      </w:r>
      <w:r w:rsidR="00402BC5">
        <w:t>sis of symptomatic DVT or PE</w:t>
      </w:r>
      <w:r>
        <w:t>’</w:t>
      </w:r>
      <w:r w:rsidR="00402BC5">
        <w:t>.</w:t>
      </w:r>
    </w:p>
    <w:p w:rsidR="00402BC5" w:rsidRPr="00402BC5" w:rsidRDefault="00566D77" w:rsidP="00402BC5">
      <w:pPr>
        <w:pStyle w:val="Heading4"/>
      </w:pPr>
      <w:r w:rsidRPr="00402BC5">
        <w:t>Evalua</w:t>
      </w:r>
      <w:r w:rsidR="00B3555F">
        <w:t>tor’s comments</w:t>
      </w:r>
    </w:p>
    <w:p w:rsidR="00566D77" w:rsidRPr="00402BC5" w:rsidRDefault="00BC0EF1" w:rsidP="00402BC5">
      <w:r>
        <w:t>The sponsor</w:t>
      </w:r>
      <w:r w:rsidR="00566D77" w:rsidRPr="00402BC5">
        <w:t xml:space="preserve">’s </w:t>
      </w:r>
      <w:r w:rsidR="00402BC5">
        <w:t>response is not acceptable.</w:t>
      </w:r>
      <w:r w:rsidR="00566D77" w:rsidRPr="00402BC5">
        <w:t xml:space="preserve"> It appears from </w:t>
      </w:r>
      <w:r w:rsidR="00353304">
        <w:t>the sponsor</w:t>
      </w:r>
      <w:r w:rsidR="00566D77" w:rsidRPr="00402BC5">
        <w:t xml:space="preserve">’s response that although there were pre-specified criteria for defining the diagnosis of symptomatic DVT or PE, these criteria have not </w:t>
      </w:r>
      <w:r w:rsidR="00402BC5">
        <w:t xml:space="preserve">been provided in the response. </w:t>
      </w:r>
      <w:r>
        <w:t>The sponsor</w:t>
      </w:r>
      <w:r w:rsidR="00566D77" w:rsidRPr="00402BC5">
        <w:t xml:space="preserve"> should provide this information to the TGA.</w:t>
      </w:r>
    </w:p>
    <w:p w:rsidR="00566D77" w:rsidRPr="00402BC5" w:rsidRDefault="006E364F" w:rsidP="00402BC5">
      <w:pPr>
        <w:pStyle w:val="Heading3"/>
        <w:rPr>
          <w:rFonts w:eastAsia="TimesNewRoman,BoldItalic"/>
        </w:rPr>
      </w:pPr>
      <w:bookmarkStart w:id="302" w:name="_Toc436383367"/>
      <w:r>
        <w:rPr>
          <w:rFonts w:eastAsia="TimesNewRoman,Bold"/>
        </w:rPr>
        <w:t>Clinical q</w:t>
      </w:r>
      <w:r w:rsidR="003F7487" w:rsidRPr="00402BC5">
        <w:rPr>
          <w:rFonts w:eastAsia="TimesNewRoman,Bold"/>
        </w:rPr>
        <w:t>uestion</w:t>
      </w:r>
      <w:r w:rsidR="00566D77" w:rsidRPr="00402BC5">
        <w:rPr>
          <w:rFonts w:eastAsia="TimesNewRoman,Bold"/>
        </w:rPr>
        <w:t xml:space="preserve"> 6 – </w:t>
      </w:r>
      <w:r w:rsidR="00402BC5">
        <w:rPr>
          <w:rFonts w:eastAsia="TimesNewRoman,BoldItalic"/>
        </w:rPr>
        <w:t>Efficacy</w:t>
      </w:r>
      <w:bookmarkEnd w:id="302"/>
    </w:p>
    <w:p w:rsidR="00566D77" w:rsidRPr="00402BC5" w:rsidRDefault="00566D77" w:rsidP="00402BC5">
      <w:r w:rsidRPr="00402BC5">
        <w:t>Please explain why apixaban should not undergo routine, initial or intermittent laboratory monitoring either by plasma concentration monitoring or by using anticoagulation assays such as anti-factor Xa for the proposed indications or populations:</w:t>
      </w:r>
    </w:p>
    <w:p w:rsidR="00566D77" w:rsidRPr="00402BC5" w:rsidRDefault="00566D77" w:rsidP="00402BC5">
      <w:pPr>
        <w:pStyle w:val="ListBullet"/>
      </w:pPr>
      <w:r w:rsidRPr="00402BC5">
        <w:t xml:space="preserve">Discuss if there are any special circumstances/populations where laboratory monitoring could be beneficial, </w:t>
      </w:r>
      <w:r w:rsidR="00181E65">
        <w:t>for example,</w:t>
      </w:r>
      <w:r w:rsidRPr="00402BC5">
        <w:t xml:space="preserve"> the peri-operative setting, acute coronary syndrome (where interventions such as PCI or the administration of thrombolytic agents are under consideration), in the event of bleeding or recurrent thrombosis, elderly patients, deteriorating hepatic or renal function, when parenteral anticoagulants are considered, concomitant use of potentially interacting medications, in the event of overdose or to assess possible poor compliance?</w:t>
      </w:r>
    </w:p>
    <w:p w:rsidR="00566D77" w:rsidRPr="00402BC5" w:rsidRDefault="00566D77" w:rsidP="00402BC5">
      <w:pPr>
        <w:pStyle w:val="ListBullet"/>
      </w:pPr>
      <w:r w:rsidRPr="00402BC5">
        <w:t>Discuss whether new patients or patients switching to apixaban could benefit from laboratory monitoring.</w:t>
      </w:r>
    </w:p>
    <w:p w:rsidR="00566D77" w:rsidRPr="00402BC5" w:rsidRDefault="00566D77" w:rsidP="00402BC5">
      <w:pPr>
        <w:pStyle w:val="ListBullet"/>
      </w:pPr>
      <w:r w:rsidRPr="00402BC5">
        <w:t>Discuss whether any changes to the Product Information are proposed as a result of the above?</w:t>
      </w:r>
    </w:p>
    <w:p w:rsidR="00402BC5" w:rsidRPr="00402BC5" w:rsidRDefault="006E364F" w:rsidP="00402BC5">
      <w:pPr>
        <w:pStyle w:val="Heading4"/>
      </w:pPr>
      <w:r>
        <w:t>Sponsor’s response</w:t>
      </w:r>
    </w:p>
    <w:p w:rsidR="00566D77" w:rsidRPr="00402BC5" w:rsidRDefault="00BC0EF1" w:rsidP="00402BC5">
      <w:r>
        <w:t>The sponsor</w:t>
      </w:r>
      <w:r w:rsidR="00566D77" w:rsidRPr="00402BC5">
        <w:t xml:space="preserve"> investigated the use of apixaban plasma concentrations and anti-FXa activity during the development program for apixaban and did not find that these measures had predictive utility for either effic</w:t>
      </w:r>
      <w:r w:rsidR="00402BC5">
        <w:t xml:space="preserve">acy or safety. </w:t>
      </w:r>
      <w:r>
        <w:t>The sponsor</w:t>
      </w:r>
      <w:r w:rsidR="00566D77" w:rsidRPr="00402BC5">
        <w:t xml:space="preserve"> contends that </w:t>
      </w:r>
      <w:r>
        <w:t>‘</w:t>
      </w:r>
      <w:r w:rsidR="00566D77" w:rsidRPr="00081DB1">
        <w:rPr>
          <w:i/>
        </w:rPr>
        <w:t>Thus, there is no evidence that adjusting doses of apixaban using routine, initial or intermittent laboratory monitoring of apixaban plasma drug concentrations or anti-FXa activity levels would improve the efficacy/safety profile of apixaban for VTE treatment patients.</w:t>
      </w:r>
      <w:r>
        <w:t>’</w:t>
      </w:r>
      <w:r w:rsidR="00402BC5">
        <w:t xml:space="preserve"> </w:t>
      </w:r>
      <w:r w:rsidR="00566D77" w:rsidRPr="00402BC5">
        <w:t xml:space="preserve">However, </w:t>
      </w:r>
      <w:r w:rsidR="00353304">
        <w:t>the sponsor</w:t>
      </w:r>
      <w:r w:rsidR="00566D77" w:rsidRPr="00402BC5">
        <w:t xml:space="preserve"> does state that anti-FXa assays may be useful in exceptional cases such as o</w:t>
      </w:r>
      <w:r w:rsidR="00402BC5">
        <w:t>verdose or emergency surgery</w:t>
      </w:r>
      <w:r>
        <w:t>’</w:t>
      </w:r>
      <w:r w:rsidR="00402BC5">
        <w:t xml:space="preserve">. </w:t>
      </w:r>
      <w:r>
        <w:t>The sponsor</w:t>
      </w:r>
      <w:r w:rsidR="00566D77" w:rsidRPr="00402BC5">
        <w:t xml:space="preserve"> states that in the clinical trials apixaban was commenced without monitoring and still had superior efficacy to enoxaparin/warfarin.</w:t>
      </w:r>
    </w:p>
    <w:p w:rsidR="00402BC5" w:rsidRPr="00402BC5" w:rsidRDefault="00566D77" w:rsidP="00402BC5">
      <w:pPr>
        <w:pStyle w:val="Heading4"/>
      </w:pPr>
      <w:r w:rsidRPr="00402BC5">
        <w:t>Evalu</w:t>
      </w:r>
      <w:r w:rsidR="006E364F">
        <w:t>ator’s comments</w:t>
      </w:r>
    </w:p>
    <w:p w:rsidR="00566D77" w:rsidRPr="00402BC5" w:rsidRDefault="00BC0EF1" w:rsidP="00402BC5">
      <w:r>
        <w:t>The sponsor</w:t>
      </w:r>
      <w:r w:rsidR="00402BC5">
        <w:t>’s response is acceptable.</w:t>
      </w:r>
      <w:r w:rsidR="00566D77" w:rsidRPr="00402BC5">
        <w:t xml:space="preserve"> For laboratory monitoring to be useful the laboratory test should have good predictive ability for either efficacy </w:t>
      </w:r>
      <w:r w:rsidR="00402BC5">
        <w:t xml:space="preserve">or safety. </w:t>
      </w:r>
      <w:r w:rsidR="00566D77" w:rsidRPr="00402BC5">
        <w:t>The population PK</w:t>
      </w:r>
      <w:r w:rsidR="00081DB1">
        <w:t>/</w:t>
      </w:r>
      <w:r w:rsidR="00566D77" w:rsidRPr="00402BC5">
        <w:t>PD analysis (Study PMAR-00312) did not establish a relationship between apixaban exposure and either effica</w:t>
      </w:r>
      <w:r w:rsidR="00402BC5">
        <w:t xml:space="preserve">cy or safety outcome measures. </w:t>
      </w:r>
      <w:r w:rsidR="00566D77" w:rsidRPr="00402BC5">
        <w:t xml:space="preserve">However, in the opinion of the </w:t>
      </w:r>
      <w:r w:rsidR="00081DB1">
        <w:t>e</w:t>
      </w:r>
      <w:r w:rsidR="00566D77" w:rsidRPr="00402BC5">
        <w:t>valuator, laboratory tests with good predictive ability would be useful to clinicia</w:t>
      </w:r>
      <w:r w:rsidR="00402BC5">
        <w:t xml:space="preserve">ns and beneficial to patients. </w:t>
      </w:r>
      <w:r w:rsidR="00566D77" w:rsidRPr="00402BC5">
        <w:t xml:space="preserve">Hence, </w:t>
      </w:r>
      <w:r w:rsidR="00353304">
        <w:t>the sponsor</w:t>
      </w:r>
      <w:r w:rsidR="00566D77" w:rsidRPr="00402BC5">
        <w:t xml:space="preserve"> should be encouraged to develop, or facilitate the development, of such tests.</w:t>
      </w:r>
    </w:p>
    <w:p w:rsidR="00402BC5" w:rsidRPr="00402BC5" w:rsidRDefault="006E364F" w:rsidP="00402BC5">
      <w:pPr>
        <w:pStyle w:val="Heading3"/>
        <w:rPr>
          <w:rFonts w:eastAsia="TimesNewRoman,BoldItalic"/>
        </w:rPr>
      </w:pPr>
      <w:bookmarkStart w:id="303" w:name="_Toc436383368"/>
      <w:r>
        <w:rPr>
          <w:rFonts w:eastAsia="TimesNewRoman,Bold"/>
        </w:rPr>
        <w:lastRenderedPageBreak/>
        <w:t>Clinical q</w:t>
      </w:r>
      <w:r w:rsidR="00081DB1" w:rsidRPr="00402BC5">
        <w:rPr>
          <w:rFonts w:eastAsia="TimesNewRoman,Bold"/>
        </w:rPr>
        <w:t xml:space="preserve">uestion </w:t>
      </w:r>
      <w:r w:rsidR="00566D77" w:rsidRPr="00402BC5">
        <w:rPr>
          <w:rFonts w:eastAsia="TimesNewRoman,Bold"/>
        </w:rPr>
        <w:t xml:space="preserve">7 – </w:t>
      </w:r>
      <w:r w:rsidR="00566D77" w:rsidRPr="00402BC5">
        <w:rPr>
          <w:rFonts w:eastAsia="TimesNewRoman,BoldItalic"/>
        </w:rPr>
        <w:t>Efficacy</w:t>
      </w:r>
      <w:bookmarkEnd w:id="303"/>
    </w:p>
    <w:p w:rsidR="00566D77" w:rsidRPr="00402BC5" w:rsidRDefault="00566D77" w:rsidP="00402BC5">
      <w:r w:rsidRPr="00402BC5">
        <w:t>Has there been any modelling or analysis of apixaban plasma concentrations or anticoagulation assay results in the proposed indications or populations to:</w:t>
      </w:r>
    </w:p>
    <w:p w:rsidR="00566D77" w:rsidRPr="00402BC5" w:rsidRDefault="00566D77" w:rsidP="00402BC5">
      <w:pPr>
        <w:pStyle w:val="ListBullet"/>
      </w:pPr>
      <w:r w:rsidRPr="00402BC5">
        <w:t>Investigate the potential role for any laboratory monitoring?</w:t>
      </w:r>
    </w:p>
    <w:p w:rsidR="00566D77" w:rsidRPr="00402BC5" w:rsidRDefault="00566D77" w:rsidP="00402BC5">
      <w:pPr>
        <w:pStyle w:val="ListBullet"/>
      </w:pPr>
      <w:r w:rsidRPr="00402BC5">
        <w:t>Investigate a potentially improved efficacy and/or safety profile for apixaban, or dose adjustment?</w:t>
      </w:r>
    </w:p>
    <w:p w:rsidR="00566D77" w:rsidRPr="00402BC5" w:rsidRDefault="00566D77" w:rsidP="00402BC5">
      <w:pPr>
        <w:pStyle w:val="ListBullet"/>
      </w:pPr>
      <w:r w:rsidRPr="00402BC5">
        <w:t>If there has been any modelling or analysis undertaken for the above questions, please submit the reports to the TGA.</w:t>
      </w:r>
    </w:p>
    <w:p w:rsidR="00402BC5" w:rsidRPr="00402BC5" w:rsidRDefault="006E364F" w:rsidP="00402BC5">
      <w:pPr>
        <w:pStyle w:val="Heading4"/>
      </w:pPr>
      <w:r>
        <w:t>Sponsor’s response</w:t>
      </w:r>
    </w:p>
    <w:p w:rsidR="00566D77" w:rsidRPr="00402BC5" w:rsidRDefault="00BC0EF1" w:rsidP="00402BC5">
      <w:r>
        <w:t>The sponsor</w:t>
      </w:r>
      <w:r w:rsidR="00566D77" w:rsidRPr="00402BC5">
        <w:t xml:space="preserve"> has conducted a population PK</w:t>
      </w:r>
      <w:r w:rsidR="00081DB1">
        <w:t>/</w:t>
      </w:r>
      <w:r w:rsidR="00566D77" w:rsidRPr="00402BC5">
        <w:t>PD study (Study PMAR-00312) that explored the relationship between apixaban plasma concentration and efficacy and safety outcomes</w:t>
      </w:r>
      <w:r w:rsidR="00402BC5">
        <w:t xml:space="preserve">. </w:t>
      </w:r>
      <w:r w:rsidR="00566D77" w:rsidRPr="00402BC5">
        <w:t>These analyses used a</w:t>
      </w:r>
      <w:r w:rsidR="00402BC5">
        <w:t xml:space="preserve"> logistic regression approach. </w:t>
      </w:r>
      <w:r w:rsidR="00566D77" w:rsidRPr="00402BC5">
        <w:t>The analysis was limited b</w:t>
      </w:r>
      <w:r w:rsidR="00402BC5">
        <w:t xml:space="preserve">y the small numbers of events. </w:t>
      </w:r>
      <w:r>
        <w:t>The sponsor</w:t>
      </w:r>
      <w:r w:rsidR="00566D77" w:rsidRPr="00402BC5">
        <w:t xml:space="preserve">, in summary, states </w:t>
      </w:r>
      <w:r>
        <w:t>‘</w:t>
      </w:r>
      <w:r w:rsidR="00566D77" w:rsidRPr="00081DB1">
        <w:rPr>
          <w:i/>
        </w:rPr>
        <w:t>the data demonstrated a wide overlap in apixaban exposure and anti-FXa activity values for those who did and did not experie</w:t>
      </w:r>
      <w:r w:rsidR="00402BC5" w:rsidRPr="00081DB1">
        <w:rPr>
          <w:i/>
        </w:rPr>
        <w:t xml:space="preserve">nce safety or efficacy events. </w:t>
      </w:r>
      <w:r w:rsidR="00566D77" w:rsidRPr="00081DB1">
        <w:rPr>
          <w:i/>
        </w:rPr>
        <w:t>No discernible threshold levels could be identified that would predict better or worse safety or efficacy outcomes for indi</w:t>
      </w:r>
      <w:r w:rsidR="00402BC5" w:rsidRPr="00081DB1">
        <w:rPr>
          <w:i/>
        </w:rPr>
        <w:t>vidual patients</w:t>
      </w:r>
      <w:r>
        <w:t>’</w:t>
      </w:r>
      <w:r w:rsidR="00402BC5">
        <w:t>.</w:t>
      </w:r>
    </w:p>
    <w:p w:rsidR="00402BC5" w:rsidRDefault="006E364F" w:rsidP="00402BC5">
      <w:pPr>
        <w:pStyle w:val="Heading4"/>
      </w:pPr>
      <w:r>
        <w:t>Evaluator’s comments</w:t>
      </w:r>
    </w:p>
    <w:p w:rsidR="00566D77" w:rsidRPr="00402BC5" w:rsidRDefault="00BC0EF1" w:rsidP="00402BC5">
      <w:r>
        <w:t>The sponsor</w:t>
      </w:r>
      <w:r w:rsidR="00402BC5">
        <w:t>’s response is acceptable.</w:t>
      </w:r>
      <w:r w:rsidR="00566D77" w:rsidRPr="00402BC5">
        <w:t xml:space="preserve"> However, the modelling approach used by </w:t>
      </w:r>
      <w:r w:rsidR="00353304">
        <w:t>the sponsor</w:t>
      </w:r>
      <w:r w:rsidR="00566D77" w:rsidRPr="00402BC5">
        <w:t xml:space="preserve"> is not the optimal approach to determining the</w:t>
      </w:r>
      <w:r w:rsidR="00402BC5">
        <w:t xml:space="preserve"> utility of a diagnostic test. </w:t>
      </w:r>
      <w:r w:rsidR="00566D77" w:rsidRPr="00402BC5">
        <w:t xml:space="preserve">A more appropriate approach would be to use receiver operating characteristic plots, and to determine specificity and sensitivity for the most appropriate threshold </w:t>
      </w:r>
      <w:r w:rsidR="00402BC5">
        <w:t xml:space="preserve">levels (Fischer et. al. 2003). </w:t>
      </w:r>
      <w:r w:rsidR="00566D77" w:rsidRPr="00402BC5">
        <w:t>A ROC analysis would provide better information to determine the utility of laboratory tests in guiding management.</w:t>
      </w:r>
    </w:p>
    <w:p w:rsidR="00402BC5" w:rsidRPr="00402BC5" w:rsidRDefault="006E364F" w:rsidP="00402BC5">
      <w:pPr>
        <w:pStyle w:val="Heading3"/>
        <w:rPr>
          <w:rFonts w:eastAsia="TimesNewRoman,BoldItalic"/>
        </w:rPr>
      </w:pPr>
      <w:bookmarkStart w:id="304" w:name="_Toc436383369"/>
      <w:r>
        <w:rPr>
          <w:rFonts w:eastAsia="TimesNewRoman,Bold"/>
        </w:rPr>
        <w:t>Clinical q</w:t>
      </w:r>
      <w:r w:rsidR="00957C9C" w:rsidRPr="00402BC5">
        <w:rPr>
          <w:rFonts w:eastAsia="TimesNewRoman,Bold"/>
        </w:rPr>
        <w:t>uestion 8</w:t>
      </w:r>
      <w:r w:rsidR="00566D77" w:rsidRPr="00402BC5">
        <w:rPr>
          <w:rFonts w:eastAsia="TimesNewRoman,Bold"/>
        </w:rPr>
        <w:t xml:space="preserve"> – </w:t>
      </w:r>
      <w:r w:rsidR="00402BC5">
        <w:rPr>
          <w:rFonts w:eastAsia="TimesNewRoman,BoldItalic"/>
        </w:rPr>
        <w:t>Efficacy</w:t>
      </w:r>
      <w:bookmarkEnd w:id="304"/>
    </w:p>
    <w:p w:rsidR="00566D77" w:rsidRPr="00402BC5" w:rsidRDefault="00566D77" w:rsidP="00402BC5">
      <w:r w:rsidRPr="00402BC5">
        <w:t>Please discuss if there is a therapeutic range for apixaban that could be defined for the proposed indications or populations?</w:t>
      </w:r>
    </w:p>
    <w:p w:rsidR="00F91723" w:rsidRPr="00F91723" w:rsidRDefault="006E364F" w:rsidP="00F91723">
      <w:pPr>
        <w:pStyle w:val="Heading4"/>
      </w:pPr>
      <w:r>
        <w:t>Sponsor’s response</w:t>
      </w:r>
    </w:p>
    <w:p w:rsidR="00566D77" w:rsidRPr="00F91723" w:rsidRDefault="00BC0EF1" w:rsidP="00F91723">
      <w:r>
        <w:t>The sponsor</w:t>
      </w:r>
      <w:r w:rsidR="00566D77" w:rsidRPr="00F91723">
        <w:t xml:space="preserve"> refers t</w:t>
      </w:r>
      <w:r w:rsidR="00F91723">
        <w:t>o their response to Question 7.</w:t>
      </w:r>
      <w:r w:rsidR="00566D77" w:rsidRPr="00F91723">
        <w:t xml:space="preserve"> </w:t>
      </w:r>
      <w:r>
        <w:t>The sponsor</w:t>
      </w:r>
      <w:r w:rsidR="00566D77" w:rsidRPr="00F91723">
        <w:t xml:space="preserve"> has not defined a </w:t>
      </w:r>
      <w:r w:rsidR="00F91723" w:rsidRPr="00F91723">
        <w:t>therapeutic range for apixaban.</w:t>
      </w:r>
    </w:p>
    <w:p w:rsidR="00F91723" w:rsidRPr="00F91723" w:rsidRDefault="006E364F" w:rsidP="00F91723">
      <w:pPr>
        <w:pStyle w:val="Heading4"/>
      </w:pPr>
      <w:r>
        <w:t>Evaluator’s comments</w:t>
      </w:r>
    </w:p>
    <w:p w:rsidR="00566D77" w:rsidRDefault="00BC0EF1" w:rsidP="00F91723">
      <w:r>
        <w:t>The sponsor</w:t>
      </w:r>
      <w:r w:rsidR="00F91723">
        <w:t xml:space="preserve">’s response is acceptable. </w:t>
      </w:r>
      <w:r w:rsidR="00566D77" w:rsidRPr="00F91723">
        <w:t xml:space="preserve">In the opinion of the </w:t>
      </w:r>
      <w:r w:rsidR="00957C9C">
        <w:t>e</w:t>
      </w:r>
      <w:r w:rsidR="00566D77" w:rsidRPr="00F91723">
        <w:t>valuator there are insufficient data to be able to establish a therapeu</w:t>
      </w:r>
      <w:r w:rsidR="00F91723">
        <w:t xml:space="preserve">tic range for apixaban. </w:t>
      </w:r>
      <w:r w:rsidR="00566D77" w:rsidRPr="00F91723">
        <w:t xml:space="preserve">There were few outcome events in Study PMAR-0032: 34 efficacy outcome events and 33 safety outcome </w:t>
      </w:r>
      <w:r w:rsidR="00566D77" w:rsidRPr="00E57B0F">
        <w:t xml:space="preserve">events (Table </w:t>
      </w:r>
      <w:r w:rsidR="00E57B0F" w:rsidRPr="00E57B0F">
        <w:t>2</w:t>
      </w:r>
      <w:r w:rsidR="00951964">
        <w:t>7</w:t>
      </w:r>
      <w:r w:rsidR="00F91723" w:rsidRPr="00E57B0F">
        <w:t>).</w:t>
      </w:r>
      <w:r w:rsidR="00F91723">
        <w:t xml:space="preserve"> </w:t>
      </w:r>
      <w:r w:rsidR="00566D77" w:rsidRPr="00F91723">
        <w:t>Although a ROC analysis has not been performed, the paucity of outcome events would limit the ability of such an analysis to</w:t>
      </w:r>
      <w:r w:rsidR="00F91723">
        <w:t xml:space="preserve"> identify a therapeutic range. </w:t>
      </w:r>
      <w:r w:rsidR="00566D77" w:rsidRPr="00F91723">
        <w:t xml:space="preserve">However, </w:t>
      </w:r>
      <w:r w:rsidR="00353304">
        <w:t>the sponsor</w:t>
      </w:r>
      <w:r w:rsidR="00566D77" w:rsidRPr="00F91723">
        <w:t xml:space="preserve"> should be encouraged to perform an exploratory ROC analysis.</w:t>
      </w:r>
    </w:p>
    <w:p w:rsidR="00E57B0F" w:rsidRPr="002D4BF7" w:rsidRDefault="00E57B0F" w:rsidP="00E57B0F">
      <w:pPr>
        <w:pStyle w:val="Tabletitle"/>
      </w:pPr>
      <w:r>
        <w:lastRenderedPageBreak/>
        <w:t>Table 2</w:t>
      </w:r>
      <w:r w:rsidR="00951964">
        <w:t>7</w:t>
      </w:r>
      <w:r>
        <w:t xml:space="preserve">: </w:t>
      </w:r>
      <w:r w:rsidRPr="002D4BF7">
        <w:t>Number of Safety and Efficacy Events in th</w:t>
      </w:r>
      <w:r w:rsidR="006E364F">
        <w:t>e ER Analysis Dataset PMAR-0032</w:t>
      </w:r>
    </w:p>
    <w:p w:rsidR="00E57B0F" w:rsidRPr="00F91723" w:rsidRDefault="00E57B0F" w:rsidP="00E57B0F">
      <w:r>
        <w:rPr>
          <w:rFonts w:ascii="Times New Roman" w:hAnsi="Times New Roman"/>
          <w:noProof/>
          <w:sz w:val="24"/>
          <w:lang w:eastAsia="en-AU"/>
        </w:rPr>
        <w:drawing>
          <wp:inline distT="0" distB="0" distL="0" distR="0">
            <wp:extent cx="5486400" cy="1885950"/>
            <wp:effectExtent l="0" t="0" r="0" b="0"/>
            <wp:docPr id="54" name="Picture 54" descr="Table 26: Number of Safety and Efficacy Events in the ER Analysis Dataset PMAR-00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5486400" cy="1885950"/>
                    </a:xfrm>
                    <a:prstGeom prst="rect">
                      <a:avLst/>
                    </a:prstGeom>
                    <a:noFill/>
                    <a:ln>
                      <a:noFill/>
                    </a:ln>
                  </pic:spPr>
                </pic:pic>
              </a:graphicData>
            </a:graphic>
          </wp:inline>
        </w:drawing>
      </w:r>
    </w:p>
    <w:p w:rsidR="00F91723" w:rsidRPr="00F91723" w:rsidRDefault="00F27189" w:rsidP="00F91723">
      <w:pPr>
        <w:pStyle w:val="Heading3"/>
        <w:rPr>
          <w:rFonts w:eastAsia="TimesNewRoman,BoldItalic"/>
        </w:rPr>
      </w:pPr>
      <w:bookmarkStart w:id="305" w:name="_Toc436383370"/>
      <w:r>
        <w:rPr>
          <w:rFonts w:eastAsia="TimesNewRoman,Bold"/>
        </w:rPr>
        <w:t>Clinical q</w:t>
      </w:r>
      <w:r w:rsidR="00957C9C" w:rsidRPr="00F91723">
        <w:rPr>
          <w:rFonts w:eastAsia="TimesNewRoman,Bold"/>
        </w:rPr>
        <w:t>uestion</w:t>
      </w:r>
      <w:r w:rsidR="00566D77" w:rsidRPr="00F91723">
        <w:rPr>
          <w:rFonts w:eastAsia="TimesNewRoman,Bold"/>
        </w:rPr>
        <w:t xml:space="preserve"> 9 – </w:t>
      </w:r>
      <w:r w:rsidR="00566D77" w:rsidRPr="00F91723">
        <w:rPr>
          <w:rFonts w:eastAsia="TimesNewRoman,BoldItalic"/>
        </w:rPr>
        <w:t>Efficacy</w:t>
      </w:r>
      <w:bookmarkEnd w:id="305"/>
    </w:p>
    <w:p w:rsidR="00566D77" w:rsidRPr="00F91723" w:rsidRDefault="00566D77" w:rsidP="00F91723">
      <w:r w:rsidRPr="00F91723">
        <w:t>Have there been any discussions with the FDA, EMA or Health Canada regarding laboratory monitoring of apixaban in relation to the new indications proposed?</w:t>
      </w:r>
    </w:p>
    <w:p w:rsidR="00F91723" w:rsidRPr="00F91723" w:rsidRDefault="00F27189" w:rsidP="00F91723">
      <w:pPr>
        <w:pStyle w:val="Heading4"/>
      </w:pPr>
      <w:r>
        <w:t>Sponsor’s response</w:t>
      </w:r>
    </w:p>
    <w:p w:rsidR="00566D77" w:rsidRPr="00F91723" w:rsidRDefault="00BC0EF1" w:rsidP="00F91723">
      <w:r>
        <w:t>‘</w:t>
      </w:r>
      <w:r w:rsidR="00566D77" w:rsidRPr="00F91723">
        <w:t xml:space="preserve">In relation to the new indications proposed </w:t>
      </w:r>
      <w:r>
        <w:t>‘</w:t>
      </w:r>
      <w:r w:rsidR="00566D77" w:rsidRPr="00957C9C">
        <w:rPr>
          <w:i/>
        </w:rPr>
        <w:t>treatment of DVT and PE and prevention of recurrent DVT and PE</w:t>
      </w:r>
      <w:r>
        <w:t>’</w:t>
      </w:r>
      <w:r w:rsidR="00566D77" w:rsidRPr="00F91723">
        <w:t xml:space="preserve"> there have been no discussions with FDA, EMA or Health Canada regarding laboratory monitoring of apixaban.</w:t>
      </w:r>
      <w:r>
        <w:t>’</w:t>
      </w:r>
    </w:p>
    <w:p w:rsidR="00566D77" w:rsidRPr="00F91723" w:rsidRDefault="00566D77" w:rsidP="00F91723">
      <w:r w:rsidRPr="00F91723">
        <w:t xml:space="preserve">However, </w:t>
      </w:r>
      <w:r w:rsidR="00353304">
        <w:t>the sponsor</w:t>
      </w:r>
      <w:r w:rsidRPr="00F91723">
        <w:t xml:space="preserve"> has provided the following correspondence with the EMA and Health Canada authorities with regard the use of laboratory monitoring with apixaban:</w:t>
      </w:r>
    </w:p>
    <w:p w:rsidR="00566D77" w:rsidRPr="00F91723" w:rsidRDefault="00566D77" w:rsidP="00F91723">
      <w:pPr>
        <w:pStyle w:val="ListBullet"/>
      </w:pPr>
      <w:r w:rsidRPr="00F91723">
        <w:t xml:space="preserve">EU VTEp MAA - Day 120 Response to Clinical Question 17: This is a communication to the EMA from </w:t>
      </w:r>
      <w:r w:rsidR="00353304">
        <w:t>the sponsor</w:t>
      </w:r>
      <w:r w:rsidRPr="00F91723">
        <w:t xml:space="preserve"> with regard to the use of the Rotachrom</w:t>
      </w:r>
      <w:r w:rsidR="00F91723">
        <w:t xml:space="preserve"> anti-Xa test. </w:t>
      </w:r>
      <w:r w:rsidR="00BC0EF1">
        <w:t>The sponsor</w:t>
      </w:r>
      <w:r w:rsidRPr="00F91723">
        <w:t xml:space="preserve"> reports that this test has appropriate characteristics and correlates with apixaban plasma concentrations, but there is no clinical experience to guide its use in decision making.</w:t>
      </w:r>
    </w:p>
    <w:p w:rsidR="00566D77" w:rsidRPr="00F91723" w:rsidRDefault="00566D77" w:rsidP="00F91723">
      <w:pPr>
        <w:pStyle w:val="ListBullet"/>
      </w:pPr>
      <w:r w:rsidRPr="00F91723">
        <w:t xml:space="preserve">EU VTEp MAA -Day 180 Response to Clinical Question 3: This is a communication with the EMA with regard laboratory monitoring. </w:t>
      </w:r>
      <w:r w:rsidR="00BC0EF1">
        <w:t>The sponsor</w:t>
      </w:r>
      <w:r w:rsidRPr="00F91723">
        <w:t xml:space="preserve"> states </w:t>
      </w:r>
      <w:r w:rsidR="00BC0EF1">
        <w:t>‘</w:t>
      </w:r>
      <w:r w:rsidRPr="00957C9C">
        <w:rPr>
          <w:i/>
        </w:rPr>
        <w:t>While the Applicant has found the Rotachrom assay to be suitable for research purposes without modification, the assay would require further evaluation to meet the necessary laboratory standards prior to its use for clinical purposes.</w:t>
      </w:r>
      <w:r w:rsidR="00BC0EF1">
        <w:t>’</w:t>
      </w:r>
      <w:r w:rsidR="00F91723">
        <w:t xml:space="preserve"> </w:t>
      </w:r>
      <w:r w:rsidR="00BC0EF1">
        <w:t>The sponsor</w:t>
      </w:r>
      <w:r w:rsidRPr="00F91723">
        <w:t xml:space="preserve"> also discusses that there is not a clear relationship between anti-factor Xa and either efficacy or safety.</w:t>
      </w:r>
    </w:p>
    <w:p w:rsidR="00566D77" w:rsidRPr="00F91723" w:rsidRDefault="00566D77" w:rsidP="00F91723">
      <w:pPr>
        <w:pStyle w:val="ListBullet"/>
      </w:pPr>
      <w:r w:rsidRPr="00F91723">
        <w:t>EU VTEp MAA -Day 180 Response to Clinical Question 4: This is a communication with the CHMP with regard to bleeding related AEs in the APPRAISE-2 study and whether monitoring would have a role in preventing</w:t>
      </w:r>
      <w:r w:rsidR="00F91723">
        <w:t xml:space="preserve"> such events. </w:t>
      </w:r>
      <w:r w:rsidR="00BC0EF1">
        <w:t>The sponsor</w:t>
      </w:r>
      <w:r w:rsidRPr="00F91723">
        <w:t xml:space="preserve"> has responded that the anti-factor Xa assay would not have been useful in monitoring pharmacodynamic interactions with antiplatelet agents.</w:t>
      </w:r>
    </w:p>
    <w:p w:rsidR="00566D77" w:rsidRPr="00F91723" w:rsidRDefault="00566D77" w:rsidP="00F91723">
      <w:pPr>
        <w:pStyle w:val="ListBullet"/>
      </w:pPr>
      <w:r w:rsidRPr="00F91723">
        <w:t>EU NVAF – Day 180 Response to Clinical Question 4: This is a communication with the EMA with regard to the commercial availability of the Rotachrom</w:t>
      </w:r>
      <w:r w:rsidR="00F91723">
        <w:t xml:space="preserve"> anti-Xa test. </w:t>
      </w:r>
      <w:r w:rsidR="00BC0EF1">
        <w:t>The sponsor</w:t>
      </w:r>
      <w:r w:rsidRPr="00F91723">
        <w:t xml:space="preserve"> reports that the Rotachrom anti-Xa test is commerci</w:t>
      </w:r>
      <w:r w:rsidR="00F91723">
        <w:t>ally available and also the STA</w:t>
      </w:r>
      <w:r w:rsidRPr="00F91723">
        <w:t>-Liquid anti-Xa product, that uses the same technology, is also commercially available.</w:t>
      </w:r>
    </w:p>
    <w:p w:rsidR="00566D77" w:rsidRPr="00F91723" w:rsidRDefault="00566D77" w:rsidP="00F91723">
      <w:pPr>
        <w:pStyle w:val="ListBullet"/>
      </w:pPr>
      <w:r w:rsidRPr="00F91723">
        <w:t>EU NVAF – Day 180 Response to RMP Question 17: This is a communication with t</w:t>
      </w:r>
      <w:r w:rsidR="00F91723">
        <w:t xml:space="preserve">he EMA with regard to the RMP. </w:t>
      </w:r>
      <w:r w:rsidR="00BC0EF1">
        <w:t>The sponsor</w:t>
      </w:r>
      <w:r w:rsidRPr="00F91723">
        <w:t xml:space="preserve"> states that plans to develop an appropriate assay for apixaban are included in the RMP.</w:t>
      </w:r>
    </w:p>
    <w:p w:rsidR="00566D77" w:rsidRPr="00F91723" w:rsidRDefault="00566D77" w:rsidP="00F91723">
      <w:pPr>
        <w:pStyle w:val="ListBullet"/>
      </w:pPr>
      <w:r w:rsidRPr="00F91723">
        <w:t xml:space="preserve">Health Canada Responses NVAF: This is a communication with Health Canada in response to a question with regard to whether there are clinical circumstances where </w:t>
      </w:r>
      <w:r w:rsidR="00353304">
        <w:t>the sponsor</w:t>
      </w:r>
      <w:r w:rsidRPr="00F91723">
        <w:t xml:space="preserve"> would recommend using the monitoring of anti-factor Xa to</w:t>
      </w:r>
      <w:r w:rsidR="00F91723">
        <w:t xml:space="preserve"> inform therapeutic decisions. </w:t>
      </w:r>
      <w:r w:rsidR="00BC0EF1">
        <w:lastRenderedPageBreak/>
        <w:t>The sponsor</w:t>
      </w:r>
      <w:r w:rsidRPr="00F91723">
        <w:t xml:space="preserve"> responds to Health Canada that </w:t>
      </w:r>
      <w:r w:rsidR="00BC0EF1">
        <w:t>‘</w:t>
      </w:r>
      <w:r w:rsidRPr="00957C9C">
        <w:rPr>
          <w:i/>
        </w:rPr>
        <w:t>there are insufficient data to define a therapeutic range for anti-FXa activity</w:t>
      </w:r>
      <w:r w:rsidR="00BC0EF1" w:rsidRPr="00957C9C">
        <w:rPr>
          <w:i/>
        </w:rPr>
        <w:t>’</w:t>
      </w:r>
      <w:r w:rsidR="00F91723">
        <w:t>.</w:t>
      </w:r>
    </w:p>
    <w:p w:rsidR="00F91723" w:rsidRPr="00F91723" w:rsidRDefault="00F27189" w:rsidP="00F91723">
      <w:pPr>
        <w:pStyle w:val="Heading4"/>
      </w:pPr>
      <w:r>
        <w:t>Evaluator’s comment</w:t>
      </w:r>
    </w:p>
    <w:p w:rsidR="00566D77" w:rsidRPr="00F91723" w:rsidRDefault="00BC0EF1" w:rsidP="00F91723">
      <w:r>
        <w:t>The sponsor</w:t>
      </w:r>
      <w:r w:rsidR="00F91723">
        <w:t xml:space="preserve">’s response is acceptable. </w:t>
      </w:r>
      <w:r w:rsidR="00566D77" w:rsidRPr="00F91723">
        <w:t xml:space="preserve">There is a shared concern between regulatory agencies that a method for monitoring apixaban effect should be </w:t>
      </w:r>
      <w:r w:rsidR="00F91723">
        <w:t xml:space="preserve">developed. </w:t>
      </w:r>
      <w:r>
        <w:t>The sponsor</w:t>
      </w:r>
      <w:r w:rsidR="00566D77" w:rsidRPr="00F91723">
        <w:t xml:space="preserve"> has provided similar responses to the EMA, Health Canada and to the TGA.</w:t>
      </w:r>
    </w:p>
    <w:p w:rsidR="00F91723" w:rsidRPr="00F91723" w:rsidRDefault="00F27189" w:rsidP="00F91723">
      <w:pPr>
        <w:pStyle w:val="Heading3"/>
        <w:rPr>
          <w:rFonts w:eastAsia="TimesNewRoman"/>
        </w:rPr>
      </w:pPr>
      <w:bookmarkStart w:id="306" w:name="_Toc436383371"/>
      <w:r>
        <w:rPr>
          <w:rFonts w:eastAsia="TimesNewRoman,Bold"/>
        </w:rPr>
        <w:t>Clinical q</w:t>
      </w:r>
      <w:r w:rsidR="00957C9C" w:rsidRPr="00F91723">
        <w:rPr>
          <w:rFonts w:eastAsia="TimesNewRoman,Bold"/>
        </w:rPr>
        <w:t>uestion</w:t>
      </w:r>
      <w:r w:rsidR="00566D77" w:rsidRPr="00F91723">
        <w:rPr>
          <w:rFonts w:eastAsia="TimesNewRoman,Bold"/>
        </w:rPr>
        <w:t xml:space="preserve"> 10 - </w:t>
      </w:r>
      <w:r w:rsidR="00566D77" w:rsidRPr="00F91723">
        <w:rPr>
          <w:rFonts w:eastAsia="TimesNewRoman,BoldItalic"/>
        </w:rPr>
        <w:t>Efficacy</w:t>
      </w:r>
      <w:bookmarkEnd w:id="306"/>
    </w:p>
    <w:p w:rsidR="00566D77" w:rsidRPr="00F91723" w:rsidRDefault="00566D77" w:rsidP="00F91723">
      <w:r w:rsidRPr="00F91723">
        <w:t xml:space="preserve">Are there any clinical trials completed, underway or being proposed or discussed for apixaban that include laboratory monitoring as part of the study design, </w:t>
      </w:r>
      <w:r w:rsidR="00181E65">
        <w:t>for example,</w:t>
      </w:r>
      <w:r w:rsidRPr="00F91723">
        <w:t xml:space="preserve"> trials that compare monitored apixaban with unmonitored apixaban or with warfarin?</w:t>
      </w:r>
    </w:p>
    <w:p w:rsidR="00F91723" w:rsidRPr="00F91723" w:rsidRDefault="00F27189" w:rsidP="00F91723">
      <w:pPr>
        <w:pStyle w:val="Heading4"/>
      </w:pPr>
      <w:r>
        <w:t>Sponsor’s response</w:t>
      </w:r>
    </w:p>
    <w:p w:rsidR="00566D77" w:rsidRPr="00F91723" w:rsidRDefault="00BC0EF1" w:rsidP="00F91723">
      <w:r>
        <w:t>‘</w:t>
      </w:r>
      <w:r w:rsidR="00566D77" w:rsidRPr="00957C9C">
        <w:rPr>
          <w:i/>
        </w:rPr>
        <w:t>There are no clinical trials completed, underway or proposed which include laboratory monitoring of apixaban as part of the study design, or compare monitored apixaban with unmonitored apixaban or with warfarin</w:t>
      </w:r>
      <w:r w:rsidR="00566D77" w:rsidRPr="00F91723">
        <w:t>.</w:t>
      </w:r>
      <w:r>
        <w:t>’</w:t>
      </w:r>
    </w:p>
    <w:p w:rsidR="00F91723" w:rsidRPr="00F91723" w:rsidRDefault="00F27189" w:rsidP="00F91723">
      <w:pPr>
        <w:pStyle w:val="Heading4"/>
      </w:pPr>
      <w:r>
        <w:t>Evaluator’s comments</w:t>
      </w:r>
    </w:p>
    <w:p w:rsidR="00566D77" w:rsidRPr="00F91723" w:rsidRDefault="00BC0EF1" w:rsidP="00F91723">
      <w:r>
        <w:t>The sponsor</w:t>
      </w:r>
      <w:r w:rsidR="00566D77" w:rsidRPr="00F91723">
        <w:t xml:space="preserve"> has satisfa</w:t>
      </w:r>
      <w:r w:rsidR="00F91723">
        <w:t xml:space="preserve">ctorily answered the question. </w:t>
      </w:r>
      <w:r w:rsidR="00566D77" w:rsidRPr="00F91723">
        <w:t xml:space="preserve">However, although monitoring of anti-factor Xa to guide treatment has been identified as needing development by the TGA, EMA and Health Canada, </w:t>
      </w:r>
      <w:r w:rsidR="00353304">
        <w:t>the sponsor</w:t>
      </w:r>
      <w:r w:rsidR="00566D77" w:rsidRPr="00F91723">
        <w:t xml:space="preserve"> does not appear to be currently evaluating laboratory monitoring in clinical trials.</w:t>
      </w:r>
    </w:p>
    <w:p w:rsidR="00F91723" w:rsidRPr="00F91723" w:rsidRDefault="00DF7B56" w:rsidP="00F91723">
      <w:pPr>
        <w:pStyle w:val="Heading3"/>
        <w:rPr>
          <w:rFonts w:eastAsia="TimesNewRoman,BoldItalic"/>
        </w:rPr>
      </w:pPr>
      <w:bookmarkStart w:id="307" w:name="_Toc436383372"/>
      <w:r w:rsidRPr="00F91723">
        <w:rPr>
          <w:rFonts w:eastAsia="TimesNewRoman,Bold"/>
        </w:rPr>
        <w:t>Clinical question</w:t>
      </w:r>
      <w:r w:rsidR="00566D77" w:rsidRPr="00F91723">
        <w:rPr>
          <w:rFonts w:eastAsia="TimesNewRoman,Bold"/>
        </w:rPr>
        <w:t xml:space="preserve"> 11- </w:t>
      </w:r>
      <w:r w:rsidR="00566D77" w:rsidRPr="00F91723">
        <w:rPr>
          <w:rFonts w:eastAsia="TimesNewRoman,BoldItalic"/>
        </w:rPr>
        <w:t>Efficacy</w:t>
      </w:r>
      <w:bookmarkEnd w:id="307"/>
    </w:p>
    <w:p w:rsidR="00566D77" w:rsidRPr="00F91723" w:rsidRDefault="00566D77" w:rsidP="00F91723">
      <w:r w:rsidRPr="00F91723">
        <w:t>Is the sponsor proposing to include further information in the Product Information for apixaban regarding plasma concentrations, or anticoagulant activity that may be associated with an increased risk of bleeding, or regarding a therapeutic range, or any form of laboratory monitoring in relation to the proposed indications?</w:t>
      </w:r>
    </w:p>
    <w:p w:rsidR="00F91723" w:rsidRPr="00F91723" w:rsidRDefault="00F27189" w:rsidP="00F91723">
      <w:pPr>
        <w:pStyle w:val="Heading4"/>
      </w:pPr>
      <w:r>
        <w:t>Sponsor’s response</w:t>
      </w:r>
    </w:p>
    <w:p w:rsidR="00566D77" w:rsidRPr="00F91723" w:rsidRDefault="00BC0EF1" w:rsidP="00F91723">
      <w:r>
        <w:t>The sponsor</w:t>
      </w:r>
      <w:r w:rsidR="00566D77" w:rsidRPr="00F91723">
        <w:t xml:space="preserve"> refers </w:t>
      </w:r>
      <w:r w:rsidR="00F91723">
        <w:t xml:space="preserve">to the response to Question 7. </w:t>
      </w:r>
      <w:r>
        <w:t>The sponsor</w:t>
      </w:r>
      <w:r w:rsidR="00566D77" w:rsidRPr="00F91723">
        <w:t xml:space="preserve"> does not propose to include further information in the PI with regard to laboratory monitoring or therapeutic range.</w:t>
      </w:r>
    </w:p>
    <w:p w:rsidR="00F91723" w:rsidRPr="00F91723" w:rsidRDefault="00F27189" w:rsidP="00F91723">
      <w:pPr>
        <w:pStyle w:val="Heading4"/>
      </w:pPr>
      <w:r>
        <w:t>Evaluator’s comments</w:t>
      </w:r>
    </w:p>
    <w:p w:rsidR="00566D77" w:rsidRPr="00F91723" w:rsidRDefault="00BC0EF1" w:rsidP="00F91723">
      <w:r>
        <w:t>The sponsor</w:t>
      </w:r>
      <w:r w:rsidR="00566D77" w:rsidRPr="00F91723">
        <w:t>’s response</w:t>
      </w:r>
      <w:r w:rsidR="00F91723">
        <w:t xml:space="preserve"> is acceptable. </w:t>
      </w:r>
      <w:r w:rsidR="00566D77" w:rsidRPr="00F91723">
        <w:t>In the o</w:t>
      </w:r>
      <w:r w:rsidR="00DF7B56">
        <w:t>pinion of the e</w:t>
      </w:r>
      <w:r w:rsidR="00566D77" w:rsidRPr="00F91723">
        <w:t>valuator there are insufficient data to be able to recommend moni</w:t>
      </w:r>
      <w:r w:rsidR="00F91723">
        <w:t xml:space="preserve">toring or a therapeutic range. </w:t>
      </w:r>
      <w:r w:rsidR="00566D77" w:rsidRPr="00F91723">
        <w:t>However, the development of appropriate laboratory monitoring and the identification of a therapeutic range may offer benefits to patients treated with apixaban.</w:t>
      </w:r>
    </w:p>
    <w:p w:rsidR="00F91723" w:rsidRPr="00F91723" w:rsidRDefault="00DF7B56" w:rsidP="00F91723">
      <w:pPr>
        <w:pStyle w:val="Heading3"/>
        <w:rPr>
          <w:rFonts w:eastAsia="TimesNewRoman,BoldItalic"/>
        </w:rPr>
      </w:pPr>
      <w:bookmarkStart w:id="308" w:name="_Toc436383373"/>
      <w:r w:rsidRPr="00F91723">
        <w:rPr>
          <w:rFonts w:eastAsia="TimesNewRoman,Bold"/>
        </w:rPr>
        <w:t xml:space="preserve">Question </w:t>
      </w:r>
      <w:r>
        <w:rPr>
          <w:rFonts w:eastAsia="TimesNewRoman,Bold"/>
        </w:rPr>
        <w:t>A</w:t>
      </w:r>
      <w:r w:rsidR="00566D77" w:rsidRPr="00F91723">
        <w:rPr>
          <w:rFonts w:eastAsia="TimesNewRoman,Bold"/>
        </w:rPr>
        <w:t xml:space="preserve"> – </w:t>
      </w:r>
      <w:r w:rsidR="00566D77" w:rsidRPr="00F91723">
        <w:rPr>
          <w:rFonts w:eastAsia="TimesNewRoman,BoldItalic"/>
        </w:rPr>
        <w:t>Safety</w:t>
      </w:r>
      <w:bookmarkEnd w:id="308"/>
    </w:p>
    <w:p w:rsidR="00566D77" w:rsidRPr="00F91723" w:rsidRDefault="00566D77" w:rsidP="00F91723">
      <w:r w:rsidRPr="00F91723">
        <w:t>In Study CV185056 did any of the four subjects in the apixaban group with ALT or AST &gt;</w:t>
      </w:r>
      <w:r w:rsidR="00F91723">
        <w:t xml:space="preserve"> </w:t>
      </w:r>
      <w:r w:rsidRPr="00F91723">
        <w:t>3xULN and total bilirubin &gt;</w:t>
      </w:r>
      <w:r w:rsidR="00F91723">
        <w:t xml:space="preserve"> </w:t>
      </w:r>
      <w:r w:rsidRPr="00F91723">
        <w:t>2xULN on the same date ful</w:t>
      </w:r>
      <w:r w:rsidR="00F91723">
        <w:t xml:space="preserve">fil the criteria for Hy’s Law? </w:t>
      </w:r>
      <w:r w:rsidRPr="00F91723">
        <w:t>What other medical conditions or concomitant treatments would have explained these abnormalities in these individual subjects?</w:t>
      </w:r>
    </w:p>
    <w:p w:rsidR="00F91723" w:rsidRPr="00F91723" w:rsidRDefault="00F27189" w:rsidP="00F91723">
      <w:pPr>
        <w:pStyle w:val="Heading4"/>
      </w:pPr>
      <w:r>
        <w:t>Sponsor’s response</w:t>
      </w:r>
    </w:p>
    <w:p w:rsidR="00566D77" w:rsidRPr="00F91723" w:rsidRDefault="00566D77" w:rsidP="00F91723">
      <w:r w:rsidRPr="00F91723">
        <w:t>With regard to these four subjects, three had clear alternative explanations for the biochemical abnormalities:</w:t>
      </w:r>
    </w:p>
    <w:p w:rsidR="00566D77" w:rsidRPr="00F91723" w:rsidRDefault="00566D77" w:rsidP="00F91723">
      <w:pPr>
        <w:pStyle w:val="ListBullet"/>
      </w:pPr>
      <w:r w:rsidRPr="00F91723">
        <w:lastRenderedPageBreak/>
        <w:t xml:space="preserve">One subject had pancreatic cancer with obstruction of the common bile duct </w:t>
      </w:r>
      <w:r w:rsidR="00DF7B56">
        <w:t>[information redacted]</w:t>
      </w:r>
    </w:p>
    <w:p w:rsidR="00566D77" w:rsidRPr="00F91723" w:rsidRDefault="00566D77" w:rsidP="00DF7B56">
      <w:pPr>
        <w:pStyle w:val="ListBullet"/>
      </w:pPr>
      <w:r w:rsidRPr="00F91723">
        <w:t xml:space="preserve">One subject had cholangiocarcinoma </w:t>
      </w:r>
      <w:r w:rsidR="00DF7B56" w:rsidRPr="00DF7B56">
        <w:t>[information redacted]</w:t>
      </w:r>
    </w:p>
    <w:p w:rsidR="00566D77" w:rsidRPr="00F91723" w:rsidRDefault="00566D77" w:rsidP="00F91723">
      <w:pPr>
        <w:pStyle w:val="ListBullet"/>
      </w:pPr>
      <w:r w:rsidRPr="00F91723">
        <w:t>One subject had metastatic liver ca</w:t>
      </w:r>
      <w:r w:rsidR="00DF7B56">
        <w:t>ncer and obstructive jaundice [information redacted]</w:t>
      </w:r>
    </w:p>
    <w:p w:rsidR="00566D77" w:rsidRDefault="00566D77" w:rsidP="00F91723">
      <w:r w:rsidRPr="00F91723">
        <w:t xml:space="preserve">The remaining subject had LFT elevations at the final visit and had a past history of gall stones and cholecystectomy </w:t>
      </w:r>
      <w:r w:rsidR="00DF7B56">
        <w:t>[information redacted]</w:t>
      </w:r>
      <w:r w:rsidR="00F91723">
        <w:t xml:space="preserve">. </w:t>
      </w:r>
      <w:r w:rsidRPr="00951964">
        <w:t xml:space="preserve">After ceasing study treatment on Day 170, the LFT elevations resolved within 5 weeks with no sequelae (Table </w:t>
      </w:r>
      <w:r w:rsidR="00E57B0F" w:rsidRPr="00951964">
        <w:t>2</w:t>
      </w:r>
      <w:r w:rsidR="00951964">
        <w:t>8</w:t>
      </w:r>
      <w:r w:rsidR="00F91723" w:rsidRPr="00951964">
        <w:t xml:space="preserve">). </w:t>
      </w:r>
      <w:r w:rsidRPr="00951964">
        <w:t xml:space="preserve">The patient narrative includes the statements: </w:t>
      </w:r>
      <w:r w:rsidR="00BC0EF1" w:rsidRPr="00951964">
        <w:t>‘</w:t>
      </w:r>
      <w:r w:rsidRPr="00951964">
        <w:rPr>
          <w:i/>
        </w:rPr>
        <w:t>Prior to study unblinding, this case was reviewed by the Applicants’ independen</w:t>
      </w:r>
      <w:r w:rsidR="00F91723" w:rsidRPr="00951964">
        <w:rPr>
          <w:i/>
        </w:rPr>
        <w:t xml:space="preserve">t Hepatology Consultant Panel. </w:t>
      </w:r>
      <w:r w:rsidRPr="00951964">
        <w:rPr>
          <w:i/>
        </w:rPr>
        <w:t>The hepatologist consultants’ considered the relationship to blinded study drug (apixaban) was probably related</w:t>
      </w:r>
      <w:r w:rsidR="00BC0EF1" w:rsidRPr="00951964">
        <w:t>’</w:t>
      </w:r>
      <w:r w:rsidRPr="00951964">
        <w:t>.</w:t>
      </w:r>
    </w:p>
    <w:p w:rsidR="00E57B0F" w:rsidRPr="005F3261" w:rsidRDefault="00E57B0F" w:rsidP="00E57B0F">
      <w:pPr>
        <w:pStyle w:val="Tabletitle"/>
      </w:pPr>
      <w:r w:rsidRPr="005F3261">
        <w:t xml:space="preserve">Table </w:t>
      </w:r>
      <w:r>
        <w:t>2</w:t>
      </w:r>
      <w:r w:rsidR="00951964">
        <w:t>8</w:t>
      </w:r>
      <w:r>
        <w:t xml:space="preserve">: </w:t>
      </w:r>
      <w:r w:rsidRPr="005F3261">
        <w:rPr>
          <w:lang w:val="en-US"/>
        </w:rPr>
        <w:t xml:space="preserve">Liver Function Tests from PID 434-248 (last dose of study drug was taken on </w:t>
      </w:r>
      <w:r>
        <w:rPr>
          <w:lang w:val="en-US"/>
        </w:rPr>
        <w:t>D</w:t>
      </w:r>
      <w:r w:rsidR="00F27189">
        <w:rPr>
          <w:lang w:val="en-US"/>
        </w:rPr>
        <w:t>ay 170)</w:t>
      </w:r>
    </w:p>
    <w:p w:rsidR="00E57B0F" w:rsidRPr="00F91723" w:rsidRDefault="00E57B0F" w:rsidP="00E57B0F">
      <w:r>
        <w:rPr>
          <w:rFonts w:ascii="Times New Roman" w:hAnsi="Times New Roman"/>
          <w:noProof/>
          <w:sz w:val="24"/>
          <w:lang w:eastAsia="en-AU"/>
        </w:rPr>
        <w:drawing>
          <wp:inline distT="0" distB="0" distL="0" distR="0">
            <wp:extent cx="3838575" cy="2897290"/>
            <wp:effectExtent l="0" t="0" r="0" b="0"/>
            <wp:docPr id="55" name="Picture 55" descr="Table 27: Liver Function Tests from PID 434-248 (last dose of study drug was taken on day 1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9" cstate="print">
                      <a:lum bright="-20000" contrast="40000"/>
                      <a:extLst>
                        <a:ext uri="{28A0092B-C50C-407E-A947-70E740481C1C}">
                          <a14:useLocalDpi xmlns:a14="http://schemas.microsoft.com/office/drawing/2010/main" val="0"/>
                        </a:ext>
                      </a:extLst>
                    </a:blip>
                    <a:srcRect/>
                    <a:stretch>
                      <a:fillRect/>
                    </a:stretch>
                  </pic:blipFill>
                  <pic:spPr bwMode="auto">
                    <a:xfrm>
                      <a:off x="0" y="0"/>
                      <a:ext cx="3840787" cy="2898960"/>
                    </a:xfrm>
                    <a:prstGeom prst="rect">
                      <a:avLst/>
                    </a:prstGeom>
                    <a:noFill/>
                    <a:ln>
                      <a:noFill/>
                    </a:ln>
                  </pic:spPr>
                </pic:pic>
              </a:graphicData>
            </a:graphic>
          </wp:inline>
        </w:drawing>
      </w:r>
    </w:p>
    <w:p w:rsidR="00F91723" w:rsidRPr="00F91723" w:rsidRDefault="00594E92" w:rsidP="00F91723">
      <w:pPr>
        <w:pStyle w:val="Heading4"/>
      </w:pPr>
      <w:r>
        <w:t>Evaluator’s comments</w:t>
      </w:r>
    </w:p>
    <w:p w:rsidR="00566D77" w:rsidRPr="00F91723" w:rsidRDefault="00BC0EF1" w:rsidP="00F91723">
      <w:r>
        <w:t>The sponsor</w:t>
      </w:r>
      <w:r w:rsidR="00566D77" w:rsidRPr="00F91723">
        <w:t>’s re</w:t>
      </w:r>
      <w:r w:rsidR="00F91723">
        <w:t>sponse is acceptable.</w:t>
      </w:r>
      <w:r w:rsidR="00566D77" w:rsidRPr="00F91723">
        <w:t xml:space="preserve"> One subject fulfil</w:t>
      </w:r>
      <w:r w:rsidR="00F91723">
        <w:t xml:space="preserve">led the criteria for Hy’s law. </w:t>
      </w:r>
      <w:r w:rsidR="00566D77" w:rsidRPr="00F91723">
        <w:t xml:space="preserve">Although the biochemical abnormalities resolved following cessation of study treatment the case fulfils the criteria </w:t>
      </w:r>
      <w:r w:rsidR="00F91723">
        <w:t xml:space="preserve">for drug induced liver injury. </w:t>
      </w:r>
      <w:r w:rsidR="00566D77" w:rsidRPr="00F91723">
        <w:t>The RMP lists transient elevation of liver enzymes as an important identified ris</w:t>
      </w:r>
      <w:r w:rsidR="00F91723">
        <w:t xml:space="preserve">k but only for VTE prevention. </w:t>
      </w:r>
      <w:r w:rsidR="00DF7B56">
        <w:t>In the opinion of the e</w:t>
      </w:r>
      <w:r w:rsidR="00566D77" w:rsidRPr="00F91723">
        <w:t>valuator, transient elevation of liver enzymes should be listed as an important identified risk for all indications of apixaban.</w:t>
      </w:r>
    </w:p>
    <w:p w:rsidR="00F91723" w:rsidRPr="00F91723" w:rsidRDefault="00566D77" w:rsidP="00F91723">
      <w:pPr>
        <w:pStyle w:val="Heading3"/>
        <w:rPr>
          <w:rFonts w:eastAsia="TimesNewRoman,BoldItalic"/>
        </w:rPr>
      </w:pPr>
      <w:bookmarkStart w:id="309" w:name="_Toc436383374"/>
      <w:r w:rsidRPr="00F91723">
        <w:rPr>
          <w:rFonts w:eastAsia="TimesNewRoman,Bold"/>
        </w:rPr>
        <w:t>Q</w:t>
      </w:r>
      <w:r w:rsidR="00DF7B56">
        <w:rPr>
          <w:rFonts w:eastAsia="TimesNewRoman,Bold"/>
        </w:rPr>
        <w:t>uestion B</w:t>
      </w:r>
      <w:r w:rsidRPr="00F91723">
        <w:rPr>
          <w:rFonts w:eastAsia="TimesNewRoman,Bold"/>
        </w:rPr>
        <w:t xml:space="preserve"> – </w:t>
      </w:r>
      <w:r w:rsidRPr="00F91723">
        <w:rPr>
          <w:rFonts w:eastAsia="TimesNewRoman,BoldItalic"/>
        </w:rPr>
        <w:t>Safety</w:t>
      </w:r>
      <w:bookmarkEnd w:id="309"/>
    </w:p>
    <w:p w:rsidR="00566D77" w:rsidRPr="00F91723" w:rsidRDefault="00566D77" w:rsidP="00F91723">
      <w:r w:rsidRPr="00F91723">
        <w:t>Please provide an update on the progress of the drug development program for the antidote.</w:t>
      </w:r>
    </w:p>
    <w:p w:rsidR="00F91723" w:rsidRPr="00F91723" w:rsidRDefault="00594E92" w:rsidP="00F91723">
      <w:pPr>
        <w:pStyle w:val="Heading4"/>
      </w:pPr>
      <w:r>
        <w:t>Sponsor’s response</w:t>
      </w:r>
    </w:p>
    <w:p w:rsidR="00566D77" w:rsidRPr="00F91723" w:rsidRDefault="00BC0EF1" w:rsidP="00F91723">
      <w:r>
        <w:t>The sponsor</w:t>
      </w:r>
      <w:r w:rsidR="00566D77" w:rsidRPr="00F91723">
        <w:t xml:space="preserve"> is not develo</w:t>
      </w:r>
      <w:r w:rsidR="00F91723">
        <w:t>ping an antidote independently.</w:t>
      </w:r>
      <w:r w:rsidR="00566D77" w:rsidRPr="00F91723">
        <w:t xml:space="preserve"> </w:t>
      </w:r>
      <w:r>
        <w:t>The sponsor</w:t>
      </w:r>
      <w:r w:rsidR="00566D77" w:rsidRPr="00F91723">
        <w:t xml:space="preserve"> </w:t>
      </w:r>
      <w:r>
        <w:t>‘</w:t>
      </w:r>
      <w:r w:rsidR="00566D77" w:rsidRPr="00DF7B56">
        <w:rPr>
          <w:i/>
        </w:rPr>
        <w:t>has entered into a clinical collaboration agreement with Portola Pharmaceuticals to study PRT4445 (andexanet), a universal FXa inhibitor a</w:t>
      </w:r>
      <w:r w:rsidR="00F91723" w:rsidRPr="00DF7B56">
        <w:rPr>
          <w:i/>
        </w:rPr>
        <w:t>ntidote, and apixaban in Phase III clinical studies</w:t>
      </w:r>
      <w:r>
        <w:t>’</w:t>
      </w:r>
      <w:r w:rsidR="00F91723">
        <w:t>. A Phase II</w:t>
      </w:r>
      <w:r w:rsidR="00566D77" w:rsidRPr="00F91723">
        <w:t xml:space="preserve"> study indicates andexanet can reverse t</w:t>
      </w:r>
      <w:r w:rsidR="00F91723">
        <w:t>he effects of apixaban. Phase III</w:t>
      </w:r>
      <w:r w:rsidR="00566D77" w:rsidRPr="00F91723">
        <w:t xml:space="preserve"> studies in healthy volunteers are ongoing.</w:t>
      </w:r>
    </w:p>
    <w:p w:rsidR="00566D77" w:rsidRPr="00F91723" w:rsidRDefault="00566D77" w:rsidP="00F91723">
      <w:r w:rsidRPr="00F91723">
        <w:t>In addition, a study of prothrombin complex concentrates in reversing the effects of apixaban is ongoing.</w:t>
      </w:r>
    </w:p>
    <w:p w:rsidR="00F91723" w:rsidRPr="00F91723" w:rsidRDefault="00566D77" w:rsidP="00F91723">
      <w:pPr>
        <w:pStyle w:val="Heading4"/>
      </w:pPr>
      <w:r w:rsidRPr="00F91723">
        <w:lastRenderedPageBreak/>
        <w:t>Evaluator’s comme</w:t>
      </w:r>
      <w:r w:rsidR="00594E92">
        <w:t>nts</w:t>
      </w:r>
    </w:p>
    <w:p w:rsidR="00566D77" w:rsidRPr="00F91723" w:rsidRDefault="00BC0EF1" w:rsidP="00F91723">
      <w:r>
        <w:t>The sponsor</w:t>
      </w:r>
      <w:r w:rsidR="00566D77" w:rsidRPr="00F91723">
        <w:t xml:space="preserve"> has satisf</w:t>
      </w:r>
      <w:r w:rsidR="00F91723">
        <w:t>actorily answered the question.</w:t>
      </w:r>
    </w:p>
    <w:p w:rsidR="00F91723" w:rsidRPr="00F91723" w:rsidRDefault="00DF7B56" w:rsidP="00F91723">
      <w:pPr>
        <w:pStyle w:val="Heading3"/>
        <w:rPr>
          <w:rFonts w:eastAsia="TimesNewRoman,BoldItalic"/>
        </w:rPr>
      </w:pPr>
      <w:bookmarkStart w:id="310" w:name="_Toc436383375"/>
      <w:r>
        <w:rPr>
          <w:rFonts w:eastAsia="TimesNewRoman,Bold"/>
        </w:rPr>
        <w:t>Page 39 o</w:t>
      </w:r>
      <w:r w:rsidRPr="00F91723">
        <w:rPr>
          <w:rFonts w:eastAsia="TimesNewRoman,Bold"/>
        </w:rPr>
        <w:t>f</w:t>
      </w:r>
      <w:r w:rsidR="00566D77" w:rsidRPr="00F91723">
        <w:rPr>
          <w:rFonts w:eastAsia="TimesNewRoman,Bold"/>
        </w:rPr>
        <w:t xml:space="preserve"> CER – </w:t>
      </w:r>
      <w:r w:rsidR="00566D77" w:rsidRPr="00F91723">
        <w:rPr>
          <w:rFonts w:eastAsia="TimesNewRoman,BoldItalic"/>
        </w:rPr>
        <w:t xml:space="preserve">Breast </w:t>
      </w:r>
      <w:r w:rsidR="00594E92">
        <w:rPr>
          <w:rFonts w:eastAsia="TimesNewRoman,BoldItalic"/>
        </w:rPr>
        <w:t>f</w:t>
      </w:r>
      <w:r w:rsidR="00566D77" w:rsidRPr="00F91723">
        <w:rPr>
          <w:rFonts w:eastAsia="TimesNewRoman,BoldItalic"/>
        </w:rPr>
        <w:t>eeding</w:t>
      </w:r>
      <w:bookmarkEnd w:id="310"/>
    </w:p>
    <w:p w:rsidR="00566D77" w:rsidRPr="00F91723" w:rsidRDefault="00566D77" w:rsidP="00F91723">
      <w:r w:rsidRPr="00F91723">
        <w:t xml:space="preserve">In the opinion of the </w:t>
      </w:r>
      <w:r w:rsidR="00DF7B56">
        <w:t>e</w:t>
      </w:r>
      <w:r w:rsidRPr="00F91723">
        <w:t>valuator, breast feeding should be included in the contraindications.</w:t>
      </w:r>
    </w:p>
    <w:p w:rsidR="00566D77" w:rsidRPr="00F91723" w:rsidRDefault="00DF7B56" w:rsidP="00F91723">
      <w:r>
        <w:t>In the opinion of the e</w:t>
      </w:r>
      <w:r w:rsidR="00566D77" w:rsidRPr="00F91723">
        <w:t>valuator, there should be a warning not to take apixaban if breast feeding.</w:t>
      </w:r>
    </w:p>
    <w:p w:rsidR="00F91723" w:rsidRPr="00F91723" w:rsidRDefault="00594E92" w:rsidP="00F91723">
      <w:pPr>
        <w:pStyle w:val="Heading4"/>
      </w:pPr>
      <w:r>
        <w:t>Sponsor’s response</w:t>
      </w:r>
    </w:p>
    <w:p w:rsidR="00566D77" w:rsidRPr="00F91723" w:rsidRDefault="00BC0EF1" w:rsidP="00F91723">
      <w:r>
        <w:t>The sponsor</w:t>
      </w:r>
      <w:r w:rsidR="00566D77" w:rsidRPr="00F91723">
        <w:t xml:space="preserve"> is not of the opinion that breast feeding should be a contraindication and considers that there is sufficient warning with regard breast feeding in the PI.</w:t>
      </w:r>
    </w:p>
    <w:p w:rsidR="00F91723" w:rsidRPr="00F91723" w:rsidRDefault="00594E92" w:rsidP="00F91723">
      <w:pPr>
        <w:pStyle w:val="Heading4"/>
      </w:pPr>
      <w:r>
        <w:t>Evaluator’s comments</w:t>
      </w:r>
    </w:p>
    <w:p w:rsidR="00566D77" w:rsidRPr="00F91723" w:rsidRDefault="00BC0EF1" w:rsidP="00F91723">
      <w:r>
        <w:t>The sponsor</w:t>
      </w:r>
      <w:r w:rsidR="00F91723">
        <w:t xml:space="preserve">’s response is not acceptable. </w:t>
      </w:r>
      <w:r>
        <w:t>The sponsor</w:t>
      </w:r>
      <w:r w:rsidR="00566D77" w:rsidRPr="00F91723">
        <w:t xml:space="preserve"> has not addressed the i</w:t>
      </w:r>
      <w:r w:rsidR="00F91723">
        <w:t xml:space="preserve">ssues raised. </w:t>
      </w:r>
      <w:r w:rsidR="00566D77" w:rsidRPr="00F91723">
        <w:t>These issues are:</w:t>
      </w:r>
    </w:p>
    <w:p w:rsidR="00566D77" w:rsidRPr="00F91723" w:rsidRDefault="00566D77" w:rsidP="00F91723">
      <w:pPr>
        <w:pStyle w:val="ListBullet"/>
      </w:pPr>
      <w:r w:rsidRPr="00F91723">
        <w:t>The milk: plasma ratio of apixaban in rats is 30 and apixaban is kn</w:t>
      </w:r>
      <w:r w:rsidR="00F91723">
        <w:t>own to be a substrate of BCRP.</w:t>
      </w:r>
    </w:p>
    <w:p w:rsidR="00566D77" w:rsidRPr="00F91723" w:rsidRDefault="00566D77" w:rsidP="00F91723">
      <w:pPr>
        <w:pStyle w:val="ListBullet"/>
      </w:pPr>
      <w:r w:rsidRPr="00F91723">
        <w:t>Breast fed infants are already at risk of Vitamin K deficiency and haemor</w:t>
      </w:r>
      <w:r w:rsidR="00F91723">
        <w:t>rhagic disease of the newborn.</w:t>
      </w:r>
    </w:p>
    <w:p w:rsidR="00566D77" w:rsidRPr="00F91723" w:rsidRDefault="00566D77" w:rsidP="00F91723">
      <w:r w:rsidRPr="00F91723">
        <w:t>Hence the available data indicate that apixaban may pose a risk to breast fed infan</w:t>
      </w:r>
      <w:r w:rsidR="00F91723">
        <w:t xml:space="preserve">ts. </w:t>
      </w:r>
      <w:r w:rsidRPr="00F91723">
        <w:t>The current warnings in the PI only reflect the level of risk usually associated</w:t>
      </w:r>
      <w:r w:rsidR="00F91723">
        <w:t xml:space="preserve"> with any new chemical entity. </w:t>
      </w:r>
      <w:r w:rsidRPr="00F91723">
        <w:t>There is reason for considering apixaban to have a higher level of risk and this should be communicated in the PI.</w:t>
      </w:r>
    </w:p>
    <w:p w:rsidR="00F91723" w:rsidRPr="00F91723" w:rsidRDefault="00566D77" w:rsidP="00F91723">
      <w:pPr>
        <w:pStyle w:val="Heading3"/>
        <w:rPr>
          <w:rFonts w:eastAsia="TimesNewRoman,BoldItalic"/>
        </w:rPr>
      </w:pPr>
      <w:bookmarkStart w:id="311" w:name="_Toc436383376"/>
      <w:r w:rsidRPr="00F91723">
        <w:rPr>
          <w:rFonts w:eastAsia="TimesNewRoman,Bold"/>
        </w:rPr>
        <w:t>P</w:t>
      </w:r>
      <w:r w:rsidR="00DF7B56">
        <w:rPr>
          <w:rFonts w:eastAsia="TimesNewRoman,Bold"/>
        </w:rPr>
        <w:t>age 39 of</w:t>
      </w:r>
      <w:r w:rsidRPr="00F91723">
        <w:rPr>
          <w:rFonts w:eastAsia="TimesNewRoman,Bold"/>
        </w:rPr>
        <w:t xml:space="preserve"> CER – </w:t>
      </w:r>
      <w:r w:rsidR="00594E92">
        <w:rPr>
          <w:rFonts w:eastAsia="TimesNewRoman,BoldItalic"/>
        </w:rPr>
        <w:t>Strong i</w:t>
      </w:r>
      <w:r w:rsidRPr="00F91723">
        <w:rPr>
          <w:rFonts w:eastAsia="TimesNewRoman,BoldItalic"/>
        </w:rPr>
        <w:t>nducers</w:t>
      </w:r>
      <w:bookmarkEnd w:id="311"/>
    </w:p>
    <w:p w:rsidR="00566D77" w:rsidRPr="00F91723" w:rsidRDefault="00566D77" w:rsidP="00F91723">
      <w:r w:rsidRPr="00F91723">
        <w:t xml:space="preserve">The clinical aspects of the draft Product Information </w:t>
      </w:r>
      <w:r w:rsidR="00F91723">
        <w:t xml:space="preserve">are not entirely satisfactory. </w:t>
      </w:r>
      <w:r w:rsidRPr="00F91723">
        <w:t xml:space="preserve">In the Section of the PI headed </w:t>
      </w:r>
      <w:r w:rsidR="00BC0EF1">
        <w:t>‘</w:t>
      </w:r>
      <w:r w:rsidRPr="00F91723">
        <w:t>Interactions With Other Medicines</w:t>
      </w:r>
      <w:r w:rsidR="00BC0EF1">
        <w:t>’</w:t>
      </w:r>
      <w:r w:rsidRPr="00F91723">
        <w:t xml:space="preserve"> the following statements have been inserted: </w:t>
      </w:r>
      <w:r w:rsidR="00BC0EF1">
        <w:t>‘</w:t>
      </w:r>
      <w:r w:rsidRPr="00DF7B56">
        <w:rPr>
          <w:i/>
        </w:rPr>
        <w:t>For the treatment of DVT and PE, concomitant therapy with strong inducers of both CYP3</w:t>
      </w:r>
      <w:r w:rsidR="00F91723" w:rsidRPr="00DF7B56">
        <w:rPr>
          <w:i/>
        </w:rPr>
        <w:t>A4 and P-gp is not recommended.</w:t>
      </w:r>
      <w:r w:rsidRPr="00DF7B56">
        <w:rPr>
          <w:i/>
        </w:rPr>
        <w:t xml:space="preserve"> For the prevention of recurrent DVT and PE, strong inducers of both CYP3A4 and P-gp should be </w:t>
      </w:r>
      <w:r w:rsidR="00F91723" w:rsidRPr="00DF7B56">
        <w:rPr>
          <w:i/>
        </w:rPr>
        <w:t>co-administered with caution</w:t>
      </w:r>
      <w:r w:rsidR="00BC0EF1">
        <w:t>’</w:t>
      </w:r>
      <w:r w:rsidR="00F91723">
        <w:t xml:space="preserve">. </w:t>
      </w:r>
      <w:r w:rsidR="00DF7B56">
        <w:t>The e</w:t>
      </w:r>
      <w:r w:rsidRPr="00F91723">
        <w:t xml:space="preserve">valuator considers that there is the same risk of interaction for both indications and that the following warning should apply: </w:t>
      </w:r>
      <w:r w:rsidR="00BC0EF1">
        <w:t>‘</w:t>
      </w:r>
      <w:r w:rsidRPr="00DF7B56">
        <w:rPr>
          <w:i/>
        </w:rPr>
        <w:t>For the treatment of DVT and PE and for the prevention of recurrent DVT and PE, concomitant therapy with strong inducers of both CYP3A4 and P-gp is not recommended</w:t>
      </w:r>
      <w:r w:rsidR="00BC0EF1">
        <w:t>’</w:t>
      </w:r>
      <w:r w:rsidRPr="00F91723">
        <w:t>.</w:t>
      </w:r>
    </w:p>
    <w:p w:rsidR="00F91723" w:rsidRPr="00F91723" w:rsidRDefault="007A7042" w:rsidP="00F91723">
      <w:pPr>
        <w:pStyle w:val="Heading4"/>
      </w:pPr>
      <w:r>
        <w:t>Sponsor’s response</w:t>
      </w:r>
    </w:p>
    <w:p w:rsidR="00566D77" w:rsidRPr="00F91723" w:rsidRDefault="00BC0EF1" w:rsidP="00F91723">
      <w:r>
        <w:t>The sponsor</w:t>
      </w:r>
      <w:r w:rsidR="00566D77" w:rsidRPr="00F91723">
        <w:t xml:space="preserve"> contends that concomitant therapy with strong inducers of both CYP and P-gp should be designated </w:t>
      </w:r>
      <w:r>
        <w:t>‘</w:t>
      </w:r>
      <w:r w:rsidR="00566D77" w:rsidRPr="00F91723">
        <w:t>use with caution</w:t>
      </w:r>
      <w:r>
        <w:t>’</w:t>
      </w:r>
      <w:r w:rsidR="00566D77" w:rsidRPr="00F91723">
        <w:t xml:space="preserve"> rather than </w:t>
      </w:r>
      <w:r>
        <w:t>‘</w:t>
      </w:r>
      <w:r w:rsidR="00566D77" w:rsidRPr="00F91723">
        <w:t>not recommended</w:t>
      </w:r>
      <w:r>
        <w:t>’</w:t>
      </w:r>
      <w:r w:rsidR="00566D77" w:rsidRPr="00F91723">
        <w:t xml:space="preserve"> for the indication of preve</w:t>
      </w:r>
      <w:r w:rsidR="00F91723">
        <w:t xml:space="preserve">ntion of recurrent DVT and PE. </w:t>
      </w:r>
      <w:r w:rsidR="00566D77" w:rsidRPr="00F91723">
        <w:t xml:space="preserve">The argument supporting this is: the population of patients being treated for the prevention for recurrent DVT and PE is </w:t>
      </w:r>
      <w:r>
        <w:t>‘</w:t>
      </w:r>
      <w:r w:rsidR="00566D77" w:rsidRPr="00DF7B56">
        <w:rPr>
          <w:i/>
        </w:rPr>
        <w:t>at clinical equipoise and 2.5 mg</w:t>
      </w:r>
      <w:r w:rsidR="00DF7B56" w:rsidRPr="00DF7B56">
        <w:rPr>
          <w:i/>
        </w:rPr>
        <w:t xml:space="preserve"> BD</w:t>
      </w:r>
      <w:r w:rsidR="00566D77" w:rsidRPr="00DF7B56">
        <w:rPr>
          <w:i/>
        </w:rPr>
        <w:t xml:space="preserve"> may still be effective and safe with concomitant strong inducers of CYP3A4 and P-gp compared to placebo</w:t>
      </w:r>
      <w:r>
        <w:t>’</w:t>
      </w:r>
      <w:r w:rsidR="00566D77" w:rsidRPr="00F91723">
        <w:t>.</w:t>
      </w:r>
    </w:p>
    <w:p w:rsidR="00F91723" w:rsidRPr="00F91723" w:rsidRDefault="007A7042" w:rsidP="00F91723">
      <w:pPr>
        <w:pStyle w:val="Heading4"/>
      </w:pPr>
      <w:r>
        <w:t>Evaluator’s comments</w:t>
      </w:r>
    </w:p>
    <w:p w:rsidR="00566D77" w:rsidRPr="00F91723" w:rsidRDefault="00BC0EF1" w:rsidP="00566D77">
      <w:r>
        <w:t>The sponsor</w:t>
      </w:r>
      <w:r w:rsidR="00F91723">
        <w:t xml:space="preserve">’s response is not acceptable. </w:t>
      </w:r>
      <w:r w:rsidR="00566D77" w:rsidRPr="00F91723">
        <w:t>If the population of subjects being treated for recurrent DVT and PE were in clinical equipoise (</w:t>
      </w:r>
      <w:r w:rsidR="00DF7B56">
        <w:t>that is,</w:t>
      </w:r>
      <w:r w:rsidR="00566D77" w:rsidRPr="00F91723">
        <w:t xml:space="preserve"> insufficient data to determine whether the patient should receive treatment or not) then there would also be insufficient data to approve</w:t>
      </w:r>
      <w:r w:rsidR="00F91723">
        <w:t xml:space="preserve"> apixaban for that indication. </w:t>
      </w:r>
      <w:r w:rsidR="00566D77" w:rsidRPr="00F91723">
        <w:t xml:space="preserve">In the opinion of the </w:t>
      </w:r>
      <w:r w:rsidR="00DF7B56">
        <w:t>e</w:t>
      </w:r>
      <w:r w:rsidR="00F91723">
        <w:t xml:space="preserve">valuator this is not the case. </w:t>
      </w:r>
      <w:r w:rsidR="00566D77" w:rsidRPr="00F91723">
        <w:t>The available data also indicate that strong inducers of CYP3A4 and P-gp would be expected to significantly r</w:t>
      </w:r>
      <w:r w:rsidR="00F91723">
        <w:t>educe the efficacy of apixaban.</w:t>
      </w:r>
      <w:r w:rsidR="00DF7B56">
        <w:t xml:space="preserve"> Hence, in the opinion of the e</w:t>
      </w:r>
      <w:r w:rsidR="00566D77" w:rsidRPr="00F91723">
        <w:t xml:space="preserve">valuator the following </w:t>
      </w:r>
      <w:r w:rsidR="00566D77" w:rsidRPr="00F91723">
        <w:lastRenderedPageBreak/>
        <w:t xml:space="preserve">warning should apply: </w:t>
      </w:r>
      <w:r>
        <w:t>‘</w:t>
      </w:r>
      <w:r w:rsidR="00566D77" w:rsidRPr="00DF7B56">
        <w:rPr>
          <w:i/>
        </w:rPr>
        <w:t>For the treatment of DVT and PE and for the prevention of recurrent DVT and PE, concomitant therapy with strong inducers of both CYP3A4 and P-gp is not recommended</w:t>
      </w:r>
      <w:r>
        <w:t>’</w:t>
      </w:r>
      <w:r w:rsidR="00566D77" w:rsidRPr="00F91723">
        <w:t>.</w:t>
      </w:r>
    </w:p>
    <w:p w:rsidR="00566D77" w:rsidRPr="00F91723" w:rsidRDefault="00566D77" w:rsidP="00566D77">
      <w:pPr>
        <w:pStyle w:val="Heading4"/>
      </w:pPr>
      <w:r w:rsidRPr="00F91723">
        <w:t xml:space="preserve">Erratum provided by </w:t>
      </w:r>
      <w:r w:rsidR="00353304">
        <w:t>the sponsor</w:t>
      </w:r>
    </w:p>
    <w:p w:rsidR="00566D77" w:rsidRPr="00F91723" w:rsidRDefault="00BC0EF1" w:rsidP="00F91723">
      <w:r>
        <w:t>The sponsor</w:t>
      </w:r>
      <w:r w:rsidR="00566D77" w:rsidRPr="00F91723">
        <w:t xml:space="preserve"> has provided lists of erratum, and explanations of their significance, for the pivotal</w:t>
      </w:r>
      <w:r w:rsidR="00F91723">
        <w:t xml:space="preserve"> studies, the ISE and the ISS. </w:t>
      </w:r>
      <w:r w:rsidR="00566D77" w:rsidRPr="00F91723">
        <w:t xml:space="preserve">In the opinion of the </w:t>
      </w:r>
      <w:r w:rsidR="00DF7B56">
        <w:t>e</w:t>
      </w:r>
      <w:r w:rsidR="00566D77" w:rsidRPr="00F91723">
        <w:t>valuator, these errata do not materially change any of the conclusions from the data.</w:t>
      </w:r>
    </w:p>
    <w:p w:rsidR="00C618F7" w:rsidRDefault="00C618F7" w:rsidP="00C618F7">
      <w:pPr>
        <w:pStyle w:val="Heading2"/>
      </w:pPr>
      <w:bookmarkStart w:id="312" w:name="_Toc436383377"/>
      <w:r>
        <w:t>Second round benefit-risk assessment</w:t>
      </w:r>
      <w:bookmarkEnd w:id="312"/>
    </w:p>
    <w:p w:rsidR="00F91723" w:rsidRPr="00F91723" w:rsidRDefault="00F91723" w:rsidP="00F91723">
      <w:pPr>
        <w:pStyle w:val="Heading3"/>
      </w:pPr>
      <w:bookmarkStart w:id="313" w:name="_Toc272414709"/>
      <w:bookmarkStart w:id="314" w:name="_Toc290846349"/>
      <w:bookmarkStart w:id="315" w:name="_Toc290888886"/>
      <w:bookmarkStart w:id="316" w:name="_Toc407734533"/>
      <w:bookmarkStart w:id="317" w:name="_Toc436383378"/>
      <w:r w:rsidRPr="00F91723">
        <w:t>Second round assessment of benefits</w:t>
      </w:r>
      <w:bookmarkEnd w:id="313"/>
      <w:bookmarkEnd w:id="314"/>
      <w:bookmarkEnd w:id="315"/>
      <w:bookmarkEnd w:id="316"/>
      <w:bookmarkEnd w:id="317"/>
    </w:p>
    <w:p w:rsidR="00F91723" w:rsidRPr="00F91723" w:rsidRDefault="00F91723" w:rsidP="00F91723">
      <w:r w:rsidRPr="00F91723">
        <w:t xml:space="preserve">After consideration of the responses to clinical questions, the benefits of apixaban in the proposed usage are unchanged from those identified in </w:t>
      </w:r>
      <w:r w:rsidR="00DF7B56">
        <w:t>the First round evaluation</w:t>
      </w:r>
      <w:r w:rsidRPr="00F91723">
        <w:t>.</w:t>
      </w:r>
    </w:p>
    <w:p w:rsidR="00F91723" w:rsidRPr="00F91723" w:rsidRDefault="00F91723" w:rsidP="00F91723">
      <w:pPr>
        <w:pStyle w:val="Heading3"/>
      </w:pPr>
      <w:bookmarkStart w:id="318" w:name="_Toc272414710"/>
      <w:bookmarkStart w:id="319" w:name="_Toc290846350"/>
      <w:bookmarkStart w:id="320" w:name="_Toc290888887"/>
      <w:bookmarkStart w:id="321" w:name="_Toc407734534"/>
      <w:bookmarkStart w:id="322" w:name="_Toc436383379"/>
      <w:r w:rsidRPr="00F91723">
        <w:t>Second round assessment of risks</w:t>
      </w:r>
      <w:bookmarkEnd w:id="318"/>
      <w:bookmarkEnd w:id="319"/>
      <w:bookmarkEnd w:id="320"/>
      <w:bookmarkEnd w:id="321"/>
      <w:bookmarkEnd w:id="322"/>
    </w:p>
    <w:p w:rsidR="00F91723" w:rsidRPr="00F91723" w:rsidRDefault="00F91723" w:rsidP="00F91723">
      <w:r w:rsidRPr="00F91723">
        <w:t xml:space="preserve">After consideration of the responses to clinical questions, the risks of apixaban in the proposed usage, in addition to those identified in </w:t>
      </w:r>
      <w:r w:rsidR="00D01B8B">
        <w:t>the First round assessment of risk</w:t>
      </w:r>
      <w:r w:rsidRPr="00F91723">
        <w:t>, a</w:t>
      </w:r>
      <w:r>
        <w:t xml:space="preserve">re: drug induced liver injury. </w:t>
      </w:r>
      <w:r w:rsidRPr="00F91723">
        <w:t>The S31 data included one case of drug induced liv</w:t>
      </w:r>
      <w:r>
        <w:t xml:space="preserve">er injury. </w:t>
      </w:r>
      <w:r w:rsidRPr="00F91723">
        <w:t xml:space="preserve">In the opinion of the </w:t>
      </w:r>
      <w:r w:rsidR="00D01B8B">
        <w:t>e</w:t>
      </w:r>
      <w:r w:rsidRPr="00F91723">
        <w:t>valuator, transient elevation of liver enzymes should be listed as an important identified risk for all indications of apixaban.</w:t>
      </w:r>
      <w:r>
        <w:t xml:space="preserve"> </w:t>
      </w:r>
      <w:r w:rsidRPr="00F91723">
        <w:t>It is also appropriate that liver injury remains an Important Potential Risk.</w:t>
      </w:r>
    </w:p>
    <w:p w:rsidR="00F91723" w:rsidRPr="00F91723" w:rsidRDefault="00F91723" w:rsidP="00F91723">
      <w:pPr>
        <w:pStyle w:val="Heading3"/>
      </w:pPr>
      <w:bookmarkStart w:id="323" w:name="_Toc272414711"/>
      <w:bookmarkStart w:id="324" w:name="_Toc290846351"/>
      <w:bookmarkStart w:id="325" w:name="_Toc290888888"/>
      <w:bookmarkStart w:id="326" w:name="_Toc407734535"/>
      <w:bookmarkStart w:id="327" w:name="_Toc436383380"/>
      <w:r w:rsidRPr="00F91723">
        <w:t>Second round assessment of benefit-risk balance</w:t>
      </w:r>
      <w:bookmarkEnd w:id="323"/>
      <w:bookmarkEnd w:id="324"/>
      <w:bookmarkEnd w:id="325"/>
      <w:bookmarkEnd w:id="326"/>
      <w:bookmarkEnd w:id="327"/>
    </w:p>
    <w:p w:rsidR="00F91723" w:rsidRPr="00F91723" w:rsidRDefault="00F91723" w:rsidP="00F91723">
      <w:r w:rsidRPr="00F91723">
        <w:t xml:space="preserve">The risk-benefit balance remains the same </w:t>
      </w:r>
      <w:r>
        <w:t xml:space="preserve">as that stated in </w:t>
      </w:r>
      <w:r w:rsidR="00D01B8B">
        <w:t>First round evaluation</w:t>
      </w:r>
      <w:r>
        <w:t xml:space="preserve">. </w:t>
      </w:r>
      <w:r w:rsidRPr="00F91723">
        <w:t xml:space="preserve">The benefit-risk balance of </w:t>
      </w:r>
      <w:r w:rsidR="00BC0EF1">
        <w:t>Eliquis</w:t>
      </w:r>
      <w:r w:rsidRPr="00F91723">
        <w:t xml:space="preserve"> (apixaban), given the </w:t>
      </w:r>
      <w:r>
        <w:t xml:space="preserve">proposed usage, is favourable. </w:t>
      </w:r>
      <w:r w:rsidRPr="00F91723">
        <w:t xml:space="preserve">For the treatment of DVT and PE, apixaban has similar efficacy to </w:t>
      </w:r>
      <w:r w:rsidR="006135FE">
        <w:t>enoxaparin/warfarin</w:t>
      </w:r>
      <w:r w:rsidRPr="00F91723">
        <w:t xml:space="preserve"> but a lower</w:t>
      </w:r>
      <w:r>
        <w:t xml:space="preserve"> risk of bleeding related AEs. </w:t>
      </w:r>
      <w:r w:rsidRPr="00F91723">
        <w:t>For the prevention of recurrent DVT and PE, the reduction in DVT, PE and all-cause death with apixaban more than compensates for the increased</w:t>
      </w:r>
      <w:r>
        <w:t xml:space="preserve"> risk of bleeding related AEs. </w:t>
      </w:r>
      <w:r w:rsidRPr="00F91723">
        <w:t>The extended treatment of recurrent VTE is justified by the reduction in risk of DVT and PE in the treated population.</w:t>
      </w:r>
    </w:p>
    <w:p w:rsidR="00C618F7" w:rsidRDefault="00C618F7" w:rsidP="00C618F7">
      <w:pPr>
        <w:pStyle w:val="Heading2"/>
      </w:pPr>
      <w:bookmarkStart w:id="328" w:name="_Toc436383381"/>
      <w:r>
        <w:t>Second round recommendation regarding authorisation</w:t>
      </w:r>
      <w:bookmarkEnd w:id="328"/>
    </w:p>
    <w:p w:rsidR="00F91723" w:rsidRPr="00F91723" w:rsidRDefault="00F91723" w:rsidP="00F91723">
      <w:r w:rsidRPr="00F91723">
        <w:t xml:space="preserve">The </w:t>
      </w:r>
      <w:r w:rsidR="00D01B8B">
        <w:t>e</w:t>
      </w:r>
      <w:r w:rsidRPr="00F91723">
        <w:t xml:space="preserve">valuator has no objection to the approval of </w:t>
      </w:r>
      <w:r w:rsidR="00BC0EF1">
        <w:t>Eliquis</w:t>
      </w:r>
      <w:r w:rsidRPr="00F91723">
        <w:t xml:space="preserve"> (apixaban) for the following additional indications:</w:t>
      </w:r>
    </w:p>
    <w:p w:rsidR="00F91723" w:rsidRPr="00D01B8B" w:rsidRDefault="00BC0EF1" w:rsidP="00D01B8B">
      <w:pPr>
        <w:ind w:left="720"/>
        <w:rPr>
          <w:i/>
        </w:rPr>
      </w:pPr>
      <w:r w:rsidRPr="00D01B8B">
        <w:rPr>
          <w:i/>
        </w:rPr>
        <w:t>Eliquis</w:t>
      </w:r>
      <w:r w:rsidR="00F91723" w:rsidRPr="00D01B8B">
        <w:rPr>
          <w:i/>
        </w:rPr>
        <w:t xml:space="preserve"> is indicated for the treatment of deep vein thrombosis (DVT) and pulmonary embolism (PE).</w:t>
      </w:r>
    </w:p>
    <w:p w:rsidR="00F91723" w:rsidRPr="00D01B8B" w:rsidRDefault="00BC0EF1" w:rsidP="00D01B8B">
      <w:pPr>
        <w:ind w:left="720"/>
        <w:rPr>
          <w:i/>
        </w:rPr>
      </w:pPr>
      <w:r w:rsidRPr="00D01B8B">
        <w:rPr>
          <w:i/>
        </w:rPr>
        <w:t>Eliquis</w:t>
      </w:r>
      <w:r w:rsidR="00F91723" w:rsidRPr="00D01B8B">
        <w:rPr>
          <w:i/>
        </w:rPr>
        <w:t xml:space="preserve"> is indicated for the prevention of recurrent DVT and PE.</w:t>
      </w:r>
    </w:p>
    <w:p w:rsidR="00F91723" w:rsidRDefault="00F91723" w:rsidP="00F91723">
      <w:r w:rsidRPr="00F91723">
        <w:t>However, there are some subgroups of patients not included in the pivotal studies, to whom the results could not be extrapolated, and consideration should be given to excluding these patients</w:t>
      </w:r>
      <w:r>
        <w:t xml:space="preserve"> from treatment with apixaban. </w:t>
      </w:r>
      <w:r w:rsidRPr="00F91723">
        <w:t>These patients include: haemodynamically unstable patients, patients with massive PE, patients with multiple DVT/PE or patients with an underlying pro-coagulant disorder.</w:t>
      </w:r>
    </w:p>
    <w:p w:rsidR="00D01B8B" w:rsidRPr="00F91723" w:rsidRDefault="00D01B8B" w:rsidP="00D01B8B">
      <w:pPr>
        <w:pStyle w:val="Heading2"/>
      </w:pPr>
      <w:bookmarkStart w:id="329" w:name="_Toc436383382"/>
      <w:r>
        <w:lastRenderedPageBreak/>
        <w:t>References</w:t>
      </w:r>
      <w:bookmarkEnd w:id="329"/>
    </w:p>
    <w:bookmarkEnd w:id="2"/>
    <w:bookmarkEnd w:id="1"/>
    <w:bookmarkEnd w:id="3"/>
    <w:p w:rsidR="00F91723" w:rsidRPr="00F91723" w:rsidRDefault="00F91723" w:rsidP="00D01B8B">
      <w:pPr>
        <w:ind w:left="720" w:hanging="720"/>
      </w:pPr>
      <w:r w:rsidRPr="00F91723">
        <w:t>Dignan R, Keech AC, Gebski VJ, Mann KP, Hughes CF;</w:t>
      </w:r>
      <w:r>
        <w:t xml:space="preserve"> Warfarin SMART Investigators. </w:t>
      </w:r>
      <w:hyperlink r:id="rId50" w:history="1">
        <w:r w:rsidRPr="00F91723">
          <w:rPr>
            <w:rStyle w:val="Hyperlink"/>
          </w:rPr>
          <w:t>Is home warfarin self-management effective?  Results of the randomised Self-Management of Anticoagulation Research Trial.</w:t>
        </w:r>
      </w:hyperlink>
      <w:r>
        <w:t xml:space="preserve"> </w:t>
      </w:r>
      <w:r w:rsidRPr="00F91723">
        <w:t>Int J Cardiol. 2013 Oct 15;168(6):5378-84.</w:t>
      </w:r>
    </w:p>
    <w:p w:rsidR="003D1E62" w:rsidRPr="001D043B" w:rsidRDefault="00F91723" w:rsidP="00D01B8B">
      <w:pPr>
        <w:ind w:left="720" w:hanging="720"/>
        <w:sectPr w:rsidR="003D1E62" w:rsidRPr="001D043B" w:rsidSect="00F501C4">
          <w:headerReference w:type="even" r:id="rId51"/>
          <w:headerReference w:type="default" r:id="rId52"/>
          <w:headerReference w:type="first" r:id="rId53"/>
          <w:footerReference w:type="first" r:id="rId54"/>
          <w:type w:val="continuous"/>
          <w:pgSz w:w="11906" w:h="16838" w:code="9"/>
          <w:pgMar w:top="1440" w:right="1440" w:bottom="1440" w:left="1440" w:header="907" w:footer="216" w:gutter="0"/>
          <w:cols w:space="708"/>
          <w:docGrid w:linePitch="360"/>
        </w:sectPr>
      </w:pPr>
      <w:r w:rsidRPr="00F91723">
        <w:t>Fischer JE, Bachmann LM, Jaeschke</w:t>
      </w:r>
      <w:r>
        <w:t xml:space="preserve"> R. </w:t>
      </w:r>
      <w:r w:rsidRPr="00F91723">
        <w:t>A readers guide to the interpretation of diagnostic test properti</w:t>
      </w:r>
      <w:r>
        <w:t>es: clinical example of sepsis.</w:t>
      </w:r>
      <w:r w:rsidRPr="00F91723">
        <w:t xml:space="preserve"> Intensive Care Medicine. 2003; 29: 1043-1051</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1442B">
        <w:trPr>
          <w:trHeight w:hRule="exact" w:val="564"/>
        </w:trPr>
        <w:tc>
          <w:tcPr>
            <w:tcW w:w="9175" w:type="dxa"/>
          </w:tcPr>
          <w:p w:rsidR="00B3567E" w:rsidRPr="00487162" w:rsidRDefault="00B3567E" w:rsidP="0031442B">
            <w:pPr>
              <w:pStyle w:val="TGASignoff"/>
            </w:pPr>
            <w:r w:rsidRPr="00487162">
              <w:lastRenderedPageBreak/>
              <w:t>Therapeutic Goods Administration</w:t>
            </w:r>
          </w:p>
        </w:tc>
      </w:tr>
      <w:tr w:rsidR="00B3567E" w:rsidRPr="00487162" w:rsidTr="0031442B">
        <w:trPr>
          <w:trHeight w:val="1221"/>
        </w:trPr>
        <w:tc>
          <w:tcPr>
            <w:tcW w:w="9175" w:type="dxa"/>
            <w:tcMar>
              <w:top w:w="28" w:type="dxa"/>
            </w:tcMar>
          </w:tcPr>
          <w:p w:rsidR="00B3567E" w:rsidRPr="00487162" w:rsidRDefault="00B3567E" w:rsidP="0031442B">
            <w:pPr>
              <w:pStyle w:val="Address"/>
            </w:pPr>
            <w:r w:rsidRPr="00487162">
              <w:t>PO Box 100 Woden ACT 2606 Australia</w:t>
            </w:r>
          </w:p>
          <w:p w:rsidR="00B3567E" w:rsidRPr="00487162" w:rsidRDefault="00B3567E" w:rsidP="0031442B">
            <w:pPr>
              <w:pStyle w:val="Address"/>
            </w:pPr>
            <w:r w:rsidRPr="00487162">
              <w:t xml:space="preserve">Email: </w:t>
            </w:r>
            <w:hyperlink r:id="rId55" w:history="1">
              <w:r w:rsidRPr="008D770F">
                <w:rPr>
                  <w:rStyle w:val="Hyperlink"/>
                </w:rPr>
                <w:t>info@tga.gov.au</w:t>
              </w:r>
            </w:hyperlink>
            <w:r w:rsidRPr="00487162">
              <w:t xml:space="preserve">  Phone: 1800 020 653  Fax: 02 6232 8605</w:t>
            </w:r>
          </w:p>
          <w:p w:rsidR="00B3567E" w:rsidRPr="008D770F" w:rsidRDefault="00892E65" w:rsidP="0031442B">
            <w:pPr>
              <w:pStyle w:val="Address"/>
              <w:spacing w:line="260" w:lineRule="atLeast"/>
              <w:rPr>
                <w:b/>
                <w:color w:val="0000FF"/>
                <w:u w:val="single"/>
              </w:rPr>
            </w:pPr>
            <w:hyperlink r:id="rId56"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7"/>
      <w:headerReference w:type="default" r:id="rId58"/>
      <w:footerReference w:type="default" r:id="rId59"/>
      <w:headerReference w:type="first" r:id="rId60"/>
      <w:footerReference w:type="first" r:id="rId6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E65" w:rsidRDefault="00892E65" w:rsidP="00C40A36">
      <w:pPr>
        <w:spacing w:after="0"/>
      </w:pPr>
      <w:r>
        <w:separator/>
      </w:r>
    </w:p>
  </w:endnote>
  <w:endnote w:type="continuationSeparator" w:id="0">
    <w:p w:rsidR="00892E65" w:rsidRDefault="00892E6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Bold">
    <w:altName w:val="MS Mincho"/>
    <w:panose1 w:val="00000000000000000000"/>
    <w:charset w:val="80"/>
    <w:family w:val="auto"/>
    <w:notTrueType/>
    <w:pitch w:val="default"/>
    <w:sig w:usb0="00000003" w:usb1="08070000" w:usb2="00000010" w:usb3="00000000" w:csb0="00020001" w:csb1="00000000"/>
  </w:font>
  <w:font w:name="TimesNewRoman,BoldItalic">
    <w:altName w:val="MS Mincho"/>
    <w:panose1 w:val="00000000000000000000"/>
    <w:charset w:val="80"/>
    <w:family w:val="auto"/>
    <w:notTrueType/>
    <w:pitch w:val="default"/>
    <w:sig w:usb0="00000003" w:usb1="08070000" w:usb2="00000010" w:usb3="00000000" w:csb0="00020001" w:csb1="00000000"/>
  </w:font>
  <w:font w:name="TimesNewRoman">
    <w:altName w:val="Arial Unicode MS"/>
    <w:panose1 w:val="00000000000000000000"/>
    <w:charset w:val="80"/>
    <w:family w:val="auto"/>
    <w:notTrueType/>
    <w:pitch w:val="default"/>
    <w:sig w:usb0="00000003" w:usb1="09070000" w:usb2="00000010" w:usb3="00000000" w:csb0="000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485761" w:rsidRPr="00487162" w:rsidTr="00181E65">
      <w:trPr>
        <w:trHeight w:val="269"/>
      </w:trPr>
      <w:tc>
        <w:tcPr>
          <w:tcW w:w="7655" w:type="dxa"/>
          <w:tcMar>
            <w:top w:w="142" w:type="dxa"/>
            <w:bottom w:w="0" w:type="dxa"/>
          </w:tcMar>
        </w:tcPr>
        <w:p w:rsidR="00485761" w:rsidRPr="00487162" w:rsidRDefault="00485761" w:rsidP="00E7269A">
          <w:pPr>
            <w:pStyle w:val="Footer"/>
          </w:pPr>
          <w:r>
            <w:t>Submission</w:t>
          </w:r>
          <w:r w:rsidRPr="00487162">
            <w:t xml:space="preserve"> </w:t>
          </w:r>
          <w:r w:rsidRPr="00E7269A">
            <w:t>PM-2014-00349-1-3</w:t>
          </w:r>
          <w:r>
            <w:t xml:space="preserve"> Extract from the Clinical Evaluation Report for Eliquis</w:t>
          </w:r>
        </w:p>
      </w:tc>
      <w:tc>
        <w:tcPr>
          <w:tcW w:w="1206" w:type="dxa"/>
          <w:tcMar>
            <w:top w:w="142" w:type="dxa"/>
            <w:bottom w:w="0" w:type="dxa"/>
          </w:tcMar>
        </w:tcPr>
        <w:p w:rsidR="00485761" w:rsidRPr="00981D66" w:rsidRDefault="0048576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925BDD">
            <w:rPr>
              <w:noProof/>
            </w:rPr>
            <w:t>70</w:t>
          </w:r>
          <w:r w:rsidRPr="00981D66">
            <w:fldChar w:fldCharType="end"/>
          </w:r>
          <w:r w:rsidRPr="00981D66">
            <w:t xml:space="preserve"> of </w:t>
          </w:r>
          <w:r w:rsidR="00892E65">
            <w:fldChar w:fldCharType="begin"/>
          </w:r>
          <w:r w:rsidR="00892E65">
            <w:instrText xml:space="preserve"> NUMPAGES  \* Arabic  \* MERGEFORMAT </w:instrText>
          </w:r>
          <w:r w:rsidR="00892E65">
            <w:fldChar w:fldCharType="separate"/>
          </w:r>
          <w:r w:rsidR="00925BDD">
            <w:rPr>
              <w:noProof/>
            </w:rPr>
            <w:t>70</w:t>
          </w:r>
          <w:r w:rsidR="00892E65">
            <w:rPr>
              <w:noProof/>
            </w:rPr>
            <w:fldChar w:fldCharType="end"/>
          </w:r>
        </w:p>
      </w:tc>
    </w:tr>
  </w:tbl>
  <w:p w:rsidR="00485761" w:rsidRDefault="0048576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85761" w:rsidRPr="00487162" w:rsidTr="00E45619">
      <w:trPr>
        <w:trHeight w:val="269"/>
      </w:trPr>
      <w:tc>
        <w:tcPr>
          <w:tcW w:w="4519" w:type="dxa"/>
          <w:tcBorders>
            <w:top w:val="single" w:sz="4" w:space="0" w:color="auto"/>
          </w:tcBorders>
          <w:tcMar>
            <w:top w:w="142" w:type="dxa"/>
            <w:bottom w:w="0" w:type="dxa"/>
          </w:tcMar>
        </w:tcPr>
        <w:p w:rsidR="00485761" w:rsidRPr="00487162" w:rsidRDefault="00485761" w:rsidP="00FE1DEE">
          <w:pPr>
            <w:pStyle w:val="Footer"/>
          </w:pPr>
          <w:r w:rsidRPr="00487162">
            <w:t>Document title, Part #, Section # - Section title</w:t>
          </w:r>
        </w:p>
        <w:p w:rsidR="00485761" w:rsidRPr="00487162" w:rsidRDefault="00485761" w:rsidP="00FE1DEE">
          <w:pPr>
            <w:pStyle w:val="Footer"/>
          </w:pPr>
          <w:r w:rsidRPr="00487162">
            <w:t>V1.0 October 2010</w:t>
          </w:r>
        </w:p>
      </w:tc>
      <w:tc>
        <w:tcPr>
          <w:tcW w:w="4342" w:type="dxa"/>
          <w:tcBorders>
            <w:top w:val="single" w:sz="4" w:space="0" w:color="auto"/>
          </w:tcBorders>
          <w:tcMar>
            <w:top w:w="142" w:type="dxa"/>
            <w:bottom w:w="0" w:type="dxa"/>
          </w:tcMar>
        </w:tcPr>
        <w:p w:rsidR="00485761" w:rsidRPr="00487162" w:rsidRDefault="0048576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92E65">
            <w:fldChar w:fldCharType="begin"/>
          </w:r>
          <w:r w:rsidR="00892E65">
            <w:instrText xml:space="preserve"> NUMPAGES  </w:instrText>
          </w:r>
          <w:r w:rsidR="00892E65">
            <w:fldChar w:fldCharType="separate"/>
          </w:r>
          <w:r w:rsidR="00FB2F7A">
            <w:rPr>
              <w:noProof/>
            </w:rPr>
            <w:t>72</w:t>
          </w:r>
          <w:r w:rsidR="00892E65">
            <w:rPr>
              <w:noProof/>
            </w:rPr>
            <w:fldChar w:fldCharType="end"/>
          </w:r>
        </w:p>
      </w:tc>
    </w:tr>
  </w:tbl>
  <w:p w:rsidR="00485761" w:rsidRDefault="004857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85761" w:rsidTr="0010601F">
      <w:trPr>
        <w:trHeight w:val="108"/>
      </w:trPr>
      <w:tc>
        <w:tcPr>
          <w:tcW w:w="8875" w:type="dxa"/>
          <w:gridSpan w:val="2"/>
          <w:tcBorders>
            <w:bottom w:val="single" w:sz="4" w:space="0" w:color="auto"/>
          </w:tcBorders>
          <w:tcMar>
            <w:right w:w="284" w:type="dxa"/>
          </w:tcMar>
        </w:tcPr>
        <w:p w:rsidR="00485761" w:rsidRDefault="00485761" w:rsidP="006E08B3">
          <w:pPr>
            <w:pStyle w:val="Heading3"/>
          </w:pPr>
          <w:r>
            <w:t>Copyright</w:t>
          </w:r>
        </w:p>
        <w:p w:rsidR="00485761" w:rsidRDefault="00485761" w:rsidP="006E08B3">
          <w:r>
            <w:rPr>
              <w:rFonts w:cs="Arial"/>
            </w:rPr>
            <w:t>©</w:t>
          </w:r>
          <w:r>
            <w:t xml:space="preserve"> Commonwealth of Australia [add year]</w:t>
          </w:r>
        </w:p>
        <w:p w:rsidR="00485761" w:rsidRDefault="00485761" w:rsidP="006E08B3"/>
        <w:p w:rsidR="00485761" w:rsidRDefault="0048576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85761" w:rsidRDefault="00485761" w:rsidP="006E08B3"/>
        <w:p w:rsidR="00485761" w:rsidRDefault="00485761" w:rsidP="006E08B3">
          <w:pPr>
            <w:pStyle w:val="Heading3"/>
          </w:pPr>
          <w:r>
            <w:t>Confidentiality</w:t>
          </w:r>
        </w:p>
        <w:p w:rsidR="00485761" w:rsidRDefault="0048576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85761" w:rsidRDefault="00485761" w:rsidP="006E08B3"/>
        <w:p w:rsidR="00485761" w:rsidRDefault="00485761" w:rsidP="006E08B3">
          <w:r>
            <w:t>For submission made by individuals, all personal details, other than your name, will be removed from your submission before it is published on the TGA’s Internet site.</w:t>
          </w:r>
        </w:p>
        <w:p w:rsidR="00485761" w:rsidRDefault="00485761" w:rsidP="006E08B3"/>
        <w:p w:rsidR="00485761" w:rsidRDefault="00485761" w:rsidP="006E08B3">
          <w:r>
            <w:t>In addition, a list of parties making submissions will be published. If you do not wish to be identified with your submission you must specifically request this in the space provided ib the submission coversheet.</w:t>
          </w:r>
        </w:p>
      </w:tc>
    </w:tr>
    <w:tr w:rsidR="00485761" w:rsidTr="0010601F">
      <w:trPr>
        <w:trHeight w:val="417"/>
      </w:trPr>
      <w:tc>
        <w:tcPr>
          <w:tcW w:w="4519" w:type="dxa"/>
          <w:tcBorders>
            <w:top w:val="single" w:sz="4" w:space="0" w:color="auto"/>
          </w:tcBorders>
          <w:tcMar>
            <w:top w:w="142" w:type="dxa"/>
            <w:bottom w:w="0" w:type="dxa"/>
          </w:tcMar>
        </w:tcPr>
        <w:p w:rsidR="00485761" w:rsidRDefault="00485761" w:rsidP="006E08B3">
          <w:r>
            <w:t>Document title, Part #, Section # - Section title</w:t>
          </w:r>
        </w:p>
        <w:p w:rsidR="00485761" w:rsidRDefault="00485761" w:rsidP="006E08B3">
          <w:r>
            <w:t>V1.0 October 2010</w:t>
          </w:r>
        </w:p>
      </w:tc>
      <w:tc>
        <w:tcPr>
          <w:tcW w:w="4356" w:type="dxa"/>
          <w:tcBorders>
            <w:top w:val="single" w:sz="4" w:space="0" w:color="auto"/>
          </w:tcBorders>
          <w:tcMar>
            <w:top w:w="142" w:type="dxa"/>
            <w:bottom w:w="0" w:type="dxa"/>
          </w:tcMar>
        </w:tcPr>
        <w:p w:rsidR="00485761" w:rsidRDefault="0048576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92E65">
            <w:fldChar w:fldCharType="begin"/>
          </w:r>
          <w:r w:rsidR="00892E65">
            <w:instrText xml:space="preserve"> NUMPAGES  \* Arabic </w:instrText>
          </w:r>
          <w:r w:rsidR="00892E65">
            <w:fldChar w:fldCharType="separate"/>
          </w:r>
          <w:r w:rsidR="00FB2F7A">
            <w:rPr>
              <w:noProof/>
            </w:rPr>
            <w:t>72</w:t>
          </w:r>
          <w:r w:rsidR="00892E65">
            <w:rPr>
              <w:noProof/>
            </w:rPr>
            <w:fldChar w:fldCharType="end"/>
          </w:r>
          <w:r>
            <w:t xml:space="preserve">  </w:t>
          </w:r>
        </w:p>
      </w:tc>
    </w:tr>
  </w:tbl>
  <w:p w:rsidR="00485761" w:rsidRDefault="004857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E65" w:rsidRDefault="00892E65" w:rsidP="00C40A36">
      <w:pPr>
        <w:spacing w:after="0"/>
      </w:pPr>
      <w:r>
        <w:separator/>
      </w:r>
    </w:p>
  </w:footnote>
  <w:footnote w:type="continuationSeparator" w:id="0">
    <w:p w:rsidR="00892E65" w:rsidRDefault="00892E65"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85761" w:rsidRDefault="00485761"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761" w:rsidRDefault="00485761" w:rsidP="006E08B3">
    <w:r>
      <w:t>Therapeutic Goods Administration</w:t>
    </w:r>
  </w:p>
  <w:p w:rsidR="00485761" w:rsidRDefault="0048576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F9D11CC"/>
    <w:multiLevelType w:val="hybridMultilevel"/>
    <w:tmpl w:val="EAF2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66740A"/>
    <w:multiLevelType w:val="hybridMultilevel"/>
    <w:tmpl w:val="4AC4A154"/>
    <w:lvl w:ilvl="0" w:tplc="AAAE3F22">
      <w:start w:val="1"/>
      <w:numFmt w:val="bullet"/>
      <w:pStyle w:val="Bullet1"/>
      <w:lvlText w:val="•"/>
      <w:lvlJc w:val="left"/>
      <w:pPr>
        <w:tabs>
          <w:tab w:val="num" w:pos="568"/>
        </w:tabs>
        <w:ind w:left="568"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1A33D2"/>
    <w:multiLevelType w:val="hybridMultilevel"/>
    <w:tmpl w:val="81FE7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B3354F0"/>
    <w:multiLevelType w:val="hybridMultilevel"/>
    <w:tmpl w:val="9086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095847"/>
    <w:multiLevelType w:val="hybridMultilevel"/>
    <w:tmpl w:val="ECA86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7DF6EC9"/>
    <w:multiLevelType w:val="hybridMultilevel"/>
    <w:tmpl w:val="E6AA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985"/>
        </w:tabs>
        <w:ind w:left="1985"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0">
    <w:nsid w:val="6915173F"/>
    <w:multiLevelType w:val="hybridMultilevel"/>
    <w:tmpl w:val="1F4C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3"/>
  </w:num>
  <w:num w:numId="8">
    <w:abstractNumId w:val="5"/>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0"/>
  </w:num>
  <w:num w:numId="13">
    <w:abstractNumId w:val="8"/>
  </w:num>
  <w:num w:numId="14">
    <w:abstractNumId w:val="7"/>
  </w:num>
  <w:num w:numId="15">
    <w:abstractNumId w:val="6"/>
  </w:num>
  <w:num w:numId="16">
    <w:abstractNumId w:val="4"/>
  </w:num>
  <w:num w:numId="17">
    <w:abstractNumId w:val="2"/>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47B"/>
    <w:rsid w:val="00002031"/>
    <w:rsid w:val="00004734"/>
    <w:rsid w:val="00006B22"/>
    <w:rsid w:val="0001276A"/>
    <w:rsid w:val="000246AE"/>
    <w:rsid w:val="00025C67"/>
    <w:rsid w:val="00040ACB"/>
    <w:rsid w:val="0005559E"/>
    <w:rsid w:val="00060C03"/>
    <w:rsid w:val="00077775"/>
    <w:rsid w:val="00081DB1"/>
    <w:rsid w:val="00090471"/>
    <w:rsid w:val="00097B5E"/>
    <w:rsid w:val="000A3AED"/>
    <w:rsid w:val="000A63AF"/>
    <w:rsid w:val="000B3532"/>
    <w:rsid w:val="000B3A75"/>
    <w:rsid w:val="000C690F"/>
    <w:rsid w:val="000D1295"/>
    <w:rsid w:val="000D391B"/>
    <w:rsid w:val="000D3D6D"/>
    <w:rsid w:val="000D4FC7"/>
    <w:rsid w:val="000F02F9"/>
    <w:rsid w:val="000F452D"/>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32FE"/>
    <w:rsid w:val="00154EBB"/>
    <w:rsid w:val="00156316"/>
    <w:rsid w:val="00165389"/>
    <w:rsid w:val="0017078F"/>
    <w:rsid w:val="0017693F"/>
    <w:rsid w:val="0018110E"/>
    <w:rsid w:val="00181684"/>
    <w:rsid w:val="00181B07"/>
    <w:rsid w:val="00181E65"/>
    <w:rsid w:val="001843C6"/>
    <w:rsid w:val="001850E0"/>
    <w:rsid w:val="001A2158"/>
    <w:rsid w:val="001A525F"/>
    <w:rsid w:val="001B09F9"/>
    <w:rsid w:val="001B5D98"/>
    <w:rsid w:val="001B6448"/>
    <w:rsid w:val="001C657B"/>
    <w:rsid w:val="001E07CF"/>
    <w:rsid w:val="001E5318"/>
    <w:rsid w:val="001E59F1"/>
    <w:rsid w:val="001F497A"/>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B2860"/>
    <w:rsid w:val="002C63ED"/>
    <w:rsid w:val="002D2143"/>
    <w:rsid w:val="002D545C"/>
    <w:rsid w:val="002D6161"/>
    <w:rsid w:val="002E4C9A"/>
    <w:rsid w:val="002F11F8"/>
    <w:rsid w:val="002F3F56"/>
    <w:rsid w:val="002F44B5"/>
    <w:rsid w:val="00311AC0"/>
    <w:rsid w:val="0031442B"/>
    <w:rsid w:val="0032583B"/>
    <w:rsid w:val="00327883"/>
    <w:rsid w:val="00335504"/>
    <w:rsid w:val="003521E8"/>
    <w:rsid w:val="00353304"/>
    <w:rsid w:val="00370C3D"/>
    <w:rsid w:val="003728F3"/>
    <w:rsid w:val="0037496E"/>
    <w:rsid w:val="0037623D"/>
    <w:rsid w:val="00386150"/>
    <w:rsid w:val="003874CE"/>
    <w:rsid w:val="00390900"/>
    <w:rsid w:val="00396C92"/>
    <w:rsid w:val="003A7F6C"/>
    <w:rsid w:val="003B1113"/>
    <w:rsid w:val="003B1DE9"/>
    <w:rsid w:val="003B3230"/>
    <w:rsid w:val="003B4D60"/>
    <w:rsid w:val="003B634F"/>
    <w:rsid w:val="003B7E39"/>
    <w:rsid w:val="003C58DC"/>
    <w:rsid w:val="003D0A3B"/>
    <w:rsid w:val="003D1E62"/>
    <w:rsid w:val="003D4AC3"/>
    <w:rsid w:val="003E2486"/>
    <w:rsid w:val="003E3208"/>
    <w:rsid w:val="003E639E"/>
    <w:rsid w:val="003F0B04"/>
    <w:rsid w:val="003F0D0A"/>
    <w:rsid w:val="003F3088"/>
    <w:rsid w:val="003F7487"/>
    <w:rsid w:val="0040134E"/>
    <w:rsid w:val="00402BC5"/>
    <w:rsid w:val="00413693"/>
    <w:rsid w:val="00415D59"/>
    <w:rsid w:val="00433FD1"/>
    <w:rsid w:val="0043797D"/>
    <w:rsid w:val="00440A2D"/>
    <w:rsid w:val="004564A7"/>
    <w:rsid w:val="00456F9D"/>
    <w:rsid w:val="004617BF"/>
    <w:rsid w:val="00463658"/>
    <w:rsid w:val="004722CC"/>
    <w:rsid w:val="00485761"/>
    <w:rsid w:val="004936E4"/>
    <w:rsid w:val="00494E60"/>
    <w:rsid w:val="00497487"/>
    <w:rsid w:val="004A7E13"/>
    <w:rsid w:val="004B6782"/>
    <w:rsid w:val="004B7B76"/>
    <w:rsid w:val="004C2DCA"/>
    <w:rsid w:val="004F0F38"/>
    <w:rsid w:val="004F25FC"/>
    <w:rsid w:val="004F4AF5"/>
    <w:rsid w:val="00501921"/>
    <w:rsid w:val="00530354"/>
    <w:rsid w:val="0053625B"/>
    <w:rsid w:val="005434C6"/>
    <w:rsid w:val="00543B39"/>
    <w:rsid w:val="00544924"/>
    <w:rsid w:val="00550096"/>
    <w:rsid w:val="00557FF9"/>
    <w:rsid w:val="00566D77"/>
    <w:rsid w:val="0057597F"/>
    <w:rsid w:val="00576378"/>
    <w:rsid w:val="00577945"/>
    <w:rsid w:val="00577E38"/>
    <w:rsid w:val="00584854"/>
    <w:rsid w:val="00585322"/>
    <w:rsid w:val="005857C6"/>
    <w:rsid w:val="00586F98"/>
    <w:rsid w:val="00592F6E"/>
    <w:rsid w:val="00593AD1"/>
    <w:rsid w:val="00594E92"/>
    <w:rsid w:val="005A68B6"/>
    <w:rsid w:val="005B41D8"/>
    <w:rsid w:val="005C5570"/>
    <w:rsid w:val="005C79A4"/>
    <w:rsid w:val="005D2E93"/>
    <w:rsid w:val="005D5442"/>
    <w:rsid w:val="00603F32"/>
    <w:rsid w:val="006135FE"/>
    <w:rsid w:val="006170F0"/>
    <w:rsid w:val="00620406"/>
    <w:rsid w:val="00632398"/>
    <w:rsid w:val="00640FC3"/>
    <w:rsid w:val="00642020"/>
    <w:rsid w:val="00646206"/>
    <w:rsid w:val="0065337B"/>
    <w:rsid w:val="0065419D"/>
    <w:rsid w:val="00654307"/>
    <w:rsid w:val="006604D8"/>
    <w:rsid w:val="00664A5B"/>
    <w:rsid w:val="006763D2"/>
    <w:rsid w:val="00680C08"/>
    <w:rsid w:val="006931B1"/>
    <w:rsid w:val="006A15C0"/>
    <w:rsid w:val="006B4C50"/>
    <w:rsid w:val="006C130C"/>
    <w:rsid w:val="006C3E2A"/>
    <w:rsid w:val="006C642F"/>
    <w:rsid w:val="006D03E5"/>
    <w:rsid w:val="006D5D3E"/>
    <w:rsid w:val="006E08B3"/>
    <w:rsid w:val="006E364F"/>
    <w:rsid w:val="006E4AC7"/>
    <w:rsid w:val="006F17AC"/>
    <w:rsid w:val="006F1D37"/>
    <w:rsid w:val="006F26D0"/>
    <w:rsid w:val="006F2796"/>
    <w:rsid w:val="006F547B"/>
    <w:rsid w:val="006F572E"/>
    <w:rsid w:val="007046D6"/>
    <w:rsid w:val="00705DB0"/>
    <w:rsid w:val="00710936"/>
    <w:rsid w:val="007137B3"/>
    <w:rsid w:val="00722B57"/>
    <w:rsid w:val="00734AE2"/>
    <w:rsid w:val="0074253D"/>
    <w:rsid w:val="0074429B"/>
    <w:rsid w:val="007513B4"/>
    <w:rsid w:val="007615BC"/>
    <w:rsid w:val="00762F05"/>
    <w:rsid w:val="007652FF"/>
    <w:rsid w:val="007661A5"/>
    <w:rsid w:val="00770EF1"/>
    <w:rsid w:val="00773EF7"/>
    <w:rsid w:val="00774E1D"/>
    <w:rsid w:val="0077675A"/>
    <w:rsid w:val="00780355"/>
    <w:rsid w:val="00785721"/>
    <w:rsid w:val="00793A59"/>
    <w:rsid w:val="007A7042"/>
    <w:rsid w:val="007B6E9F"/>
    <w:rsid w:val="007C1216"/>
    <w:rsid w:val="007C1AF7"/>
    <w:rsid w:val="007E6E27"/>
    <w:rsid w:val="00805D27"/>
    <w:rsid w:val="00821776"/>
    <w:rsid w:val="008303C7"/>
    <w:rsid w:val="008320D3"/>
    <w:rsid w:val="008321F5"/>
    <w:rsid w:val="00832369"/>
    <w:rsid w:val="00834660"/>
    <w:rsid w:val="00836BC2"/>
    <w:rsid w:val="008414A0"/>
    <w:rsid w:val="008511D0"/>
    <w:rsid w:val="0085641B"/>
    <w:rsid w:val="00857136"/>
    <w:rsid w:val="00870819"/>
    <w:rsid w:val="00871F86"/>
    <w:rsid w:val="00886D15"/>
    <w:rsid w:val="00887DD8"/>
    <w:rsid w:val="00892E65"/>
    <w:rsid w:val="00896018"/>
    <w:rsid w:val="008960DD"/>
    <w:rsid w:val="0089614C"/>
    <w:rsid w:val="0089635C"/>
    <w:rsid w:val="008A2B9D"/>
    <w:rsid w:val="008A5E0B"/>
    <w:rsid w:val="008A6D59"/>
    <w:rsid w:val="008B4B03"/>
    <w:rsid w:val="008B596F"/>
    <w:rsid w:val="008B5A3E"/>
    <w:rsid w:val="008C159F"/>
    <w:rsid w:val="008C1623"/>
    <w:rsid w:val="008C1850"/>
    <w:rsid w:val="008C2467"/>
    <w:rsid w:val="008C51A9"/>
    <w:rsid w:val="008C7E54"/>
    <w:rsid w:val="008D770F"/>
    <w:rsid w:val="008E7846"/>
    <w:rsid w:val="008F1CCC"/>
    <w:rsid w:val="008F2967"/>
    <w:rsid w:val="008F6943"/>
    <w:rsid w:val="008F69AF"/>
    <w:rsid w:val="00902A21"/>
    <w:rsid w:val="00903B5B"/>
    <w:rsid w:val="00920330"/>
    <w:rsid w:val="009219D7"/>
    <w:rsid w:val="00922D53"/>
    <w:rsid w:val="00923B70"/>
    <w:rsid w:val="00924482"/>
    <w:rsid w:val="00925BDD"/>
    <w:rsid w:val="00930237"/>
    <w:rsid w:val="009438E8"/>
    <w:rsid w:val="0094614A"/>
    <w:rsid w:val="00946EA5"/>
    <w:rsid w:val="0095160F"/>
    <w:rsid w:val="00951964"/>
    <w:rsid w:val="00957C9C"/>
    <w:rsid w:val="00963C08"/>
    <w:rsid w:val="00965EE4"/>
    <w:rsid w:val="00981D66"/>
    <w:rsid w:val="0098585A"/>
    <w:rsid w:val="0098669D"/>
    <w:rsid w:val="00994C95"/>
    <w:rsid w:val="009A4CED"/>
    <w:rsid w:val="009A68D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A5825"/>
    <w:rsid w:val="00AB2597"/>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55F"/>
    <w:rsid w:val="00B3567E"/>
    <w:rsid w:val="00B37D17"/>
    <w:rsid w:val="00B4175E"/>
    <w:rsid w:val="00B43534"/>
    <w:rsid w:val="00B452CE"/>
    <w:rsid w:val="00B54C25"/>
    <w:rsid w:val="00B76B91"/>
    <w:rsid w:val="00B77EB1"/>
    <w:rsid w:val="00B811C6"/>
    <w:rsid w:val="00B83637"/>
    <w:rsid w:val="00B85A87"/>
    <w:rsid w:val="00B92E08"/>
    <w:rsid w:val="00B96EBE"/>
    <w:rsid w:val="00BA2B32"/>
    <w:rsid w:val="00BC0EF1"/>
    <w:rsid w:val="00BC622A"/>
    <w:rsid w:val="00BD0A0F"/>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A40A2"/>
    <w:rsid w:val="00CB4F5C"/>
    <w:rsid w:val="00CB6BC0"/>
    <w:rsid w:val="00CB7C9E"/>
    <w:rsid w:val="00CC1B7C"/>
    <w:rsid w:val="00CC727F"/>
    <w:rsid w:val="00CF15C3"/>
    <w:rsid w:val="00CF2B6F"/>
    <w:rsid w:val="00CF38ED"/>
    <w:rsid w:val="00CF58B6"/>
    <w:rsid w:val="00D017ED"/>
    <w:rsid w:val="00D01B8B"/>
    <w:rsid w:val="00D040D3"/>
    <w:rsid w:val="00D04C65"/>
    <w:rsid w:val="00D224FE"/>
    <w:rsid w:val="00D53A31"/>
    <w:rsid w:val="00D6493E"/>
    <w:rsid w:val="00D66132"/>
    <w:rsid w:val="00D7301E"/>
    <w:rsid w:val="00D83AE1"/>
    <w:rsid w:val="00D855D4"/>
    <w:rsid w:val="00D87961"/>
    <w:rsid w:val="00D93466"/>
    <w:rsid w:val="00DA1124"/>
    <w:rsid w:val="00DB71C1"/>
    <w:rsid w:val="00DB75B7"/>
    <w:rsid w:val="00DC6E02"/>
    <w:rsid w:val="00DC7C45"/>
    <w:rsid w:val="00DE02AE"/>
    <w:rsid w:val="00DF1D7F"/>
    <w:rsid w:val="00DF4BE4"/>
    <w:rsid w:val="00DF7B56"/>
    <w:rsid w:val="00E02FB4"/>
    <w:rsid w:val="00E06780"/>
    <w:rsid w:val="00E07F15"/>
    <w:rsid w:val="00E20571"/>
    <w:rsid w:val="00E235F7"/>
    <w:rsid w:val="00E23659"/>
    <w:rsid w:val="00E239D4"/>
    <w:rsid w:val="00E26130"/>
    <w:rsid w:val="00E2741C"/>
    <w:rsid w:val="00E34E4B"/>
    <w:rsid w:val="00E40B22"/>
    <w:rsid w:val="00E45619"/>
    <w:rsid w:val="00E4588F"/>
    <w:rsid w:val="00E46DA3"/>
    <w:rsid w:val="00E51BB1"/>
    <w:rsid w:val="00E57B0F"/>
    <w:rsid w:val="00E624A5"/>
    <w:rsid w:val="00E7269A"/>
    <w:rsid w:val="00E7344E"/>
    <w:rsid w:val="00E936E3"/>
    <w:rsid w:val="00E979F4"/>
    <w:rsid w:val="00EB0798"/>
    <w:rsid w:val="00EB40AD"/>
    <w:rsid w:val="00EB586E"/>
    <w:rsid w:val="00EB5FC8"/>
    <w:rsid w:val="00EC0EB7"/>
    <w:rsid w:val="00EC6B2B"/>
    <w:rsid w:val="00ED3CAD"/>
    <w:rsid w:val="00ED5A41"/>
    <w:rsid w:val="00EE1DE8"/>
    <w:rsid w:val="00F033EC"/>
    <w:rsid w:val="00F04F68"/>
    <w:rsid w:val="00F12670"/>
    <w:rsid w:val="00F14B27"/>
    <w:rsid w:val="00F1597D"/>
    <w:rsid w:val="00F24AA0"/>
    <w:rsid w:val="00F27189"/>
    <w:rsid w:val="00F3148D"/>
    <w:rsid w:val="00F325C5"/>
    <w:rsid w:val="00F32FE0"/>
    <w:rsid w:val="00F35298"/>
    <w:rsid w:val="00F47333"/>
    <w:rsid w:val="00F47E37"/>
    <w:rsid w:val="00F501C4"/>
    <w:rsid w:val="00F53C07"/>
    <w:rsid w:val="00F54B65"/>
    <w:rsid w:val="00F570E4"/>
    <w:rsid w:val="00F640B6"/>
    <w:rsid w:val="00F80E40"/>
    <w:rsid w:val="00F848D9"/>
    <w:rsid w:val="00F91723"/>
    <w:rsid w:val="00FA5B82"/>
    <w:rsid w:val="00FA639E"/>
    <w:rsid w:val="00FB2F7A"/>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661A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E34E4B"/>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E34E4B"/>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7597F"/>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E34E4B"/>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E34E4B"/>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34E4B"/>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E34E4B"/>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31442B"/>
    <w:pPr>
      <w:autoSpaceDE w:val="0"/>
      <w:autoSpaceDN w:val="0"/>
      <w:adjustRightInd w:val="0"/>
      <w:spacing w:after="0" w:line="240" w:lineRule="auto"/>
    </w:pPr>
    <w:rPr>
      <w:rFonts w:ascii="Symbol" w:eastAsia="Times New Roman" w:hAnsi="Symbol" w:cs="Symbol"/>
      <w:color w:val="000000"/>
      <w:sz w:val="24"/>
      <w:szCs w:val="24"/>
      <w:lang w:val="en-US"/>
    </w:rPr>
  </w:style>
  <w:style w:type="paragraph" w:customStyle="1" w:styleId="Bullet1">
    <w:name w:val="Bullet 1"/>
    <w:basedOn w:val="Normal"/>
    <w:rsid w:val="0031442B"/>
    <w:pPr>
      <w:numPr>
        <w:numId w:val="7"/>
      </w:numPr>
      <w:tabs>
        <w:tab w:val="clear" w:pos="568"/>
        <w:tab w:val="left" w:pos="284"/>
      </w:tabs>
      <w:spacing w:after="0" w:line="240" w:lineRule="auto"/>
    </w:pPr>
    <w:rPr>
      <w:rFonts w:eastAsia="Times New Roman"/>
      <w:kern w:val="24"/>
      <w:szCs w:val="24"/>
      <w:lang w:eastAsia="en-AU"/>
    </w:rPr>
  </w:style>
  <w:style w:type="paragraph" w:customStyle="1" w:styleId="Bullet2">
    <w:name w:val="Bullet 2"/>
    <w:basedOn w:val="Bullet1"/>
    <w:rsid w:val="0031442B"/>
    <w:pPr>
      <w:numPr>
        <w:numId w:val="8"/>
      </w:numPr>
    </w:pPr>
  </w:style>
  <w:style w:type="character" w:customStyle="1" w:styleId="Heading8Char">
    <w:name w:val="Heading 8 Char"/>
    <w:basedOn w:val="DefaultParagraphFont"/>
    <w:link w:val="Heading8"/>
    <w:uiPriority w:val="9"/>
    <w:semiHidden/>
    <w:rsid w:val="007661A5"/>
    <w:rPr>
      <w:rFonts w:asciiTheme="majorHAnsi" w:eastAsiaTheme="majorEastAsia" w:hAnsiTheme="majorHAnsi" w:cstheme="majorBidi"/>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661A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E34E4B"/>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E34E4B"/>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7597F"/>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E34E4B"/>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E34E4B"/>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E34E4B"/>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E34E4B"/>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31442B"/>
    <w:pPr>
      <w:autoSpaceDE w:val="0"/>
      <w:autoSpaceDN w:val="0"/>
      <w:adjustRightInd w:val="0"/>
      <w:spacing w:after="0" w:line="240" w:lineRule="auto"/>
    </w:pPr>
    <w:rPr>
      <w:rFonts w:ascii="Symbol" w:eastAsia="Times New Roman" w:hAnsi="Symbol" w:cs="Symbol"/>
      <w:color w:val="000000"/>
      <w:sz w:val="24"/>
      <w:szCs w:val="24"/>
      <w:lang w:val="en-US"/>
    </w:rPr>
  </w:style>
  <w:style w:type="paragraph" w:customStyle="1" w:styleId="Bullet1">
    <w:name w:val="Bullet 1"/>
    <w:basedOn w:val="Normal"/>
    <w:rsid w:val="0031442B"/>
    <w:pPr>
      <w:numPr>
        <w:numId w:val="7"/>
      </w:numPr>
      <w:tabs>
        <w:tab w:val="clear" w:pos="568"/>
        <w:tab w:val="left" w:pos="284"/>
      </w:tabs>
      <w:spacing w:after="0" w:line="240" w:lineRule="auto"/>
    </w:pPr>
    <w:rPr>
      <w:rFonts w:eastAsia="Times New Roman"/>
      <w:kern w:val="24"/>
      <w:szCs w:val="24"/>
      <w:lang w:eastAsia="en-AU"/>
    </w:rPr>
  </w:style>
  <w:style w:type="paragraph" w:customStyle="1" w:styleId="Bullet2">
    <w:name w:val="Bullet 2"/>
    <w:basedOn w:val="Bullet1"/>
    <w:rsid w:val="0031442B"/>
    <w:pPr>
      <w:numPr>
        <w:numId w:val="8"/>
      </w:numPr>
    </w:pPr>
  </w:style>
  <w:style w:type="character" w:customStyle="1" w:styleId="Heading8Char">
    <w:name w:val="Heading 8 Char"/>
    <w:basedOn w:val="DefaultParagraphFont"/>
    <w:link w:val="Heading8"/>
    <w:uiPriority w:val="9"/>
    <w:semiHidden/>
    <w:rsid w:val="007661A5"/>
    <w:rPr>
      <w:rFonts w:asciiTheme="majorHAnsi" w:eastAsiaTheme="majorEastAsia" w:hAnsiTheme="majorHAnsi" w:cstheme="majorBidi"/>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1814">
      <w:bodyDiv w:val="1"/>
      <w:marLeft w:val="0"/>
      <w:marRight w:val="0"/>
      <w:marTop w:val="0"/>
      <w:marBottom w:val="0"/>
      <w:divBdr>
        <w:top w:val="none" w:sz="0" w:space="0" w:color="auto"/>
        <w:left w:val="none" w:sz="0" w:space="0" w:color="auto"/>
        <w:bottom w:val="none" w:sz="0" w:space="0" w:color="auto"/>
        <w:right w:val="none" w:sz="0" w:space="0" w:color="auto"/>
      </w:divBdr>
    </w:div>
    <w:div w:id="364646595">
      <w:bodyDiv w:val="1"/>
      <w:marLeft w:val="0"/>
      <w:marRight w:val="0"/>
      <w:marTop w:val="0"/>
      <w:marBottom w:val="0"/>
      <w:divBdr>
        <w:top w:val="none" w:sz="0" w:space="0" w:color="auto"/>
        <w:left w:val="none" w:sz="0" w:space="0" w:color="auto"/>
        <w:bottom w:val="none" w:sz="0" w:space="0" w:color="auto"/>
        <w:right w:val="none" w:sz="0" w:space="0" w:color="auto"/>
      </w:divBdr>
    </w:div>
    <w:div w:id="85171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hyperlink" Target="http://www.ncbi.nlm.nih.gov/pubmed/24083884" TargetMode="External"/><Relationship Id="rId55" Type="http://schemas.openxmlformats.org/officeDocument/2006/relationships/hyperlink" Target="mailto:info@tga.gov.a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footer" Target="foot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5.xml"/><Relationship Id="rId58"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header" Target="header6.xml"/><Relationship Id="rId61" Type="http://schemas.openxmlformats.org/officeDocument/2006/relationships/footer" Target="footer4.xml"/><Relationship Id="rId10" Type="http://schemas.openxmlformats.org/officeDocument/2006/relationships/hyperlink" Target="https://www.tga.gov.au/product-information-pi"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header" Target="header4.xml"/><Relationship Id="rId60"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45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20C2D-B4DF-4ED8-A8A8-DD7D9459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34</TotalTime>
  <Pages>71</Pages>
  <Words>19522</Words>
  <Characters>111281</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Apixaban</vt:lpstr>
    </vt:vector>
  </TitlesOfParts>
  <Company>TGA</Company>
  <LinksUpToDate>false</LinksUpToDate>
  <CharactersWithSpaces>130542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Apixaban</dc:title>
  <dc:subject>prescription medicines</dc:subject>
  <dc:creator>Therapeutic Goods Administration</dc:creator>
  <cp:keywords>AusPARs</cp:keywords>
  <cp:lastModifiedBy>Sheppard, Fran</cp:lastModifiedBy>
  <cp:revision>22</cp:revision>
  <cp:lastPrinted>2015-09-22T23:53:00Z</cp:lastPrinted>
  <dcterms:created xsi:type="dcterms:W3CDTF">2015-11-10T02:20:00Z</dcterms:created>
  <dcterms:modified xsi:type="dcterms:W3CDTF">2015-11-26T23:54:00Z</dcterms:modified>
</cp:coreProperties>
</file>