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487162" w:rsidRDefault="004535DD" w:rsidP="00E45619">
            <w:pPr>
              <w:rPr>
                <w:rFonts w:ascii="Arial" w:hAnsi="Arial" w:cs="Arial"/>
                <w:b/>
                <w:color w:val="002C47"/>
                <w:sz w:val="36"/>
                <w:szCs w:val="36"/>
              </w:rPr>
            </w:pPr>
            <w:r>
              <w:rPr>
                <w:rFonts w:ascii="Arial" w:hAnsi="Arial" w:cs="Arial"/>
                <w:b/>
                <w:color w:val="002C47"/>
                <w:sz w:val="36"/>
                <w:szCs w:val="36"/>
              </w:rPr>
              <w:t xml:space="preserve">June </w:t>
            </w:r>
            <w:r w:rsidR="00A00E5F">
              <w:rPr>
                <w:rFonts w:ascii="Arial" w:hAnsi="Arial" w:cs="Arial"/>
                <w:b/>
                <w:color w:val="002C47"/>
                <w:sz w:val="36"/>
                <w:szCs w:val="36"/>
              </w:rPr>
              <w:t>2013</w:t>
            </w:r>
          </w:p>
          <w:p w:rsidR="008E7846" w:rsidRPr="00487162" w:rsidRDefault="008E7846" w:rsidP="00E45619">
            <w:pPr>
              <w:pStyle w:val="Date"/>
              <w:jc w:val="right"/>
              <w:rPr>
                <w:color w:val="006DA7"/>
              </w:rPr>
            </w:pP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00E5F">
            <w:pPr>
              <w:pStyle w:val="Title"/>
              <w:rPr>
                <w:color w:val="FFFFFF" w:themeColor="background1"/>
              </w:rPr>
            </w:pPr>
            <w:r w:rsidRPr="00A964D1">
              <w:rPr>
                <w:color w:val="FFFFFF" w:themeColor="background1"/>
              </w:rPr>
              <w:t xml:space="preserve">Australian Public Assessment Report for </w:t>
            </w:r>
            <w:r w:rsidR="00BE1C93">
              <w:rPr>
                <w:color w:val="FFFFFF" w:themeColor="background1"/>
              </w:rPr>
              <w:t>A</w:t>
            </w:r>
            <w:r w:rsidR="00A00E5F">
              <w:rPr>
                <w:color w:val="FFFFFF" w:themeColor="background1"/>
              </w:rPr>
              <w:t>pixaban</w:t>
            </w:r>
          </w:p>
        </w:tc>
      </w:tr>
      <w:tr w:rsidR="0032583B" w:rsidRPr="00B64760" w:rsidTr="0032583B">
        <w:tc>
          <w:tcPr>
            <w:tcW w:w="9079" w:type="dxa"/>
          </w:tcPr>
          <w:p w:rsidR="0032583B" w:rsidRPr="008E7846" w:rsidRDefault="0032583B" w:rsidP="00A00E5F">
            <w:pPr>
              <w:pStyle w:val="Subtitle"/>
              <w:rPr>
                <w:color w:val="FFFFFF" w:themeColor="background1"/>
              </w:rPr>
            </w:pPr>
            <w:r w:rsidRPr="008E7846">
              <w:rPr>
                <w:color w:val="FFFFFF" w:themeColor="background1"/>
              </w:rPr>
              <w:t xml:space="preserve">Proprietary Product Name: </w:t>
            </w:r>
            <w:proofErr w:type="spellStart"/>
            <w:r w:rsidR="00A00E5F">
              <w:rPr>
                <w:color w:val="FFFFFF" w:themeColor="background1"/>
              </w:rPr>
              <w:t>Eliquis</w:t>
            </w:r>
            <w:proofErr w:type="spellEnd"/>
          </w:p>
        </w:tc>
      </w:tr>
      <w:tr w:rsidR="0032583B" w:rsidRPr="00B64760" w:rsidTr="0032583B">
        <w:trPr>
          <w:trHeight w:val="486"/>
        </w:trPr>
        <w:tc>
          <w:tcPr>
            <w:tcW w:w="9079" w:type="dxa"/>
          </w:tcPr>
          <w:p w:rsidR="0032583B" w:rsidRPr="008E7846" w:rsidRDefault="00A00E5F" w:rsidP="0032583B">
            <w:pPr>
              <w:pStyle w:val="Subtitle"/>
              <w:rPr>
                <w:color w:val="FFFFFF" w:themeColor="background1"/>
              </w:rPr>
            </w:pPr>
            <w:r>
              <w:rPr>
                <w:color w:val="FFFFFF" w:themeColor="background1"/>
              </w:rPr>
              <w:t>Sponsor: Bristol Myers Squibb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674ABE">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7110B1" w:rsidP="00674ABE">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674ABE">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674ABE">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674ABE">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7110B1" w:rsidRPr="00CD7682">
          <w:rPr>
            <w:rStyle w:val="Hyperlink"/>
          </w:rPr>
          <w:t>http://www.tga.gov.au</w:t>
        </w:r>
      </w:hyperlink>
      <w:r w:rsidR="00112F56">
        <w:t>&gt;</w:t>
      </w:r>
      <w:r>
        <w:t>.</w:t>
      </w:r>
    </w:p>
    <w:p w:rsidR="008E7846" w:rsidRDefault="008E7846" w:rsidP="008E7846">
      <w:pPr>
        <w:pStyle w:val="NonTOCHeading2"/>
      </w:pPr>
      <w:r>
        <w:t>About AusPARs</w:t>
      </w:r>
    </w:p>
    <w:p w:rsidR="008E7846" w:rsidRDefault="008E7846" w:rsidP="00674ABE">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7110B1">
        <w:t>escription medicine submission.</w:t>
      </w:r>
    </w:p>
    <w:p w:rsidR="008E7846" w:rsidRDefault="008E7846" w:rsidP="00674ABE">
      <w:pPr>
        <w:pStyle w:val="ListBullet"/>
        <w:numPr>
          <w:ilvl w:val="0"/>
          <w:numId w:val="1"/>
        </w:numPr>
        <w:ind w:left="357" w:hanging="357"/>
      </w:pPr>
      <w:r>
        <w:t>AusPARs are prepared and published by the TGA.</w:t>
      </w:r>
    </w:p>
    <w:p w:rsidR="008E7846" w:rsidRDefault="008E7846" w:rsidP="00674ABE">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674ABE">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674ABE">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4C33D4" w:rsidRDefault="00A75D98">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3676048" w:history="1">
            <w:r w:rsidR="004C33D4" w:rsidRPr="00847B9A">
              <w:rPr>
                <w:rStyle w:val="Hyperlink"/>
                <w:noProof/>
              </w:rPr>
              <w:t>I. Introduction to product submission</w:t>
            </w:r>
            <w:r w:rsidR="004C33D4">
              <w:rPr>
                <w:noProof/>
                <w:webHidden/>
              </w:rPr>
              <w:tab/>
            </w:r>
            <w:r>
              <w:rPr>
                <w:noProof/>
                <w:webHidden/>
              </w:rPr>
              <w:fldChar w:fldCharType="begin"/>
            </w:r>
            <w:r w:rsidR="004C33D4">
              <w:rPr>
                <w:noProof/>
                <w:webHidden/>
              </w:rPr>
              <w:instrText xml:space="preserve"> PAGEREF _Toc363676048 \h </w:instrText>
            </w:r>
            <w:r>
              <w:rPr>
                <w:noProof/>
                <w:webHidden/>
              </w:rPr>
            </w:r>
            <w:r>
              <w:rPr>
                <w:noProof/>
                <w:webHidden/>
              </w:rPr>
              <w:fldChar w:fldCharType="separate"/>
            </w:r>
            <w:r w:rsidR="004C33D4">
              <w:rPr>
                <w:noProof/>
                <w:webHidden/>
              </w:rPr>
              <w:t>5</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49" w:history="1">
            <w:r w:rsidR="004C33D4" w:rsidRPr="00847B9A">
              <w:rPr>
                <w:rStyle w:val="Hyperlink"/>
                <w:noProof/>
                <w:lang w:eastAsia="en-AU"/>
              </w:rPr>
              <w:t>Submission details</w:t>
            </w:r>
            <w:r w:rsidR="004C33D4">
              <w:rPr>
                <w:noProof/>
                <w:webHidden/>
              </w:rPr>
              <w:tab/>
            </w:r>
            <w:r>
              <w:rPr>
                <w:noProof/>
                <w:webHidden/>
              </w:rPr>
              <w:fldChar w:fldCharType="begin"/>
            </w:r>
            <w:r w:rsidR="004C33D4">
              <w:rPr>
                <w:noProof/>
                <w:webHidden/>
              </w:rPr>
              <w:instrText xml:space="preserve"> PAGEREF _Toc363676049 \h </w:instrText>
            </w:r>
            <w:r>
              <w:rPr>
                <w:noProof/>
                <w:webHidden/>
              </w:rPr>
            </w:r>
            <w:r>
              <w:rPr>
                <w:noProof/>
                <w:webHidden/>
              </w:rPr>
              <w:fldChar w:fldCharType="separate"/>
            </w:r>
            <w:r w:rsidR="004C33D4">
              <w:rPr>
                <w:noProof/>
                <w:webHidden/>
              </w:rPr>
              <w:t>5</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50" w:history="1">
            <w:r w:rsidR="004C33D4" w:rsidRPr="00847B9A">
              <w:rPr>
                <w:rStyle w:val="Hyperlink"/>
                <w:noProof/>
              </w:rPr>
              <w:t>Product background</w:t>
            </w:r>
            <w:r w:rsidR="004C33D4">
              <w:rPr>
                <w:noProof/>
                <w:webHidden/>
              </w:rPr>
              <w:tab/>
            </w:r>
            <w:r>
              <w:rPr>
                <w:noProof/>
                <w:webHidden/>
              </w:rPr>
              <w:fldChar w:fldCharType="begin"/>
            </w:r>
            <w:r w:rsidR="004C33D4">
              <w:rPr>
                <w:noProof/>
                <w:webHidden/>
              </w:rPr>
              <w:instrText xml:space="preserve"> PAGEREF _Toc363676050 \h </w:instrText>
            </w:r>
            <w:r>
              <w:rPr>
                <w:noProof/>
                <w:webHidden/>
              </w:rPr>
            </w:r>
            <w:r>
              <w:rPr>
                <w:noProof/>
                <w:webHidden/>
              </w:rPr>
              <w:fldChar w:fldCharType="separate"/>
            </w:r>
            <w:r w:rsidR="004C33D4">
              <w:rPr>
                <w:noProof/>
                <w:webHidden/>
              </w:rPr>
              <w:t>5</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51" w:history="1">
            <w:r w:rsidR="004C33D4" w:rsidRPr="00847B9A">
              <w:rPr>
                <w:rStyle w:val="Hyperlink"/>
                <w:noProof/>
              </w:rPr>
              <w:t>Regulatory status</w:t>
            </w:r>
            <w:r w:rsidR="004C33D4">
              <w:rPr>
                <w:noProof/>
                <w:webHidden/>
              </w:rPr>
              <w:tab/>
            </w:r>
            <w:r>
              <w:rPr>
                <w:noProof/>
                <w:webHidden/>
              </w:rPr>
              <w:fldChar w:fldCharType="begin"/>
            </w:r>
            <w:r w:rsidR="004C33D4">
              <w:rPr>
                <w:noProof/>
                <w:webHidden/>
              </w:rPr>
              <w:instrText xml:space="preserve"> PAGEREF _Toc363676051 \h </w:instrText>
            </w:r>
            <w:r>
              <w:rPr>
                <w:noProof/>
                <w:webHidden/>
              </w:rPr>
            </w:r>
            <w:r>
              <w:rPr>
                <w:noProof/>
                <w:webHidden/>
              </w:rPr>
              <w:fldChar w:fldCharType="separate"/>
            </w:r>
            <w:r w:rsidR="004C33D4">
              <w:rPr>
                <w:noProof/>
                <w:webHidden/>
              </w:rPr>
              <w:t>6</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52" w:history="1">
            <w:r w:rsidR="004C33D4" w:rsidRPr="00847B9A">
              <w:rPr>
                <w:rStyle w:val="Hyperlink"/>
                <w:noProof/>
              </w:rPr>
              <w:t>Product Information</w:t>
            </w:r>
            <w:r w:rsidR="004C33D4">
              <w:rPr>
                <w:noProof/>
                <w:webHidden/>
              </w:rPr>
              <w:tab/>
            </w:r>
            <w:r>
              <w:rPr>
                <w:noProof/>
                <w:webHidden/>
              </w:rPr>
              <w:fldChar w:fldCharType="begin"/>
            </w:r>
            <w:r w:rsidR="004C33D4">
              <w:rPr>
                <w:noProof/>
                <w:webHidden/>
              </w:rPr>
              <w:instrText xml:space="preserve"> PAGEREF _Toc363676052 \h </w:instrText>
            </w:r>
            <w:r>
              <w:rPr>
                <w:noProof/>
                <w:webHidden/>
              </w:rPr>
            </w:r>
            <w:r>
              <w:rPr>
                <w:noProof/>
                <w:webHidden/>
              </w:rPr>
              <w:fldChar w:fldCharType="separate"/>
            </w:r>
            <w:r w:rsidR="004C33D4">
              <w:rPr>
                <w:noProof/>
                <w:webHidden/>
              </w:rPr>
              <w:t>7</w:t>
            </w:r>
            <w:r>
              <w:rPr>
                <w:noProof/>
                <w:webHidden/>
              </w:rPr>
              <w:fldChar w:fldCharType="end"/>
            </w:r>
          </w:hyperlink>
        </w:p>
        <w:p w:rsidR="004C33D4" w:rsidRDefault="00A75D98">
          <w:pPr>
            <w:pStyle w:val="TOC2"/>
            <w:rPr>
              <w:rFonts w:asciiTheme="minorHAnsi" w:eastAsiaTheme="minorEastAsia" w:hAnsiTheme="minorHAnsi" w:cstheme="minorBidi"/>
              <w:b w:val="0"/>
              <w:noProof/>
              <w:sz w:val="22"/>
              <w:lang w:eastAsia="en-AU"/>
            </w:rPr>
          </w:pPr>
          <w:hyperlink w:anchor="_Toc363676053" w:history="1">
            <w:r w:rsidR="004C33D4" w:rsidRPr="00847B9A">
              <w:rPr>
                <w:rStyle w:val="Hyperlink"/>
                <w:noProof/>
              </w:rPr>
              <w:t>II. Quality findings</w:t>
            </w:r>
            <w:r w:rsidR="004C33D4">
              <w:rPr>
                <w:noProof/>
                <w:webHidden/>
              </w:rPr>
              <w:tab/>
            </w:r>
            <w:r>
              <w:rPr>
                <w:noProof/>
                <w:webHidden/>
              </w:rPr>
              <w:fldChar w:fldCharType="begin"/>
            </w:r>
            <w:r w:rsidR="004C33D4">
              <w:rPr>
                <w:noProof/>
                <w:webHidden/>
              </w:rPr>
              <w:instrText xml:space="preserve"> PAGEREF _Toc363676053 \h </w:instrText>
            </w:r>
            <w:r>
              <w:rPr>
                <w:noProof/>
                <w:webHidden/>
              </w:rPr>
            </w:r>
            <w:r>
              <w:rPr>
                <w:noProof/>
                <w:webHidden/>
              </w:rPr>
              <w:fldChar w:fldCharType="separate"/>
            </w:r>
            <w:r w:rsidR="004C33D4">
              <w:rPr>
                <w:noProof/>
                <w:webHidden/>
              </w:rPr>
              <w:t>7</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54" w:history="1">
            <w:r w:rsidR="004C33D4" w:rsidRPr="00847B9A">
              <w:rPr>
                <w:rStyle w:val="Hyperlink"/>
                <w:noProof/>
              </w:rPr>
              <w:t>Drug substance (active ingredient)</w:t>
            </w:r>
            <w:r w:rsidR="004C33D4">
              <w:rPr>
                <w:noProof/>
                <w:webHidden/>
              </w:rPr>
              <w:tab/>
            </w:r>
            <w:r>
              <w:rPr>
                <w:noProof/>
                <w:webHidden/>
              </w:rPr>
              <w:fldChar w:fldCharType="begin"/>
            </w:r>
            <w:r w:rsidR="004C33D4">
              <w:rPr>
                <w:noProof/>
                <w:webHidden/>
              </w:rPr>
              <w:instrText xml:space="preserve"> PAGEREF _Toc363676054 \h </w:instrText>
            </w:r>
            <w:r>
              <w:rPr>
                <w:noProof/>
                <w:webHidden/>
              </w:rPr>
            </w:r>
            <w:r>
              <w:rPr>
                <w:noProof/>
                <w:webHidden/>
              </w:rPr>
              <w:fldChar w:fldCharType="separate"/>
            </w:r>
            <w:r w:rsidR="004C33D4">
              <w:rPr>
                <w:noProof/>
                <w:webHidden/>
              </w:rPr>
              <w:t>7</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55" w:history="1">
            <w:r w:rsidR="004C33D4" w:rsidRPr="00847B9A">
              <w:rPr>
                <w:rStyle w:val="Hyperlink"/>
                <w:noProof/>
              </w:rPr>
              <w:t>Drug product</w:t>
            </w:r>
            <w:r w:rsidR="004C33D4">
              <w:rPr>
                <w:noProof/>
                <w:webHidden/>
              </w:rPr>
              <w:tab/>
            </w:r>
            <w:r>
              <w:rPr>
                <w:noProof/>
                <w:webHidden/>
              </w:rPr>
              <w:fldChar w:fldCharType="begin"/>
            </w:r>
            <w:r w:rsidR="004C33D4">
              <w:rPr>
                <w:noProof/>
                <w:webHidden/>
              </w:rPr>
              <w:instrText xml:space="preserve"> PAGEREF _Toc363676055 \h </w:instrText>
            </w:r>
            <w:r>
              <w:rPr>
                <w:noProof/>
                <w:webHidden/>
              </w:rPr>
            </w:r>
            <w:r>
              <w:rPr>
                <w:noProof/>
                <w:webHidden/>
              </w:rPr>
              <w:fldChar w:fldCharType="separate"/>
            </w:r>
            <w:r w:rsidR="004C33D4">
              <w:rPr>
                <w:noProof/>
                <w:webHidden/>
              </w:rPr>
              <w:t>8</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56" w:history="1">
            <w:r w:rsidR="004C33D4" w:rsidRPr="00847B9A">
              <w:rPr>
                <w:rStyle w:val="Hyperlink"/>
                <w:noProof/>
              </w:rPr>
              <w:t>Biopharmaceutics</w:t>
            </w:r>
            <w:r w:rsidR="004C33D4">
              <w:rPr>
                <w:noProof/>
                <w:webHidden/>
              </w:rPr>
              <w:tab/>
            </w:r>
            <w:r>
              <w:rPr>
                <w:noProof/>
                <w:webHidden/>
              </w:rPr>
              <w:fldChar w:fldCharType="begin"/>
            </w:r>
            <w:r w:rsidR="004C33D4">
              <w:rPr>
                <w:noProof/>
                <w:webHidden/>
              </w:rPr>
              <w:instrText xml:space="preserve"> PAGEREF _Toc363676056 \h </w:instrText>
            </w:r>
            <w:r>
              <w:rPr>
                <w:noProof/>
                <w:webHidden/>
              </w:rPr>
            </w:r>
            <w:r>
              <w:rPr>
                <w:noProof/>
                <w:webHidden/>
              </w:rPr>
              <w:fldChar w:fldCharType="separate"/>
            </w:r>
            <w:r w:rsidR="004C33D4">
              <w:rPr>
                <w:noProof/>
                <w:webHidden/>
              </w:rPr>
              <w:t>8</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57" w:history="1">
            <w:r w:rsidR="004C33D4" w:rsidRPr="00847B9A">
              <w:rPr>
                <w:rStyle w:val="Hyperlink"/>
                <w:noProof/>
              </w:rPr>
              <w:t>Advisory committee considerations</w:t>
            </w:r>
            <w:r w:rsidR="004C33D4">
              <w:rPr>
                <w:noProof/>
                <w:webHidden/>
              </w:rPr>
              <w:tab/>
            </w:r>
            <w:r>
              <w:rPr>
                <w:noProof/>
                <w:webHidden/>
              </w:rPr>
              <w:fldChar w:fldCharType="begin"/>
            </w:r>
            <w:r w:rsidR="004C33D4">
              <w:rPr>
                <w:noProof/>
                <w:webHidden/>
              </w:rPr>
              <w:instrText xml:space="preserve"> PAGEREF _Toc363676057 \h </w:instrText>
            </w:r>
            <w:r>
              <w:rPr>
                <w:noProof/>
                <w:webHidden/>
              </w:rPr>
            </w:r>
            <w:r>
              <w:rPr>
                <w:noProof/>
                <w:webHidden/>
              </w:rPr>
              <w:fldChar w:fldCharType="separate"/>
            </w:r>
            <w:r w:rsidR="004C33D4">
              <w:rPr>
                <w:noProof/>
                <w:webHidden/>
              </w:rPr>
              <w:t>8</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58" w:history="1">
            <w:r w:rsidR="004C33D4" w:rsidRPr="00847B9A">
              <w:rPr>
                <w:rStyle w:val="Hyperlink"/>
                <w:noProof/>
              </w:rPr>
              <w:t>Quality summary and conclusions</w:t>
            </w:r>
            <w:r w:rsidR="004C33D4">
              <w:rPr>
                <w:noProof/>
                <w:webHidden/>
              </w:rPr>
              <w:tab/>
            </w:r>
            <w:r>
              <w:rPr>
                <w:noProof/>
                <w:webHidden/>
              </w:rPr>
              <w:fldChar w:fldCharType="begin"/>
            </w:r>
            <w:r w:rsidR="004C33D4">
              <w:rPr>
                <w:noProof/>
                <w:webHidden/>
              </w:rPr>
              <w:instrText xml:space="preserve"> PAGEREF _Toc363676058 \h </w:instrText>
            </w:r>
            <w:r>
              <w:rPr>
                <w:noProof/>
                <w:webHidden/>
              </w:rPr>
            </w:r>
            <w:r>
              <w:rPr>
                <w:noProof/>
                <w:webHidden/>
              </w:rPr>
              <w:fldChar w:fldCharType="separate"/>
            </w:r>
            <w:r w:rsidR="004C33D4">
              <w:rPr>
                <w:noProof/>
                <w:webHidden/>
              </w:rPr>
              <w:t>8</w:t>
            </w:r>
            <w:r>
              <w:rPr>
                <w:noProof/>
                <w:webHidden/>
              </w:rPr>
              <w:fldChar w:fldCharType="end"/>
            </w:r>
          </w:hyperlink>
        </w:p>
        <w:p w:rsidR="004C33D4" w:rsidRDefault="00A75D98">
          <w:pPr>
            <w:pStyle w:val="TOC2"/>
            <w:rPr>
              <w:rFonts w:asciiTheme="minorHAnsi" w:eastAsiaTheme="minorEastAsia" w:hAnsiTheme="minorHAnsi" w:cstheme="minorBidi"/>
              <w:b w:val="0"/>
              <w:noProof/>
              <w:sz w:val="22"/>
              <w:lang w:eastAsia="en-AU"/>
            </w:rPr>
          </w:pPr>
          <w:hyperlink w:anchor="_Toc363676059" w:history="1">
            <w:r w:rsidR="004C33D4" w:rsidRPr="00847B9A">
              <w:rPr>
                <w:rStyle w:val="Hyperlink"/>
                <w:noProof/>
              </w:rPr>
              <w:t>III. Nonclinical findings</w:t>
            </w:r>
            <w:r w:rsidR="004C33D4">
              <w:rPr>
                <w:noProof/>
                <w:webHidden/>
              </w:rPr>
              <w:tab/>
            </w:r>
            <w:r>
              <w:rPr>
                <w:noProof/>
                <w:webHidden/>
              </w:rPr>
              <w:fldChar w:fldCharType="begin"/>
            </w:r>
            <w:r w:rsidR="004C33D4">
              <w:rPr>
                <w:noProof/>
                <w:webHidden/>
              </w:rPr>
              <w:instrText xml:space="preserve"> PAGEREF _Toc363676059 \h </w:instrText>
            </w:r>
            <w:r>
              <w:rPr>
                <w:noProof/>
                <w:webHidden/>
              </w:rPr>
            </w:r>
            <w:r>
              <w:rPr>
                <w:noProof/>
                <w:webHidden/>
              </w:rPr>
              <w:fldChar w:fldCharType="separate"/>
            </w:r>
            <w:r w:rsidR="004C33D4">
              <w:rPr>
                <w:noProof/>
                <w:webHidden/>
              </w:rPr>
              <w:t>8</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60" w:history="1">
            <w:r w:rsidR="004C33D4" w:rsidRPr="00847B9A">
              <w:rPr>
                <w:rStyle w:val="Hyperlink"/>
                <w:noProof/>
              </w:rPr>
              <w:t>Introduction</w:t>
            </w:r>
            <w:r w:rsidR="004C33D4">
              <w:rPr>
                <w:noProof/>
                <w:webHidden/>
              </w:rPr>
              <w:tab/>
            </w:r>
            <w:r>
              <w:rPr>
                <w:noProof/>
                <w:webHidden/>
              </w:rPr>
              <w:fldChar w:fldCharType="begin"/>
            </w:r>
            <w:r w:rsidR="004C33D4">
              <w:rPr>
                <w:noProof/>
                <w:webHidden/>
              </w:rPr>
              <w:instrText xml:space="preserve"> PAGEREF _Toc363676060 \h </w:instrText>
            </w:r>
            <w:r>
              <w:rPr>
                <w:noProof/>
                <w:webHidden/>
              </w:rPr>
            </w:r>
            <w:r>
              <w:rPr>
                <w:noProof/>
                <w:webHidden/>
              </w:rPr>
              <w:fldChar w:fldCharType="separate"/>
            </w:r>
            <w:r w:rsidR="004C33D4">
              <w:rPr>
                <w:noProof/>
                <w:webHidden/>
              </w:rPr>
              <w:t>8</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61" w:history="1">
            <w:r w:rsidR="004C33D4" w:rsidRPr="00847B9A">
              <w:rPr>
                <w:rStyle w:val="Hyperlink"/>
                <w:noProof/>
              </w:rPr>
              <w:t>Pharmacology</w:t>
            </w:r>
            <w:r w:rsidR="004C33D4">
              <w:rPr>
                <w:noProof/>
                <w:webHidden/>
              </w:rPr>
              <w:tab/>
            </w:r>
            <w:r>
              <w:rPr>
                <w:noProof/>
                <w:webHidden/>
              </w:rPr>
              <w:fldChar w:fldCharType="begin"/>
            </w:r>
            <w:r w:rsidR="004C33D4">
              <w:rPr>
                <w:noProof/>
                <w:webHidden/>
              </w:rPr>
              <w:instrText xml:space="preserve"> PAGEREF _Toc363676061 \h </w:instrText>
            </w:r>
            <w:r>
              <w:rPr>
                <w:noProof/>
                <w:webHidden/>
              </w:rPr>
            </w:r>
            <w:r>
              <w:rPr>
                <w:noProof/>
                <w:webHidden/>
              </w:rPr>
              <w:fldChar w:fldCharType="separate"/>
            </w:r>
            <w:r w:rsidR="004C33D4">
              <w:rPr>
                <w:noProof/>
                <w:webHidden/>
              </w:rPr>
              <w:t>9</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62" w:history="1">
            <w:r w:rsidR="004C33D4" w:rsidRPr="00847B9A">
              <w:rPr>
                <w:rStyle w:val="Hyperlink"/>
                <w:noProof/>
              </w:rPr>
              <w:t>Pharmacokinetics</w:t>
            </w:r>
            <w:r w:rsidR="004C33D4">
              <w:rPr>
                <w:noProof/>
                <w:webHidden/>
              </w:rPr>
              <w:tab/>
            </w:r>
            <w:r>
              <w:rPr>
                <w:noProof/>
                <w:webHidden/>
              </w:rPr>
              <w:fldChar w:fldCharType="begin"/>
            </w:r>
            <w:r w:rsidR="004C33D4">
              <w:rPr>
                <w:noProof/>
                <w:webHidden/>
              </w:rPr>
              <w:instrText xml:space="preserve"> PAGEREF _Toc363676062 \h </w:instrText>
            </w:r>
            <w:r>
              <w:rPr>
                <w:noProof/>
                <w:webHidden/>
              </w:rPr>
            </w:r>
            <w:r>
              <w:rPr>
                <w:noProof/>
                <w:webHidden/>
              </w:rPr>
              <w:fldChar w:fldCharType="separate"/>
            </w:r>
            <w:r w:rsidR="004C33D4">
              <w:rPr>
                <w:noProof/>
                <w:webHidden/>
              </w:rPr>
              <w:t>9</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63" w:history="1">
            <w:r w:rsidR="004C33D4" w:rsidRPr="00847B9A">
              <w:rPr>
                <w:rStyle w:val="Hyperlink"/>
                <w:noProof/>
              </w:rPr>
              <w:t>Toxicology</w:t>
            </w:r>
            <w:r w:rsidR="004C33D4">
              <w:rPr>
                <w:noProof/>
                <w:webHidden/>
              </w:rPr>
              <w:tab/>
            </w:r>
            <w:r>
              <w:rPr>
                <w:noProof/>
                <w:webHidden/>
              </w:rPr>
              <w:fldChar w:fldCharType="begin"/>
            </w:r>
            <w:r w:rsidR="004C33D4">
              <w:rPr>
                <w:noProof/>
                <w:webHidden/>
              </w:rPr>
              <w:instrText xml:space="preserve"> PAGEREF _Toc363676063 \h </w:instrText>
            </w:r>
            <w:r>
              <w:rPr>
                <w:noProof/>
                <w:webHidden/>
              </w:rPr>
            </w:r>
            <w:r>
              <w:rPr>
                <w:noProof/>
                <w:webHidden/>
              </w:rPr>
              <w:fldChar w:fldCharType="separate"/>
            </w:r>
            <w:r w:rsidR="004C33D4">
              <w:rPr>
                <w:noProof/>
                <w:webHidden/>
              </w:rPr>
              <w:t>11</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64" w:history="1">
            <w:r w:rsidR="004C33D4" w:rsidRPr="00847B9A">
              <w:rPr>
                <w:rStyle w:val="Hyperlink"/>
                <w:noProof/>
              </w:rPr>
              <w:t>Nonclinical summary and conclusions</w:t>
            </w:r>
            <w:r w:rsidR="004C33D4">
              <w:rPr>
                <w:noProof/>
                <w:webHidden/>
              </w:rPr>
              <w:tab/>
            </w:r>
            <w:r>
              <w:rPr>
                <w:noProof/>
                <w:webHidden/>
              </w:rPr>
              <w:fldChar w:fldCharType="begin"/>
            </w:r>
            <w:r w:rsidR="004C33D4">
              <w:rPr>
                <w:noProof/>
                <w:webHidden/>
              </w:rPr>
              <w:instrText xml:space="preserve"> PAGEREF _Toc363676064 \h </w:instrText>
            </w:r>
            <w:r>
              <w:rPr>
                <w:noProof/>
                <w:webHidden/>
              </w:rPr>
            </w:r>
            <w:r>
              <w:rPr>
                <w:noProof/>
                <w:webHidden/>
              </w:rPr>
              <w:fldChar w:fldCharType="separate"/>
            </w:r>
            <w:r w:rsidR="004C33D4">
              <w:rPr>
                <w:noProof/>
                <w:webHidden/>
              </w:rPr>
              <w:t>12</w:t>
            </w:r>
            <w:r>
              <w:rPr>
                <w:noProof/>
                <w:webHidden/>
              </w:rPr>
              <w:fldChar w:fldCharType="end"/>
            </w:r>
          </w:hyperlink>
        </w:p>
        <w:p w:rsidR="004C33D4" w:rsidRDefault="00A75D98">
          <w:pPr>
            <w:pStyle w:val="TOC2"/>
            <w:rPr>
              <w:rFonts w:asciiTheme="minorHAnsi" w:eastAsiaTheme="minorEastAsia" w:hAnsiTheme="minorHAnsi" w:cstheme="minorBidi"/>
              <w:b w:val="0"/>
              <w:noProof/>
              <w:sz w:val="22"/>
              <w:lang w:eastAsia="en-AU"/>
            </w:rPr>
          </w:pPr>
          <w:hyperlink w:anchor="_Toc363676065" w:history="1">
            <w:r w:rsidR="004C33D4" w:rsidRPr="00847B9A">
              <w:rPr>
                <w:rStyle w:val="Hyperlink"/>
                <w:noProof/>
              </w:rPr>
              <w:t>IV. Clinical findings</w:t>
            </w:r>
            <w:r w:rsidR="004C33D4">
              <w:rPr>
                <w:noProof/>
                <w:webHidden/>
              </w:rPr>
              <w:tab/>
            </w:r>
            <w:r>
              <w:rPr>
                <w:noProof/>
                <w:webHidden/>
              </w:rPr>
              <w:fldChar w:fldCharType="begin"/>
            </w:r>
            <w:r w:rsidR="004C33D4">
              <w:rPr>
                <w:noProof/>
                <w:webHidden/>
              </w:rPr>
              <w:instrText xml:space="preserve"> PAGEREF _Toc363676065 \h </w:instrText>
            </w:r>
            <w:r>
              <w:rPr>
                <w:noProof/>
                <w:webHidden/>
              </w:rPr>
            </w:r>
            <w:r>
              <w:rPr>
                <w:noProof/>
                <w:webHidden/>
              </w:rPr>
              <w:fldChar w:fldCharType="separate"/>
            </w:r>
            <w:r w:rsidR="004C33D4">
              <w:rPr>
                <w:noProof/>
                <w:webHidden/>
              </w:rPr>
              <w:t>13</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66" w:history="1">
            <w:r w:rsidR="004C33D4" w:rsidRPr="00847B9A">
              <w:rPr>
                <w:rStyle w:val="Hyperlink"/>
                <w:noProof/>
              </w:rPr>
              <w:t>Introduction</w:t>
            </w:r>
            <w:r w:rsidR="004C33D4">
              <w:rPr>
                <w:noProof/>
                <w:webHidden/>
              </w:rPr>
              <w:tab/>
            </w:r>
            <w:r>
              <w:rPr>
                <w:noProof/>
                <w:webHidden/>
              </w:rPr>
              <w:fldChar w:fldCharType="begin"/>
            </w:r>
            <w:r w:rsidR="004C33D4">
              <w:rPr>
                <w:noProof/>
                <w:webHidden/>
              </w:rPr>
              <w:instrText xml:space="preserve"> PAGEREF _Toc363676066 \h </w:instrText>
            </w:r>
            <w:r>
              <w:rPr>
                <w:noProof/>
                <w:webHidden/>
              </w:rPr>
            </w:r>
            <w:r>
              <w:rPr>
                <w:noProof/>
                <w:webHidden/>
              </w:rPr>
              <w:fldChar w:fldCharType="separate"/>
            </w:r>
            <w:r w:rsidR="004C33D4">
              <w:rPr>
                <w:noProof/>
                <w:webHidden/>
              </w:rPr>
              <w:t>13</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67" w:history="1">
            <w:r w:rsidR="004C33D4" w:rsidRPr="00847B9A">
              <w:rPr>
                <w:rStyle w:val="Hyperlink"/>
                <w:noProof/>
              </w:rPr>
              <w:t>Pharmacokinetics</w:t>
            </w:r>
            <w:r w:rsidR="004C33D4">
              <w:rPr>
                <w:noProof/>
                <w:webHidden/>
              </w:rPr>
              <w:tab/>
            </w:r>
            <w:r>
              <w:rPr>
                <w:noProof/>
                <w:webHidden/>
              </w:rPr>
              <w:fldChar w:fldCharType="begin"/>
            </w:r>
            <w:r w:rsidR="004C33D4">
              <w:rPr>
                <w:noProof/>
                <w:webHidden/>
              </w:rPr>
              <w:instrText xml:space="preserve"> PAGEREF _Toc363676067 \h </w:instrText>
            </w:r>
            <w:r>
              <w:rPr>
                <w:noProof/>
                <w:webHidden/>
              </w:rPr>
            </w:r>
            <w:r>
              <w:rPr>
                <w:noProof/>
                <w:webHidden/>
              </w:rPr>
              <w:fldChar w:fldCharType="separate"/>
            </w:r>
            <w:r w:rsidR="004C33D4">
              <w:rPr>
                <w:noProof/>
                <w:webHidden/>
              </w:rPr>
              <w:t>15</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68" w:history="1">
            <w:r w:rsidR="004C33D4" w:rsidRPr="00847B9A">
              <w:rPr>
                <w:rStyle w:val="Hyperlink"/>
                <w:noProof/>
              </w:rPr>
              <w:t>Pharmacodynamics</w:t>
            </w:r>
            <w:r w:rsidR="004C33D4">
              <w:rPr>
                <w:noProof/>
                <w:webHidden/>
              </w:rPr>
              <w:tab/>
            </w:r>
            <w:r>
              <w:rPr>
                <w:noProof/>
                <w:webHidden/>
              </w:rPr>
              <w:fldChar w:fldCharType="begin"/>
            </w:r>
            <w:r w:rsidR="004C33D4">
              <w:rPr>
                <w:noProof/>
                <w:webHidden/>
              </w:rPr>
              <w:instrText xml:space="preserve"> PAGEREF _Toc363676068 \h </w:instrText>
            </w:r>
            <w:r>
              <w:rPr>
                <w:noProof/>
                <w:webHidden/>
              </w:rPr>
            </w:r>
            <w:r>
              <w:rPr>
                <w:noProof/>
                <w:webHidden/>
              </w:rPr>
              <w:fldChar w:fldCharType="separate"/>
            </w:r>
            <w:r w:rsidR="004C33D4">
              <w:rPr>
                <w:noProof/>
                <w:webHidden/>
              </w:rPr>
              <w:t>16</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69" w:history="1">
            <w:r w:rsidR="004C33D4" w:rsidRPr="00847B9A">
              <w:rPr>
                <w:rStyle w:val="Hyperlink"/>
                <w:noProof/>
              </w:rPr>
              <w:t>Dosage selection for the pivotal studies</w:t>
            </w:r>
            <w:r w:rsidR="004C33D4">
              <w:rPr>
                <w:noProof/>
                <w:webHidden/>
              </w:rPr>
              <w:tab/>
            </w:r>
            <w:r>
              <w:rPr>
                <w:noProof/>
                <w:webHidden/>
              </w:rPr>
              <w:fldChar w:fldCharType="begin"/>
            </w:r>
            <w:r w:rsidR="004C33D4">
              <w:rPr>
                <w:noProof/>
                <w:webHidden/>
              </w:rPr>
              <w:instrText xml:space="preserve"> PAGEREF _Toc363676069 \h </w:instrText>
            </w:r>
            <w:r>
              <w:rPr>
                <w:noProof/>
                <w:webHidden/>
              </w:rPr>
            </w:r>
            <w:r>
              <w:rPr>
                <w:noProof/>
                <w:webHidden/>
              </w:rPr>
              <w:fldChar w:fldCharType="separate"/>
            </w:r>
            <w:r w:rsidR="004C33D4">
              <w:rPr>
                <w:noProof/>
                <w:webHidden/>
              </w:rPr>
              <w:t>17</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70" w:history="1">
            <w:r w:rsidR="004C33D4" w:rsidRPr="00847B9A">
              <w:rPr>
                <w:rStyle w:val="Hyperlink"/>
                <w:noProof/>
              </w:rPr>
              <w:t>Efficacy</w:t>
            </w:r>
            <w:r w:rsidR="004C33D4">
              <w:rPr>
                <w:noProof/>
                <w:webHidden/>
              </w:rPr>
              <w:tab/>
            </w:r>
            <w:r>
              <w:rPr>
                <w:noProof/>
                <w:webHidden/>
              </w:rPr>
              <w:fldChar w:fldCharType="begin"/>
            </w:r>
            <w:r w:rsidR="004C33D4">
              <w:rPr>
                <w:noProof/>
                <w:webHidden/>
              </w:rPr>
              <w:instrText xml:space="preserve"> PAGEREF _Toc363676070 \h </w:instrText>
            </w:r>
            <w:r>
              <w:rPr>
                <w:noProof/>
                <w:webHidden/>
              </w:rPr>
            </w:r>
            <w:r>
              <w:rPr>
                <w:noProof/>
                <w:webHidden/>
              </w:rPr>
              <w:fldChar w:fldCharType="separate"/>
            </w:r>
            <w:r w:rsidR="004C33D4">
              <w:rPr>
                <w:noProof/>
                <w:webHidden/>
              </w:rPr>
              <w:t>18</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71" w:history="1">
            <w:r w:rsidR="004C33D4" w:rsidRPr="00847B9A">
              <w:rPr>
                <w:rStyle w:val="Hyperlink"/>
                <w:noProof/>
              </w:rPr>
              <w:t>Safety</w:t>
            </w:r>
            <w:r w:rsidR="004C33D4">
              <w:rPr>
                <w:noProof/>
                <w:webHidden/>
              </w:rPr>
              <w:tab/>
            </w:r>
            <w:r>
              <w:rPr>
                <w:noProof/>
                <w:webHidden/>
              </w:rPr>
              <w:fldChar w:fldCharType="begin"/>
            </w:r>
            <w:r w:rsidR="004C33D4">
              <w:rPr>
                <w:noProof/>
                <w:webHidden/>
              </w:rPr>
              <w:instrText xml:space="preserve"> PAGEREF _Toc363676071 \h </w:instrText>
            </w:r>
            <w:r>
              <w:rPr>
                <w:noProof/>
                <w:webHidden/>
              </w:rPr>
            </w:r>
            <w:r>
              <w:rPr>
                <w:noProof/>
                <w:webHidden/>
              </w:rPr>
              <w:fldChar w:fldCharType="separate"/>
            </w:r>
            <w:r w:rsidR="004C33D4">
              <w:rPr>
                <w:noProof/>
                <w:webHidden/>
              </w:rPr>
              <w:t>21</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72" w:history="1">
            <w:r w:rsidR="004C33D4" w:rsidRPr="00847B9A">
              <w:rPr>
                <w:rStyle w:val="Hyperlink"/>
                <w:noProof/>
              </w:rPr>
              <w:t>List of questions</w:t>
            </w:r>
            <w:r w:rsidR="004C33D4">
              <w:rPr>
                <w:noProof/>
                <w:webHidden/>
              </w:rPr>
              <w:tab/>
            </w:r>
            <w:r>
              <w:rPr>
                <w:noProof/>
                <w:webHidden/>
              </w:rPr>
              <w:fldChar w:fldCharType="begin"/>
            </w:r>
            <w:r w:rsidR="004C33D4">
              <w:rPr>
                <w:noProof/>
                <w:webHidden/>
              </w:rPr>
              <w:instrText xml:space="preserve"> PAGEREF _Toc363676072 \h </w:instrText>
            </w:r>
            <w:r>
              <w:rPr>
                <w:noProof/>
                <w:webHidden/>
              </w:rPr>
            </w:r>
            <w:r>
              <w:rPr>
                <w:noProof/>
                <w:webHidden/>
              </w:rPr>
              <w:fldChar w:fldCharType="separate"/>
            </w:r>
            <w:r w:rsidR="004C33D4">
              <w:rPr>
                <w:noProof/>
                <w:webHidden/>
              </w:rPr>
              <w:t>22</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73" w:history="1">
            <w:r w:rsidR="004C33D4" w:rsidRPr="00847B9A">
              <w:rPr>
                <w:rStyle w:val="Hyperlink"/>
                <w:noProof/>
              </w:rPr>
              <w:t>First round clinical summary and conclusions</w:t>
            </w:r>
            <w:r w:rsidR="004C33D4">
              <w:rPr>
                <w:noProof/>
                <w:webHidden/>
              </w:rPr>
              <w:tab/>
            </w:r>
            <w:r>
              <w:rPr>
                <w:noProof/>
                <w:webHidden/>
              </w:rPr>
              <w:fldChar w:fldCharType="begin"/>
            </w:r>
            <w:r w:rsidR="004C33D4">
              <w:rPr>
                <w:noProof/>
                <w:webHidden/>
              </w:rPr>
              <w:instrText xml:space="preserve"> PAGEREF _Toc363676073 \h </w:instrText>
            </w:r>
            <w:r>
              <w:rPr>
                <w:noProof/>
                <w:webHidden/>
              </w:rPr>
            </w:r>
            <w:r>
              <w:rPr>
                <w:noProof/>
                <w:webHidden/>
              </w:rPr>
              <w:fldChar w:fldCharType="separate"/>
            </w:r>
            <w:r w:rsidR="004C33D4">
              <w:rPr>
                <w:noProof/>
                <w:webHidden/>
              </w:rPr>
              <w:t>23</w:t>
            </w:r>
            <w:r>
              <w:rPr>
                <w:noProof/>
                <w:webHidden/>
              </w:rPr>
              <w:fldChar w:fldCharType="end"/>
            </w:r>
          </w:hyperlink>
        </w:p>
        <w:p w:rsidR="004C33D4" w:rsidRDefault="00A75D98">
          <w:pPr>
            <w:pStyle w:val="TOC2"/>
            <w:rPr>
              <w:rFonts w:asciiTheme="minorHAnsi" w:eastAsiaTheme="minorEastAsia" w:hAnsiTheme="minorHAnsi" w:cstheme="minorBidi"/>
              <w:b w:val="0"/>
              <w:noProof/>
              <w:sz w:val="22"/>
              <w:lang w:eastAsia="en-AU"/>
            </w:rPr>
          </w:pPr>
          <w:hyperlink w:anchor="_Toc363676074" w:history="1">
            <w:r w:rsidR="004C33D4" w:rsidRPr="00847B9A">
              <w:rPr>
                <w:rStyle w:val="Hyperlink"/>
                <w:noProof/>
              </w:rPr>
              <w:t>V. Pharmacovigilance findings</w:t>
            </w:r>
            <w:r w:rsidR="004C33D4">
              <w:rPr>
                <w:noProof/>
                <w:webHidden/>
              </w:rPr>
              <w:tab/>
            </w:r>
            <w:r>
              <w:rPr>
                <w:noProof/>
                <w:webHidden/>
              </w:rPr>
              <w:fldChar w:fldCharType="begin"/>
            </w:r>
            <w:r w:rsidR="004C33D4">
              <w:rPr>
                <w:noProof/>
                <w:webHidden/>
              </w:rPr>
              <w:instrText xml:space="preserve"> PAGEREF _Toc363676074 \h </w:instrText>
            </w:r>
            <w:r>
              <w:rPr>
                <w:noProof/>
                <w:webHidden/>
              </w:rPr>
            </w:r>
            <w:r>
              <w:rPr>
                <w:noProof/>
                <w:webHidden/>
              </w:rPr>
              <w:fldChar w:fldCharType="separate"/>
            </w:r>
            <w:r w:rsidR="004C33D4">
              <w:rPr>
                <w:noProof/>
                <w:webHidden/>
              </w:rPr>
              <w:t>29</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75" w:history="1">
            <w:r w:rsidR="004C33D4" w:rsidRPr="00847B9A">
              <w:rPr>
                <w:rStyle w:val="Hyperlink"/>
                <w:noProof/>
                <w:lang w:eastAsia="en-AU"/>
              </w:rPr>
              <w:t>Risk management plan</w:t>
            </w:r>
            <w:r w:rsidR="004C33D4">
              <w:rPr>
                <w:noProof/>
                <w:webHidden/>
              </w:rPr>
              <w:tab/>
            </w:r>
            <w:r>
              <w:rPr>
                <w:noProof/>
                <w:webHidden/>
              </w:rPr>
              <w:fldChar w:fldCharType="begin"/>
            </w:r>
            <w:r w:rsidR="004C33D4">
              <w:rPr>
                <w:noProof/>
                <w:webHidden/>
              </w:rPr>
              <w:instrText xml:space="preserve"> PAGEREF _Toc363676075 \h </w:instrText>
            </w:r>
            <w:r>
              <w:rPr>
                <w:noProof/>
                <w:webHidden/>
              </w:rPr>
            </w:r>
            <w:r>
              <w:rPr>
                <w:noProof/>
                <w:webHidden/>
              </w:rPr>
              <w:fldChar w:fldCharType="separate"/>
            </w:r>
            <w:r w:rsidR="004C33D4">
              <w:rPr>
                <w:noProof/>
                <w:webHidden/>
              </w:rPr>
              <w:t>29</w:t>
            </w:r>
            <w:r>
              <w:rPr>
                <w:noProof/>
                <w:webHidden/>
              </w:rPr>
              <w:fldChar w:fldCharType="end"/>
            </w:r>
          </w:hyperlink>
        </w:p>
        <w:p w:rsidR="004C33D4" w:rsidRDefault="00A75D98">
          <w:pPr>
            <w:pStyle w:val="TOC2"/>
            <w:rPr>
              <w:rFonts w:asciiTheme="minorHAnsi" w:eastAsiaTheme="minorEastAsia" w:hAnsiTheme="minorHAnsi" w:cstheme="minorBidi"/>
              <w:b w:val="0"/>
              <w:noProof/>
              <w:sz w:val="22"/>
              <w:lang w:eastAsia="en-AU"/>
            </w:rPr>
          </w:pPr>
          <w:hyperlink w:anchor="_Toc363676076" w:history="1">
            <w:r w:rsidR="004C33D4" w:rsidRPr="00847B9A">
              <w:rPr>
                <w:rStyle w:val="Hyperlink"/>
                <w:noProof/>
              </w:rPr>
              <w:t>VI. Overall conclusion and risk/benefit assessment</w:t>
            </w:r>
            <w:r w:rsidR="004C33D4">
              <w:rPr>
                <w:noProof/>
                <w:webHidden/>
              </w:rPr>
              <w:tab/>
            </w:r>
            <w:r>
              <w:rPr>
                <w:noProof/>
                <w:webHidden/>
              </w:rPr>
              <w:fldChar w:fldCharType="begin"/>
            </w:r>
            <w:r w:rsidR="004C33D4">
              <w:rPr>
                <w:noProof/>
                <w:webHidden/>
              </w:rPr>
              <w:instrText xml:space="preserve"> PAGEREF _Toc363676076 \h </w:instrText>
            </w:r>
            <w:r>
              <w:rPr>
                <w:noProof/>
                <w:webHidden/>
              </w:rPr>
            </w:r>
            <w:r>
              <w:rPr>
                <w:noProof/>
                <w:webHidden/>
              </w:rPr>
              <w:fldChar w:fldCharType="separate"/>
            </w:r>
            <w:r w:rsidR="004C33D4">
              <w:rPr>
                <w:noProof/>
                <w:webHidden/>
              </w:rPr>
              <w:t>33</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77" w:history="1">
            <w:r w:rsidR="004C33D4" w:rsidRPr="00847B9A">
              <w:rPr>
                <w:rStyle w:val="Hyperlink"/>
                <w:noProof/>
              </w:rPr>
              <w:t>Quality</w:t>
            </w:r>
            <w:r w:rsidR="004C33D4">
              <w:rPr>
                <w:noProof/>
                <w:webHidden/>
              </w:rPr>
              <w:tab/>
            </w:r>
            <w:r>
              <w:rPr>
                <w:noProof/>
                <w:webHidden/>
              </w:rPr>
              <w:fldChar w:fldCharType="begin"/>
            </w:r>
            <w:r w:rsidR="004C33D4">
              <w:rPr>
                <w:noProof/>
                <w:webHidden/>
              </w:rPr>
              <w:instrText xml:space="preserve"> PAGEREF _Toc363676077 \h </w:instrText>
            </w:r>
            <w:r>
              <w:rPr>
                <w:noProof/>
                <w:webHidden/>
              </w:rPr>
            </w:r>
            <w:r>
              <w:rPr>
                <w:noProof/>
                <w:webHidden/>
              </w:rPr>
              <w:fldChar w:fldCharType="separate"/>
            </w:r>
            <w:r w:rsidR="004C33D4">
              <w:rPr>
                <w:noProof/>
                <w:webHidden/>
              </w:rPr>
              <w:t>35</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78" w:history="1">
            <w:r w:rsidR="004C33D4" w:rsidRPr="00847B9A">
              <w:rPr>
                <w:rStyle w:val="Hyperlink"/>
                <w:noProof/>
              </w:rPr>
              <w:t>Nonclinical</w:t>
            </w:r>
            <w:r w:rsidR="004C33D4">
              <w:rPr>
                <w:noProof/>
                <w:webHidden/>
              </w:rPr>
              <w:tab/>
            </w:r>
            <w:r>
              <w:rPr>
                <w:noProof/>
                <w:webHidden/>
              </w:rPr>
              <w:fldChar w:fldCharType="begin"/>
            </w:r>
            <w:r w:rsidR="004C33D4">
              <w:rPr>
                <w:noProof/>
                <w:webHidden/>
              </w:rPr>
              <w:instrText xml:space="preserve"> PAGEREF _Toc363676078 \h </w:instrText>
            </w:r>
            <w:r>
              <w:rPr>
                <w:noProof/>
                <w:webHidden/>
              </w:rPr>
            </w:r>
            <w:r>
              <w:rPr>
                <w:noProof/>
                <w:webHidden/>
              </w:rPr>
              <w:fldChar w:fldCharType="separate"/>
            </w:r>
            <w:r w:rsidR="004C33D4">
              <w:rPr>
                <w:noProof/>
                <w:webHidden/>
              </w:rPr>
              <w:t>35</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79" w:history="1">
            <w:r w:rsidR="004C33D4" w:rsidRPr="00847B9A">
              <w:rPr>
                <w:rStyle w:val="Hyperlink"/>
                <w:noProof/>
              </w:rPr>
              <w:t>Clinical</w:t>
            </w:r>
            <w:r w:rsidR="004C33D4">
              <w:rPr>
                <w:noProof/>
                <w:webHidden/>
              </w:rPr>
              <w:tab/>
            </w:r>
            <w:r>
              <w:rPr>
                <w:noProof/>
                <w:webHidden/>
              </w:rPr>
              <w:fldChar w:fldCharType="begin"/>
            </w:r>
            <w:r w:rsidR="004C33D4">
              <w:rPr>
                <w:noProof/>
                <w:webHidden/>
              </w:rPr>
              <w:instrText xml:space="preserve"> PAGEREF _Toc363676079 \h </w:instrText>
            </w:r>
            <w:r>
              <w:rPr>
                <w:noProof/>
                <w:webHidden/>
              </w:rPr>
            </w:r>
            <w:r>
              <w:rPr>
                <w:noProof/>
                <w:webHidden/>
              </w:rPr>
              <w:fldChar w:fldCharType="separate"/>
            </w:r>
            <w:r w:rsidR="004C33D4">
              <w:rPr>
                <w:noProof/>
                <w:webHidden/>
              </w:rPr>
              <w:t>35</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80" w:history="1">
            <w:r w:rsidR="004C33D4" w:rsidRPr="00847B9A">
              <w:rPr>
                <w:rStyle w:val="Hyperlink"/>
                <w:noProof/>
                <w:lang w:eastAsia="en-AU"/>
              </w:rPr>
              <w:t>Risk management plan</w:t>
            </w:r>
            <w:r w:rsidR="004C33D4">
              <w:rPr>
                <w:noProof/>
                <w:webHidden/>
              </w:rPr>
              <w:tab/>
            </w:r>
            <w:r>
              <w:rPr>
                <w:noProof/>
                <w:webHidden/>
              </w:rPr>
              <w:fldChar w:fldCharType="begin"/>
            </w:r>
            <w:r w:rsidR="004C33D4">
              <w:rPr>
                <w:noProof/>
                <w:webHidden/>
              </w:rPr>
              <w:instrText xml:space="preserve"> PAGEREF _Toc363676080 \h </w:instrText>
            </w:r>
            <w:r>
              <w:rPr>
                <w:noProof/>
                <w:webHidden/>
              </w:rPr>
            </w:r>
            <w:r>
              <w:rPr>
                <w:noProof/>
                <w:webHidden/>
              </w:rPr>
              <w:fldChar w:fldCharType="separate"/>
            </w:r>
            <w:r w:rsidR="004C33D4">
              <w:rPr>
                <w:noProof/>
                <w:webHidden/>
              </w:rPr>
              <w:t>43</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81" w:history="1">
            <w:r w:rsidR="004C33D4" w:rsidRPr="00847B9A">
              <w:rPr>
                <w:rStyle w:val="Hyperlink"/>
                <w:noProof/>
              </w:rPr>
              <w:t>Risk-benefit analysis</w:t>
            </w:r>
            <w:r w:rsidR="004C33D4">
              <w:rPr>
                <w:noProof/>
                <w:webHidden/>
              </w:rPr>
              <w:tab/>
            </w:r>
            <w:r>
              <w:rPr>
                <w:noProof/>
                <w:webHidden/>
              </w:rPr>
              <w:fldChar w:fldCharType="begin"/>
            </w:r>
            <w:r w:rsidR="004C33D4">
              <w:rPr>
                <w:noProof/>
                <w:webHidden/>
              </w:rPr>
              <w:instrText xml:space="preserve"> PAGEREF _Toc363676081 \h </w:instrText>
            </w:r>
            <w:r>
              <w:rPr>
                <w:noProof/>
                <w:webHidden/>
              </w:rPr>
            </w:r>
            <w:r>
              <w:rPr>
                <w:noProof/>
                <w:webHidden/>
              </w:rPr>
              <w:fldChar w:fldCharType="separate"/>
            </w:r>
            <w:r w:rsidR="004C33D4">
              <w:rPr>
                <w:noProof/>
                <w:webHidden/>
              </w:rPr>
              <w:t>43</w:t>
            </w:r>
            <w:r>
              <w:rPr>
                <w:noProof/>
                <w:webHidden/>
              </w:rPr>
              <w:fldChar w:fldCharType="end"/>
            </w:r>
          </w:hyperlink>
        </w:p>
        <w:p w:rsidR="004C33D4" w:rsidRDefault="00A75D98">
          <w:pPr>
            <w:pStyle w:val="TOC3"/>
            <w:rPr>
              <w:rFonts w:asciiTheme="minorHAnsi" w:eastAsiaTheme="minorEastAsia" w:hAnsiTheme="minorHAnsi" w:cstheme="minorBidi"/>
              <w:noProof/>
              <w:lang w:eastAsia="en-AU"/>
            </w:rPr>
          </w:pPr>
          <w:hyperlink w:anchor="_Toc363676082" w:history="1">
            <w:r w:rsidR="004C33D4" w:rsidRPr="00847B9A">
              <w:rPr>
                <w:rStyle w:val="Hyperlink"/>
                <w:noProof/>
              </w:rPr>
              <w:t>Outcome</w:t>
            </w:r>
            <w:r w:rsidR="004C33D4">
              <w:rPr>
                <w:noProof/>
                <w:webHidden/>
              </w:rPr>
              <w:tab/>
            </w:r>
            <w:r>
              <w:rPr>
                <w:noProof/>
                <w:webHidden/>
              </w:rPr>
              <w:fldChar w:fldCharType="begin"/>
            </w:r>
            <w:r w:rsidR="004C33D4">
              <w:rPr>
                <w:noProof/>
                <w:webHidden/>
              </w:rPr>
              <w:instrText xml:space="preserve"> PAGEREF _Toc363676082 \h </w:instrText>
            </w:r>
            <w:r>
              <w:rPr>
                <w:noProof/>
                <w:webHidden/>
              </w:rPr>
            </w:r>
            <w:r>
              <w:rPr>
                <w:noProof/>
                <w:webHidden/>
              </w:rPr>
              <w:fldChar w:fldCharType="separate"/>
            </w:r>
            <w:r w:rsidR="004C33D4">
              <w:rPr>
                <w:noProof/>
                <w:webHidden/>
              </w:rPr>
              <w:t>56</w:t>
            </w:r>
            <w:r>
              <w:rPr>
                <w:noProof/>
                <w:webHidden/>
              </w:rPr>
              <w:fldChar w:fldCharType="end"/>
            </w:r>
          </w:hyperlink>
        </w:p>
        <w:p w:rsidR="004C33D4" w:rsidRDefault="00A75D98">
          <w:pPr>
            <w:pStyle w:val="TOC2"/>
            <w:tabs>
              <w:tab w:val="left" w:pos="2448"/>
            </w:tabs>
            <w:rPr>
              <w:rFonts w:asciiTheme="minorHAnsi" w:eastAsiaTheme="minorEastAsia" w:hAnsiTheme="minorHAnsi" w:cstheme="minorBidi"/>
              <w:b w:val="0"/>
              <w:noProof/>
              <w:sz w:val="22"/>
              <w:lang w:eastAsia="en-AU"/>
            </w:rPr>
          </w:pPr>
          <w:hyperlink w:anchor="_Toc363676083" w:history="1">
            <w:r w:rsidR="004C33D4" w:rsidRPr="00847B9A">
              <w:rPr>
                <w:rStyle w:val="Hyperlink"/>
                <w:noProof/>
              </w:rPr>
              <w:t>Attachment 1.</w:t>
            </w:r>
            <w:r w:rsidR="004C33D4">
              <w:rPr>
                <w:rFonts w:asciiTheme="minorHAnsi" w:eastAsiaTheme="minorEastAsia" w:hAnsiTheme="minorHAnsi" w:cstheme="minorBidi"/>
                <w:b w:val="0"/>
                <w:noProof/>
                <w:sz w:val="22"/>
                <w:lang w:eastAsia="en-AU"/>
              </w:rPr>
              <w:tab/>
            </w:r>
            <w:r w:rsidR="004C33D4" w:rsidRPr="00847B9A">
              <w:rPr>
                <w:rStyle w:val="Hyperlink"/>
                <w:noProof/>
              </w:rPr>
              <w:t>Product Information</w:t>
            </w:r>
            <w:r w:rsidR="004C33D4">
              <w:rPr>
                <w:noProof/>
                <w:webHidden/>
              </w:rPr>
              <w:tab/>
            </w:r>
            <w:r>
              <w:rPr>
                <w:noProof/>
                <w:webHidden/>
              </w:rPr>
              <w:fldChar w:fldCharType="begin"/>
            </w:r>
            <w:r w:rsidR="004C33D4">
              <w:rPr>
                <w:noProof/>
                <w:webHidden/>
              </w:rPr>
              <w:instrText xml:space="preserve"> PAGEREF _Toc363676083 \h </w:instrText>
            </w:r>
            <w:r>
              <w:rPr>
                <w:noProof/>
                <w:webHidden/>
              </w:rPr>
            </w:r>
            <w:r>
              <w:rPr>
                <w:noProof/>
                <w:webHidden/>
              </w:rPr>
              <w:fldChar w:fldCharType="separate"/>
            </w:r>
            <w:r w:rsidR="004C33D4">
              <w:rPr>
                <w:noProof/>
                <w:webHidden/>
              </w:rPr>
              <w:t>57</w:t>
            </w:r>
            <w:r>
              <w:rPr>
                <w:noProof/>
                <w:webHidden/>
              </w:rPr>
              <w:fldChar w:fldCharType="end"/>
            </w:r>
          </w:hyperlink>
        </w:p>
        <w:p w:rsidR="004C33D4" w:rsidRDefault="00A75D98">
          <w:pPr>
            <w:pStyle w:val="TOC2"/>
            <w:tabs>
              <w:tab w:val="left" w:pos="2448"/>
            </w:tabs>
            <w:rPr>
              <w:rFonts w:asciiTheme="minorHAnsi" w:eastAsiaTheme="minorEastAsia" w:hAnsiTheme="minorHAnsi" w:cstheme="minorBidi"/>
              <w:b w:val="0"/>
              <w:noProof/>
              <w:sz w:val="22"/>
              <w:lang w:eastAsia="en-AU"/>
            </w:rPr>
          </w:pPr>
          <w:hyperlink w:anchor="_Toc363676084" w:history="1">
            <w:r w:rsidR="004C33D4" w:rsidRPr="00847B9A">
              <w:rPr>
                <w:rStyle w:val="Hyperlink"/>
                <w:noProof/>
                <w:lang w:eastAsia="en-AU"/>
              </w:rPr>
              <w:t>Attachment 2.</w:t>
            </w:r>
            <w:r w:rsidR="004C33D4">
              <w:rPr>
                <w:rFonts w:asciiTheme="minorHAnsi" w:eastAsiaTheme="minorEastAsia" w:hAnsiTheme="minorHAnsi" w:cstheme="minorBidi"/>
                <w:b w:val="0"/>
                <w:noProof/>
                <w:sz w:val="22"/>
                <w:lang w:eastAsia="en-AU"/>
              </w:rPr>
              <w:tab/>
            </w:r>
            <w:r w:rsidR="004C33D4" w:rsidRPr="00847B9A">
              <w:rPr>
                <w:rStyle w:val="Hyperlink"/>
                <w:noProof/>
                <w:lang w:eastAsia="en-AU"/>
              </w:rPr>
              <w:t>Extract from the Clinical Evaluation Report</w:t>
            </w:r>
            <w:r w:rsidR="004C33D4">
              <w:rPr>
                <w:noProof/>
                <w:webHidden/>
              </w:rPr>
              <w:tab/>
            </w:r>
            <w:r>
              <w:rPr>
                <w:noProof/>
                <w:webHidden/>
              </w:rPr>
              <w:fldChar w:fldCharType="begin"/>
            </w:r>
            <w:r w:rsidR="004C33D4">
              <w:rPr>
                <w:noProof/>
                <w:webHidden/>
              </w:rPr>
              <w:instrText xml:space="preserve"> PAGEREF _Toc363676084 \h </w:instrText>
            </w:r>
            <w:r>
              <w:rPr>
                <w:noProof/>
                <w:webHidden/>
              </w:rPr>
            </w:r>
            <w:r>
              <w:rPr>
                <w:noProof/>
                <w:webHidden/>
              </w:rPr>
              <w:fldChar w:fldCharType="separate"/>
            </w:r>
            <w:r w:rsidR="004C33D4">
              <w:rPr>
                <w:noProof/>
                <w:webHidden/>
              </w:rPr>
              <w:t>57</w:t>
            </w:r>
            <w:r>
              <w:rPr>
                <w:noProof/>
                <w:webHidden/>
              </w:rPr>
              <w:fldChar w:fldCharType="end"/>
            </w:r>
          </w:hyperlink>
        </w:p>
        <w:p w:rsidR="0030605E" w:rsidRDefault="00A75D98" w:rsidP="0030605E">
          <w:pPr>
            <w:pStyle w:val="TOC2"/>
            <w:tabs>
              <w:tab w:val="left" w:pos="2448"/>
            </w:tabs>
          </w:pPr>
          <w:r>
            <w:fldChar w:fldCharType="end"/>
          </w:r>
          <w:r w:rsidR="00BE1C93">
            <w:t xml:space="preserve"> </w:t>
          </w:r>
        </w:p>
      </w:sdtContent>
    </w:sdt>
    <w:bookmarkStart w:id="2" w:name="_Toc314842482" w:displacedByCustomXml="prev"/>
    <w:p w:rsidR="006C05FE" w:rsidRDefault="006C05FE">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63676048"/>
      <w:r>
        <w:lastRenderedPageBreak/>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63676049"/>
      <w:r>
        <w:rPr>
          <w:lang w:eastAsia="en-AU"/>
        </w:rPr>
        <w:t>Submission details</w:t>
      </w:r>
      <w:bookmarkEnd w:id="4"/>
      <w:bookmarkEnd w:id="5"/>
      <w:bookmarkEnd w:id="6"/>
    </w:p>
    <w:tbl>
      <w:tblPr>
        <w:tblW w:w="9072" w:type="dxa"/>
        <w:tblInd w:w="108" w:type="dxa"/>
        <w:tblLook w:val="01E0"/>
      </w:tblPr>
      <w:tblGrid>
        <w:gridCol w:w="2907"/>
        <w:gridCol w:w="6165"/>
      </w:tblGrid>
      <w:tr w:rsidR="008E7846" w:rsidRPr="003D1E62" w:rsidTr="003D2D79">
        <w:trPr>
          <w:trHeight w:hRule="exact" w:val="773"/>
        </w:trPr>
        <w:tc>
          <w:tcPr>
            <w:tcW w:w="2907" w:type="dxa"/>
          </w:tcPr>
          <w:p w:rsidR="00474F81" w:rsidRPr="003D1E62" w:rsidRDefault="00474F81" w:rsidP="00474F81">
            <w:pPr>
              <w:rPr>
                <w:i/>
              </w:rPr>
            </w:pPr>
            <w:r>
              <w:rPr>
                <w:i/>
              </w:rPr>
              <w:t>Type of Submission:</w:t>
            </w:r>
          </w:p>
        </w:tc>
        <w:tc>
          <w:tcPr>
            <w:tcW w:w="6165" w:type="dxa"/>
          </w:tcPr>
          <w:p w:rsidR="00A573D0" w:rsidRDefault="00DF14B6" w:rsidP="00A573D0">
            <w:r>
              <w:t>Extension of indications</w:t>
            </w:r>
          </w:p>
          <w:p w:rsidR="008E7846" w:rsidRPr="003D1E62" w:rsidRDefault="00BC16C6" w:rsidP="00A573D0">
            <w:r>
              <w:t>R</w:t>
            </w:r>
            <w:r w:rsidR="00DF14B6">
              <w:t xml:space="preserve">egistration of a new strength </w:t>
            </w:r>
            <w:r w:rsidR="00FD0908">
              <w:t>(5 mg)</w:t>
            </w:r>
          </w:p>
        </w:tc>
      </w:tr>
      <w:tr w:rsidR="008E7846" w:rsidRPr="003D1E62" w:rsidTr="003D2D79">
        <w:trPr>
          <w:trHeight w:hRule="exact" w:val="454"/>
        </w:trPr>
        <w:tc>
          <w:tcPr>
            <w:tcW w:w="2907" w:type="dxa"/>
          </w:tcPr>
          <w:p w:rsidR="008E7846" w:rsidRPr="003D1E62" w:rsidRDefault="008E7846" w:rsidP="003D1E62">
            <w:r w:rsidRPr="003D1E62">
              <w:rPr>
                <w:i/>
              </w:rPr>
              <w:t>Decision</w:t>
            </w:r>
            <w:r w:rsidRPr="003D1E62">
              <w:t>:</w:t>
            </w:r>
          </w:p>
        </w:tc>
        <w:tc>
          <w:tcPr>
            <w:tcW w:w="6165" w:type="dxa"/>
          </w:tcPr>
          <w:p w:rsidR="008E7846" w:rsidRPr="003D1E62" w:rsidRDefault="008E7846" w:rsidP="00637439">
            <w:r w:rsidRPr="003D1E62">
              <w:t>Approved</w:t>
            </w:r>
          </w:p>
        </w:tc>
      </w:tr>
      <w:tr w:rsidR="008E7846" w:rsidRPr="003D1E62" w:rsidTr="003D2D79">
        <w:trPr>
          <w:trHeight w:hRule="exact" w:val="454"/>
        </w:trPr>
        <w:tc>
          <w:tcPr>
            <w:tcW w:w="2907" w:type="dxa"/>
          </w:tcPr>
          <w:p w:rsidR="008E7846" w:rsidRPr="003D1E62" w:rsidRDefault="008E7846" w:rsidP="003D1E62">
            <w:pPr>
              <w:rPr>
                <w:i/>
              </w:rPr>
            </w:pPr>
            <w:r w:rsidRPr="003D1E62">
              <w:rPr>
                <w:i/>
              </w:rPr>
              <w:t>Date of Decision:</w:t>
            </w:r>
          </w:p>
        </w:tc>
        <w:tc>
          <w:tcPr>
            <w:tcW w:w="6165" w:type="dxa"/>
          </w:tcPr>
          <w:p w:rsidR="008E7846" w:rsidRPr="00F41964" w:rsidRDefault="00FD0908" w:rsidP="003D1E62">
            <w:pPr>
              <w:rPr>
                <w:b/>
              </w:rPr>
            </w:pPr>
            <w:r w:rsidRPr="00FD0908">
              <w:t>29 April 2013</w:t>
            </w:r>
          </w:p>
        </w:tc>
      </w:tr>
    </w:tbl>
    <w:p w:rsidR="008E7846" w:rsidRDefault="008E7846" w:rsidP="008E7846"/>
    <w:tbl>
      <w:tblPr>
        <w:tblW w:w="9214" w:type="dxa"/>
        <w:tblInd w:w="108" w:type="dxa"/>
        <w:tblLook w:val="01E0"/>
      </w:tblPr>
      <w:tblGrid>
        <w:gridCol w:w="2907"/>
        <w:gridCol w:w="6307"/>
      </w:tblGrid>
      <w:tr w:rsidR="008E7846" w:rsidRPr="00487162" w:rsidTr="00BF1190">
        <w:tc>
          <w:tcPr>
            <w:tcW w:w="2907" w:type="dxa"/>
          </w:tcPr>
          <w:p w:rsidR="008E7846" w:rsidRPr="00487162" w:rsidRDefault="00637439" w:rsidP="00E45619">
            <w:pPr>
              <w:rPr>
                <w:i/>
              </w:rPr>
            </w:pPr>
            <w:r>
              <w:rPr>
                <w:i/>
              </w:rPr>
              <w:t>Active ingredient</w:t>
            </w:r>
            <w:r w:rsidR="008E7846" w:rsidRPr="00487162">
              <w:rPr>
                <w:i/>
              </w:rPr>
              <w:t>:</w:t>
            </w:r>
          </w:p>
        </w:tc>
        <w:tc>
          <w:tcPr>
            <w:tcW w:w="6307" w:type="dxa"/>
          </w:tcPr>
          <w:p w:rsidR="008E7846" w:rsidRPr="00487162" w:rsidRDefault="00637439" w:rsidP="00E45619">
            <w:r>
              <w:t>Apixaban</w:t>
            </w:r>
          </w:p>
        </w:tc>
      </w:tr>
      <w:tr w:rsidR="008E7846" w:rsidRPr="00487162" w:rsidTr="00BF1190">
        <w:tc>
          <w:tcPr>
            <w:tcW w:w="2907" w:type="dxa"/>
          </w:tcPr>
          <w:p w:rsidR="008E7846" w:rsidRPr="00487162" w:rsidRDefault="00637439" w:rsidP="00E45619">
            <w:pPr>
              <w:rPr>
                <w:i/>
              </w:rPr>
            </w:pPr>
            <w:r>
              <w:rPr>
                <w:i/>
              </w:rPr>
              <w:t>Product Name</w:t>
            </w:r>
            <w:r w:rsidR="008E7846" w:rsidRPr="00487162">
              <w:rPr>
                <w:i/>
              </w:rPr>
              <w:t>:</w:t>
            </w:r>
          </w:p>
        </w:tc>
        <w:tc>
          <w:tcPr>
            <w:tcW w:w="6307" w:type="dxa"/>
          </w:tcPr>
          <w:p w:rsidR="008E7846" w:rsidRPr="00487162" w:rsidRDefault="00637439" w:rsidP="00E45619">
            <w:r>
              <w:t>Eliquis</w:t>
            </w:r>
          </w:p>
        </w:tc>
      </w:tr>
      <w:tr w:rsidR="008E7846" w:rsidRPr="00487162" w:rsidTr="00BF1190">
        <w:tc>
          <w:tcPr>
            <w:tcW w:w="2907" w:type="dxa"/>
          </w:tcPr>
          <w:p w:rsidR="008E7846" w:rsidRPr="00487162" w:rsidRDefault="008E7846" w:rsidP="00E45619">
            <w:pPr>
              <w:rPr>
                <w:i/>
              </w:rPr>
            </w:pPr>
            <w:r w:rsidRPr="00487162">
              <w:rPr>
                <w:i/>
              </w:rPr>
              <w:t>Sponsor’s Name and Address:</w:t>
            </w:r>
          </w:p>
        </w:tc>
        <w:tc>
          <w:tcPr>
            <w:tcW w:w="6307" w:type="dxa"/>
          </w:tcPr>
          <w:p w:rsidR="008E7846" w:rsidRDefault="00637439" w:rsidP="00637439">
            <w:pPr>
              <w:spacing w:before="0" w:after="0"/>
            </w:pPr>
            <w:r w:rsidRPr="00637439">
              <w:t>Bristol-Myers Squibb Australia Pty Ltd</w:t>
            </w:r>
          </w:p>
          <w:p w:rsidR="00637439" w:rsidRDefault="00637439" w:rsidP="00637439">
            <w:pPr>
              <w:spacing w:before="0" w:after="0"/>
            </w:pPr>
            <w:r>
              <w:t>PO Box 1080</w:t>
            </w:r>
          </w:p>
          <w:p w:rsidR="00637439" w:rsidRDefault="00BC16C6" w:rsidP="00637439">
            <w:pPr>
              <w:spacing w:before="0" w:after="0"/>
            </w:pPr>
            <w:r>
              <w:t xml:space="preserve">Mount Waverley </w:t>
            </w:r>
            <w:r w:rsidR="00637439">
              <w:t>VIC 3149</w:t>
            </w:r>
          </w:p>
          <w:p w:rsidR="00637439" w:rsidRPr="00487162" w:rsidRDefault="00637439" w:rsidP="00637439">
            <w:pPr>
              <w:spacing w:before="0" w:after="0"/>
            </w:pPr>
            <w:r>
              <w:t>Australia</w:t>
            </w:r>
          </w:p>
        </w:tc>
      </w:tr>
      <w:tr w:rsidR="008E7846" w:rsidRPr="00487162" w:rsidTr="00BF1190">
        <w:tc>
          <w:tcPr>
            <w:tcW w:w="2907" w:type="dxa"/>
          </w:tcPr>
          <w:p w:rsidR="008E7846" w:rsidRPr="00487162" w:rsidRDefault="00637439" w:rsidP="00E45619">
            <w:pPr>
              <w:rPr>
                <w:i/>
              </w:rPr>
            </w:pPr>
            <w:r>
              <w:rPr>
                <w:i/>
              </w:rPr>
              <w:t>Dose form</w:t>
            </w:r>
            <w:r w:rsidR="008E7846" w:rsidRPr="00487162">
              <w:rPr>
                <w:i/>
              </w:rPr>
              <w:t>:</w:t>
            </w:r>
          </w:p>
        </w:tc>
        <w:tc>
          <w:tcPr>
            <w:tcW w:w="6307" w:type="dxa"/>
          </w:tcPr>
          <w:p w:rsidR="008E7846" w:rsidRPr="00487162" w:rsidRDefault="00637439" w:rsidP="00E45619">
            <w:r>
              <w:t>Tablet</w:t>
            </w:r>
          </w:p>
        </w:tc>
      </w:tr>
      <w:tr w:rsidR="008E7846" w:rsidRPr="00487162" w:rsidTr="00BF1190">
        <w:tc>
          <w:tcPr>
            <w:tcW w:w="2907" w:type="dxa"/>
          </w:tcPr>
          <w:p w:rsidR="008E7846" w:rsidRPr="00487162" w:rsidRDefault="00637439" w:rsidP="00E45619">
            <w:pPr>
              <w:rPr>
                <w:i/>
              </w:rPr>
            </w:pPr>
            <w:r>
              <w:rPr>
                <w:i/>
              </w:rPr>
              <w:t>Strengths</w:t>
            </w:r>
            <w:r w:rsidR="008E7846" w:rsidRPr="00487162">
              <w:rPr>
                <w:i/>
              </w:rPr>
              <w:t>:</w:t>
            </w:r>
          </w:p>
        </w:tc>
        <w:tc>
          <w:tcPr>
            <w:tcW w:w="6307" w:type="dxa"/>
          </w:tcPr>
          <w:p w:rsidR="008E7846" w:rsidRPr="00487162" w:rsidRDefault="00637439" w:rsidP="00637439">
            <w:r>
              <w:t xml:space="preserve">2.5 mg </w:t>
            </w:r>
            <w:r w:rsidR="008E7846" w:rsidRPr="00487162">
              <w:t xml:space="preserve">and </w:t>
            </w:r>
            <w:r>
              <w:t>5 mg</w:t>
            </w:r>
          </w:p>
        </w:tc>
      </w:tr>
      <w:tr w:rsidR="008E7846" w:rsidRPr="00487162" w:rsidTr="00BF1190">
        <w:tc>
          <w:tcPr>
            <w:tcW w:w="2907" w:type="dxa"/>
          </w:tcPr>
          <w:p w:rsidR="008E7846" w:rsidRPr="00487162" w:rsidRDefault="008E7846" w:rsidP="00637439">
            <w:pPr>
              <w:rPr>
                <w:i/>
              </w:rPr>
            </w:pPr>
            <w:r w:rsidRPr="00487162">
              <w:rPr>
                <w:i/>
              </w:rPr>
              <w:t>Container:</w:t>
            </w:r>
          </w:p>
        </w:tc>
        <w:tc>
          <w:tcPr>
            <w:tcW w:w="6307" w:type="dxa"/>
          </w:tcPr>
          <w:p w:rsidR="008E7846" w:rsidRPr="00487162" w:rsidRDefault="00637439" w:rsidP="00E45619">
            <w:r>
              <w:t>Blister pack</w:t>
            </w:r>
          </w:p>
        </w:tc>
      </w:tr>
      <w:tr w:rsidR="008E7846" w:rsidRPr="00487162" w:rsidTr="00BF1190">
        <w:tc>
          <w:tcPr>
            <w:tcW w:w="2907" w:type="dxa"/>
          </w:tcPr>
          <w:p w:rsidR="008E7846" w:rsidRPr="00487162" w:rsidRDefault="00637439" w:rsidP="00E45619">
            <w:pPr>
              <w:rPr>
                <w:i/>
              </w:rPr>
            </w:pPr>
            <w:r>
              <w:rPr>
                <w:i/>
              </w:rPr>
              <w:t>Pack sizes</w:t>
            </w:r>
            <w:r w:rsidR="008E7846" w:rsidRPr="00487162">
              <w:rPr>
                <w:i/>
              </w:rPr>
              <w:t>:</w:t>
            </w:r>
          </w:p>
        </w:tc>
        <w:tc>
          <w:tcPr>
            <w:tcW w:w="6307" w:type="dxa"/>
          </w:tcPr>
          <w:p w:rsidR="008E7846" w:rsidRPr="00487162" w:rsidRDefault="00637439" w:rsidP="00E45619">
            <w:r>
              <w:t>10, 20, 30, 60 and 100 tablets</w:t>
            </w:r>
          </w:p>
        </w:tc>
      </w:tr>
      <w:tr w:rsidR="008E7846" w:rsidRPr="00487162" w:rsidTr="00BF1190">
        <w:tc>
          <w:tcPr>
            <w:tcW w:w="2907" w:type="dxa"/>
          </w:tcPr>
          <w:p w:rsidR="008E7846" w:rsidRPr="00487162" w:rsidRDefault="008E7846" w:rsidP="00E45619">
            <w:pPr>
              <w:rPr>
                <w:i/>
              </w:rPr>
            </w:pPr>
            <w:r w:rsidRPr="00487162">
              <w:rPr>
                <w:i/>
              </w:rPr>
              <w:t>Approved Therapeutic use:</w:t>
            </w:r>
          </w:p>
        </w:tc>
        <w:tc>
          <w:tcPr>
            <w:tcW w:w="6307" w:type="dxa"/>
          </w:tcPr>
          <w:p w:rsidR="0014479A" w:rsidRPr="003C30E3" w:rsidRDefault="0079626D" w:rsidP="0014479A">
            <w:r>
              <w:t>Eliquis</w:t>
            </w:r>
            <w:r w:rsidRPr="0079626D">
              <w:t xml:space="preserve"> is indicated for the prevention of stroke and systemic embolism in patients with non-valvular atrial fibrillation and at least one additional risk factor for stroke.</w:t>
            </w:r>
          </w:p>
        </w:tc>
      </w:tr>
      <w:tr w:rsidR="008E7846" w:rsidRPr="00487162" w:rsidTr="003C30E3">
        <w:trPr>
          <w:trHeight w:val="449"/>
        </w:trPr>
        <w:tc>
          <w:tcPr>
            <w:tcW w:w="2907" w:type="dxa"/>
          </w:tcPr>
          <w:p w:rsidR="008E7846" w:rsidRPr="00487162" w:rsidRDefault="00637439" w:rsidP="00637439">
            <w:pPr>
              <w:rPr>
                <w:i/>
              </w:rPr>
            </w:pPr>
            <w:r>
              <w:rPr>
                <w:i/>
              </w:rPr>
              <w:t>Route</w:t>
            </w:r>
            <w:r w:rsidR="008E7846" w:rsidRPr="00487162">
              <w:rPr>
                <w:i/>
              </w:rPr>
              <w:t xml:space="preserve"> of administration:</w:t>
            </w:r>
          </w:p>
        </w:tc>
        <w:tc>
          <w:tcPr>
            <w:tcW w:w="6307" w:type="dxa"/>
          </w:tcPr>
          <w:p w:rsidR="008E7846" w:rsidRPr="00487162" w:rsidRDefault="00637439" w:rsidP="00E45619">
            <w:r>
              <w:t>Oral</w:t>
            </w:r>
          </w:p>
        </w:tc>
      </w:tr>
      <w:tr w:rsidR="008E7846" w:rsidRPr="00487162" w:rsidTr="003C30E3">
        <w:trPr>
          <w:trHeight w:val="1930"/>
        </w:trPr>
        <w:tc>
          <w:tcPr>
            <w:tcW w:w="2907" w:type="dxa"/>
          </w:tcPr>
          <w:p w:rsidR="008E7846" w:rsidRPr="00487162" w:rsidRDefault="008E7846" w:rsidP="00E45619">
            <w:pPr>
              <w:rPr>
                <w:i/>
              </w:rPr>
            </w:pPr>
            <w:r w:rsidRPr="00487162">
              <w:rPr>
                <w:i/>
              </w:rPr>
              <w:t>Dosage</w:t>
            </w:r>
            <w:r w:rsidR="00CC4CB2">
              <w:rPr>
                <w:i/>
              </w:rPr>
              <w:t xml:space="preserve"> (abbreviated)</w:t>
            </w:r>
            <w:r w:rsidRPr="00487162">
              <w:rPr>
                <w:i/>
              </w:rPr>
              <w:t>:</w:t>
            </w:r>
          </w:p>
        </w:tc>
        <w:tc>
          <w:tcPr>
            <w:tcW w:w="6307" w:type="dxa"/>
          </w:tcPr>
          <w:p w:rsidR="0014479A" w:rsidRPr="0095170D" w:rsidRDefault="0014479A" w:rsidP="0014479A">
            <w:pPr>
              <w:rPr>
                <w:i/>
              </w:rPr>
            </w:pPr>
            <w:r w:rsidRPr="0095170D">
              <w:rPr>
                <w:i/>
              </w:rPr>
              <w:t xml:space="preserve">Prevention of </w:t>
            </w:r>
            <w:r w:rsidR="0095170D">
              <w:rPr>
                <w:i/>
              </w:rPr>
              <w:t>s</w:t>
            </w:r>
            <w:r w:rsidRPr="0095170D">
              <w:rPr>
                <w:i/>
              </w:rPr>
              <w:t xml:space="preserve">troke and </w:t>
            </w:r>
            <w:r w:rsidR="0095170D">
              <w:rPr>
                <w:i/>
              </w:rPr>
              <w:t>s</w:t>
            </w:r>
            <w:r w:rsidRPr="0095170D">
              <w:rPr>
                <w:i/>
              </w:rPr>
              <w:t xml:space="preserve">ystemic </w:t>
            </w:r>
            <w:r w:rsidR="0095170D">
              <w:rPr>
                <w:i/>
              </w:rPr>
              <w:t>e</w:t>
            </w:r>
            <w:r w:rsidRPr="0095170D">
              <w:rPr>
                <w:i/>
              </w:rPr>
              <w:t xml:space="preserve">mbolism: Non-valvular </w:t>
            </w:r>
            <w:r w:rsidR="0095170D">
              <w:rPr>
                <w:i/>
              </w:rPr>
              <w:t>a</w:t>
            </w:r>
            <w:r w:rsidRPr="0095170D">
              <w:rPr>
                <w:i/>
              </w:rPr>
              <w:t xml:space="preserve">trial </w:t>
            </w:r>
            <w:r w:rsidR="0095170D">
              <w:rPr>
                <w:i/>
              </w:rPr>
              <w:t>f</w:t>
            </w:r>
            <w:r w:rsidRPr="0095170D">
              <w:rPr>
                <w:i/>
              </w:rPr>
              <w:t>ibrillation:</w:t>
            </w:r>
          </w:p>
          <w:p w:rsidR="003C30E3" w:rsidRPr="0014479A" w:rsidRDefault="003C30E3" w:rsidP="0014479A">
            <w:r w:rsidRPr="0014479A">
              <w:t>The recommended dose of Eliquis is 5 mg taken twice daily.</w:t>
            </w:r>
          </w:p>
          <w:p w:rsidR="003C30E3" w:rsidRPr="0014479A" w:rsidRDefault="003C30E3" w:rsidP="00E13AC8">
            <w:r w:rsidRPr="0014479A">
              <w:t>The recommended dose of Eliquis is 2.5 mg taken twice daily in patients with at least two of the following characteristics:</w:t>
            </w:r>
          </w:p>
          <w:p w:rsidR="003C30E3" w:rsidRPr="003C30E3" w:rsidRDefault="0079626D" w:rsidP="003C30E3">
            <w:pPr>
              <w:pStyle w:val="ListBullet"/>
              <w:spacing w:before="0" w:after="0" w:line="240" w:lineRule="auto"/>
            </w:pPr>
            <w:r>
              <w:t>≥</w:t>
            </w:r>
            <w:r w:rsidR="003C30E3" w:rsidRPr="003C30E3">
              <w:t>80 years;</w:t>
            </w:r>
          </w:p>
          <w:p w:rsidR="003C30E3" w:rsidRPr="003C30E3" w:rsidRDefault="0079626D" w:rsidP="003C30E3">
            <w:pPr>
              <w:pStyle w:val="ListBullet"/>
              <w:spacing w:before="0" w:after="0" w:line="240" w:lineRule="auto"/>
            </w:pPr>
            <w:r>
              <w:t>body weight ≤</w:t>
            </w:r>
            <w:r w:rsidR="003C30E3" w:rsidRPr="003C30E3">
              <w:t>60 kg;</w:t>
            </w:r>
          </w:p>
          <w:p w:rsidR="008E7846" w:rsidRPr="00487162" w:rsidRDefault="003C30E3" w:rsidP="003C30E3">
            <w:pPr>
              <w:pStyle w:val="ListBullet"/>
              <w:spacing w:before="0" w:after="0" w:line="240" w:lineRule="auto"/>
            </w:pPr>
            <w:r>
              <w:t xml:space="preserve">serum creatinine </w:t>
            </w:r>
            <w:r w:rsidR="0079626D" w:rsidRPr="0079626D">
              <w:t>≥</w:t>
            </w:r>
            <w:r w:rsidRPr="003C30E3">
              <w:t>133 µmol/L.</w:t>
            </w:r>
          </w:p>
        </w:tc>
      </w:tr>
      <w:tr w:rsidR="008E7846" w:rsidRPr="00487162" w:rsidTr="00BF1190">
        <w:tc>
          <w:tcPr>
            <w:tcW w:w="2907" w:type="dxa"/>
          </w:tcPr>
          <w:p w:rsidR="008E7846" w:rsidRPr="00487162" w:rsidRDefault="00637439" w:rsidP="00637439">
            <w:pPr>
              <w:rPr>
                <w:i/>
              </w:rPr>
            </w:pPr>
            <w:r>
              <w:rPr>
                <w:i/>
              </w:rPr>
              <w:t>ARTG Number</w:t>
            </w:r>
            <w:r w:rsidR="008E7846" w:rsidRPr="00487162">
              <w:rPr>
                <w:i/>
              </w:rPr>
              <w:t>s</w:t>
            </w:r>
            <w:r>
              <w:rPr>
                <w:i/>
              </w:rPr>
              <w:t>:</w:t>
            </w:r>
          </w:p>
        </w:tc>
        <w:tc>
          <w:tcPr>
            <w:tcW w:w="6307" w:type="dxa"/>
          </w:tcPr>
          <w:p w:rsidR="008E7846" w:rsidRPr="00487162" w:rsidRDefault="00637439" w:rsidP="0079626D">
            <w:r w:rsidRPr="00637439">
              <w:t>172244</w:t>
            </w:r>
            <w:r w:rsidRPr="00487162">
              <w:t xml:space="preserve"> </w:t>
            </w:r>
            <w:r w:rsidR="0095170D">
              <w:t xml:space="preserve">(2.5 mg) </w:t>
            </w:r>
            <w:r>
              <w:t xml:space="preserve">and </w:t>
            </w:r>
            <w:r w:rsidR="0079626D" w:rsidRPr="0079626D">
              <w:t>193474</w:t>
            </w:r>
            <w:r w:rsidR="0095170D">
              <w:t xml:space="preserve"> (5 mg)</w:t>
            </w:r>
          </w:p>
        </w:tc>
      </w:tr>
    </w:tbl>
    <w:p w:rsidR="008E7846" w:rsidRDefault="008E7846" w:rsidP="008E7846">
      <w:pPr>
        <w:pStyle w:val="Heading3"/>
      </w:pPr>
      <w:bookmarkStart w:id="7" w:name="_Toc247691503"/>
      <w:bookmarkStart w:id="8" w:name="_Toc314842484"/>
      <w:bookmarkStart w:id="9" w:name="_Toc363676050"/>
      <w:r>
        <w:t>Product background</w:t>
      </w:r>
      <w:bookmarkEnd w:id="7"/>
      <w:bookmarkEnd w:id="8"/>
      <w:bookmarkEnd w:id="9"/>
    </w:p>
    <w:p w:rsidR="006D7B88" w:rsidRPr="006D7B88" w:rsidRDefault="006D7B88" w:rsidP="00E13AC8">
      <w:r w:rsidRPr="006D7B88">
        <w:t>Apixaban is an oral</w:t>
      </w:r>
      <w:r w:rsidR="00BE1C93">
        <w:t>ly active,</w:t>
      </w:r>
      <w:r w:rsidRPr="006D7B88">
        <w:t xml:space="preserve"> reversible, selective </w:t>
      </w:r>
      <w:r w:rsidR="00BC16C6">
        <w:t xml:space="preserve">inhibitor of coagulation </w:t>
      </w:r>
      <w:r w:rsidR="00BE1C93">
        <w:t>F</w:t>
      </w:r>
      <w:r w:rsidRPr="006D7B88">
        <w:t xml:space="preserve">actor </w:t>
      </w:r>
      <w:proofErr w:type="spellStart"/>
      <w:r w:rsidRPr="006D7B88">
        <w:t>Xa</w:t>
      </w:r>
      <w:proofErr w:type="spellEnd"/>
      <w:r w:rsidRPr="006D7B88">
        <w:t xml:space="preserve"> </w:t>
      </w:r>
      <w:r w:rsidR="00BE1C93">
        <w:t>(</w:t>
      </w:r>
      <w:proofErr w:type="spellStart"/>
      <w:r w:rsidR="00BE1C93">
        <w:t>FXa</w:t>
      </w:r>
      <w:proofErr w:type="spellEnd"/>
      <w:r w:rsidR="00BE1C93">
        <w:t xml:space="preserve">) </w:t>
      </w:r>
      <w:r w:rsidRPr="006D7B88">
        <w:t>that prevents thrombin generation and thrombus formation by decreasing the conversi</w:t>
      </w:r>
      <w:r>
        <w:t xml:space="preserve">on of </w:t>
      </w:r>
      <w:proofErr w:type="spellStart"/>
      <w:r>
        <w:t>prothrombin</w:t>
      </w:r>
      <w:proofErr w:type="spellEnd"/>
      <w:r>
        <w:t xml:space="preserve"> to thrombin. </w:t>
      </w:r>
      <w:r w:rsidRPr="006D7B88">
        <w:t xml:space="preserve">It does not require </w:t>
      </w:r>
      <w:proofErr w:type="spellStart"/>
      <w:r w:rsidRPr="006D7B88">
        <w:t>antithrombin</w:t>
      </w:r>
      <w:proofErr w:type="spellEnd"/>
      <w:r w:rsidRPr="006D7B88">
        <w:t xml:space="preserve"> III for its antithrombotic activity and has no direct effects on platelets but indirectly inhibits platelet aggregation </w:t>
      </w:r>
      <w:r w:rsidRPr="006D7B88">
        <w:lastRenderedPageBreak/>
        <w:t>induced by th</w:t>
      </w:r>
      <w:r>
        <w:t xml:space="preserve">rombin. </w:t>
      </w:r>
      <w:r w:rsidRPr="006D7B88">
        <w:t xml:space="preserve">Factor </w:t>
      </w:r>
      <w:proofErr w:type="spellStart"/>
      <w:r w:rsidRPr="006D7B88">
        <w:t>Xa</w:t>
      </w:r>
      <w:proofErr w:type="spellEnd"/>
      <w:r w:rsidRPr="006D7B88">
        <w:t xml:space="preserve"> is a common mediator of both the extrinsic and int</w:t>
      </w:r>
      <w:r w:rsidR="00E13AC8">
        <w:t>rinsic pathways of coagulation.</w:t>
      </w:r>
    </w:p>
    <w:p w:rsidR="006D7B88" w:rsidRPr="006D7B88" w:rsidRDefault="006D7B88" w:rsidP="006D7B88">
      <w:r>
        <w:t>Eliquis tablets containing 2.5 mg of a</w:t>
      </w:r>
      <w:r w:rsidRPr="006D7B88">
        <w:t xml:space="preserve">pixaban </w:t>
      </w:r>
      <w:r>
        <w:t xml:space="preserve">were </w:t>
      </w:r>
      <w:r w:rsidRPr="006D7B88">
        <w:t>first approved in Australia in July 2011 for the following indication:</w:t>
      </w:r>
    </w:p>
    <w:p w:rsidR="006D7B88" w:rsidRDefault="006D7B88" w:rsidP="006D7B88">
      <w:pPr>
        <w:ind w:left="720"/>
        <w:rPr>
          <w:i/>
        </w:rPr>
      </w:pPr>
      <w:r w:rsidRPr="006D7B88">
        <w:rPr>
          <w:i/>
        </w:rPr>
        <w:t xml:space="preserve">ELIQUIS is indicated for the prevention of venous thromboembolic events (VTE) in adult patients who have undergone elective total hip or </w:t>
      </w:r>
      <w:r w:rsidR="00E13AC8">
        <w:rPr>
          <w:i/>
        </w:rPr>
        <w:t>total knee replacement surgery.</w:t>
      </w:r>
    </w:p>
    <w:p w:rsidR="006D7B88" w:rsidRDefault="006D7B88" w:rsidP="006D7B88">
      <w:r>
        <w:t xml:space="preserve">This AusPAR describes the application by </w:t>
      </w:r>
      <w:r w:rsidRPr="006D7B88">
        <w:t>Bristol-Myers Squibb Australia Pty Ltd</w:t>
      </w:r>
      <w:r>
        <w:t xml:space="preserve"> (the sponsor) to extend the approved indications for El</w:t>
      </w:r>
      <w:r w:rsidR="00E13AC8">
        <w:t>iquis to include the following:</w:t>
      </w:r>
    </w:p>
    <w:p w:rsidR="006D7B88" w:rsidRPr="006D7B88" w:rsidRDefault="006D7B88" w:rsidP="006D7B88">
      <w:pPr>
        <w:ind w:left="720"/>
        <w:rPr>
          <w:i/>
        </w:rPr>
      </w:pPr>
      <w:proofErr w:type="gramStart"/>
      <w:r w:rsidRPr="006D7B88">
        <w:rPr>
          <w:i/>
        </w:rPr>
        <w:t>Eliquis is indicated to reduce the risk of stroke, systemic embolism, and death in patients with non-valvular atrial fibrillation with at least one additional risk factor for stroke.</w:t>
      </w:r>
      <w:proofErr w:type="gramEnd"/>
    </w:p>
    <w:p w:rsidR="006D7B88" w:rsidRDefault="006D7B88" w:rsidP="006D7B88">
      <w:pPr>
        <w:ind w:left="720"/>
        <w:rPr>
          <w:i/>
        </w:rPr>
      </w:pPr>
      <w:r w:rsidRPr="006D7B88">
        <w:rPr>
          <w:i/>
        </w:rPr>
        <w:t>Eliquis also reduced the risk of major bleedings when compared to warfarin (see Clinical Trials).</w:t>
      </w:r>
    </w:p>
    <w:p w:rsidR="006D7B88" w:rsidRPr="006D7B88" w:rsidRDefault="006D7B88" w:rsidP="006D7B88">
      <w:r>
        <w:t>In addition, the sponsor propose</w:t>
      </w:r>
      <w:r w:rsidR="00323F81">
        <w:t>d</w:t>
      </w:r>
      <w:r>
        <w:t xml:space="preserve"> to register a new strength of Eliquis tablets, containing 5 mg of apixaban.</w:t>
      </w:r>
    </w:p>
    <w:p w:rsidR="008E7846" w:rsidRPr="003F31A2" w:rsidRDefault="00386150" w:rsidP="008E7846">
      <w:pPr>
        <w:pStyle w:val="Heading3"/>
      </w:pPr>
      <w:bookmarkStart w:id="10" w:name="_Toc314842485"/>
      <w:bookmarkStart w:id="11" w:name="_Toc247691504"/>
      <w:bookmarkStart w:id="12" w:name="_Toc363676051"/>
      <w:r>
        <w:t>Regulatory s</w:t>
      </w:r>
      <w:r w:rsidR="008E7846">
        <w:t>tatus</w:t>
      </w:r>
      <w:bookmarkEnd w:id="10"/>
      <w:bookmarkEnd w:id="11"/>
      <w:bookmarkEnd w:id="12"/>
    </w:p>
    <w:p w:rsidR="00FD0908" w:rsidRDefault="008E7846" w:rsidP="008E7846">
      <w:r>
        <w:t xml:space="preserve">The </w:t>
      </w:r>
      <w:r w:rsidR="00FD0908">
        <w:t xml:space="preserve">2.5 mg </w:t>
      </w:r>
      <w:r>
        <w:t xml:space="preserve">product received </w:t>
      </w:r>
      <w:r w:rsidR="00637439">
        <w:t>registration on the Australian Register of Therapeutic Goods (</w:t>
      </w:r>
      <w:r>
        <w:t>ARTG</w:t>
      </w:r>
      <w:r w:rsidR="00637439">
        <w:t>)</w:t>
      </w:r>
      <w:r>
        <w:t xml:space="preserve"> </w:t>
      </w:r>
      <w:r w:rsidR="00637439">
        <w:t>in July 2011.</w:t>
      </w:r>
      <w:r w:rsidR="005E447C">
        <w:t xml:space="preserve"> </w:t>
      </w:r>
      <w:r w:rsidR="00FD0908">
        <w:t>The 5 mg produc</w:t>
      </w:r>
      <w:r w:rsidR="00E13AC8">
        <w:t>t was registered on 2 May 2013.</w:t>
      </w:r>
    </w:p>
    <w:p w:rsidR="008E7846" w:rsidRDefault="005E447C" w:rsidP="008E7846">
      <w:r>
        <w:t xml:space="preserve">The overseas status concerning </w:t>
      </w:r>
      <w:r w:rsidR="008E7846" w:rsidRPr="00C27667">
        <w:t>similar application</w:t>
      </w:r>
      <w:r>
        <w:t>s</w:t>
      </w:r>
      <w:r w:rsidR="008E7846" w:rsidRPr="00C27667">
        <w:t xml:space="preserve"> </w:t>
      </w:r>
      <w:r w:rsidR="005824CB">
        <w:t>(</w:t>
      </w:r>
      <w:r w:rsidR="004535DD" w:rsidRPr="004535DD">
        <w:t>for the indication in prevention of stroke and systemic embolism in patients with non-valvular atrial fibrillation</w:t>
      </w:r>
      <w:r w:rsidR="005824CB">
        <w:t>)</w:t>
      </w:r>
      <w:r w:rsidR="004535DD" w:rsidRPr="004535DD">
        <w:t xml:space="preserve"> </w:t>
      </w:r>
      <w:r>
        <w:t>at the time this submission was considere</w:t>
      </w:r>
      <w:r w:rsidR="006C05FE">
        <w:t>d by the TGA is shown in Table 1</w:t>
      </w:r>
      <w:r w:rsidR="00E13AC8">
        <w:t>.</w:t>
      </w:r>
    </w:p>
    <w:p w:rsidR="005E447C" w:rsidRPr="00551160" w:rsidRDefault="006C05FE" w:rsidP="00E13AC8">
      <w:pPr>
        <w:pStyle w:val="TableTitle"/>
      </w:pPr>
      <w:proofErr w:type="gramStart"/>
      <w:r>
        <w:t>Table 1</w:t>
      </w:r>
      <w:r w:rsidR="005E447C" w:rsidRPr="00551160">
        <w:t>.</w:t>
      </w:r>
      <w:proofErr w:type="gramEnd"/>
      <w:r w:rsidR="005E447C" w:rsidRPr="00551160">
        <w:t xml:space="preserve"> Overseas </w:t>
      </w:r>
      <w:r w:rsidR="007E5277" w:rsidRPr="00551160">
        <w:t xml:space="preserve">registration </w:t>
      </w:r>
      <w:r w:rsidR="005E447C" w:rsidRPr="00551160">
        <w:t xml:space="preserve">status of </w:t>
      </w:r>
      <w:proofErr w:type="spellStart"/>
      <w:r w:rsidR="005E447C" w:rsidRPr="00551160">
        <w:t>apixaban</w:t>
      </w:r>
      <w:proofErr w:type="spellEnd"/>
    </w:p>
    <w:tbl>
      <w:tblPr>
        <w:tblStyle w:val="TableTGAblue"/>
        <w:tblW w:w="0" w:type="auto"/>
        <w:tblLayout w:type="fixed"/>
        <w:tblLook w:val="04A0"/>
      </w:tblPr>
      <w:tblGrid>
        <w:gridCol w:w="1526"/>
        <w:gridCol w:w="1559"/>
        <w:gridCol w:w="1559"/>
        <w:gridCol w:w="4076"/>
      </w:tblGrid>
      <w:tr w:rsidR="00F14910" w:rsidRPr="00551160" w:rsidTr="009670B3">
        <w:trPr>
          <w:cnfStyle w:val="100000000000"/>
          <w:tblHeader/>
        </w:trPr>
        <w:tc>
          <w:tcPr>
            <w:tcW w:w="1526" w:type="dxa"/>
          </w:tcPr>
          <w:p w:rsidR="00F14910" w:rsidRPr="00551160" w:rsidRDefault="00F14910" w:rsidP="00551160">
            <w:pPr>
              <w:ind w:left="0"/>
              <w:rPr>
                <w:sz w:val="20"/>
                <w:szCs w:val="20"/>
              </w:rPr>
            </w:pPr>
            <w:r w:rsidRPr="00551160">
              <w:rPr>
                <w:sz w:val="20"/>
                <w:szCs w:val="20"/>
              </w:rPr>
              <w:t>Country</w:t>
            </w:r>
          </w:p>
        </w:tc>
        <w:tc>
          <w:tcPr>
            <w:tcW w:w="1559" w:type="dxa"/>
          </w:tcPr>
          <w:p w:rsidR="00F14910" w:rsidRPr="00551160" w:rsidRDefault="00F14910" w:rsidP="00551160">
            <w:pPr>
              <w:ind w:left="0"/>
              <w:rPr>
                <w:sz w:val="20"/>
                <w:szCs w:val="20"/>
              </w:rPr>
            </w:pPr>
            <w:r w:rsidRPr="00551160">
              <w:rPr>
                <w:sz w:val="20"/>
                <w:szCs w:val="20"/>
              </w:rPr>
              <w:t>Submission date</w:t>
            </w:r>
          </w:p>
        </w:tc>
        <w:tc>
          <w:tcPr>
            <w:tcW w:w="1559" w:type="dxa"/>
          </w:tcPr>
          <w:p w:rsidR="00F14910" w:rsidRPr="00551160" w:rsidRDefault="00F14910" w:rsidP="00551160">
            <w:pPr>
              <w:ind w:left="0"/>
              <w:rPr>
                <w:sz w:val="20"/>
                <w:szCs w:val="20"/>
              </w:rPr>
            </w:pPr>
            <w:r w:rsidRPr="00551160">
              <w:rPr>
                <w:sz w:val="20"/>
                <w:szCs w:val="20"/>
              </w:rPr>
              <w:t>Approval date</w:t>
            </w:r>
          </w:p>
        </w:tc>
        <w:tc>
          <w:tcPr>
            <w:tcW w:w="4076" w:type="dxa"/>
          </w:tcPr>
          <w:p w:rsidR="00F14910" w:rsidRPr="00551160" w:rsidRDefault="00F14910" w:rsidP="00551160">
            <w:pPr>
              <w:ind w:left="0"/>
              <w:rPr>
                <w:sz w:val="20"/>
                <w:szCs w:val="20"/>
              </w:rPr>
            </w:pPr>
            <w:r w:rsidRPr="00551160">
              <w:rPr>
                <w:sz w:val="20"/>
                <w:szCs w:val="20"/>
              </w:rPr>
              <w:t>Indications</w:t>
            </w:r>
          </w:p>
        </w:tc>
      </w:tr>
      <w:tr w:rsidR="00F14910" w:rsidRPr="00551160" w:rsidTr="009670B3">
        <w:tc>
          <w:tcPr>
            <w:tcW w:w="1526" w:type="dxa"/>
          </w:tcPr>
          <w:p w:rsidR="00F14910" w:rsidRPr="00551160" w:rsidRDefault="00F14910" w:rsidP="00551160">
            <w:pPr>
              <w:ind w:left="0"/>
              <w:rPr>
                <w:sz w:val="20"/>
                <w:szCs w:val="20"/>
              </w:rPr>
            </w:pPr>
            <w:r w:rsidRPr="00551160">
              <w:rPr>
                <w:sz w:val="20"/>
                <w:szCs w:val="20"/>
              </w:rPr>
              <w:t>European Union</w:t>
            </w:r>
          </w:p>
        </w:tc>
        <w:tc>
          <w:tcPr>
            <w:tcW w:w="1559" w:type="dxa"/>
          </w:tcPr>
          <w:p w:rsidR="00F14910" w:rsidRPr="00551160" w:rsidRDefault="00F14910" w:rsidP="00551160">
            <w:pPr>
              <w:ind w:left="0"/>
              <w:rPr>
                <w:sz w:val="20"/>
                <w:szCs w:val="20"/>
              </w:rPr>
            </w:pPr>
            <w:r w:rsidRPr="00551160">
              <w:rPr>
                <w:sz w:val="20"/>
                <w:szCs w:val="20"/>
              </w:rPr>
              <w:t>29 Sep 2011</w:t>
            </w:r>
          </w:p>
        </w:tc>
        <w:tc>
          <w:tcPr>
            <w:tcW w:w="1559" w:type="dxa"/>
          </w:tcPr>
          <w:p w:rsidR="00F14910" w:rsidRPr="00551160" w:rsidRDefault="00F14910" w:rsidP="00551160">
            <w:pPr>
              <w:ind w:left="0"/>
              <w:rPr>
                <w:sz w:val="20"/>
                <w:szCs w:val="20"/>
              </w:rPr>
            </w:pPr>
            <w:r w:rsidRPr="00551160">
              <w:rPr>
                <w:sz w:val="20"/>
                <w:szCs w:val="20"/>
              </w:rPr>
              <w:t>19 Nov 2012</w:t>
            </w:r>
          </w:p>
        </w:tc>
        <w:tc>
          <w:tcPr>
            <w:tcW w:w="4076" w:type="dxa"/>
          </w:tcPr>
          <w:p w:rsidR="00F14910" w:rsidRPr="00551160" w:rsidRDefault="00F14910" w:rsidP="00551160">
            <w:pPr>
              <w:ind w:left="0"/>
              <w:rPr>
                <w:sz w:val="20"/>
                <w:szCs w:val="20"/>
              </w:rPr>
            </w:pPr>
            <w:r w:rsidRPr="00551160">
              <w:rPr>
                <w:sz w:val="20"/>
                <w:szCs w:val="20"/>
              </w:rPr>
              <w:t>Prevention of venous thromboembolic events (VTE) in adult patients who have undergone elective hip or knee replacement surgery.</w:t>
            </w:r>
          </w:p>
          <w:p w:rsidR="00F14910" w:rsidRPr="00551160" w:rsidRDefault="00F14910" w:rsidP="00551160">
            <w:pPr>
              <w:ind w:left="0"/>
              <w:rPr>
                <w:sz w:val="20"/>
                <w:szCs w:val="20"/>
              </w:rPr>
            </w:pPr>
            <w:r w:rsidRPr="00551160">
              <w:rPr>
                <w:sz w:val="20"/>
                <w:szCs w:val="20"/>
              </w:rPr>
              <w:t>Prevention of stroke and systemic embolism in adult patients with non-valvular atrial fibrillation (NVAF), with one or more risk factors, such as prior stroke or transient ischaemic attack (TIA); age ≥ 75 years; hypertension; diabetes mellitus; symptomatic heart failure (NYHA Class ≥ II).</w:t>
            </w:r>
          </w:p>
        </w:tc>
      </w:tr>
      <w:tr w:rsidR="00F14910" w:rsidRPr="00551160" w:rsidTr="009670B3">
        <w:tc>
          <w:tcPr>
            <w:tcW w:w="1526" w:type="dxa"/>
          </w:tcPr>
          <w:p w:rsidR="00F14910" w:rsidRPr="00551160" w:rsidRDefault="00551160" w:rsidP="00551160">
            <w:pPr>
              <w:ind w:left="0"/>
              <w:rPr>
                <w:sz w:val="20"/>
                <w:szCs w:val="20"/>
              </w:rPr>
            </w:pPr>
            <w:r>
              <w:rPr>
                <w:sz w:val="20"/>
                <w:szCs w:val="20"/>
              </w:rPr>
              <w:t>United States</w:t>
            </w:r>
          </w:p>
        </w:tc>
        <w:tc>
          <w:tcPr>
            <w:tcW w:w="1559" w:type="dxa"/>
          </w:tcPr>
          <w:p w:rsidR="00F14910" w:rsidRPr="00551160" w:rsidRDefault="00551160" w:rsidP="00551160">
            <w:pPr>
              <w:ind w:left="0"/>
              <w:rPr>
                <w:sz w:val="20"/>
                <w:szCs w:val="20"/>
              </w:rPr>
            </w:pPr>
            <w:r>
              <w:rPr>
                <w:sz w:val="20"/>
                <w:szCs w:val="20"/>
              </w:rPr>
              <w:t>28 Sep 2011</w:t>
            </w:r>
          </w:p>
        </w:tc>
        <w:tc>
          <w:tcPr>
            <w:tcW w:w="1559" w:type="dxa"/>
          </w:tcPr>
          <w:p w:rsidR="00F14910" w:rsidRPr="00551160" w:rsidRDefault="00551160" w:rsidP="00551160">
            <w:pPr>
              <w:ind w:left="0"/>
              <w:rPr>
                <w:sz w:val="20"/>
                <w:szCs w:val="20"/>
              </w:rPr>
            </w:pPr>
            <w:r>
              <w:rPr>
                <w:sz w:val="20"/>
                <w:szCs w:val="20"/>
              </w:rPr>
              <w:t>28 Dec 2012</w:t>
            </w:r>
          </w:p>
        </w:tc>
        <w:tc>
          <w:tcPr>
            <w:tcW w:w="4076" w:type="dxa"/>
          </w:tcPr>
          <w:p w:rsidR="00F14910" w:rsidRPr="00551160" w:rsidRDefault="00F14910" w:rsidP="00E527F6">
            <w:pPr>
              <w:ind w:left="0"/>
              <w:rPr>
                <w:sz w:val="20"/>
                <w:szCs w:val="20"/>
              </w:rPr>
            </w:pPr>
            <w:r w:rsidRPr="00551160">
              <w:rPr>
                <w:sz w:val="20"/>
                <w:szCs w:val="20"/>
              </w:rPr>
              <w:t xml:space="preserve">ELIQUIS® (apixaban) is indicated to reduce the risk of stroke and systemic embolism in patients with </w:t>
            </w:r>
            <w:proofErr w:type="spellStart"/>
            <w:r w:rsidRPr="00551160">
              <w:rPr>
                <w:sz w:val="20"/>
                <w:szCs w:val="20"/>
              </w:rPr>
              <w:t>nonvalvular</w:t>
            </w:r>
            <w:proofErr w:type="spellEnd"/>
            <w:r w:rsidRPr="00551160">
              <w:rPr>
                <w:sz w:val="20"/>
                <w:szCs w:val="20"/>
              </w:rPr>
              <w:t xml:space="preserve"> </w:t>
            </w:r>
            <w:proofErr w:type="spellStart"/>
            <w:r w:rsidRPr="00551160">
              <w:rPr>
                <w:sz w:val="20"/>
                <w:szCs w:val="20"/>
              </w:rPr>
              <w:t>atrial</w:t>
            </w:r>
            <w:proofErr w:type="spellEnd"/>
            <w:r w:rsidRPr="00551160">
              <w:rPr>
                <w:sz w:val="20"/>
                <w:szCs w:val="20"/>
              </w:rPr>
              <w:t xml:space="preserve"> fibrillation.</w:t>
            </w:r>
          </w:p>
        </w:tc>
      </w:tr>
      <w:tr w:rsidR="00F14910" w:rsidRPr="00551160" w:rsidTr="009670B3">
        <w:trPr>
          <w:cantSplit/>
        </w:trPr>
        <w:tc>
          <w:tcPr>
            <w:tcW w:w="1526" w:type="dxa"/>
          </w:tcPr>
          <w:p w:rsidR="00F14910" w:rsidRPr="00551160" w:rsidRDefault="00551160" w:rsidP="00551160">
            <w:pPr>
              <w:ind w:left="0"/>
              <w:rPr>
                <w:sz w:val="20"/>
                <w:szCs w:val="20"/>
              </w:rPr>
            </w:pPr>
            <w:r>
              <w:rPr>
                <w:sz w:val="20"/>
                <w:szCs w:val="20"/>
              </w:rPr>
              <w:lastRenderedPageBreak/>
              <w:t>Canada</w:t>
            </w:r>
          </w:p>
        </w:tc>
        <w:tc>
          <w:tcPr>
            <w:tcW w:w="1559" w:type="dxa"/>
          </w:tcPr>
          <w:p w:rsidR="00F14910" w:rsidRPr="00551160" w:rsidRDefault="00551160" w:rsidP="00551160">
            <w:pPr>
              <w:ind w:left="0"/>
              <w:rPr>
                <w:sz w:val="20"/>
                <w:szCs w:val="20"/>
              </w:rPr>
            </w:pPr>
            <w:r>
              <w:rPr>
                <w:sz w:val="20"/>
                <w:szCs w:val="20"/>
              </w:rPr>
              <w:t>22 Dec 2011</w:t>
            </w:r>
          </w:p>
        </w:tc>
        <w:tc>
          <w:tcPr>
            <w:tcW w:w="1559" w:type="dxa"/>
          </w:tcPr>
          <w:p w:rsidR="00F14910" w:rsidRPr="00551160" w:rsidRDefault="00551160" w:rsidP="00551160">
            <w:pPr>
              <w:ind w:left="0"/>
              <w:rPr>
                <w:sz w:val="20"/>
                <w:szCs w:val="20"/>
              </w:rPr>
            </w:pPr>
            <w:r>
              <w:rPr>
                <w:sz w:val="20"/>
                <w:szCs w:val="20"/>
              </w:rPr>
              <w:t>05 Dec 2012</w:t>
            </w:r>
          </w:p>
        </w:tc>
        <w:tc>
          <w:tcPr>
            <w:tcW w:w="4076" w:type="dxa"/>
          </w:tcPr>
          <w:p w:rsidR="00F14910" w:rsidRPr="00551160" w:rsidRDefault="00F14910" w:rsidP="00551160">
            <w:pPr>
              <w:ind w:left="0"/>
              <w:rPr>
                <w:sz w:val="20"/>
                <w:szCs w:val="20"/>
              </w:rPr>
            </w:pPr>
            <w:r w:rsidRPr="00551160">
              <w:rPr>
                <w:sz w:val="20"/>
                <w:szCs w:val="20"/>
              </w:rPr>
              <w:t>E</w:t>
            </w:r>
            <w:r w:rsidR="00E13AC8">
              <w:rPr>
                <w:sz w:val="20"/>
                <w:szCs w:val="20"/>
              </w:rPr>
              <w:t>LIQUIS (</w:t>
            </w:r>
            <w:proofErr w:type="spellStart"/>
            <w:r w:rsidR="00E13AC8">
              <w:rPr>
                <w:sz w:val="20"/>
                <w:szCs w:val="20"/>
              </w:rPr>
              <w:t>apixaban</w:t>
            </w:r>
            <w:proofErr w:type="spellEnd"/>
            <w:r w:rsidR="00E13AC8">
              <w:rPr>
                <w:sz w:val="20"/>
                <w:szCs w:val="20"/>
              </w:rPr>
              <w:t>) is indicated:</w:t>
            </w:r>
          </w:p>
          <w:p w:rsidR="00F14910" w:rsidRPr="00551160" w:rsidRDefault="00F14910" w:rsidP="00E13AC8">
            <w:pPr>
              <w:pStyle w:val="ListBullet"/>
            </w:pPr>
            <w:proofErr w:type="gramStart"/>
            <w:r w:rsidRPr="00551160">
              <w:t>for</w:t>
            </w:r>
            <w:proofErr w:type="gramEnd"/>
            <w:r w:rsidRPr="00551160">
              <w:t xml:space="preserve"> the prevention of venous thromboembolic events (VTE) in adult patients who have undergone elective k</w:t>
            </w:r>
            <w:r w:rsidR="00E13AC8">
              <w:t>nee or hip replacement surgery.</w:t>
            </w:r>
          </w:p>
          <w:p w:rsidR="00F14910" w:rsidRPr="00551160" w:rsidRDefault="00F14910" w:rsidP="00E13AC8">
            <w:pPr>
              <w:pStyle w:val="ListBullet"/>
            </w:pPr>
            <w:proofErr w:type="gramStart"/>
            <w:r w:rsidRPr="00551160">
              <w:t>for</w:t>
            </w:r>
            <w:proofErr w:type="gramEnd"/>
            <w:r w:rsidRPr="00551160">
              <w:t xml:space="preserve"> the prevention of stroke and systemic embolism in patients with atrial fibrillation.</w:t>
            </w:r>
          </w:p>
        </w:tc>
      </w:tr>
      <w:tr w:rsidR="00551160" w:rsidRPr="00551160" w:rsidTr="009670B3">
        <w:tc>
          <w:tcPr>
            <w:tcW w:w="1526" w:type="dxa"/>
          </w:tcPr>
          <w:p w:rsidR="00551160" w:rsidRPr="00551160" w:rsidRDefault="00551160" w:rsidP="00551160">
            <w:pPr>
              <w:ind w:left="0"/>
              <w:rPr>
                <w:sz w:val="20"/>
                <w:szCs w:val="20"/>
              </w:rPr>
            </w:pPr>
            <w:r>
              <w:rPr>
                <w:sz w:val="20"/>
                <w:szCs w:val="20"/>
              </w:rPr>
              <w:t>New Zealand</w:t>
            </w:r>
          </w:p>
        </w:tc>
        <w:tc>
          <w:tcPr>
            <w:tcW w:w="1559" w:type="dxa"/>
          </w:tcPr>
          <w:p w:rsidR="00551160" w:rsidRPr="00551160" w:rsidRDefault="00551160" w:rsidP="00551160">
            <w:pPr>
              <w:ind w:left="0"/>
              <w:rPr>
                <w:sz w:val="20"/>
                <w:szCs w:val="20"/>
              </w:rPr>
            </w:pPr>
            <w:r>
              <w:rPr>
                <w:sz w:val="20"/>
                <w:szCs w:val="20"/>
              </w:rPr>
              <w:t>30 Aug 2012</w:t>
            </w:r>
          </w:p>
        </w:tc>
        <w:tc>
          <w:tcPr>
            <w:tcW w:w="1559" w:type="dxa"/>
          </w:tcPr>
          <w:p w:rsidR="00551160" w:rsidRPr="00551160" w:rsidRDefault="00551160" w:rsidP="00551160">
            <w:pPr>
              <w:ind w:left="0"/>
              <w:rPr>
                <w:sz w:val="20"/>
                <w:szCs w:val="20"/>
              </w:rPr>
            </w:pPr>
            <w:r>
              <w:rPr>
                <w:sz w:val="20"/>
                <w:szCs w:val="20"/>
              </w:rPr>
              <w:t>Under evaluation</w:t>
            </w:r>
          </w:p>
        </w:tc>
        <w:tc>
          <w:tcPr>
            <w:tcW w:w="4076" w:type="dxa"/>
          </w:tcPr>
          <w:p w:rsidR="00551160" w:rsidRPr="00551160" w:rsidRDefault="00551160" w:rsidP="00551160">
            <w:pPr>
              <w:ind w:left="0"/>
              <w:rPr>
                <w:sz w:val="20"/>
                <w:szCs w:val="20"/>
              </w:rPr>
            </w:pPr>
          </w:p>
        </w:tc>
      </w:tr>
      <w:tr w:rsidR="00551160" w:rsidRPr="00551160" w:rsidTr="009670B3">
        <w:tc>
          <w:tcPr>
            <w:tcW w:w="1526" w:type="dxa"/>
          </w:tcPr>
          <w:p w:rsidR="00551160" w:rsidRDefault="00551160" w:rsidP="009670B3">
            <w:pPr>
              <w:ind w:left="0"/>
              <w:rPr>
                <w:sz w:val="20"/>
                <w:szCs w:val="20"/>
              </w:rPr>
            </w:pPr>
            <w:r>
              <w:rPr>
                <w:sz w:val="20"/>
                <w:szCs w:val="20"/>
              </w:rPr>
              <w:t>Switzerland</w:t>
            </w:r>
          </w:p>
        </w:tc>
        <w:tc>
          <w:tcPr>
            <w:tcW w:w="1559" w:type="dxa"/>
          </w:tcPr>
          <w:p w:rsidR="00551160" w:rsidRPr="00551160" w:rsidRDefault="00551160" w:rsidP="00E527F6">
            <w:pPr>
              <w:ind w:left="0"/>
              <w:rPr>
                <w:sz w:val="20"/>
                <w:szCs w:val="20"/>
              </w:rPr>
            </w:pPr>
            <w:r>
              <w:rPr>
                <w:sz w:val="20"/>
                <w:szCs w:val="20"/>
              </w:rPr>
              <w:t>28 Nov 2011</w:t>
            </w:r>
          </w:p>
        </w:tc>
        <w:tc>
          <w:tcPr>
            <w:tcW w:w="1559" w:type="dxa"/>
          </w:tcPr>
          <w:p w:rsidR="00551160" w:rsidRPr="00551160" w:rsidRDefault="00551160" w:rsidP="00E527F6">
            <w:pPr>
              <w:ind w:left="0"/>
              <w:rPr>
                <w:sz w:val="20"/>
                <w:szCs w:val="20"/>
              </w:rPr>
            </w:pPr>
            <w:r w:rsidRPr="00551160">
              <w:rPr>
                <w:sz w:val="20"/>
                <w:szCs w:val="20"/>
              </w:rPr>
              <w:t>Under evaluation</w:t>
            </w:r>
          </w:p>
        </w:tc>
        <w:tc>
          <w:tcPr>
            <w:tcW w:w="4076" w:type="dxa"/>
          </w:tcPr>
          <w:p w:rsidR="00551160" w:rsidRPr="00551160" w:rsidRDefault="00551160" w:rsidP="00E527F6">
            <w:pPr>
              <w:ind w:left="0"/>
              <w:rPr>
                <w:sz w:val="20"/>
                <w:szCs w:val="20"/>
              </w:rPr>
            </w:pPr>
          </w:p>
        </w:tc>
      </w:tr>
    </w:tbl>
    <w:p w:rsidR="008E7846" w:rsidRDefault="008E7846" w:rsidP="003D2D79">
      <w:pPr>
        <w:pStyle w:val="Heading3"/>
      </w:pPr>
      <w:bookmarkStart w:id="13" w:name="_Toc247691505"/>
      <w:bookmarkStart w:id="14" w:name="_Toc314842486"/>
      <w:bookmarkStart w:id="15" w:name="_Toc363676052"/>
      <w:r>
        <w:t>Product Information</w:t>
      </w:r>
      <w:bookmarkEnd w:id="13"/>
      <w:bookmarkEnd w:id="14"/>
      <w:bookmarkEnd w:id="15"/>
    </w:p>
    <w:p w:rsidR="008E7846" w:rsidRDefault="008E7846" w:rsidP="009670B3">
      <w:r>
        <w:t>The approved Product Information (PI) current at the time this AusPAR was prepared can be found as Attachment 1.</w:t>
      </w:r>
      <w:bookmarkStart w:id="16" w:name="_Toc247691506"/>
      <w:bookmarkStart w:id="17" w:name="_Toc314842487"/>
    </w:p>
    <w:p w:rsidR="008E7846" w:rsidRPr="003602A9" w:rsidRDefault="008E7846" w:rsidP="009670B3">
      <w:pPr>
        <w:pStyle w:val="Heading2"/>
      </w:pPr>
      <w:bookmarkStart w:id="18" w:name="_Toc363676053"/>
      <w:r>
        <w:t>II. Quality</w:t>
      </w:r>
      <w:bookmarkEnd w:id="1"/>
      <w:r>
        <w:t xml:space="preserve"> findings</w:t>
      </w:r>
      <w:bookmarkEnd w:id="16"/>
      <w:bookmarkEnd w:id="17"/>
      <w:bookmarkEnd w:id="18"/>
    </w:p>
    <w:p w:rsidR="008E7846" w:rsidRDefault="008E7846" w:rsidP="009670B3">
      <w:pPr>
        <w:pStyle w:val="Heading3"/>
      </w:pPr>
      <w:bookmarkStart w:id="19" w:name="_Toc247691507"/>
      <w:bookmarkStart w:id="20" w:name="_Toc314842488"/>
      <w:bookmarkStart w:id="21" w:name="_Toc363676054"/>
      <w:r w:rsidRPr="008751DC">
        <w:t xml:space="preserve">Drug </w:t>
      </w:r>
      <w:r>
        <w:t>s</w:t>
      </w:r>
      <w:r w:rsidRPr="008751DC">
        <w:t>ubstance</w:t>
      </w:r>
      <w:r>
        <w:t xml:space="preserve"> (active ingredient)</w:t>
      </w:r>
      <w:bookmarkEnd w:id="19"/>
      <w:bookmarkEnd w:id="20"/>
      <w:bookmarkEnd w:id="21"/>
    </w:p>
    <w:p w:rsidR="00B454FC" w:rsidRDefault="00B454FC" w:rsidP="00B454FC">
      <w:r>
        <w:t>Apixaban has the following structure:</w:t>
      </w:r>
    </w:p>
    <w:p w:rsidR="00B454FC" w:rsidRDefault="00B454FC" w:rsidP="00B454FC">
      <w:pPr>
        <w:pStyle w:val="FigureTitle"/>
      </w:pPr>
      <w:proofErr w:type="gramStart"/>
      <w:r>
        <w:t>Figure 1.</w:t>
      </w:r>
      <w:proofErr w:type="gramEnd"/>
      <w:r>
        <w:t xml:space="preserve"> Structure of apixaban</w:t>
      </w:r>
    </w:p>
    <w:p w:rsidR="00B454FC" w:rsidRDefault="00B454FC" w:rsidP="009670B3">
      <w:r>
        <w:rPr>
          <w:b/>
          <w:noProof/>
          <w:color w:val="0000FF"/>
          <w:sz w:val="21"/>
          <w:szCs w:val="21"/>
          <w:lang w:eastAsia="en-AU"/>
        </w:rPr>
        <w:drawing>
          <wp:inline distT="0" distB="0" distL="0" distR="0">
            <wp:extent cx="1655445" cy="1625600"/>
            <wp:effectExtent l="19050" t="0" r="1905" b="0"/>
            <wp:docPr id="3" name="Picture 1" descr="Figure 1. Structure of apixaba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f/Apixaban.svg/220px-Apixaban.svg.png">
                      <a:hlinkClick r:id="rId16"/>
                    </pic:cNvPr>
                    <pic:cNvPicPr>
                      <a:picLocks noChangeAspect="1" noChangeArrowheads="1"/>
                    </pic:cNvPicPr>
                  </pic:nvPicPr>
                  <pic:blipFill>
                    <a:blip r:embed="rId17" cstate="print"/>
                    <a:srcRect/>
                    <a:stretch>
                      <a:fillRect/>
                    </a:stretch>
                  </pic:blipFill>
                  <pic:spPr bwMode="auto">
                    <a:xfrm>
                      <a:off x="0" y="0"/>
                      <a:ext cx="1655445" cy="1625600"/>
                    </a:xfrm>
                    <a:prstGeom prst="rect">
                      <a:avLst/>
                    </a:prstGeom>
                    <a:noFill/>
                    <a:ln w="9525">
                      <a:noFill/>
                      <a:miter lim="800000"/>
                      <a:headEnd/>
                      <a:tailEnd/>
                    </a:ln>
                  </pic:spPr>
                </pic:pic>
              </a:graphicData>
            </a:graphic>
          </wp:inline>
        </w:drawing>
      </w:r>
    </w:p>
    <w:p w:rsidR="008E7846" w:rsidRDefault="00B454FC" w:rsidP="009670B3">
      <w:r>
        <w:t xml:space="preserve">Apixaban is non-ionisable, thus its aqueous solubility is not affected by changes in </w:t>
      </w:r>
      <w:proofErr w:type="spellStart"/>
      <w:r>
        <w:t>pH.</w:t>
      </w:r>
      <w:proofErr w:type="spellEnd"/>
      <w:r>
        <w:t xml:space="preserve"> The drug substance is highly soluble for doses up to 10 mg. It is considered a low permeable drug given that the fraction of oral dose absorbed is &lt;90%. All aspects relating to the drug substance for the proposed 5 mg tablet are identical to those approved for </w:t>
      </w:r>
      <w:r w:rsidR="009670B3">
        <w:t>the registered 2.5 mg strength.</w:t>
      </w:r>
    </w:p>
    <w:p w:rsidR="008E7846" w:rsidRDefault="008E7846" w:rsidP="008E7846">
      <w:pPr>
        <w:pStyle w:val="Heading3"/>
      </w:pPr>
      <w:bookmarkStart w:id="22" w:name="_Toc247691508"/>
      <w:bookmarkStart w:id="23" w:name="_Toc314842490"/>
      <w:bookmarkStart w:id="24" w:name="_Toc363676055"/>
      <w:r w:rsidRPr="008751DC">
        <w:lastRenderedPageBreak/>
        <w:t xml:space="preserve">Drug </w:t>
      </w:r>
      <w:r>
        <w:t>p</w:t>
      </w:r>
      <w:r w:rsidRPr="008751DC">
        <w:t>roduct</w:t>
      </w:r>
      <w:bookmarkEnd w:id="22"/>
      <w:bookmarkEnd w:id="23"/>
      <w:bookmarkEnd w:id="24"/>
    </w:p>
    <w:p w:rsidR="00B454FC" w:rsidRPr="00B454FC" w:rsidRDefault="00B454FC" w:rsidP="009670B3">
      <w:r w:rsidRPr="00B454FC">
        <w:t xml:space="preserve">The tablets are to be manufactured by using processes as </w:t>
      </w:r>
      <w:r w:rsidR="00BA1D34">
        <w:t xml:space="preserve">for </w:t>
      </w:r>
      <w:r w:rsidRPr="00B454FC">
        <w:t>the registered strength. The 2.5 mg and 5 mg strengths are direct scales. The 5 mg strength is distinguished from the registered strength by colour, tablet shape and markings.</w:t>
      </w:r>
    </w:p>
    <w:p w:rsidR="00B454FC" w:rsidRPr="00B454FC" w:rsidRDefault="00B454FC" w:rsidP="009670B3">
      <w:r w:rsidRPr="00B454FC">
        <w:t xml:space="preserve">Real-time release testing for assay and content uniformity is to be used in the control of the 5 mg tablet (as </w:t>
      </w:r>
      <w:r w:rsidR="00BC16C6">
        <w:t xml:space="preserve">for </w:t>
      </w:r>
      <w:r w:rsidR="009670B3">
        <w:t>the registered strength).</w:t>
      </w:r>
    </w:p>
    <w:p w:rsidR="00B454FC" w:rsidRPr="00B454FC" w:rsidRDefault="00B454FC" w:rsidP="009670B3">
      <w:r w:rsidRPr="00B454FC">
        <w:t>The tablets are well controlled with satisfactory limits at release and expiry.</w:t>
      </w:r>
    </w:p>
    <w:p w:rsidR="008E7846" w:rsidRPr="00B454FC" w:rsidRDefault="00B454FC" w:rsidP="009670B3">
      <w:r w:rsidRPr="00B454FC">
        <w:t xml:space="preserve">The stability data provided supports a shelf life of 3 years when stored below </w:t>
      </w:r>
      <w:r w:rsidR="009670B3">
        <w:t>30°C in the proposed packaging.</w:t>
      </w:r>
    </w:p>
    <w:p w:rsidR="008E7846" w:rsidRDefault="008E7846" w:rsidP="008E7846">
      <w:pPr>
        <w:pStyle w:val="Heading3"/>
      </w:pPr>
      <w:bookmarkStart w:id="25" w:name="_Toc314842491"/>
      <w:bookmarkStart w:id="26" w:name="_Toc363676056"/>
      <w:proofErr w:type="spellStart"/>
      <w:r>
        <w:t>Biopharmaceutics</w:t>
      </w:r>
      <w:bookmarkEnd w:id="25"/>
      <w:bookmarkEnd w:id="26"/>
      <w:proofErr w:type="spellEnd"/>
    </w:p>
    <w:p w:rsidR="00B454FC" w:rsidRPr="00B454FC" w:rsidRDefault="00B454FC" w:rsidP="00B454FC">
      <w:r w:rsidRPr="00B454FC">
        <w:t>A study (</w:t>
      </w:r>
      <w:r>
        <w:t xml:space="preserve">Study </w:t>
      </w:r>
      <w:r w:rsidRPr="00B454FC">
        <w:t>CV 185029) comparing the oral bioavai</w:t>
      </w:r>
      <w:r>
        <w:t>lability of the apixaban Phase III</w:t>
      </w:r>
      <w:r w:rsidRPr="00B454FC">
        <w:t xml:space="preserve"> formulation tablets (10 mg: </w:t>
      </w:r>
      <w:r w:rsidR="00BA1D34">
        <w:t xml:space="preserve">two </w:t>
      </w:r>
      <w:r w:rsidRPr="00B454FC">
        <w:t>5 mg</w:t>
      </w:r>
      <w:r w:rsidR="00BA1D34">
        <w:t xml:space="preserve"> tablets</w:t>
      </w:r>
      <w:r w:rsidRPr="00B454FC">
        <w:t>) relative to an apixaban oral solu</w:t>
      </w:r>
      <w:r>
        <w:t xml:space="preserve">tion formulation (10 mg: 25 mL </w:t>
      </w:r>
      <w:r w:rsidR="00BA1D34">
        <w:t xml:space="preserve">of a </w:t>
      </w:r>
      <w:r w:rsidRPr="00B454FC">
        <w:t>0.4 mg/</w:t>
      </w:r>
      <w:proofErr w:type="spellStart"/>
      <w:r w:rsidRPr="00B454FC">
        <w:t>mL</w:t>
      </w:r>
      <w:proofErr w:type="spellEnd"/>
      <w:r w:rsidR="00BA1D34">
        <w:t xml:space="preserve"> solution</w:t>
      </w:r>
      <w:r w:rsidR="009670B3">
        <w:t>) was provided.</w:t>
      </w:r>
    </w:p>
    <w:p w:rsidR="00B454FC" w:rsidRPr="00B454FC" w:rsidRDefault="00B454FC" w:rsidP="00B454FC">
      <w:bookmarkStart w:id="27" w:name="_Toc16571401"/>
      <w:r w:rsidRPr="00B454FC">
        <w:t xml:space="preserve">The 90% </w:t>
      </w:r>
      <w:r>
        <w:t>confidence intervals (</w:t>
      </w:r>
      <w:r w:rsidRPr="00B454FC">
        <w:t>CIs</w:t>
      </w:r>
      <w:r>
        <w:t>)</w:t>
      </w:r>
      <w:r w:rsidRPr="00B454FC">
        <w:t xml:space="preserve"> for </w:t>
      </w:r>
      <w:r>
        <w:t>the area under the concentration time curve (AUC) from time zero to the last sampling time (</w:t>
      </w:r>
      <w:r w:rsidRPr="00B454FC">
        <w:t>AUC</w:t>
      </w:r>
      <w:r w:rsidRPr="00B454FC">
        <w:rPr>
          <w:vertAlign w:val="subscript"/>
        </w:rPr>
        <w:t>0-t</w:t>
      </w:r>
      <w:r>
        <w:t xml:space="preserve">) </w:t>
      </w:r>
      <w:r w:rsidRPr="00B454FC">
        <w:t xml:space="preserve">and </w:t>
      </w:r>
      <w:r>
        <w:t>over time zero to infinity (</w:t>
      </w:r>
      <w:r w:rsidRPr="00B454FC">
        <w:t>AUC</w:t>
      </w:r>
      <w:r w:rsidRPr="00B454FC">
        <w:rPr>
          <w:vertAlign w:val="subscript"/>
        </w:rPr>
        <w:t>0-∞</w:t>
      </w:r>
      <w:r w:rsidRPr="00B454FC">
        <w:t xml:space="preserve">) were found to be within the usual criteria to conclude equivalence (80-125%). The 90% CIs for </w:t>
      </w:r>
      <w:r>
        <w:t>the maximum concentration (</w:t>
      </w:r>
      <w:proofErr w:type="spellStart"/>
      <w:r w:rsidRPr="00B454FC">
        <w:t>Cmax</w:t>
      </w:r>
      <w:proofErr w:type="spellEnd"/>
      <w:r>
        <w:t>;</w:t>
      </w:r>
      <w:r w:rsidRPr="00B454FC">
        <w:t xml:space="preserve"> 76-126%) were found to be outside the usual equivalence interval (80-125%). The company attributes the magnitude of the observed CIs to the limited statistical power inherent in the study’s relatively small sample size (n=13). This has been brought to the attention of the </w:t>
      </w:r>
      <w:r>
        <w:t>c</w:t>
      </w:r>
      <w:r w:rsidR="009670B3">
        <w:t>linical Delegate.</w:t>
      </w:r>
    </w:p>
    <w:p w:rsidR="00B454FC" w:rsidRPr="00B454FC" w:rsidRDefault="00B454FC" w:rsidP="00B454FC">
      <w:r w:rsidRPr="00B454FC">
        <w:t>The relative bioavailability of apixaban in the solution and tablet formulations is 105%.</w:t>
      </w:r>
      <w:bookmarkEnd w:id="27"/>
    </w:p>
    <w:p w:rsidR="008E7846" w:rsidRPr="00B454FC" w:rsidRDefault="00B454FC" w:rsidP="00B454FC">
      <w:r w:rsidRPr="00B454FC">
        <w:t>The proposed commercial tablet formulation has the same core</w:t>
      </w:r>
      <w:r>
        <w:t xml:space="preserve"> formulation as the Phase III</w:t>
      </w:r>
      <w:r w:rsidRPr="00B454FC">
        <w:t xml:space="preserve"> formulation but differs slightly in tablet shape and the colouring agent used in the film-coat. The company’s justification for not conducting a bioequivalence study of the commercial formulation versus the Phase </w:t>
      </w:r>
      <w:r>
        <w:t>III</w:t>
      </w:r>
      <w:r w:rsidRPr="00B454FC">
        <w:t xml:space="preserve"> formulation is acceptable </w:t>
      </w:r>
      <w:r w:rsidR="00D47DEF">
        <w:t>to the Pharmaceutical Chemistry Section of TGA</w:t>
      </w:r>
      <w:r w:rsidRPr="00B454FC">
        <w:t>.</w:t>
      </w:r>
    </w:p>
    <w:p w:rsidR="008E7846" w:rsidRDefault="008E7846" w:rsidP="008E7846">
      <w:pPr>
        <w:pStyle w:val="Heading3"/>
      </w:pPr>
      <w:bookmarkStart w:id="28" w:name="_Toc314842492"/>
      <w:bookmarkStart w:id="29" w:name="_Toc363676057"/>
      <w:r>
        <w:t>Advisory committee considerations</w:t>
      </w:r>
      <w:bookmarkEnd w:id="28"/>
      <w:bookmarkEnd w:id="29"/>
    </w:p>
    <w:p w:rsidR="008E7846" w:rsidRPr="00E51CE4" w:rsidRDefault="0075052F" w:rsidP="008E7846">
      <w:r>
        <w:t>This application was not submitted for advice from the Pharmaceutical Subcommittee (PSC) of the Advisory Committee on Prescription Medicines (ACPM).</w:t>
      </w:r>
    </w:p>
    <w:p w:rsidR="008E7846" w:rsidRPr="008751DC" w:rsidRDefault="008E7846" w:rsidP="008E7846">
      <w:pPr>
        <w:pStyle w:val="Heading3"/>
      </w:pPr>
      <w:bookmarkStart w:id="30" w:name="_Toc247691509"/>
      <w:bookmarkStart w:id="31" w:name="_Toc314842493"/>
      <w:bookmarkStart w:id="32" w:name="_Toc363676058"/>
      <w:r>
        <w:t>Quality s</w:t>
      </w:r>
      <w:r w:rsidRPr="008751DC">
        <w:t>ummary</w:t>
      </w:r>
      <w:r>
        <w:t xml:space="preserve"> and conclusions</w:t>
      </w:r>
      <w:bookmarkEnd w:id="30"/>
      <w:bookmarkEnd w:id="31"/>
      <w:bookmarkEnd w:id="32"/>
    </w:p>
    <w:p w:rsidR="00B454FC" w:rsidRPr="00B454FC" w:rsidRDefault="00B454FC" w:rsidP="00B454FC">
      <w:r w:rsidRPr="00B454FC">
        <w:t>There are no objections to the registration of the proposed new strength, Eliquis 5 mg apixaban tablets, with regard to chemistry, manufacturing and controls.</w:t>
      </w:r>
    </w:p>
    <w:p w:rsidR="008E7846" w:rsidRDefault="008E7846" w:rsidP="008E7846">
      <w:pPr>
        <w:pStyle w:val="Heading2"/>
      </w:pPr>
      <w:bookmarkStart w:id="33" w:name="_Toc196046439"/>
      <w:bookmarkStart w:id="34" w:name="_Toc247691510"/>
      <w:bookmarkStart w:id="35" w:name="_Toc314842494"/>
      <w:bookmarkStart w:id="36" w:name="_Toc363676059"/>
      <w:r>
        <w:t>III. Nonclinical</w:t>
      </w:r>
      <w:bookmarkEnd w:id="33"/>
      <w:r>
        <w:t xml:space="preserve"> findings</w:t>
      </w:r>
      <w:bookmarkEnd w:id="34"/>
      <w:bookmarkEnd w:id="35"/>
      <w:bookmarkEnd w:id="36"/>
    </w:p>
    <w:p w:rsidR="008E7846" w:rsidRDefault="008E7846" w:rsidP="009670B3">
      <w:pPr>
        <w:pStyle w:val="Heading3"/>
      </w:pPr>
      <w:bookmarkStart w:id="37" w:name="_Toc247691511"/>
      <w:bookmarkStart w:id="38" w:name="_Toc314842495"/>
      <w:bookmarkStart w:id="39" w:name="_Toc363676060"/>
      <w:r>
        <w:t>Introduction</w:t>
      </w:r>
      <w:bookmarkEnd w:id="37"/>
      <w:bookmarkEnd w:id="38"/>
      <w:bookmarkEnd w:id="39"/>
    </w:p>
    <w:p w:rsidR="0075052F" w:rsidRPr="00B846C3" w:rsidRDefault="0075052F" w:rsidP="00B846C3">
      <w:r w:rsidRPr="00B846C3">
        <w:t xml:space="preserve">Three new nonclinical studies (two pharmacokinetic drug interaction and one juvenile repeat dose toxicity) as well as a minor amendment to a previously submitted </w:t>
      </w:r>
      <w:proofErr w:type="spellStart"/>
      <w:r w:rsidRPr="00B846C3">
        <w:t>embryofetal</w:t>
      </w:r>
      <w:proofErr w:type="spellEnd"/>
      <w:r w:rsidRPr="00B846C3">
        <w:t xml:space="preserve"> developmental study were submitted. While the overall quality of the nonclinical dossier was satisfactory </w:t>
      </w:r>
      <w:r w:rsidR="00113CC4">
        <w:t>and complied with principles of Good Laboratory Practice</w:t>
      </w:r>
      <w:r w:rsidR="00BA1D34">
        <w:t xml:space="preserve"> (GLP)</w:t>
      </w:r>
      <w:r w:rsidRPr="00B846C3">
        <w:t xml:space="preserve">, the </w:t>
      </w:r>
      <w:r w:rsidRPr="00B846C3">
        <w:lastRenderedPageBreak/>
        <w:t xml:space="preserve">submitted data were not directly relevant to the </w:t>
      </w:r>
      <w:r w:rsidR="00113CC4">
        <w:t xml:space="preserve">proposed </w:t>
      </w:r>
      <w:r w:rsidRPr="00B846C3">
        <w:t xml:space="preserve">extension of indication or higher dosage/strength </w:t>
      </w:r>
      <w:r w:rsidRPr="00B846C3">
        <w:rPr>
          <w:i/>
        </w:rPr>
        <w:t>per se</w:t>
      </w:r>
      <w:r w:rsidR="009670B3">
        <w:t>.</w:t>
      </w:r>
    </w:p>
    <w:p w:rsidR="008E7846" w:rsidRDefault="008E7846" w:rsidP="008E7846">
      <w:pPr>
        <w:pStyle w:val="Heading3"/>
      </w:pPr>
      <w:bookmarkStart w:id="40" w:name="_Toc247691512"/>
      <w:bookmarkStart w:id="41" w:name="_Toc314842496"/>
      <w:bookmarkStart w:id="42" w:name="_Toc363676061"/>
      <w:r w:rsidRPr="00020030">
        <w:t>Pharmacology</w:t>
      </w:r>
      <w:bookmarkEnd w:id="40"/>
      <w:bookmarkEnd w:id="41"/>
      <w:bookmarkEnd w:id="42"/>
    </w:p>
    <w:p w:rsidR="008E7846" w:rsidRPr="00B020A0" w:rsidRDefault="0075052F" w:rsidP="003745F6">
      <w:pPr>
        <w:rPr>
          <w:kern w:val="22"/>
        </w:rPr>
      </w:pPr>
      <w:r>
        <w:rPr>
          <w:kern w:val="22"/>
        </w:rPr>
        <w:t>No new pharmacology studies were provided.</w:t>
      </w:r>
    </w:p>
    <w:p w:rsidR="008E7846" w:rsidRDefault="008E7846" w:rsidP="009670B3">
      <w:pPr>
        <w:pStyle w:val="Heading3"/>
      </w:pPr>
      <w:bookmarkStart w:id="43" w:name="_Toc247691513"/>
      <w:bookmarkStart w:id="44" w:name="_Toc314842497"/>
      <w:bookmarkStart w:id="45" w:name="_Toc363676062"/>
      <w:r>
        <w:t>Pharmacokinetics</w:t>
      </w:r>
      <w:bookmarkEnd w:id="43"/>
      <w:bookmarkEnd w:id="44"/>
      <w:bookmarkEnd w:id="45"/>
    </w:p>
    <w:p w:rsidR="0075052F" w:rsidRPr="001258AE" w:rsidRDefault="0075052F" w:rsidP="003745F6">
      <w:pPr>
        <w:pStyle w:val="Heading4"/>
        <w:rPr>
          <w:kern w:val="2"/>
        </w:rPr>
      </w:pPr>
      <w:bookmarkStart w:id="46" w:name="_Toc294861725"/>
      <w:r w:rsidRPr="001258AE">
        <w:rPr>
          <w:kern w:val="2"/>
        </w:rPr>
        <w:t>Pharmacokinetic drug interactions</w:t>
      </w:r>
      <w:bookmarkEnd w:id="46"/>
    </w:p>
    <w:p w:rsidR="0075052F" w:rsidRPr="00B846C3" w:rsidRDefault="0075052F" w:rsidP="00B846C3">
      <w:r w:rsidRPr="00B846C3">
        <w:t xml:space="preserve">The two new drug interaction studies consisted of </w:t>
      </w:r>
      <w:r w:rsidRPr="00113CC4">
        <w:rPr>
          <w:i/>
        </w:rPr>
        <w:t>in vitro</w:t>
      </w:r>
      <w:r w:rsidRPr="00B846C3">
        <w:t xml:space="preserve"> cell assays (Caco-2 </w:t>
      </w:r>
      <w:r w:rsidR="00BA1D34">
        <w:t xml:space="preserve">(human epithelial colorectal </w:t>
      </w:r>
      <w:proofErr w:type="spellStart"/>
      <w:r w:rsidR="00BA1D34">
        <w:t>adenocarcinoma</w:t>
      </w:r>
      <w:proofErr w:type="spellEnd"/>
      <w:r w:rsidR="00BA1D34">
        <w:t xml:space="preserve">) </w:t>
      </w:r>
      <w:r w:rsidRPr="00B846C3">
        <w:t xml:space="preserve">cells and LLC-PK1 </w:t>
      </w:r>
      <w:r w:rsidR="00BA1D34">
        <w:t xml:space="preserve">(pig kidney epithelial) </w:t>
      </w:r>
      <w:r w:rsidRPr="00B846C3">
        <w:t xml:space="preserve">cell </w:t>
      </w:r>
      <w:proofErr w:type="spellStart"/>
      <w:r w:rsidRPr="00B846C3">
        <w:t>monolayers</w:t>
      </w:r>
      <w:proofErr w:type="spellEnd"/>
      <w:r w:rsidRPr="00B846C3">
        <w:t xml:space="preserve">) examining the effects of various </w:t>
      </w:r>
      <w:r w:rsidR="00BA1D34">
        <w:t>non-</w:t>
      </w:r>
      <w:r w:rsidR="00113CC4">
        <w:t>steroidal anti inflammatory drugs (</w:t>
      </w:r>
      <w:r w:rsidR="0097304B">
        <w:t>NSAIDS</w:t>
      </w:r>
      <w:r w:rsidR="00113CC4">
        <w:t>)</w:t>
      </w:r>
      <w:r w:rsidRPr="00B846C3">
        <w:t xml:space="preserve"> and </w:t>
      </w:r>
      <w:proofErr w:type="spellStart"/>
      <w:r w:rsidRPr="00B846C3">
        <w:t>diltiazem</w:t>
      </w:r>
      <w:proofErr w:type="spellEnd"/>
      <w:r w:rsidRPr="00B846C3">
        <w:t xml:space="preserve"> on P-glycoprotein (P-</w:t>
      </w:r>
      <w:proofErr w:type="spellStart"/>
      <w:r w:rsidRPr="00B846C3">
        <w:t>gp</w:t>
      </w:r>
      <w:proofErr w:type="spellEnd"/>
      <w:r w:rsidRPr="00B846C3">
        <w:t xml:space="preserve">)-dependent efflux </w:t>
      </w:r>
      <w:r w:rsidR="009670B3">
        <w:t xml:space="preserve">of the model substrate </w:t>
      </w:r>
      <w:proofErr w:type="spellStart"/>
      <w:r w:rsidR="009670B3">
        <w:t>digoxin</w:t>
      </w:r>
      <w:proofErr w:type="spellEnd"/>
      <w:r w:rsidR="009670B3">
        <w:t>.</w:t>
      </w:r>
    </w:p>
    <w:p w:rsidR="0075052F" w:rsidRPr="00113CC4" w:rsidRDefault="0075052F" w:rsidP="009670B3">
      <w:pPr>
        <w:pStyle w:val="Heading5"/>
      </w:pPr>
      <w:r w:rsidRPr="00113CC4">
        <w:t>Caco-2 cells</w:t>
      </w:r>
    </w:p>
    <w:p w:rsidR="0075052F" w:rsidRPr="00B846C3" w:rsidRDefault="0075052F" w:rsidP="00B846C3">
      <w:proofErr w:type="spellStart"/>
      <w:r w:rsidRPr="00B846C3">
        <w:t>Digoxin</w:t>
      </w:r>
      <w:proofErr w:type="spellEnd"/>
      <w:r w:rsidRPr="00B846C3">
        <w:t xml:space="preserve"> had an efflux ratio in Caco-2 cells of 30, similar to the ratio of 24-29 previously shown </w:t>
      </w:r>
      <w:r w:rsidR="00113CC4" w:rsidRPr="00B846C3">
        <w:t>for apixaban in the same cell type</w:t>
      </w:r>
      <w:r w:rsidR="00113CC4">
        <w:t xml:space="preserve"> in a study included in the original </w:t>
      </w:r>
      <w:r w:rsidR="00113CC4">
        <w:rPr>
          <w:kern w:val="2"/>
        </w:rPr>
        <w:t>apixaban</w:t>
      </w:r>
      <w:r w:rsidR="00113CC4">
        <w:t xml:space="preserve"> registration submission</w:t>
      </w:r>
      <w:r w:rsidRPr="00B846C3">
        <w:t xml:space="preserve">. The same study showed that </w:t>
      </w:r>
      <w:proofErr w:type="spellStart"/>
      <w:r w:rsidRPr="00B846C3">
        <w:t>cyclosporin</w:t>
      </w:r>
      <w:proofErr w:type="spellEnd"/>
      <w:r w:rsidRPr="00B846C3">
        <w:t xml:space="preserve"> A and </w:t>
      </w:r>
      <w:proofErr w:type="spellStart"/>
      <w:r w:rsidRPr="00B846C3">
        <w:t>ketoconazole</w:t>
      </w:r>
      <w:proofErr w:type="spellEnd"/>
      <w:r w:rsidRPr="00B846C3">
        <w:t xml:space="preserve"> (strong P-</w:t>
      </w:r>
      <w:proofErr w:type="spellStart"/>
      <w:r w:rsidRPr="00B846C3">
        <w:t>gp</w:t>
      </w:r>
      <w:proofErr w:type="spellEnd"/>
      <w:r w:rsidRPr="00B846C3">
        <w:t xml:space="preserve"> inhibitors; both at 50 µM) incompletely inhibited apixaban efflux by 40-50% and 70-80%, respectively, compared to a complete inhibition of </w:t>
      </w:r>
      <w:proofErr w:type="spellStart"/>
      <w:r w:rsidRPr="00B846C3">
        <w:t>digoxin</w:t>
      </w:r>
      <w:proofErr w:type="spellEnd"/>
      <w:r w:rsidRPr="00B846C3">
        <w:t xml:space="preserve"> efflux, suggesting that transport of apixaban involves multiple transporters.</w:t>
      </w:r>
    </w:p>
    <w:p w:rsidR="0075052F" w:rsidRPr="00B846C3" w:rsidRDefault="0075052F" w:rsidP="00B846C3">
      <w:r w:rsidRPr="00B846C3">
        <w:t xml:space="preserve">In the new study using Caco-2 cells (Study 930037853), </w:t>
      </w:r>
      <w:proofErr w:type="spellStart"/>
      <w:r w:rsidRPr="00B846C3">
        <w:t>digoxin</w:t>
      </w:r>
      <w:proofErr w:type="spellEnd"/>
      <w:r w:rsidRPr="00B846C3">
        <w:t xml:space="preserve"> (5 µM) efflux was inhibited 42%, 58% and 47% by naproxen (8 </w:t>
      </w:r>
      <w:proofErr w:type="spellStart"/>
      <w:r w:rsidRPr="00B846C3">
        <w:t>mM</w:t>
      </w:r>
      <w:proofErr w:type="spellEnd"/>
      <w:r w:rsidRPr="00B846C3">
        <w:t xml:space="preserve">), </w:t>
      </w:r>
      <w:proofErr w:type="spellStart"/>
      <w:r w:rsidRPr="00B846C3">
        <w:t>diclofenac</w:t>
      </w:r>
      <w:proofErr w:type="spellEnd"/>
      <w:r w:rsidRPr="00B846C3">
        <w:t xml:space="preserve"> (2</w:t>
      </w:r>
      <w:r w:rsidR="00113CC4">
        <w:t xml:space="preserve"> </w:t>
      </w:r>
      <w:proofErr w:type="spellStart"/>
      <w:r w:rsidR="00113CC4">
        <w:t>mM</w:t>
      </w:r>
      <w:proofErr w:type="spellEnd"/>
      <w:r w:rsidR="00113CC4">
        <w:t xml:space="preserve">) and </w:t>
      </w:r>
      <w:proofErr w:type="spellStart"/>
      <w:r w:rsidR="00113CC4">
        <w:t>diltiazem</w:t>
      </w:r>
      <w:proofErr w:type="spellEnd"/>
      <w:r w:rsidR="00113CC4">
        <w:t xml:space="preserve"> (0.03 </w:t>
      </w:r>
      <w:proofErr w:type="spellStart"/>
      <w:r w:rsidRPr="00B846C3">
        <w:t>mM</w:t>
      </w:r>
      <w:proofErr w:type="spellEnd"/>
      <w:r w:rsidRPr="00B846C3">
        <w:t>), respectively. The result with naproxen compares favourably with the 42% inhibition of apixaban (3 µM) efflux previously observed with naprox</w:t>
      </w:r>
      <w:r w:rsidR="009670B3">
        <w:t xml:space="preserve">en (6 </w:t>
      </w:r>
      <w:proofErr w:type="spellStart"/>
      <w:r w:rsidR="009670B3">
        <w:t>mM</w:t>
      </w:r>
      <w:proofErr w:type="spellEnd"/>
      <w:r w:rsidR="009670B3">
        <w:t>) in the same cell type.</w:t>
      </w:r>
    </w:p>
    <w:p w:rsidR="0075052F" w:rsidRPr="00113CC4" w:rsidRDefault="0075052F" w:rsidP="009670B3">
      <w:pPr>
        <w:pStyle w:val="Heading5"/>
      </w:pPr>
      <w:r w:rsidRPr="00113CC4">
        <w:t>LLC-PK1 cells</w:t>
      </w:r>
    </w:p>
    <w:p w:rsidR="0075052F" w:rsidRPr="00B846C3" w:rsidRDefault="0075052F" w:rsidP="00B846C3">
      <w:r w:rsidRPr="00B846C3">
        <w:t xml:space="preserve">In LLC-PK1 cells (Study 930037205), the permeability of </w:t>
      </w:r>
      <w:proofErr w:type="spellStart"/>
      <w:r w:rsidRPr="00B846C3">
        <w:t>digoxin</w:t>
      </w:r>
      <w:proofErr w:type="spellEnd"/>
      <w:r w:rsidRPr="00B846C3">
        <w:t xml:space="preserve"> (5 µM) was mildly impaired by ibuprofen (1 </w:t>
      </w:r>
      <w:proofErr w:type="spellStart"/>
      <w:r w:rsidRPr="00B846C3">
        <w:t>mM</w:t>
      </w:r>
      <w:proofErr w:type="spellEnd"/>
      <w:r w:rsidRPr="00B846C3">
        <w:t xml:space="preserve">, 23%), </w:t>
      </w:r>
      <w:proofErr w:type="spellStart"/>
      <w:r w:rsidRPr="00B846C3">
        <w:t>sulindac</w:t>
      </w:r>
      <w:proofErr w:type="spellEnd"/>
      <w:r w:rsidRPr="00B846C3">
        <w:t xml:space="preserve"> (2.5 </w:t>
      </w:r>
      <w:proofErr w:type="spellStart"/>
      <w:r w:rsidRPr="00B846C3">
        <w:t>mM</w:t>
      </w:r>
      <w:proofErr w:type="spellEnd"/>
      <w:r w:rsidRPr="00B846C3">
        <w:t xml:space="preserve">, 20%) and </w:t>
      </w:r>
      <w:proofErr w:type="spellStart"/>
      <w:r w:rsidRPr="00B846C3">
        <w:t>diltiazem</w:t>
      </w:r>
      <w:proofErr w:type="spellEnd"/>
      <w:r w:rsidRPr="00B846C3">
        <w:t xml:space="preserve"> (0.03 </w:t>
      </w:r>
      <w:proofErr w:type="spellStart"/>
      <w:r w:rsidRPr="00B846C3">
        <w:t>mM</w:t>
      </w:r>
      <w:proofErr w:type="spellEnd"/>
      <w:r w:rsidRPr="00B846C3">
        <w:t xml:space="preserve">, 33%) but was almost completely inhibited by </w:t>
      </w:r>
      <w:proofErr w:type="spellStart"/>
      <w:r w:rsidRPr="00B846C3">
        <w:t>ketocon</w:t>
      </w:r>
      <w:r w:rsidR="00113CC4">
        <w:t>azole</w:t>
      </w:r>
      <w:proofErr w:type="spellEnd"/>
      <w:r w:rsidR="00113CC4">
        <w:t xml:space="preserve"> (30 µM, 97%). Apixaban (3 </w:t>
      </w:r>
      <w:r w:rsidRPr="00B846C3">
        <w:t xml:space="preserve">µM) efflux in LLC-PK1 cells was previously shown to be inhibited 51% by 30 µM </w:t>
      </w:r>
      <w:proofErr w:type="spellStart"/>
      <w:r w:rsidRPr="00B846C3">
        <w:t>ketoconazole</w:t>
      </w:r>
      <w:proofErr w:type="spellEnd"/>
      <w:r w:rsidRPr="00B846C3">
        <w:t xml:space="preserve">, again suggesting that </w:t>
      </w:r>
      <w:proofErr w:type="spellStart"/>
      <w:r w:rsidRPr="00B846C3">
        <w:t>apixaban</w:t>
      </w:r>
      <w:proofErr w:type="spellEnd"/>
      <w:r w:rsidRPr="00B846C3">
        <w:t xml:space="preserve"> efflux (unlike </w:t>
      </w:r>
      <w:proofErr w:type="spellStart"/>
      <w:r w:rsidRPr="00B846C3">
        <w:t>digoxin</w:t>
      </w:r>
      <w:proofErr w:type="spellEnd"/>
      <w:r w:rsidRPr="00B846C3">
        <w:t>) involves multiple transporters.</w:t>
      </w:r>
    </w:p>
    <w:p w:rsidR="0075052F" w:rsidRPr="00B846C3" w:rsidRDefault="0075052F" w:rsidP="00B846C3">
      <w:r w:rsidRPr="00B846C3">
        <w:t xml:space="preserve">Overall, the nonclinical data on </w:t>
      </w:r>
      <w:proofErr w:type="spellStart"/>
      <w:r w:rsidRPr="00B846C3">
        <w:t>apixaban</w:t>
      </w:r>
      <w:proofErr w:type="spellEnd"/>
      <w:r w:rsidRPr="00B846C3">
        <w:t xml:space="preserve"> and P-</w:t>
      </w:r>
      <w:proofErr w:type="spellStart"/>
      <w:r w:rsidRPr="00B846C3">
        <w:t>gp</w:t>
      </w:r>
      <w:proofErr w:type="spellEnd"/>
      <w:r w:rsidRPr="00B846C3">
        <w:t xml:space="preserve"> transport are consistent with previously submitted clinical data where co-administration of </w:t>
      </w:r>
      <w:proofErr w:type="spellStart"/>
      <w:r w:rsidRPr="00B846C3">
        <w:t>apixaban</w:t>
      </w:r>
      <w:proofErr w:type="spellEnd"/>
      <w:r w:rsidRPr="00B846C3">
        <w:t xml:space="preserve"> with </w:t>
      </w:r>
      <w:proofErr w:type="spellStart"/>
      <w:r w:rsidRPr="00B846C3">
        <w:t>diltiazem</w:t>
      </w:r>
      <w:proofErr w:type="spellEnd"/>
      <w:r w:rsidRPr="00B846C3">
        <w:t xml:space="preserve"> or naproxen in healthy subjects enhanced the plasma AUC of apixaban by 40% and</w:t>
      </w:r>
      <w:r>
        <w:rPr>
          <w:kern w:val="2"/>
        </w:rPr>
        <w:t xml:space="preserve"> 54%, </w:t>
      </w:r>
      <w:r w:rsidRPr="00B846C3">
        <w:t>respectively</w:t>
      </w:r>
      <w:r w:rsidR="00341B29">
        <w:t xml:space="preserve"> </w:t>
      </w:r>
      <w:r w:rsidRPr="00B846C3">
        <w:t>(Study CV185032 and Study CV185054). These findings ar</w:t>
      </w:r>
      <w:r w:rsidR="00113CC4">
        <w:t xml:space="preserve">e suitably acknowledged in the </w:t>
      </w:r>
      <w:r w:rsidR="00113CC4" w:rsidRPr="00113CC4">
        <w:rPr>
          <w:i/>
        </w:rPr>
        <w:t>‘</w:t>
      </w:r>
      <w:r w:rsidRPr="00113CC4">
        <w:rPr>
          <w:i/>
        </w:rPr>
        <w:t>I</w:t>
      </w:r>
      <w:r w:rsidR="00113CC4" w:rsidRPr="00113CC4">
        <w:rPr>
          <w:i/>
        </w:rPr>
        <w:t>nteraction with other medicines</w:t>
      </w:r>
      <w:r w:rsidRPr="00B846C3">
        <w:t xml:space="preserve"> section of the proposed P</w:t>
      </w:r>
      <w:r w:rsidR="00113CC4">
        <w:t>I</w:t>
      </w:r>
      <w:r w:rsidR="009670B3">
        <w:t>.</w:t>
      </w:r>
    </w:p>
    <w:p w:rsidR="0075052F" w:rsidRPr="00B846C3" w:rsidRDefault="0075052F" w:rsidP="009670B3">
      <w:pPr>
        <w:pStyle w:val="Heading4"/>
      </w:pPr>
      <w:r w:rsidRPr="00B846C3">
        <w:t>Relative exposure</w:t>
      </w:r>
    </w:p>
    <w:p w:rsidR="0075052F" w:rsidRPr="00B846C3" w:rsidRDefault="00EF6FA5" w:rsidP="00B846C3">
      <w:r>
        <w:t>Animal-to-</w:t>
      </w:r>
      <w:r w:rsidR="0075052F" w:rsidRPr="00B846C3">
        <w:t xml:space="preserve">human exposure ratios are </w:t>
      </w:r>
      <w:r>
        <w:t xml:space="preserve">shown in Table </w:t>
      </w:r>
      <w:r w:rsidR="006C05FE">
        <w:t>2</w:t>
      </w:r>
      <w:r>
        <w:t xml:space="preserve">, below, and are </w:t>
      </w:r>
      <w:r w:rsidR="0075052F" w:rsidRPr="00B846C3">
        <w:t xml:space="preserve">based on steady state values cited in </w:t>
      </w:r>
      <w:r>
        <w:t xml:space="preserve">the sponsor’s </w:t>
      </w:r>
      <w:r w:rsidR="0075052F" w:rsidRPr="00EF6FA5">
        <w:rPr>
          <w:i/>
        </w:rPr>
        <w:t xml:space="preserve">Nonclinical </w:t>
      </w:r>
      <w:r w:rsidR="001759D0">
        <w:rPr>
          <w:i/>
        </w:rPr>
        <w:t>o</w:t>
      </w:r>
      <w:r w:rsidR="0075052F" w:rsidRPr="00EF6FA5">
        <w:rPr>
          <w:i/>
        </w:rPr>
        <w:t>verview</w:t>
      </w:r>
      <w:r w:rsidR="0075052F" w:rsidRPr="00B846C3">
        <w:t xml:space="preserve">, where in reference to the recommended human dose of apixaban (10 mg, or 5 mg </w:t>
      </w:r>
      <w:r>
        <w:t>twice daily (</w:t>
      </w:r>
      <w:r w:rsidR="0075052F" w:rsidRPr="00B846C3">
        <w:t>bid</w:t>
      </w:r>
      <w:r>
        <w:t>)</w:t>
      </w:r>
      <w:r w:rsidR="0075052F" w:rsidRPr="00B846C3">
        <w:t xml:space="preserve">) for atrial fibrillation (AF) the </w:t>
      </w:r>
      <w:proofErr w:type="spellStart"/>
      <w:r w:rsidR="0075052F" w:rsidRPr="00B846C3">
        <w:t>Cmax</w:t>
      </w:r>
      <w:proofErr w:type="spellEnd"/>
      <w:r w:rsidR="0075052F" w:rsidRPr="00B846C3">
        <w:t xml:space="preserve"> was 0.21 </w:t>
      </w:r>
      <w:r w:rsidR="00251D09">
        <w:t>µ</w:t>
      </w:r>
      <w:r w:rsidR="0075052F" w:rsidRPr="00B846C3">
        <w:t>g/</w:t>
      </w:r>
      <w:proofErr w:type="spellStart"/>
      <w:r w:rsidR="0075052F" w:rsidRPr="00B846C3">
        <w:t>mL</w:t>
      </w:r>
      <w:proofErr w:type="spellEnd"/>
      <w:r w:rsidR="0075052F" w:rsidRPr="00B846C3">
        <w:t xml:space="preserve"> and </w:t>
      </w:r>
      <w:r w:rsidR="00341B29">
        <w:t>AUC over time zero to 24 h (</w:t>
      </w:r>
      <w:r w:rsidR="0075052F" w:rsidRPr="00B846C3">
        <w:t>AUC</w:t>
      </w:r>
      <w:r w:rsidR="0075052F" w:rsidRPr="00EF6FA5">
        <w:rPr>
          <w:vertAlign w:val="subscript"/>
        </w:rPr>
        <w:t>0-24</w:t>
      </w:r>
      <w:r w:rsidR="00BC16C6">
        <w:rPr>
          <w:vertAlign w:val="subscript"/>
        </w:rPr>
        <w:t xml:space="preserve"> </w:t>
      </w:r>
      <w:r w:rsidR="0075052F" w:rsidRPr="00EF6FA5">
        <w:rPr>
          <w:vertAlign w:val="subscript"/>
        </w:rPr>
        <w:t>h</w:t>
      </w:r>
      <w:r w:rsidR="00341B29">
        <w:t xml:space="preserve">) </w:t>
      </w:r>
      <w:r w:rsidR="0075052F" w:rsidRPr="00B846C3">
        <w:t xml:space="preserve">was 3.1 </w:t>
      </w:r>
      <w:r w:rsidR="00251D09">
        <w:t>µ</w:t>
      </w:r>
      <w:proofErr w:type="spellStart"/>
      <w:r w:rsidR="0075052F" w:rsidRPr="00B846C3">
        <w:t>g.h</w:t>
      </w:r>
      <w:proofErr w:type="spellEnd"/>
      <w:r w:rsidR="0075052F" w:rsidRPr="00B846C3">
        <w:t>/</w:t>
      </w:r>
      <w:proofErr w:type="spellStart"/>
      <w:r w:rsidR="0075052F" w:rsidRPr="00B846C3">
        <w:t>mL.</w:t>
      </w:r>
      <w:proofErr w:type="spellEnd"/>
      <w:r w:rsidR="0075052F" w:rsidRPr="00B846C3">
        <w:t xml:space="preserve"> To account for differences in plasma protein binding in rat (96%), mouse (50%), rabbit (67%) and human (adults 87%)</w:t>
      </w:r>
      <w:r>
        <w:t>,</w:t>
      </w:r>
      <w:r w:rsidR="0075052F" w:rsidRPr="00B846C3">
        <w:t xml:space="preserve"> the following adjustment factors were applied 0.04, 0.5, 0.33 and 0.13, respectively (assuming similar plasma protein binding between adult and juvenile rats). Based on histopathological changes to the male </w:t>
      </w:r>
      <w:r w:rsidR="0075052F" w:rsidRPr="00B846C3">
        <w:lastRenderedPageBreak/>
        <w:t xml:space="preserve">reproductive tract and report of one </w:t>
      </w:r>
      <w:r>
        <w:t>high dose (</w:t>
      </w:r>
      <w:r w:rsidR="0075052F" w:rsidRPr="00B846C3">
        <w:t>HD</w:t>
      </w:r>
      <w:r>
        <w:t>)</w:t>
      </w:r>
      <w:r w:rsidR="0075052F" w:rsidRPr="00B846C3">
        <w:t xml:space="preserve"> group dam losing all her pups by </w:t>
      </w:r>
      <w:r w:rsidR="00BC16C6">
        <w:t>post natal day (</w:t>
      </w:r>
      <w:r w:rsidR="0075052F" w:rsidRPr="00B846C3">
        <w:t>PND</w:t>
      </w:r>
      <w:r w:rsidR="00BC16C6">
        <w:t>)</w:t>
      </w:r>
      <w:r w:rsidR="0075052F" w:rsidRPr="00B846C3">
        <w:t xml:space="preserve"> 6, </w:t>
      </w:r>
      <w:r>
        <w:t xml:space="preserve">the </w:t>
      </w:r>
      <w:r w:rsidR="00341B29">
        <w:t>no observed adverse effect level (</w:t>
      </w:r>
      <w:r>
        <w:t>NOAEL</w:t>
      </w:r>
      <w:r w:rsidR="00341B29">
        <w:t>)</w:t>
      </w:r>
      <w:r>
        <w:t xml:space="preserve"> was established at 50 </w:t>
      </w:r>
      <w:r w:rsidR="0075052F" w:rsidRPr="00B846C3">
        <w:t>mg/kg per day for both male and female rats. Data from previously evaluated studies in adult rats are also provided with revised exposure ratio measures based on the new dosage for AF.</w:t>
      </w:r>
    </w:p>
    <w:p w:rsidR="0075052F" w:rsidRPr="00B846C3" w:rsidRDefault="0075052F" w:rsidP="00B846C3">
      <w:r w:rsidRPr="00B846C3">
        <w:t>No information was provided on exposure to apixaban in juvenile populations (</w:t>
      </w:r>
      <w:r w:rsidR="00EF6FA5">
        <w:t>that is,</w:t>
      </w:r>
      <w:r w:rsidRPr="00B846C3">
        <w:t xml:space="preserve"> differences in plasma protein binding), thus the tabulated exposure measures do not reflect paediatric use.</w:t>
      </w:r>
    </w:p>
    <w:p w:rsidR="0075052F" w:rsidRDefault="006C05FE" w:rsidP="009670B3">
      <w:pPr>
        <w:pStyle w:val="TableTitle"/>
      </w:pPr>
      <w:proofErr w:type="gramStart"/>
      <w:r>
        <w:t>Table 2</w:t>
      </w:r>
      <w:r w:rsidR="00EF6FA5">
        <w:t>.</w:t>
      </w:r>
      <w:proofErr w:type="gramEnd"/>
      <w:r w:rsidR="00EF6FA5">
        <w:t xml:space="preserve"> </w:t>
      </w:r>
      <w:r w:rsidR="0075052F" w:rsidRPr="00B846C3">
        <w:t>Relative exposure to apixaban based on steady state mean AUC</w:t>
      </w:r>
      <w:r w:rsidR="0075052F" w:rsidRPr="00EF6FA5">
        <w:rPr>
          <w:vertAlign w:val="subscript"/>
        </w:rPr>
        <w:t>0-24</w:t>
      </w:r>
      <w:r w:rsidR="00BC16C6">
        <w:rPr>
          <w:vertAlign w:val="subscript"/>
        </w:rPr>
        <w:t xml:space="preserve"> </w:t>
      </w:r>
      <w:r w:rsidR="0075052F" w:rsidRPr="00EF6FA5">
        <w:rPr>
          <w:vertAlign w:val="subscript"/>
        </w:rPr>
        <w:t>h</w:t>
      </w:r>
      <w:r w:rsidR="00EF6FA5">
        <w:t xml:space="preserve"> (3.1 </w:t>
      </w:r>
      <w:r w:rsidR="00251D09">
        <w:t>µ</w:t>
      </w:r>
      <w:proofErr w:type="spellStart"/>
      <w:r w:rsidR="0075052F" w:rsidRPr="00B846C3">
        <w:t>g.h</w:t>
      </w:r>
      <w:proofErr w:type="spellEnd"/>
      <w:r w:rsidR="0075052F" w:rsidRPr="00B846C3">
        <w:t>/</w:t>
      </w:r>
      <w:proofErr w:type="spellStart"/>
      <w:r w:rsidR="0075052F" w:rsidRPr="00B846C3">
        <w:t>mL</w:t>
      </w:r>
      <w:proofErr w:type="spellEnd"/>
      <w:r w:rsidR="0075052F" w:rsidRPr="00B846C3">
        <w:t xml:space="preserve">) and </w:t>
      </w:r>
      <w:proofErr w:type="spellStart"/>
      <w:r w:rsidR="0075052F" w:rsidRPr="00B846C3">
        <w:t>Cmax</w:t>
      </w:r>
      <w:proofErr w:type="spellEnd"/>
      <w:r w:rsidR="0075052F" w:rsidRPr="00B846C3">
        <w:t xml:space="preserve"> (0.21 </w:t>
      </w:r>
      <w:r w:rsidR="00251D09">
        <w:t>µ</w:t>
      </w:r>
      <w:r w:rsidR="0075052F" w:rsidRPr="00B846C3">
        <w:t>g/mL) in healthy human subj</w:t>
      </w:r>
      <w:r w:rsidR="00EF6FA5">
        <w:t xml:space="preserve">ects given 10 mg (5 mg, </w:t>
      </w:r>
      <w:r w:rsidR="00341B29">
        <w:t>oral</w:t>
      </w:r>
      <w:r w:rsidR="00EF6FA5">
        <w:t xml:space="preserve"> bid)</w:t>
      </w:r>
      <w:r w:rsidR="0075052F" w:rsidRPr="00B846C3">
        <w:t xml:space="preserve"> </w:t>
      </w:r>
      <w:r w:rsidR="00EF6FA5">
        <w:rPr>
          <w:kern w:val="2"/>
        </w:rPr>
        <w:t>apixaban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tblPr>
      <w:tblGrid>
        <w:gridCol w:w="1426"/>
        <w:gridCol w:w="1417"/>
        <w:gridCol w:w="1134"/>
        <w:gridCol w:w="1418"/>
        <w:gridCol w:w="1335"/>
        <w:gridCol w:w="850"/>
        <w:gridCol w:w="851"/>
      </w:tblGrid>
      <w:tr w:rsidR="00B846C3" w:rsidRPr="00251D09" w:rsidTr="00F8659B">
        <w:trPr>
          <w:cantSplit/>
          <w:trHeight w:val="210"/>
          <w:tblHeader/>
          <w:jc w:val="center"/>
        </w:trPr>
        <w:tc>
          <w:tcPr>
            <w:tcW w:w="1426" w:type="dxa"/>
            <w:vMerge w:val="restart"/>
            <w:tcBorders>
              <w:top w:val="single" w:sz="8" w:space="0" w:color="auto"/>
              <w:left w:val="single" w:sz="8" w:space="0" w:color="auto"/>
            </w:tcBorders>
            <w:shd w:val="clear" w:color="auto" w:fill="0070C0"/>
            <w:vAlign w:val="center"/>
          </w:tcPr>
          <w:p w:rsidR="00B846C3" w:rsidRPr="00251D09" w:rsidRDefault="00B846C3" w:rsidP="001966E4">
            <w:pPr>
              <w:keepNext/>
              <w:keepLines/>
              <w:widowControl w:val="0"/>
              <w:spacing w:before="0" w:after="0" w:line="240" w:lineRule="auto"/>
              <w:rPr>
                <w:b/>
                <w:color w:val="FFFFFF" w:themeColor="background1"/>
                <w:kern w:val="2"/>
                <w:sz w:val="18"/>
                <w:szCs w:val="18"/>
              </w:rPr>
            </w:pPr>
            <w:r w:rsidRPr="00251D09">
              <w:rPr>
                <w:b/>
                <w:color w:val="FFFFFF" w:themeColor="background1"/>
                <w:kern w:val="2"/>
                <w:sz w:val="18"/>
                <w:szCs w:val="18"/>
              </w:rPr>
              <w:t>Study, species</w:t>
            </w:r>
          </w:p>
        </w:tc>
        <w:tc>
          <w:tcPr>
            <w:tcW w:w="1417" w:type="dxa"/>
            <w:vMerge w:val="restart"/>
            <w:tcBorders>
              <w:top w:val="single" w:sz="8" w:space="0" w:color="auto"/>
            </w:tcBorders>
            <w:shd w:val="clear" w:color="auto" w:fill="0070C0"/>
            <w:vAlign w:val="center"/>
          </w:tcPr>
          <w:p w:rsidR="00B846C3" w:rsidRPr="00251D09" w:rsidRDefault="00B846C3" w:rsidP="001966E4">
            <w:pPr>
              <w:keepNext/>
              <w:keepLines/>
              <w:widowControl w:val="0"/>
              <w:spacing w:before="0" w:after="0" w:line="240" w:lineRule="auto"/>
              <w:rPr>
                <w:b/>
                <w:color w:val="FFFFFF" w:themeColor="background1"/>
                <w:kern w:val="2"/>
                <w:sz w:val="18"/>
                <w:szCs w:val="18"/>
              </w:rPr>
            </w:pPr>
            <w:r w:rsidRPr="00251D09">
              <w:rPr>
                <w:b/>
                <w:color w:val="FFFFFF" w:themeColor="background1"/>
                <w:kern w:val="2"/>
                <w:sz w:val="18"/>
                <w:szCs w:val="18"/>
              </w:rPr>
              <w:t>Duration of treatment</w:t>
            </w:r>
          </w:p>
          <w:p w:rsidR="00B846C3" w:rsidRPr="00251D09" w:rsidRDefault="00B846C3" w:rsidP="001966E4">
            <w:pPr>
              <w:keepNext/>
              <w:keepLines/>
              <w:widowControl w:val="0"/>
              <w:spacing w:before="0" w:after="0" w:line="240" w:lineRule="auto"/>
              <w:rPr>
                <w:b/>
                <w:color w:val="FFFFFF" w:themeColor="background1"/>
                <w:kern w:val="2"/>
                <w:sz w:val="18"/>
                <w:szCs w:val="18"/>
              </w:rPr>
            </w:pPr>
            <w:r w:rsidRPr="00251D09">
              <w:rPr>
                <w:b/>
                <w:color w:val="FFFFFF" w:themeColor="background1"/>
                <w:kern w:val="2"/>
                <w:sz w:val="18"/>
                <w:szCs w:val="18"/>
              </w:rPr>
              <w:t>[study number]</w:t>
            </w:r>
          </w:p>
        </w:tc>
        <w:tc>
          <w:tcPr>
            <w:tcW w:w="1134" w:type="dxa"/>
            <w:vMerge w:val="restart"/>
            <w:tcBorders>
              <w:top w:val="single" w:sz="8" w:space="0" w:color="auto"/>
            </w:tcBorders>
            <w:shd w:val="clear" w:color="auto" w:fill="0070C0"/>
            <w:vAlign w:val="center"/>
          </w:tcPr>
          <w:p w:rsidR="00B846C3" w:rsidRPr="00251D09" w:rsidRDefault="00251D09" w:rsidP="00251D09">
            <w:pPr>
              <w:keepNext/>
              <w:keepLines/>
              <w:widowControl w:val="0"/>
              <w:spacing w:before="0" w:after="0" w:line="240" w:lineRule="auto"/>
              <w:rPr>
                <w:b/>
                <w:color w:val="FFFFFF" w:themeColor="background1"/>
                <w:kern w:val="2"/>
                <w:sz w:val="18"/>
                <w:szCs w:val="18"/>
              </w:rPr>
            </w:pPr>
            <w:r>
              <w:rPr>
                <w:b/>
                <w:color w:val="FFFFFF" w:themeColor="background1"/>
                <w:kern w:val="2"/>
                <w:sz w:val="18"/>
                <w:szCs w:val="18"/>
              </w:rPr>
              <w:t>Dose</w:t>
            </w:r>
            <w:r>
              <w:rPr>
                <w:b/>
                <w:color w:val="FFFFFF" w:themeColor="background1"/>
                <w:kern w:val="2"/>
                <w:sz w:val="18"/>
                <w:szCs w:val="18"/>
              </w:rPr>
              <w:br/>
            </w:r>
            <w:r w:rsidR="00B846C3" w:rsidRPr="00251D09">
              <w:rPr>
                <w:b/>
                <w:color w:val="FFFFFF" w:themeColor="background1"/>
                <w:kern w:val="2"/>
                <w:sz w:val="18"/>
                <w:szCs w:val="18"/>
              </w:rPr>
              <w:t>mg/kg/day</w:t>
            </w:r>
          </w:p>
        </w:tc>
        <w:tc>
          <w:tcPr>
            <w:tcW w:w="1418" w:type="dxa"/>
            <w:vMerge w:val="restart"/>
            <w:tcBorders>
              <w:top w:val="single" w:sz="8" w:space="0" w:color="auto"/>
            </w:tcBorders>
            <w:shd w:val="clear" w:color="auto" w:fill="0070C0"/>
            <w:vAlign w:val="center"/>
          </w:tcPr>
          <w:p w:rsidR="00B846C3" w:rsidRPr="00251D09" w:rsidRDefault="00B846C3" w:rsidP="001966E4">
            <w:pPr>
              <w:keepNext/>
              <w:keepLines/>
              <w:widowControl w:val="0"/>
              <w:spacing w:before="0" w:after="0" w:line="240" w:lineRule="auto"/>
              <w:rPr>
                <w:b/>
                <w:color w:val="FFFFFF" w:themeColor="background1"/>
                <w:kern w:val="2"/>
                <w:sz w:val="18"/>
                <w:szCs w:val="18"/>
              </w:rPr>
            </w:pPr>
            <w:proofErr w:type="spellStart"/>
            <w:r w:rsidRPr="00251D09">
              <w:rPr>
                <w:b/>
                <w:color w:val="FFFFFF" w:themeColor="background1"/>
                <w:kern w:val="2"/>
                <w:sz w:val="18"/>
                <w:szCs w:val="18"/>
              </w:rPr>
              <w:t>C</w:t>
            </w:r>
            <w:r w:rsidRPr="00251D09">
              <w:rPr>
                <w:b/>
                <w:color w:val="FFFFFF" w:themeColor="background1"/>
                <w:kern w:val="2"/>
                <w:sz w:val="18"/>
                <w:szCs w:val="18"/>
                <w:vertAlign w:val="subscript"/>
              </w:rPr>
              <w:t>max</w:t>
            </w:r>
            <w:proofErr w:type="spellEnd"/>
          </w:p>
          <w:p w:rsidR="00B846C3" w:rsidRPr="00251D09" w:rsidRDefault="00251D09" w:rsidP="00F8659B">
            <w:pPr>
              <w:keepNext/>
              <w:keepLines/>
              <w:widowControl w:val="0"/>
              <w:spacing w:before="0" w:after="0" w:line="240" w:lineRule="auto"/>
              <w:rPr>
                <w:b/>
                <w:color w:val="FFFFFF" w:themeColor="background1"/>
                <w:kern w:val="2"/>
                <w:sz w:val="18"/>
                <w:szCs w:val="18"/>
              </w:rPr>
            </w:pPr>
            <w:r>
              <w:rPr>
                <w:b/>
                <w:color w:val="FFFFFF" w:themeColor="background1"/>
                <w:kern w:val="2"/>
                <w:sz w:val="18"/>
                <w:szCs w:val="18"/>
              </w:rPr>
              <w:t>µ</w:t>
            </w:r>
            <w:r w:rsidR="00B846C3" w:rsidRPr="00251D09">
              <w:rPr>
                <w:b/>
                <w:color w:val="FFFFFF" w:themeColor="background1"/>
                <w:kern w:val="2"/>
                <w:sz w:val="18"/>
                <w:szCs w:val="18"/>
              </w:rPr>
              <w:t>g/mL</w:t>
            </w:r>
          </w:p>
        </w:tc>
        <w:tc>
          <w:tcPr>
            <w:tcW w:w="1335" w:type="dxa"/>
            <w:vMerge w:val="restart"/>
            <w:tcBorders>
              <w:top w:val="single" w:sz="8" w:space="0" w:color="auto"/>
            </w:tcBorders>
            <w:shd w:val="clear" w:color="auto" w:fill="0070C0"/>
          </w:tcPr>
          <w:p w:rsidR="00B846C3" w:rsidRPr="00251D09" w:rsidRDefault="00B846C3" w:rsidP="00F8659B">
            <w:pPr>
              <w:keepNext/>
              <w:keepLines/>
              <w:widowControl w:val="0"/>
              <w:spacing w:before="0" w:after="0" w:line="240" w:lineRule="auto"/>
              <w:rPr>
                <w:b/>
                <w:color w:val="FFFFFF" w:themeColor="background1"/>
                <w:kern w:val="2"/>
                <w:sz w:val="18"/>
                <w:szCs w:val="18"/>
              </w:rPr>
            </w:pPr>
            <w:r w:rsidRPr="00251D09">
              <w:rPr>
                <w:b/>
                <w:color w:val="FFFFFF" w:themeColor="background1"/>
                <w:kern w:val="2"/>
                <w:sz w:val="18"/>
                <w:szCs w:val="18"/>
              </w:rPr>
              <w:t>AUC</w:t>
            </w:r>
            <w:r w:rsidRPr="00251D09">
              <w:rPr>
                <w:b/>
                <w:color w:val="FFFFFF" w:themeColor="background1"/>
                <w:kern w:val="2"/>
                <w:sz w:val="18"/>
                <w:szCs w:val="18"/>
                <w:vertAlign w:val="subscript"/>
              </w:rPr>
              <w:t>0–24</w:t>
            </w:r>
            <w:r w:rsidRPr="00251D09">
              <w:rPr>
                <w:b/>
                <w:color w:val="FFFFFF" w:themeColor="background1"/>
                <w:w w:val="50"/>
                <w:kern w:val="2"/>
                <w:sz w:val="18"/>
                <w:szCs w:val="18"/>
                <w:vertAlign w:val="subscript"/>
              </w:rPr>
              <w:t> </w:t>
            </w:r>
            <w:r w:rsidRPr="00251D09">
              <w:rPr>
                <w:b/>
                <w:color w:val="FFFFFF" w:themeColor="background1"/>
                <w:kern w:val="2"/>
                <w:sz w:val="18"/>
                <w:szCs w:val="18"/>
                <w:vertAlign w:val="subscript"/>
              </w:rPr>
              <w:t>h</w:t>
            </w:r>
            <w:r w:rsidR="00F8659B">
              <w:rPr>
                <w:b/>
                <w:color w:val="FFFFFF" w:themeColor="background1"/>
                <w:kern w:val="2"/>
                <w:sz w:val="18"/>
                <w:szCs w:val="18"/>
              </w:rPr>
              <w:br/>
            </w:r>
            <w:r w:rsidR="00251D09">
              <w:rPr>
                <w:b/>
                <w:color w:val="FFFFFF" w:themeColor="background1"/>
                <w:kern w:val="2"/>
                <w:sz w:val="18"/>
                <w:szCs w:val="18"/>
              </w:rPr>
              <w:t>µ</w:t>
            </w:r>
            <w:proofErr w:type="spellStart"/>
            <w:r w:rsidRPr="00251D09">
              <w:rPr>
                <w:b/>
                <w:color w:val="FFFFFF" w:themeColor="background1"/>
                <w:kern w:val="2"/>
                <w:sz w:val="18"/>
                <w:szCs w:val="18"/>
              </w:rPr>
              <w:t>g∙h</w:t>
            </w:r>
            <w:proofErr w:type="spellEnd"/>
            <w:r w:rsidRPr="00251D09">
              <w:rPr>
                <w:b/>
                <w:color w:val="FFFFFF" w:themeColor="background1"/>
                <w:kern w:val="2"/>
                <w:sz w:val="18"/>
                <w:szCs w:val="18"/>
              </w:rPr>
              <w:t>/</w:t>
            </w:r>
            <w:proofErr w:type="spellStart"/>
            <w:r w:rsidRPr="00251D09">
              <w:rPr>
                <w:b/>
                <w:color w:val="FFFFFF" w:themeColor="background1"/>
                <w:kern w:val="2"/>
                <w:sz w:val="18"/>
                <w:szCs w:val="18"/>
              </w:rPr>
              <w:t>mL</w:t>
            </w:r>
            <w:proofErr w:type="spellEnd"/>
          </w:p>
        </w:tc>
        <w:tc>
          <w:tcPr>
            <w:tcW w:w="1701" w:type="dxa"/>
            <w:gridSpan w:val="2"/>
            <w:tcBorders>
              <w:top w:val="single" w:sz="8" w:space="0" w:color="auto"/>
              <w:bottom w:val="single" w:sz="8" w:space="0" w:color="auto"/>
              <w:right w:val="single" w:sz="8" w:space="0" w:color="auto"/>
            </w:tcBorders>
            <w:shd w:val="clear" w:color="auto" w:fill="0070C0"/>
            <w:vAlign w:val="center"/>
          </w:tcPr>
          <w:p w:rsidR="00B846C3" w:rsidRPr="00251D09" w:rsidRDefault="00B846C3" w:rsidP="001966E4">
            <w:pPr>
              <w:keepNext/>
              <w:keepLines/>
              <w:widowControl w:val="0"/>
              <w:spacing w:before="0" w:after="0" w:line="240" w:lineRule="auto"/>
              <w:rPr>
                <w:b/>
                <w:color w:val="FFFFFF" w:themeColor="background1"/>
                <w:kern w:val="2"/>
                <w:sz w:val="18"/>
                <w:szCs w:val="18"/>
              </w:rPr>
            </w:pPr>
            <w:r w:rsidRPr="00251D09">
              <w:rPr>
                <w:b/>
                <w:color w:val="FFFFFF" w:themeColor="background1"/>
                <w:kern w:val="2"/>
                <w:sz w:val="18"/>
                <w:szCs w:val="18"/>
              </w:rPr>
              <w:t>Exposure ratio</w:t>
            </w:r>
            <w:r w:rsidRPr="00251D09">
              <w:rPr>
                <w:b/>
                <w:color w:val="FFFFFF" w:themeColor="background1"/>
                <w:kern w:val="2"/>
                <w:sz w:val="18"/>
                <w:szCs w:val="18"/>
                <w:vertAlign w:val="superscript"/>
              </w:rPr>
              <w:t>#</w:t>
            </w:r>
          </w:p>
        </w:tc>
      </w:tr>
      <w:tr w:rsidR="00B846C3" w:rsidRPr="00251D09" w:rsidTr="00F8659B">
        <w:trPr>
          <w:cantSplit/>
          <w:trHeight w:val="209"/>
          <w:tblHeader/>
          <w:jc w:val="center"/>
        </w:trPr>
        <w:tc>
          <w:tcPr>
            <w:tcW w:w="1426" w:type="dxa"/>
            <w:vMerge/>
            <w:tcBorders>
              <w:left w:val="single" w:sz="8" w:space="0" w:color="auto"/>
              <w:bottom w:val="double" w:sz="4" w:space="0" w:color="auto"/>
            </w:tcBorders>
            <w:shd w:val="clear" w:color="auto" w:fill="0070C0"/>
          </w:tcPr>
          <w:p w:rsidR="00B846C3" w:rsidRPr="00251D09" w:rsidRDefault="00B846C3" w:rsidP="001966E4">
            <w:pPr>
              <w:keepNext/>
              <w:keepLines/>
              <w:widowControl w:val="0"/>
              <w:spacing w:before="0" w:after="0" w:line="240" w:lineRule="auto"/>
              <w:rPr>
                <w:b/>
                <w:color w:val="FFFFFF" w:themeColor="background1"/>
                <w:kern w:val="2"/>
                <w:sz w:val="18"/>
                <w:szCs w:val="18"/>
              </w:rPr>
            </w:pPr>
          </w:p>
        </w:tc>
        <w:tc>
          <w:tcPr>
            <w:tcW w:w="1417" w:type="dxa"/>
            <w:vMerge/>
            <w:tcBorders>
              <w:bottom w:val="double" w:sz="4" w:space="0" w:color="auto"/>
            </w:tcBorders>
            <w:shd w:val="clear" w:color="auto" w:fill="0070C0"/>
            <w:vAlign w:val="center"/>
          </w:tcPr>
          <w:p w:rsidR="00B846C3" w:rsidRPr="00251D09" w:rsidRDefault="00B846C3" w:rsidP="001966E4">
            <w:pPr>
              <w:keepNext/>
              <w:keepLines/>
              <w:widowControl w:val="0"/>
              <w:spacing w:before="0" w:after="0" w:line="240" w:lineRule="auto"/>
              <w:rPr>
                <w:b/>
                <w:color w:val="FFFFFF" w:themeColor="background1"/>
                <w:kern w:val="2"/>
                <w:sz w:val="18"/>
                <w:szCs w:val="18"/>
              </w:rPr>
            </w:pPr>
          </w:p>
        </w:tc>
        <w:tc>
          <w:tcPr>
            <w:tcW w:w="1134" w:type="dxa"/>
            <w:vMerge/>
            <w:tcBorders>
              <w:bottom w:val="double" w:sz="4" w:space="0" w:color="auto"/>
            </w:tcBorders>
            <w:shd w:val="clear" w:color="auto" w:fill="0070C0"/>
            <w:vAlign w:val="center"/>
          </w:tcPr>
          <w:p w:rsidR="00B846C3" w:rsidRPr="00251D09" w:rsidRDefault="00B846C3" w:rsidP="001966E4">
            <w:pPr>
              <w:keepNext/>
              <w:keepLines/>
              <w:widowControl w:val="0"/>
              <w:spacing w:before="0" w:after="0" w:line="240" w:lineRule="auto"/>
              <w:rPr>
                <w:b/>
                <w:color w:val="FFFFFF" w:themeColor="background1"/>
                <w:kern w:val="2"/>
                <w:sz w:val="18"/>
                <w:szCs w:val="18"/>
              </w:rPr>
            </w:pPr>
          </w:p>
        </w:tc>
        <w:tc>
          <w:tcPr>
            <w:tcW w:w="1418" w:type="dxa"/>
            <w:vMerge/>
            <w:tcBorders>
              <w:bottom w:val="double" w:sz="4" w:space="0" w:color="auto"/>
            </w:tcBorders>
            <w:shd w:val="clear" w:color="auto" w:fill="0070C0"/>
            <w:vAlign w:val="center"/>
          </w:tcPr>
          <w:p w:rsidR="00B846C3" w:rsidRPr="00251D09" w:rsidRDefault="00B846C3" w:rsidP="001966E4">
            <w:pPr>
              <w:keepNext/>
              <w:keepLines/>
              <w:widowControl w:val="0"/>
              <w:spacing w:before="0" w:after="0" w:line="240" w:lineRule="auto"/>
              <w:rPr>
                <w:b/>
                <w:color w:val="FFFFFF" w:themeColor="background1"/>
                <w:kern w:val="2"/>
                <w:sz w:val="18"/>
                <w:szCs w:val="18"/>
              </w:rPr>
            </w:pPr>
          </w:p>
        </w:tc>
        <w:tc>
          <w:tcPr>
            <w:tcW w:w="1335" w:type="dxa"/>
            <w:vMerge/>
            <w:tcBorders>
              <w:bottom w:val="double" w:sz="4" w:space="0" w:color="auto"/>
            </w:tcBorders>
            <w:shd w:val="clear" w:color="auto" w:fill="0070C0"/>
          </w:tcPr>
          <w:p w:rsidR="00B846C3" w:rsidRPr="00251D09" w:rsidRDefault="00B846C3" w:rsidP="001966E4">
            <w:pPr>
              <w:keepNext/>
              <w:keepLines/>
              <w:widowControl w:val="0"/>
              <w:spacing w:before="0" w:after="0" w:line="240" w:lineRule="auto"/>
              <w:rPr>
                <w:b/>
                <w:color w:val="FFFFFF" w:themeColor="background1"/>
                <w:kern w:val="2"/>
                <w:sz w:val="18"/>
                <w:szCs w:val="18"/>
              </w:rPr>
            </w:pPr>
          </w:p>
        </w:tc>
        <w:tc>
          <w:tcPr>
            <w:tcW w:w="850" w:type="dxa"/>
            <w:tcBorders>
              <w:top w:val="single" w:sz="8" w:space="0" w:color="auto"/>
              <w:bottom w:val="double" w:sz="4" w:space="0" w:color="auto"/>
              <w:right w:val="single" w:sz="8" w:space="0" w:color="auto"/>
            </w:tcBorders>
            <w:shd w:val="clear" w:color="auto" w:fill="0070C0"/>
            <w:vAlign w:val="center"/>
          </w:tcPr>
          <w:p w:rsidR="00B846C3" w:rsidRPr="00251D09" w:rsidRDefault="00B846C3" w:rsidP="001966E4">
            <w:pPr>
              <w:keepNext/>
              <w:keepLines/>
              <w:widowControl w:val="0"/>
              <w:spacing w:before="0" w:after="0" w:line="240" w:lineRule="auto"/>
              <w:rPr>
                <w:b/>
                <w:color w:val="FFFFFF" w:themeColor="background1"/>
                <w:kern w:val="2"/>
                <w:sz w:val="18"/>
                <w:szCs w:val="18"/>
              </w:rPr>
            </w:pPr>
            <w:proofErr w:type="spellStart"/>
            <w:r w:rsidRPr="00251D09">
              <w:rPr>
                <w:b/>
                <w:color w:val="FFFFFF" w:themeColor="background1"/>
                <w:kern w:val="2"/>
                <w:sz w:val="18"/>
                <w:szCs w:val="18"/>
              </w:rPr>
              <w:t>C</w:t>
            </w:r>
            <w:r w:rsidRPr="00251D09">
              <w:rPr>
                <w:b/>
                <w:color w:val="FFFFFF" w:themeColor="background1"/>
                <w:kern w:val="2"/>
                <w:sz w:val="18"/>
                <w:szCs w:val="18"/>
                <w:vertAlign w:val="subscript"/>
              </w:rPr>
              <w:t>max</w:t>
            </w:r>
            <w:proofErr w:type="spellEnd"/>
          </w:p>
        </w:tc>
        <w:tc>
          <w:tcPr>
            <w:tcW w:w="851" w:type="dxa"/>
            <w:tcBorders>
              <w:top w:val="single" w:sz="8" w:space="0" w:color="auto"/>
              <w:bottom w:val="double" w:sz="4" w:space="0" w:color="auto"/>
              <w:right w:val="single" w:sz="8" w:space="0" w:color="auto"/>
            </w:tcBorders>
            <w:shd w:val="clear" w:color="auto" w:fill="0070C0"/>
            <w:vAlign w:val="center"/>
          </w:tcPr>
          <w:p w:rsidR="00B846C3" w:rsidRPr="00251D09" w:rsidRDefault="00B846C3" w:rsidP="001966E4">
            <w:pPr>
              <w:keepNext/>
              <w:keepLines/>
              <w:widowControl w:val="0"/>
              <w:spacing w:before="0" w:after="0" w:line="240" w:lineRule="auto"/>
              <w:rPr>
                <w:b/>
                <w:color w:val="FFFFFF" w:themeColor="background1"/>
                <w:kern w:val="2"/>
                <w:sz w:val="18"/>
                <w:szCs w:val="18"/>
              </w:rPr>
            </w:pPr>
            <w:r w:rsidRPr="00251D09">
              <w:rPr>
                <w:b/>
                <w:color w:val="FFFFFF" w:themeColor="background1"/>
                <w:kern w:val="2"/>
                <w:sz w:val="18"/>
                <w:szCs w:val="18"/>
              </w:rPr>
              <w:t>AUC</w:t>
            </w:r>
            <w:r w:rsidRPr="00251D09">
              <w:rPr>
                <w:b/>
                <w:color w:val="FFFFFF" w:themeColor="background1"/>
                <w:kern w:val="2"/>
                <w:sz w:val="18"/>
                <w:szCs w:val="18"/>
                <w:vertAlign w:val="subscript"/>
              </w:rPr>
              <w:t>0–24</w:t>
            </w:r>
            <w:r w:rsidRPr="00251D09">
              <w:rPr>
                <w:b/>
                <w:color w:val="FFFFFF" w:themeColor="background1"/>
                <w:w w:val="50"/>
                <w:kern w:val="2"/>
                <w:sz w:val="18"/>
                <w:szCs w:val="18"/>
                <w:vertAlign w:val="subscript"/>
              </w:rPr>
              <w:t> </w:t>
            </w:r>
            <w:r w:rsidRPr="00251D09">
              <w:rPr>
                <w:b/>
                <w:color w:val="FFFFFF" w:themeColor="background1"/>
                <w:kern w:val="2"/>
                <w:sz w:val="18"/>
                <w:szCs w:val="18"/>
                <w:vertAlign w:val="subscript"/>
              </w:rPr>
              <w:t>h</w:t>
            </w:r>
          </w:p>
        </w:tc>
      </w:tr>
      <w:tr w:rsidR="00B846C3" w:rsidRPr="00B846C3" w:rsidTr="00F8659B">
        <w:trPr>
          <w:cantSplit/>
          <w:trHeight w:val="110"/>
          <w:jc w:val="center"/>
        </w:trPr>
        <w:tc>
          <w:tcPr>
            <w:tcW w:w="1426" w:type="dxa"/>
            <w:vMerge w:val="restart"/>
            <w:tcBorders>
              <w:top w:val="double" w:sz="4" w:space="0" w:color="auto"/>
              <w:left w:val="single" w:sz="8" w:space="0" w:color="auto"/>
            </w:tcBorders>
            <w:vAlign w:val="center"/>
          </w:tcPr>
          <w:p w:rsidR="00B846C3" w:rsidRDefault="009670B3" w:rsidP="001966E4">
            <w:pPr>
              <w:pStyle w:val="Tabletext"/>
              <w:spacing w:before="0" w:after="0" w:line="240" w:lineRule="auto"/>
              <w:rPr>
                <w:kern w:val="2"/>
                <w:sz w:val="18"/>
                <w:szCs w:val="18"/>
              </w:rPr>
            </w:pPr>
            <w:r>
              <w:rPr>
                <w:kern w:val="2"/>
                <w:sz w:val="18"/>
                <w:szCs w:val="18"/>
              </w:rPr>
              <w:t>Repeat dose toxicity*</w:t>
            </w:r>
          </w:p>
          <w:p w:rsidR="00B846C3" w:rsidRPr="00B846C3" w:rsidRDefault="00B846C3" w:rsidP="001966E4">
            <w:pPr>
              <w:pStyle w:val="Tabletext"/>
              <w:spacing w:before="0" w:after="0" w:line="240" w:lineRule="auto"/>
              <w:rPr>
                <w:kern w:val="2"/>
                <w:sz w:val="18"/>
                <w:szCs w:val="18"/>
              </w:rPr>
            </w:pPr>
            <w:r w:rsidRPr="00B846C3">
              <w:rPr>
                <w:kern w:val="2"/>
                <w:sz w:val="18"/>
                <w:szCs w:val="18"/>
              </w:rPr>
              <w:t>Rat</w:t>
            </w:r>
            <w:r w:rsidRPr="00B846C3">
              <w:rPr>
                <w:kern w:val="2"/>
                <w:sz w:val="18"/>
                <w:szCs w:val="18"/>
              </w:rPr>
              <w:br/>
              <w:t>(Adult SD)</w:t>
            </w:r>
          </w:p>
        </w:tc>
        <w:tc>
          <w:tcPr>
            <w:tcW w:w="1417" w:type="dxa"/>
            <w:vMerge w:val="restart"/>
            <w:tcBorders>
              <w:top w:val="double" w:sz="4" w:space="0" w:color="auto"/>
            </w:tcBorders>
            <w:vAlign w:val="center"/>
          </w:tcPr>
          <w:p w:rsidR="00B846C3" w:rsidRPr="00B846C3" w:rsidRDefault="004A51F4" w:rsidP="001966E4">
            <w:pPr>
              <w:pStyle w:val="Tabletext"/>
              <w:keepNext/>
              <w:keepLines/>
              <w:spacing w:before="0" w:after="0" w:line="240" w:lineRule="auto"/>
              <w:rPr>
                <w:kern w:val="2"/>
                <w:sz w:val="18"/>
                <w:szCs w:val="18"/>
              </w:rPr>
            </w:pPr>
            <w:r>
              <w:rPr>
                <w:kern w:val="2"/>
                <w:sz w:val="18"/>
                <w:szCs w:val="18"/>
              </w:rPr>
              <w:t>3 m</w:t>
            </w:r>
            <w:r w:rsidR="00F8659B">
              <w:rPr>
                <w:kern w:val="2"/>
                <w:sz w:val="18"/>
                <w:szCs w:val="18"/>
              </w:rPr>
              <w:t>on</w:t>
            </w:r>
            <w:r>
              <w:rPr>
                <w:kern w:val="2"/>
                <w:sz w:val="18"/>
                <w:szCs w:val="18"/>
              </w:rPr>
              <w:t>th</w:t>
            </w:r>
            <w:r>
              <w:rPr>
                <w:kern w:val="2"/>
                <w:sz w:val="18"/>
                <w:szCs w:val="18"/>
              </w:rPr>
              <w:br/>
            </w:r>
            <w:r w:rsidR="00B846C3" w:rsidRPr="00B846C3">
              <w:rPr>
                <w:kern w:val="2"/>
                <w:sz w:val="18"/>
                <w:szCs w:val="18"/>
              </w:rPr>
              <w:t>[DN04100]</w:t>
            </w:r>
          </w:p>
          <w:p w:rsidR="00B846C3" w:rsidRPr="00B846C3" w:rsidRDefault="00B846C3" w:rsidP="001966E4">
            <w:pPr>
              <w:pStyle w:val="Tabletext"/>
              <w:spacing w:before="0" w:after="0" w:line="240" w:lineRule="auto"/>
              <w:rPr>
                <w:kern w:val="2"/>
                <w:sz w:val="18"/>
                <w:szCs w:val="18"/>
                <w:u w:val="single"/>
              </w:rPr>
            </w:pPr>
            <w:r w:rsidRPr="00B846C3">
              <w:rPr>
                <w:kern w:val="2"/>
                <w:sz w:val="18"/>
                <w:szCs w:val="18"/>
              </w:rPr>
              <w:t>(diet)</w:t>
            </w:r>
          </w:p>
        </w:tc>
        <w:tc>
          <w:tcPr>
            <w:tcW w:w="1134" w:type="dxa"/>
            <w:tcBorders>
              <w:top w:val="double" w:sz="4"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600</w:t>
            </w:r>
          </w:p>
        </w:tc>
        <w:tc>
          <w:tcPr>
            <w:tcW w:w="1418" w:type="dxa"/>
            <w:tcBorders>
              <w:top w:val="doub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1.5 (0.06)</w:t>
            </w:r>
          </w:p>
        </w:tc>
        <w:tc>
          <w:tcPr>
            <w:tcW w:w="1335" w:type="dxa"/>
            <w:tcBorders>
              <w:top w:val="double" w:sz="4" w:space="0" w:color="auto"/>
            </w:tcBorders>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29.5 (1.18)</w:t>
            </w:r>
          </w:p>
        </w:tc>
        <w:tc>
          <w:tcPr>
            <w:tcW w:w="850" w:type="dxa"/>
            <w:tcBorders>
              <w:top w:val="doub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2.2</w:t>
            </w:r>
          </w:p>
        </w:tc>
        <w:tc>
          <w:tcPr>
            <w:tcW w:w="851" w:type="dxa"/>
            <w:tcBorders>
              <w:top w:val="doub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w:t>
            </w:r>
          </w:p>
        </w:tc>
      </w:tr>
      <w:tr w:rsidR="00B846C3" w:rsidRPr="00B846C3" w:rsidTr="00F8659B">
        <w:trPr>
          <w:cantSplit/>
          <w:trHeight w:val="108"/>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vAlign w:val="center"/>
          </w:tcPr>
          <w:p w:rsidR="00B846C3" w:rsidRPr="00B846C3" w:rsidRDefault="00B846C3" w:rsidP="001966E4">
            <w:pPr>
              <w:pStyle w:val="Tabletext"/>
              <w:spacing w:before="0" w:after="0" w:line="240" w:lineRule="auto"/>
              <w:rPr>
                <w:kern w:val="2"/>
                <w:sz w:val="18"/>
                <w:szCs w:val="18"/>
                <w:u w:val="single"/>
              </w:rPr>
            </w:pPr>
          </w:p>
        </w:tc>
        <w:tc>
          <w:tcPr>
            <w:tcW w:w="1134" w:type="dxa"/>
            <w:tcBorders>
              <w:top w:val="single" w:sz="4"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1800</w:t>
            </w:r>
          </w:p>
        </w:tc>
        <w:tc>
          <w:tcPr>
            <w:tcW w:w="1418" w:type="dxa"/>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1.6 (0.064)</w:t>
            </w:r>
          </w:p>
        </w:tc>
        <w:tc>
          <w:tcPr>
            <w:tcW w:w="1335" w:type="dxa"/>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29.9 (1.196)</w:t>
            </w:r>
          </w:p>
        </w:tc>
        <w:tc>
          <w:tcPr>
            <w:tcW w:w="850" w:type="dxa"/>
            <w:tcBorders>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2.4</w:t>
            </w:r>
          </w:p>
        </w:tc>
        <w:tc>
          <w:tcPr>
            <w:tcW w:w="851" w:type="dxa"/>
            <w:tcBorders>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w:t>
            </w:r>
          </w:p>
        </w:tc>
      </w:tr>
      <w:tr w:rsidR="00B846C3" w:rsidRPr="00B846C3" w:rsidTr="00F8659B">
        <w:trPr>
          <w:cantSplit/>
          <w:trHeight w:val="108"/>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tcBorders>
              <w:bottom w:val="single" w:sz="4" w:space="0" w:color="auto"/>
            </w:tcBorders>
            <w:vAlign w:val="center"/>
          </w:tcPr>
          <w:p w:rsidR="00B846C3" w:rsidRPr="00B846C3" w:rsidRDefault="00B846C3" w:rsidP="001966E4">
            <w:pPr>
              <w:pStyle w:val="Tabletext"/>
              <w:spacing w:before="0" w:after="0" w:line="240" w:lineRule="auto"/>
              <w:rPr>
                <w:kern w:val="2"/>
                <w:sz w:val="18"/>
                <w:szCs w:val="18"/>
                <w:u w:val="single"/>
              </w:rPr>
            </w:pPr>
          </w:p>
        </w:tc>
        <w:tc>
          <w:tcPr>
            <w:tcW w:w="1134" w:type="dxa"/>
            <w:tcBorders>
              <w:top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2400</w:t>
            </w:r>
          </w:p>
        </w:tc>
        <w:tc>
          <w:tcPr>
            <w:tcW w:w="1418" w:type="dxa"/>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1.95 (0.078)</w:t>
            </w:r>
          </w:p>
        </w:tc>
        <w:tc>
          <w:tcPr>
            <w:tcW w:w="1335" w:type="dxa"/>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37 (1.48)</w:t>
            </w:r>
          </w:p>
        </w:tc>
        <w:tc>
          <w:tcPr>
            <w:tcW w:w="850" w:type="dxa"/>
            <w:tcBorders>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2.9</w:t>
            </w:r>
          </w:p>
        </w:tc>
        <w:tc>
          <w:tcPr>
            <w:tcW w:w="851" w:type="dxa"/>
            <w:tcBorders>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4</w:t>
            </w:r>
          </w:p>
        </w:tc>
      </w:tr>
      <w:tr w:rsidR="00B846C3" w:rsidRPr="00B846C3" w:rsidTr="00F8659B">
        <w:trPr>
          <w:cantSplit/>
          <w:trHeight w:val="205"/>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val="restart"/>
            <w:tcBorders>
              <w:top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 m</w:t>
            </w:r>
            <w:r w:rsidR="00F8659B">
              <w:rPr>
                <w:kern w:val="2"/>
                <w:sz w:val="18"/>
                <w:szCs w:val="18"/>
              </w:rPr>
              <w:t>on</w:t>
            </w:r>
            <w:r w:rsidRPr="00B846C3">
              <w:rPr>
                <w:kern w:val="2"/>
                <w:sz w:val="18"/>
                <w:szCs w:val="18"/>
              </w:rPr>
              <w:t>th</w:t>
            </w:r>
            <w:r w:rsidRPr="00B846C3">
              <w:rPr>
                <w:kern w:val="2"/>
                <w:sz w:val="18"/>
                <w:szCs w:val="18"/>
              </w:rPr>
              <w:br/>
              <w:t>[DN02043]</w:t>
            </w:r>
          </w:p>
          <w:p w:rsidR="00B846C3" w:rsidRPr="00B846C3" w:rsidRDefault="00B846C3" w:rsidP="001966E4">
            <w:pPr>
              <w:pStyle w:val="Tabletext"/>
              <w:keepNext/>
              <w:keepLines/>
              <w:spacing w:before="0" w:after="0" w:line="240" w:lineRule="auto"/>
              <w:rPr>
                <w:kern w:val="2"/>
                <w:sz w:val="18"/>
                <w:szCs w:val="18"/>
                <w:u w:val="single"/>
              </w:rPr>
            </w:pPr>
            <w:r w:rsidRPr="00B846C3">
              <w:rPr>
                <w:kern w:val="2"/>
                <w:sz w:val="18"/>
                <w:szCs w:val="18"/>
              </w:rPr>
              <w:t>(gavage)</w:t>
            </w:r>
          </w:p>
        </w:tc>
        <w:tc>
          <w:tcPr>
            <w:tcW w:w="1134" w:type="dxa"/>
            <w:tcBorders>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50</w:t>
            </w:r>
          </w:p>
        </w:tc>
        <w:tc>
          <w:tcPr>
            <w:tcW w:w="1418" w:type="dxa"/>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 (0.12)</w:t>
            </w:r>
          </w:p>
        </w:tc>
        <w:tc>
          <w:tcPr>
            <w:tcW w:w="1335" w:type="dxa"/>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21.5 (0.86)</w:t>
            </w:r>
          </w:p>
        </w:tc>
        <w:tc>
          <w:tcPr>
            <w:tcW w:w="850" w:type="dxa"/>
            <w:tcBorders>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4.4</w:t>
            </w:r>
          </w:p>
        </w:tc>
        <w:tc>
          <w:tcPr>
            <w:tcW w:w="851" w:type="dxa"/>
            <w:tcBorders>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w:t>
            </w:r>
          </w:p>
        </w:tc>
      </w:tr>
      <w:tr w:rsidR="00B846C3" w:rsidRPr="00B846C3" w:rsidTr="00F8659B">
        <w:trPr>
          <w:cantSplit/>
          <w:trHeight w:val="203"/>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200</w:t>
            </w:r>
          </w:p>
        </w:tc>
        <w:tc>
          <w:tcPr>
            <w:tcW w:w="1418" w:type="dxa"/>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 (0.12)</w:t>
            </w:r>
          </w:p>
        </w:tc>
        <w:tc>
          <w:tcPr>
            <w:tcW w:w="1335" w:type="dxa"/>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24.4 (0.98)</w:t>
            </w:r>
          </w:p>
        </w:tc>
        <w:tc>
          <w:tcPr>
            <w:tcW w:w="850" w:type="dxa"/>
            <w:tcBorders>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4.4</w:t>
            </w:r>
          </w:p>
        </w:tc>
        <w:tc>
          <w:tcPr>
            <w:tcW w:w="851" w:type="dxa"/>
            <w:tcBorders>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2.4</w:t>
            </w:r>
          </w:p>
        </w:tc>
      </w:tr>
      <w:tr w:rsidR="00B846C3" w:rsidRPr="00B846C3" w:rsidTr="00F8659B">
        <w:trPr>
          <w:cantSplit/>
          <w:trHeight w:val="203"/>
          <w:jc w:val="center"/>
        </w:trPr>
        <w:tc>
          <w:tcPr>
            <w:tcW w:w="1426" w:type="dxa"/>
            <w:vMerge/>
            <w:tcBorders>
              <w:left w:val="single" w:sz="8" w:space="0" w:color="auto"/>
              <w:bottom w:val="single" w:sz="4"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tcBorders>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600</w:t>
            </w:r>
          </w:p>
        </w:tc>
        <w:tc>
          <w:tcPr>
            <w:tcW w:w="1418" w:type="dxa"/>
            <w:tcBorders>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4.2 (0.17)</w:t>
            </w:r>
          </w:p>
        </w:tc>
        <w:tc>
          <w:tcPr>
            <w:tcW w:w="1335" w:type="dxa"/>
            <w:tcBorders>
              <w:bottom w:val="single" w:sz="4" w:space="0" w:color="auto"/>
            </w:tcBorders>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35 (1.4)</w:t>
            </w:r>
          </w:p>
        </w:tc>
        <w:tc>
          <w:tcPr>
            <w:tcW w:w="850" w:type="dxa"/>
            <w:tcBorders>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6.3</w:t>
            </w:r>
          </w:p>
        </w:tc>
        <w:tc>
          <w:tcPr>
            <w:tcW w:w="851" w:type="dxa"/>
            <w:tcBorders>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3.5</w:t>
            </w:r>
          </w:p>
        </w:tc>
      </w:tr>
      <w:tr w:rsidR="00B846C3" w:rsidRPr="00B846C3" w:rsidTr="00F8659B">
        <w:trPr>
          <w:cantSplit/>
          <w:trHeight w:val="215"/>
          <w:jc w:val="center"/>
        </w:trPr>
        <w:tc>
          <w:tcPr>
            <w:tcW w:w="1426" w:type="dxa"/>
            <w:vMerge w:val="restart"/>
            <w:tcBorders>
              <w:top w:val="single" w:sz="8" w:space="0" w:color="auto"/>
              <w:lef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Repeat dose toxicity</w:t>
            </w:r>
          </w:p>
          <w:p w:rsidR="00B846C3" w:rsidRDefault="00B846C3" w:rsidP="001966E4">
            <w:pPr>
              <w:pStyle w:val="Tabletext"/>
              <w:keepNext/>
              <w:keepLines/>
              <w:spacing w:before="0" w:after="0" w:line="240" w:lineRule="auto"/>
              <w:rPr>
                <w:kern w:val="2"/>
                <w:sz w:val="18"/>
                <w:szCs w:val="18"/>
              </w:rPr>
            </w:pPr>
            <w:r w:rsidRPr="00B846C3">
              <w:rPr>
                <w:kern w:val="2"/>
                <w:sz w:val="18"/>
                <w:szCs w:val="18"/>
              </w:rPr>
              <w:t>(NEW STUDY)</w:t>
            </w:r>
          </w:p>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Rat</w:t>
            </w:r>
            <w:r w:rsidRPr="00B846C3">
              <w:rPr>
                <w:kern w:val="2"/>
                <w:sz w:val="18"/>
                <w:szCs w:val="18"/>
              </w:rPr>
              <w:br/>
              <w:t>(Juvenile SD)</w:t>
            </w:r>
          </w:p>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(Gavage)</w:t>
            </w:r>
          </w:p>
        </w:tc>
        <w:tc>
          <w:tcPr>
            <w:tcW w:w="1417" w:type="dxa"/>
            <w:vMerge w:val="restart"/>
            <w:tcBorders>
              <w:top w:val="single" w:sz="8" w:space="0" w:color="auto"/>
            </w:tcBorders>
            <w:vAlign w:val="center"/>
          </w:tcPr>
          <w:p w:rsidR="00B846C3" w:rsidRPr="00B846C3" w:rsidRDefault="004A51F4" w:rsidP="00F8659B">
            <w:pPr>
              <w:pStyle w:val="Tabletext"/>
              <w:keepNext/>
              <w:keepLines/>
              <w:spacing w:before="0" w:after="0" w:line="240" w:lineRule="auto"/>
              <w:rPr>
                <w:kern w:val="2"/>
                <w:sz w:val="18"/>
                <w:szCs w:val="18"/>
              </w:rPr>
            </w:pPr>
            <w:r>
              <w:rPr>
                <w:kern w:val="2"/>
                <w:sz w:val="18"/>
                <w:szCs w:val="18"/>
              </w:rPr>
              <w:t>3 m</w:t>
            </w:r>
            <w:r w:rsidR="00F8659B">
              <w:rPr>
                <w:kern w:val="2"/>
                <w:sz w:val="18"/>
                <w:szCs w:val="18"/>
              </w:rPr>
              <w:t>on</w:t>
            </w:r>
            <w:r>
              <w:rPr>
                <w:kern w:val="2"/>
                <w:sz w:val="18"/>
                <w:szCs w:val="18"/>
              </w:rPr>
              <w:t>th</w:t>
            </w:r>
            <w:r>
              <w:rPr>
                <w:kern w:val="2"/>
                <w:sz w:val="18"/>
                <w:szCs w:val="18"/>
              </w:rPr>
              <w:br/>
              <w:t>[DN09014]</w:t>
            </w:r>
            <w:r>
              <w:rPr>
                <w:kern w:val="2"/>
                <w:sz w:val="18"/>
                <w:szCs w:val="18"/>
              </w:rPr>
              <w:br/>
            </w:r>
            <w:r w:rsidR="00A245F5" w:rsidRPr="00A245F5">
              <w:rPr>
                <w:kern w:val="2"/>
                <w:sz w:val="18"/>
                <w:szCs w:val="18"/>
              </w:rPr>
              <w:t>@</w:t>
            </w:r>
            <w:r w:rsidR="00B846C3" w:rsidRPr="00A245F5">
              <w:rPr>
                <w:kern w:val="2"/>
                <w:sz w:val="18"/>
                <w:szCs w:val="18"/>
              </w:rPr>
              <w:t xml:space="preserve"> </w:t>
            </w:r>
            <w:r w:rsidR="00B846C3" w:rsidRPr="00B846C3">
              <w:rPr>
                <w:kern w:val="2"/>
                <w:sz w:val="18"/>
                <w:szCs w:val="18"/>
              </w:rPr>
              <w:t xml:space="preserve">PND </w:t>
            </w:r>
            <w:r w:rsidR="00B846C3" w:rsidRPr="00B846C3">
              <w:rPr>
                <w:kern w:val="2"/>
                <w:sz w:val="18"/>
                <w:szCs w:val="18"/>
                <w:u w:val="single"/>
              </w:rPr>
              <w:t>21</w:t>
            </w:r>
            <w:r w:rsidR="00B846C3" w:rsidRPr="00B846C3">
              <w:rPr>
                <w:kern w:val="2"/>
                <w:sz w:val="18"/>
                <w:szCs w:val="18"/>
              </w:rPr>
              <w:t xml:space="preserve"> – Male</w:t>
            </w:r>
          </w:p>
        </w:tc>
        <w:tc>
          <w:tcPr>
            <w:tcW w:w="1134" w:type="dxa"/>
            <w:tcBorders>
              <w:top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10</w:t>
            </w:r>
          </w:p>
        </w:tc>
        <w:tc>
          <w:tcPr>
            <w:tcW w:w="1418" w:type="dxa"/>
            <w:tcBorders>
              <w:top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1.91 (0.076)</w:t>
            </w:r>
          </w:p>
        </w:tc>
        <w:tc>
          <w:tcPr>
            <w:tcW w:w="1335" w:type="dxa"/>
            <w:tcBorders>
              <w:top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14.5 (0.58)</w:t>
            </w:r>
          </w:p>
        </w:tc>
        <w:tc>
          <w:tcPr>
            <w:tcW w:w="850" w:type="dxa"/>
            <w:tcBorders>
              <w:top w:val="single" w:sz="8"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2.8</w:t>
            </w:r>
          </w:p>
        </w:tc>
        <w:tc>
          <w:tcPr>
            <w:tcW w:w="851" w:type="dxa"/>
            <w:tcBorders>
              <w:top w:val="single" w:sz="8"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1.4</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50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4.86 (0.194)</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34.4 (1.376)</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7.1</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3.4</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600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9.27 (0.37)</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69.5 (2.78)</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14</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7</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val="restart"/>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 m</w:t>
            </w:r>
            <w:r w:rsidR="00F8659B">
              <w:rPr>
                <w:kern w:val="2"/>
                <w:sz w:val="18"/>
                <w:szCs w:val="18"/>
              </w:rPr>
              <w:t>on</w:t>
            </w:r>
            <w:r w:rsidRPr="00B846C3">
              <w:rPr>
                <w:kern w:val="2"/>
                <w:sz w:val="18"/>
                <w:szCs w:val="18"/>
              </w:rPr>
              <w:t>th</w:t>
            </w:r>
            <w:r w:rsidRPr="00B846C3">
              <w:rPr>
                <w:kern w:val="2"/>
                <w:sz w:val="18"/>
                <w:szCs w:val="18"/>
              </w:rPr>
              <w:br/>
              <w:t>[DN09014]</w:t>
            </w:r>
          </w:p>
          <w:p w:rsidR="00B846C3" w:rsidRPr="00B846C3" w:rsidRDefault="00A245F5" w:rsidP="00A245F5">
            <w:pPr>
              <w:pStyle w:val="Tabletext"/>
              <w:keepNext/>
              <w:keepLines/>
              <w:spacing w:before="0" w:after="0" w:line="240" w:lineRule="auto"/>
              <w:rPr>
                <w:kern w:val="2"/>
                <w:sz w:val="18"/>
                <w:szCs w:val="18"/>
              </w:rPr>
            </w:pPr>
            <w:r w:rsidRPr="00A245F5">
              <w:rPr>
                <w:kern w:val="2"/>
                <w:sz w:val="18"/>
                <w:szCs w:val="18"/>
              </w:rPr>
              <w:t>@</w:t>
            </w:r>
            <w:r w:rsidR="00F8659B" w:rsidRPr="00A245F5">
              <w:rPr>
                <w:kern w:val="2"/>
                <w:sz w:val="18"/>
                <w:szCs w:val="18"/>
              </w:rPr>
              <w:t xml:space="preserve"> </w:t>
            </w:r>
            <w:r w:rsidR="00B846C3" w:rsidRPr="00A245F5">
              <w:rPr>
                <w:kern w:val="2"/>
                <w:sz w:val="18"/>
                <w:szCs w:val="18"/>
              </w:rPr>
              <w:t>P</w:t>
            </w:r>
            <w:r w:rsidR="00B846C3" w:rsidRPr="00B846C3">
              <w:rPr>
                <w:kern w:val="2"/>
                <w:sz w:val="18"/>
                <w:szCs w:val="18"/>
              </w:rPr>
              <w:t xml:space="preserve">ND </w:t>
            </w:r>
            <w:r w:rsidR="00B846C3" w:rsidRPr="00B846C3">
              <w:rPr>
                <w:kern w:val="2"/>
                <w:sz w:val="18"/>
                <w:szCs w:val="18"/>
                <w:u w:val="single"/>
              </w:rPr>
              <w:t>21</w:t>
            </w:r>
            <w:r w:rsidR="00B846C3" w:rsidRPr="00B846C3">
              <w:rPr>
                <w:kern w:val="2"/>
                <w:sz w:val="18"/>
                <w:szCs w:val="18"/>
              </w:rPr>
              <w:t xml:space="preserve"> – Female</w:t>
            </w: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2.57 (0.103)</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21.6 (0.864)</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3.8</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2.1</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50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5.02 (0.201)</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29.2 (1.168)</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7.4</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3</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600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9.47 (0.38)</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88.1 (3.52)</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14</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9</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val="restart"/>
            <w:vAlign w:val="center"/>
          </w:tcPr>
          <w:p w:rsidR="00B846C3" w:rsidRPr="00B846C3" w:rsidRDefault="00B846C3" w:rsidP="004A51F4">
            <w:pPr>
              <w:pStyle w:val="Tabletext"/>
              <w:keepNext/>
              <w:keepLines/>
              <w:spacing w:before="0" w:after="0" w:line="240" w:lineRule="auto"/>
              <w:rPr>
                <w:kern w:val="2"/>
                <w:sz w:val="18"/>
                <w:szCs w:val="18"/>
              </w:rPr>
            </w:pPr>
            <w:r w:rsidRPr="00B846C3">
              <w:rPr>
                <w:kern w:val="2"/>
                <w:sz w:val="18"/>
                <w:szCs w:val="18"/>
              </w:rPr>
              <w:t>3 m</w:t>
            </w:r>
            <w:r w:rsidR="00F8659B">
              <w:rPr>
                <w:kern w:val="2"/>
                <w:sz w:val="18"/>
                <w:szCs w:val="18"/>
              </w:rPr>
              <w:t>on</w:t>
            </w:r>
            <w:r w:rsidRPr="00B846C3">
              <w:rPr>
                <w:kern w:val="2"/>
                <w:sz w:val="18"/>
                <w:szCs w:val="18"/>
              </w:rPr>
              <w:t>th</w:t>
            </w:r>
            <w:r w:rsidRPr="00B846C3">
              <w:rPr>
                <w:kern w:val="2"/>
                <w:sz w:val="18"/>
                <w:szCs w:val="18"/>
              </w:rPr>
              <w:br/>
              <w:t>[DN09014]</w:t>
            </w:r>
            <w:r w:rsidRPr="00B846C3">
              <w:rPr>
                <w:kern w:val="2"/>
                <w:sz w:val="18"/>
                <w:szCs w:val="18"/>
              </w:rPr>
              <w:br/>
            </w:r>
            <w:r w:rsidR="00A245F5" w:rsidRPr="00A245F5">
              <w:rPr>
                <w:kern w:val="2"/>
                <w:sz w:val="18"/>
                <w:szCs w:val="18"/>
              </w:rPr>
              <w:t>@</w:t>
            </w:r>
            <w:r w:rsidRPr="00A245F5">
              <w:rPr>
                <w:kern w:val="2"/>
                <w:sz w:val="18"/>
                <w:szCs w:val="18"/>
              </w:rPr>
              <w:t xml:space="preserve"> </w:t>
            </w:r>
            <w:r w:rsidRPr="00B846C3">
              <w:rPr>
                <w:kern w:val="2"/>
                <w:sz w:val="18"/>
                <w:szCs w:val="18"/>
              </w:rPr>
              <w:t xml:space="preserve">PND </w:t>
            </w:r>
            <w:r w:rsidRPr="00B846C3">
              <w:rPr>
                <w:kern w:val="2"/>
                <w:sz w:val="18"/>
                <w:szCs w:val="18"/>
                <w:u w:val="single"/>
              </w:rPr>
              <w:t>87</w:t>
            </w:r>
            <w:r w:rsidRPr="00B846C3">
              <w:rPr>
                <w:kern w:val="2"/>
                <w:sz w:val="18"/>
                <w:szCs w:val="18"/>
              </w:rPr>
              <w:t xml:space="preserve"> – Male</w:t>
            </w: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1.01 (0.04)</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7.89 (0.316)</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1.5</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50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3.05 (0.122)</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16.8 (0.66)</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4.5</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1.6</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tcBorders>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600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3.38 (0.135)</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24.1 (0.96)</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4.9</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2.4</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val="restart"/>
            <w:vAlign w:val="center"/>
          </w:tcPr>
          <w:p w:rsidR="00B846C3" w:rsidRPr="00B846C3" w:rsidRDefault="00B846C3" w:rsidP="00A245F5">
            <w:pPr>
              <w:pStyle w:val="Tabletext"/>
              <w:keepNext/>
              <w:keepLines/>
              <w:spacing w:before="0" w:after="0" w:line="240" w:lineRule="auto"/>
              <w:rPr>
                <w:kern w:val="2"/>
                <w:sz w:val="18"/>
                <w:szCs w:val="18"/>
              </w:rPr>
            </w:pPr>
            <w:r w:rsidRPr="00B846C3">
              <w:rPr>
                <w:kern w:val="2"/>
                <w:sz w:val="18"/>
                <w:szCs w:val="18"/>
              </w:rPr>
              <w:t>3 m</w:t>
            </w:r>
            <w:r w:rsidR="00F8659B">
              <w:rPr>
                <w:kern w:val="2"/>
                <w:sz w:val="18"/>
                <w:szCs w:val="18"/>
              </w:rPr>
              <w:t>on</w:t>
            </w:r>
            <w:r w:rsidRPr="00B846C3">
              <w:rPr>
                <w:kern w:val="2"/>
                <w:sz w:val="18"/>
                <w:szCs w:val="18"/>
              </w:rPr>
              <w:t>th</w:t>
            </w:r>
            <w:r w:rsidRPr="00B846C3">
              <w:rPr>
                <w:kern w:val="2"/>
                <w:sz w:val="18"/>
                <w:szCs w:val="18"/>
              </w:rPr>
              <w:br/>
              <w:t>[DN09014]</w:t>
            </w:r>
            <w:r w:rsidRPr="00B846C3">
              <w:rPr>
                <w:kern w:val="2"/>
                <w:sz w:val="18"/>
                <w:szCs w:val="18"/>
              </w:rPr>
              <w:br/>
            </w:r>
            <w:r w:rsidR="00A245F5" w:rsidRPr="00A245F5">
              <w:rPr>
                <w:kern w:val="2"/>
                <w:sz w:val="18"/>
                <w:szCs w:val="18"/>
              </w:rPr>
              <w:t>@</w:t>
            </w:r>
            <w:r w:rsidR="00F8659B">
              <w:rPr>
                <w:kern w:val="2"/>
                <w:sz w:val="18"/>
                <w:szCs w:val="18"/>
              </w:rPr>
              <w:t xml:space="preserve"> </w:t>
            </w:r>
            <w:r w:rsidRPr="00B846C3">
              <w:rPr>
                <w:kern w:val="2"/>
                <w:sz w:val="18"/>
                <w:szCs w:val="18"/>
              </w:rPr>
              <w:t xml:space="preserve">PND </w:t>
            </w:r>
            <w:r w:rsidRPr="00B846C3">
              <w:rPr>
                <w:kern w:val="2"/>
                <w:sz w:val="18"/>
                <w:szCs w:val="18"/>
                <w:u w:val="single"/>
              </w:rPr>
              <w:t>87</w:t>
            </w:r>
            <w:r w:rsidRPr="00B846C3">
              <w:rPr>
                <w:kern w:val="2"/>
                <w:sz w:val="18"/>
                <w:szCs w:val="18"/>
              </w:rPr>
              <w:t xml:space="preserve"> – Female</w:t>
            </w: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1.34 (0.054)</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9.49 (0.38)</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2.0</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1</w:t>
            </w:r>
          </w:p>
        </w:tc>
      </w:tr>
      <w:tr w:rsidR="00B846C3" w:rsidRPr="00B846C3" w:rsidTr="00F8659B">
        <w:trPr>
          <w:cantSplit/>
          <w:trHeight w:val="227"/>
          <w:jc w:val="center"/>
        </w:trPr>
        <w:tc>
          <w:tcPr>
            <w:tcW w:w="1426" w:type="dxa"/>
            <w:vMerge/>
            <w:tcBorders>
              <w:left w:val="single" w:sz="8"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50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3.3 (0.132)</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18.5 (0.74)</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4.8</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b/>
                <w:kern w:val="2"/>
                <w:sz w:val="18"/>
                <w:szCs w:val="18"/>
              </w:rPr>
            </w:pPr>
            <w:r w:rsidRPr="00B846C3">
              <w:rPr>
                <w:b/>
                <w:kern w:val="2"/>
                <w:sz w:val="18"/>
                <w:szCs w:val="18"/>
              </w:rPr>
              <w:t>2</w:t>
            </w:r>
          </w:p>
        </w:tc>
      </w:tr>
      <w:tr w:rsidR="00B846C3" w:rsidRPr="00B846C3" w:rsidTr="00F8659B">
        <w:trPr>
          <w:cantSplit/>
          <w:trHeight w:val="227"/>
          <w:jc w:val="center"/>
        </w:trPr>
        <w:tc>
          <w:tcPr>
            <w:tcW w:w="1426" w:type="dxa"/>
            <w:vMerge/>
            <w:tcBorders>
              <w:left w:val="single" w:sz="8" w:space="0" w:color="auto"/>
              <w:bottom w:val="single" w:sz="4" w:space="0" w:color="auto"/>
            </w:tcBorders>
          </w:tcPr>
          <w:p w:rsidR="00B846C3" w:rsidRPr="00B846C3" w:rsidRDefault="00B846C3" w:rsidP="001966E4">
            <w:pPr>
              <w:pStyle w:val="Tabletext"/>
              <w:keepNext/>
              <w:keepLines/>
              <w:spacing w:before="0" w:after="0" w:line="240" w:lineRule="auto"/>
              <w:rPr>
                <w:kern w:val="2"/>
                <w:sz w:val="18"/>
                <w:szCs w:val="18"/>
              </w:rPr>
            </w:pPr>
          </w:p>
        </w:tc>
        <w:tc>
          <w:tcPr>
            <w:tcW w:w="1417" w:type="dxa"/>
            <w:vMerge/>
            <w:tcBorders>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p>
        </w:tc>
        <w:tc>
          <w:tcPr>
            <w:tcW w:w="1134"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600</w:t>
            </w:r>
          </w:p>
        </w:tc>
        <w:tc>
          <w:tcPr>
            <w:tcW w:w="1418"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4.91 (0.196)</w:t>
            </w:r>
          </w:p>
        </w:tc>
        <w:tc>
          <w:tcPr>
            <w:tcW w:w="1335" w:type="dxa"/>
            <w:tcBorders>
              <w:top w:val="dotted" w:sz="2" w:space="0" w:color="auto"/>
              <w:bottom w:val="single" w:sz="4"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29.9 (1.196)</w:t>
            </w:r>
          </w:p>
        </w:tc>
        <w:tc>
          <w:tcPr>
            <w:tcW w:w="850"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7.2</w:t>
            </w:r>
          </w:p>
        </w:tc>
        <w:tc>
          <w:tcPr>
            <w:tcW w:w="851" w:type="dxa"/>
            <w:tcBorders>
              <w:top w:val="dotted" w:sz="2" w:space="0" w:color="auto"/>
              <w:bottom w:val="single" w:sz="4" w:space="0" w:color="auto"/>
              <w:right w:val="single" w:sz="8" w:space="0" w:color="auto"/>
            </w:tcBorders>
            <w:vAlign w:val="center"/>
          </w:tcPr>
          <w:p w:rsidR="00B846C3" w:rsidRPr="00B846C3" w:rsidRDefault="00B846C3" w:rsidP="001966E4">
            <w:pPr>
              <w:pStyle w:val="Tabletext"/>
              <w:keepNext/>
              <w:keepLines/>
              <w:spacing w:before="0" w:after="0" w:line="240" w:lineRule="auto"/>
              <w:rPr>
                <w:kern w:val="2"/>
                <w:sz w:val="18"/>
                <w:szCs w:val="18"/>
              </w:rPr>
            </w:pPr>
            <w:r w:rsidRPr="00B846C3">
              <w:rPr>
                <w:kern w:val="2"/>
                <w:sz w:val="18"/>
                <w:szCs w:val="18"/>
              </w:rPr>
              <w:t>3</w:t>
            </w:r>
          </w:p>
        </w:tc>
      </w:tr>
      <w:tr w:rsidR="00B846C3" w:rsidRPr="00B846C3" w:rsidTr="00F8659B">
        <w:trPr>
          <w:cantSplit/>
          <w:trHeight w:val="86"/>
          <w:jc w:val="center"/>
        </w:trPr>
        <w:tc>
          <w:tcPr>
            <w:tcW w:w="1426" w:type="dxa"/>
            <w:vMerge w:val="restart"/>
            <w:tcBorders>
              <w:top w:val="single" w:sz="4" w:space="0" w:color="auto"/>
              <w:left w:val="single" w:sz="8" w:space="0" w:color="auto"/>
            </w:tcBorders>
          </w:tcPr>
          <w:p w:rsidR="00B846C3" w:rsidRPr="00B846C3" w:rsidRDefault="001966E4" w:rsidP="004A51F4">
            <w:pPr>
              <w:pStyle w:val="Tabletext"/>
              <w:spacing w:before="0" w:after="0" w:line="240" w:lineRule="auto"/>
              <w:rPr>
                <w:kern w:val="2"/>
                <w:sz w:val="18"/>
                <w:szCs w:val="18"/>
              </w:rPr>
            </w:pPr>
            <w:r>
              <w:rPr>
                <w:kern w:val="2"/>
                <w:sz w:val="18"/>
                <w:szCs w:val="18"/>
              </w:rPr>
              <w:t>Car</w:t>
            </w:r>
            <w:r w:rsidR="00B846C3" w:rsidRPr="00B846C3">
              <w:rPr>
                <w:kern w:val="2"/>
                <w:sz w:val="18"/>
                <w:szCs w:val="18"/>
              </w:rPr>
              <w:t>cinogenicity*</w:t>
            </w:r>
          </w:p>
          <w:p w:rsidR="004A51F4" w:rsidRDefault="004A51F4" w:rsidP="004A51F4">
            <w:pPr>
              <w:pStyle w:val="Tabletext"/>
              <w:spacing w:before="0" w:after="0" w:line="240" w:lineRule="auto"/>
              <w:rPr>
                <w:kern w:val="2"/>
                <w:sz w:val="18"/>
                <w:szCs w:val="18"/>
              </w:rPr>
            </w:pPr>
          </w:p>
          <w:p w:rsidR="00B846C3" w:rsidRDefault="00B846C3" w:rsidP="004A51F4">
            <w:pPr>
              <w:pStyle w:val="Tabletext"/>
              <w:spacing w:before="0" w:after="0" w:line="240" w:lineRule="auto"/>
              <w:rPr>
                <w:kern w:val="2"/>
                <w:sz w:val="18"/>
                <w:szCs w:val="18"/>
              </w:rPr>
            </w:pPr>
            <w:r w:rsidRPr="00B846C3">
              <w:rPr>
                <w:kern w:val="2"/>
                <w:sz w:val="18"/>
                <w:szCs w:val="18"/>
              </w:rPr>
              <w:t>Mouse</w:t>
            </w:r>
          </w:p>
          <w:p w:rsidR="00B846C3" w:rsidRPr="00B846C3" w:rsidRDefault="00B846C3" w:rsidP="004A51F4">
            <w:pPr>
              <w:pStyle w:val="Tabletext"/>
              <w:spacing w:before="0" w:after="0" w:line="240" w:lineRule="auto"/>
              <w:rPr>
                <w:kern w:val="2"/>
                <w:sz w:val="18"/>
                <w:szCs w:val="18"/>
              </w:rPr>
            </w:pPr>
          </w:p>
        </w:tc>
        <w:tc>
          <w:tcPr>
            <w:tcW w:w="1417" w:type="dxa"/>
            <w:vMerge w:val="restart"/>
            <w:tcBorders>
              <w:top w:val="single" w:sz="4" w:space="0" w:color="auto"/>
            </w:tcBorders>
            <w:vAlign w:val="center"/>
          </w:tcPr>
          <w:p w:rsidR="00B846C3" w:rsidRPr="00B846C3" w:rsidRDefault="00B846C3" w:rsidP="004A51F4">
            <w:pPr>
              <w:pStyle w:val="Tabletext"/>
              <w:spacing w:before="0" w:after="0" w:line="240" w:lineRule="auto"/>
              <w:rPr>
                <w:kern w:val="2"/>
                <w:sz w:val="18"/>
                <w:szCs w:val="18"/>
              </w:rPr>
            </w:pPr>
            <w:r w:rsidRPr="00B846C3">
              <w:rPr>
                <w:kern w:val="2"/>
                <w:sz w:val="18"/>
                <w:szCs w:val="18"/>
              </w:rPr>
              <w:t>24 months [DN05068]</w:t>
            </w:r>
            <w:r w:rsidRPr="00B846C3">
              <w:rPr>
                <w:kern w:val="2"/>
                <w:sz w:val="18"/>
                <w:szCs w:val="18"/>
              </w:rPr>
              <w:br/>
              <w:t>Male</w:t>
            </w:r>
          </w:p>
        </w:tc>
        <w:tc>
          <w:tcPr>
            <w:tcW w:w="1134" w:type="dxa"/>
            <w:tcBorders>
              <w:top w:val="sing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150</w:t>
            </w:r>
          </w:p>
        </w:tc>
        <w:tc>
          <w:tcPr>
            <w:tcW w:w="1418" w:type="dxa"/>
            <w:tcBorders>
              <w:top w:val="sing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0.23 (0.12)</w:t>
            </w:r>
          </w:p>
        </w:tc>
        <w:tc>
          <w:tcPr>
            <w:tcW w:w="1335" w:type="dxa"/>
            <w:tcBorders>
              <w:top w:val="sing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2.8 (1.4)</w:t>
            </w:r>
          </w:p>
        </w:tc>
        <w:tc>
          <w:tcPr>
            <w:tcW w:w="850" w:type="dxa"/>
            <w:tcBorders>
              <w:top w:val="single" w:sz="4" w:space="0" w:color="auto"/>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4.4</w:t>
            </w:r>
          </w:p>
        </w:tc>
        <w:tc>
          <w:tcPr>
            <w:tcW w:w="851" w:type="dxa"/>
            <w:tcBorders>
              <w:top w:val="single" w:sz="4" w:space="0" w:color="auto"/>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3.5</w:t>
            </w:r>
          </w:p>
        </w:tc>
      </w:tr>
      <w:tr w:rsidR="00B846C3" w:rsidRPr="00B846C3" w:rsidTr="00F8659B">
        <w:trPr>
          <w:cantSplit/>
          <w:trHeight w:val="86"/>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vAlign w:val="center"/>
          </w:tcPr>
          <w:p w:rsidR="00B846C3" w:rsidRPr="00B846C3" w:rsidRDefault="00B846C3" w:rsidP="001966E4">
            <w:pPr>
              <w:pStyle w:val="Tabletext"/>
              <w:spacing w:before="0" w:after="0" w:line="240" w:lineRule="auto"/>
              <w:rPr>
                <w:kern w:val="2"/>
                <w:sz w:val="18"/>
                <w:szCs w:val="18"/>
              </w:rPr>
            </w:pPr>
          </w:p>
        </w:tc>
        <w:tc>
          <w:tcPr>
            <w:tcW w:w="1134" w:type="dxa"/>
            <w:tcBorders>
              <w:top w:val="sing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500</w:t>
            </w:r>
          </w:p>
        </w:tc>
        <w:tc>
          <w:tcPr>
            <w:tcW w:w="1418"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0.31 (0.16)</w:t>
            </w:r>
          </w:p>
        </w:tc>
        <w:tc>
          <w:tcPr>
            <w:tcW w:w="1335"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5.1 (2.6)</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5.9</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6.5</w:t>
            </w:r>
          </w:p>
        </w:tc>
      </w:tr>
      <w:tr w:rsidR="00B846C3" w:rsidRPr="00B846C3" w:rsidTr="00F8659B">
        <w:trPr>
          <w:cantSplit/>
          <w:trHeight w:val="86"/>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vAlign w:val="center"/>
          </w:tcPr>
          <w:p w:rsidR="00B846C3" w:rsidRPr="00B846C3" w:rsidRDefault="00B846C3" w:rsidP="001966E4">
            <w:pPr>
              <w:pStyle w:val="Tabletext"/>
              <w:spacing w:before="0" w:after="0" w:line="240" w:lineRule="auto"/>
              <w:rPr>
                <w:kern w:val="2"/>
                <w:sz w:val="18"/>
                <w:szCs w:val="18"/>
              </w:rPr>
            </w:pPr>
          </w:p>
        </w:tc>
        <w:tc>
          <w:tcPr>
            <w:tcW w:w="1134" w:type="dxa"/>
            <w:tcBorders>
              <w:top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1500</w:t>
            </w:r>
          </w:p>
        </w:tc>
        <w:tc>
          <w:tcPr>
            <w:tcW w:w="1418" w:type="dxa"/>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0.37 (0.19)</w:t>
            </w:r>
          </w:p>
        </w:tc>
        <w:tc>
          <w:tcPr>
            <w:tcW w:w="1335" w:type="dxa"/>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7.3 (3.7)</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7.0</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9.2</w:t>
            </w:r>
          </w:p>
        </w:tc>
      </w:tr>
      <w:tr w:rsidR="00B846C3" w:rsidRPr="00B846C3" w:rsidTr="00F8659B">
        <w:trPr>
          <w:cantSplit/>
          <w:trHeight w:val="86"/>
          <w:jc w:val="center"/>
        </w:trPr>
        <w:tc>
          <w:tcPr>
            <w:tcW w:w="1426" w:type="dxa"/>
            <w:vMerge w:val="restart"/>
            <w:tcBorders>
              <w:left w:val="single" w:sz="8" w:space="0" w:color="auto"/>
            </w:tcBorders>
            <w:vAlign w:val="center"/>
          </w:tcPr>
          <w:p w:rsidR="004A51F4" w:rsidRPr="00B846C3" w:rsidRDefault="004A51F4" w:rsidP="004A51F4">
            <w:pPr>
              <w:pStyle w:val="Tabletext"/>
              <w:spacing w:before="0" w:after="0" w:line="240" w:lineRule="auto"/>
              <w:rPr>
                <w:kern w:val="2"/>
                <w:sz w:val="18"/>
                <w:szCs w:val="18"/>
              </w:rPr>
            </w:pPr>
            <w:r>
              <w:rPr>
                <w:kern w:val="2"/>
                <w:sz w:val="18"/>
                <w:szCs w:val="18"/>
              </w:rPr>
              <w:t>Car</w:t>
            </w:r>
            <w:r w:rsidRPr="00B846C3">
              <w:rPr>
                <w:kern w:val="2"/>
                <w:sz w:val="18"/>
                <w:szCs w:val="18"/>
              </w:rPr>
              <w:t>cinogenicity*</w:t>
            </w:r>
          </w:p>
          <w:p w:rsidR="004A51F4" w:rsidRDefault="004A51F4" w:rsidP="004A51F4">
            <w:pPr>
              <w:pStyle w:val="Tabletext"/>
              <w:spacing w:before="0" w:after="0" w:line="240" w:lineRule="auto"/>
              <w:rPr>
                <w:kern w:val="2"/>
                <w:sz w:val="18"/>
                <w:szCs w:val="18"/>
              </w:rPr>
            </w:pPr>
          </w:p>
          <w:p w:rsidR="00B846C3" w:rsidRPr="00B846C3" w:rsidRDefault="004A51F4" w:rsidP="004A51F4">
            <w:pPr>
              <w:pStyle w:val="Tabletext"/>
              <w:spacing w:before="0" w:after="0" w:line="240" w:lineRule="auto"/>
              <w:rPr>
                <w:kern w:val="2"/>
                <w:sz w:val="18"/>
                <w:szCs w:val="18"/>
              </w:rPr>
            </w:pPr>
            <w:r w:rsidRPr="00B846C3">
              <w:rPr>
                <w:kern w:val="2"/>
                <w:sz w:val="18"/>
                <w:szCs w:val="18"/>
              </w:rPr>
              <w:t>Mouse</w:t>
            </w:r>
          </w:p>
        </w:tc>
        <w:tc>
          <w:tcPr>
            <w:tcW w:w="1417" w:type="dxa"/>
            <w:vMerge w:val="restart"/>
            <w:vAlign w:val="center"/>
          </w:tcPr>
          <w:p w:rsidR="00B846C3" w:rsidRPr="00B846C3" w:rsidRDefault="004A51F4" w:rsidP="001966E4">
            <w:pPr>
              <w:pStyle w:val="Tabletext"/>
              <w:spacing w:before="0" w:after="0" w:line="240" w:lineRule="auto"/>
              <w:rPr>
                <w:kern w:val="2"/>
                <w:sz w:val="18"/>
                <w:szCs w:val="18"/>
              </w:rPr>
            </w:pPr>
            <w:r>
              <w:rPr>
                <w:kern w:val="2"/>
                <w:sz w:val="18"/>
                <w:szCs w:val="18"/>
              </w:rPr>
              <w:t>24 months [DN05068]</w:t>
            </w:r>
            <w:r>
              <w:rPr>
                <w:kern w:val="2"/>
                <w:sz w:val="18"/>
                <w:szCs w:val="18"/>
              </w:rPr>
              <w:br/>
            </w:r>
            <w:r w:rsidR="00B846C3" w:rsidRPr="00B846C3">
              <w:rPr>
                <w:kern w:val="2"/>
                <w:sz w:val="18"/>
                <w:szCs w:val="18"/>
              </w:rPr>
              <w:t>Female</w:t>
            </w:r>
          </w:p>
        </w:tc>
        <w:tc>
          <w:tcPr>
            <w:tcW w:w="1134" w:type="dxa"/>
            <w:tcBorders>
              <w:bottom w:val="sing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150</w:t>
            </w:r>
          </w:p>
        </w:tc>
        <w:tc>
          <w:tcPr>
            <w:tcW w:w="1418"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0.4 (0.2)</w:t>
            </w:r>
          </w:p>
        </w:tc>
        <w:tc>
          <w:tcPr>
            <w:tcW w:w="1335"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5.2 (2.6)</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7.3</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6.5</w:t>
            </w:r>
          </w:p>
        </w:tc>
      </w:tr>
      <w:tr w:rsidR="00B846C3" w:rsidRPr="00B846C3" w:rsidTr="00F8659B">
        <w:trPr>
          <w:cantSplit/>
          <w:trHeight w:val="86"/>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vAlign w:val="center"/>
          </w:tcPr>
          <w:p w:rsidR="00B846C3" w:rsidRPr="00B846C3" w:rsidRDefault="00B846C3" w:rsidP="001966E4">
            <w:pPr>
              <w:pStyle w:val="Tabletext"/>
              <w:spacing w:before="0" w:after="0" w:line="240" w:lineRule="auto"/>
              <w:rPr>
                <w:kern w:val="2"/>
                <w:sz w:val="18"/>
                <w:szCs w:val="18"/>
              </w:rPr>
            </w:pPr>
          </w:p>
        </w:tc>
        <w:tc>
          <w:tcPr>
            <w:tcW w:w="1134" w:type="dxa"/>
            <w:tcBorders>
              <w:bottom w:val="sing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500</w:t>
            </w:r>
          </w:p>
        </w:tc>
        <w:tc>
          <w:tcPr>
            <w:tcW w:w="1418"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0.6(0.3)</w:t>
            </w:r>
          </w:p>
        </w:tc>
        <w:tc>
          <w:tcPr>
            <w:tcW w:w="1335"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10.4 (5.2)</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11</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13</w:t>
            </w:r>
          </w:p>
        </w:tc>
      </w:tr>
      <w:tr w:rsidR="00B846C3" w:rsidRPr="00B846C3" w:rsidTr="00F8659B">
        <w:trPr>
          <w:cantSplit/>
          <w:trHeight w:val="86"/>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vAlign w:val="center"/>
          </w:tcPr>
          <w:p w:rsidR="00B846C3" w:rsidRPr="00B846C3" w:rsidRDefault="00B846C3" w:rsidP="001966E4">
            <w:pPr>
              <w:pStyle w:val="Tabletext"/>
              <w:spacing w:before="0" w:after="0" w:line="240" w:lineRule="auto"/>
              <w:rPr>
                <w:kern w:val="2"/>
                <w:sz w:val="18"/>
                <w:szCs w:val="18"/>
              </w:rPr>
            </w:pPr>
          </w:p>
        </w:tc>
        <w:tc>
          <w:tcPr>
            <w:tcW w:w="1134" w:type="dxa"/>
            <w:tcBorders>
              <w:bottom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1500</w:t>
            </w:r>
          </w:p>
        </w:tc>
        <w:tc>
          <w:tcPr>
            <w:tcW w:w="1418" w:type="dxa"/>
            <w:vAlign w:val="center"/>
          </w:tcPr>
          <w:p w:rsidR="00B846C3" w:rsidRPr="00B846C3" w:rsidRDefault="00B846C3" w:rsidP="001966E4">
            <w:pPr>
              <w:pStyle w:val="Tabletext"/>
              <w:spacing w:before="0" w:after="0" w:line="240" w:lineRule="auto"/>
              <w:rPr>
                <w:kern w:val="2"/>
                <w:sz w:val="18"/>
                <w:szCs w:val="18"/>
              </w:rPr>
            </w:pPr>
            <w:r w:rsidRPr="00B846C3">
              <w:rPr>
                <w:b/>
                <w:kern w:val="2"/>
                <w:sz w:val="18"/>
                <w:szCs w:val="18"/>
              </w:rPr>
              <w:t>0.89(0.45)</w:t>
            </w:r>
          </w:p>
        </w:tc>
        <w:tc>
          <w:tcPr>
            <w:tcW w:w="1335" w:type="dxa"/>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16.8 (8.4)</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17</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21</w:t>
            </w:r>
          </w:p>
        </w:tc>
      </w:tr>
      <w:tr w:rsidR="00B846C3" w:rsidRPr="00B846C3" w:rsidTr="00F8659B">
        <w:trPr>
          <w:cantSplit/>
          <w:trHeight w:val="86"/>
          <w:jc w:val="center"/>
        </w:trPr>
        <w:tc>
          <w:tcPr>
            <w:tcW w:w="1426" w:type="dxa"/>
            <w:vMerge w:val="restart"/>
            <w:tcBorders>
              <w:left w:val="single" w:sz="8" w:space="0" w:color="auto"/>
            </w:tcBorders>
            <w:vAlign w:val="center"/>
          </w:tcPr>
          <w:p w:rsidR="004A51F4" w:rsidRPr="00B846C3" w:rsidRDefault="004A51F4" w:rsidP="004A51F4">
            <w:pPr>
              <w:pStyle w:val="Tabletext"/>
              <w:spacing w:before="0" w:after="0" w:line="240" w:lineRule="auto"/>
              <w:rPr>
                <w:kern w:val="2"/>
                <w:sz w:val="18"/>
                <w:szCs w:val="18"/>
              </w:rPr>
            </w:pPr>
            <w:r>
              <w:rPr>
                <w:kern w:val="2"/>
                <w:sz w:val="18"/>
                <w:szCs w:val="18"/>
              </w:rPr>
              <w:t>Car</w:t>
            </w:r>
            <w:r w:rsidRPr="00B846C3">
              <w:rPr>
                <w:kern w:val="2"/>
                <w:sz w:val="18"/>
                <w:szCs w:val="18"/>
              </w:rPr>
              <w:t>cinogenicity*</w:t>
            </w:r>
          </w:p>
          <w:p w:rsidR="004A51F4" w:rsidRDefault="004A51F4" w:rsidP="004A51F4">
            <w:pPr>
              <w:pStyle w:val="Tabletext"/>
              <w:spacing w:before="0" w:after="0" w:line="240" w:lineRule="auto"/>
              <w:rPr>
                <w:kern w:val="2"/>
                <w:sz w:val="18"/>
                <w:szCs w:val="18"/>
              </w:rPr>
            </w:pPr>
          </w:p>
          <w:p w:rsidR="00B846C3" w:rsidRPr="00B846C3" w:rsidRDefault="004A51F4" w:rsidP="004A51F4">
            <w:pPr>
              <w:pStyle w:val="Tabletext"/>
              <w:spacing w:before="0" w:after="0" w:line="240" w:lineRule="auto"/>
              <w:rPr>
                <w:kern w:val="2"/>
                <w:sz w:val="18"/>
                <w:szCs w:val="18"/>
              </w:rPr>
            </w:pPr>
            <w:r>
              <w:rPr>
                <w:kern w:val="2"/>
                <w:sz w:val="18"/>
                <w:szCs w:val="18"/>
              </w:rPr>
              <w:t>Rat</w:t>
            </w:r>
          </w:p>
        </w:tc>
        <w:tc>
          <w:tcPr>
            <w:tcW w:w="1417" w:type="dxa"/>
            <w:vMerge w:val="restart"/>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24 months</w:t>
            </w:r>
          </w:p>
          <w:p w:rsidR="00B846C3" w:rsidRPr="00B846C3" w:rsidRDefault="00B846C3" w:rsidP="001966E4">
            <w:pPr>
              <w:pStyle w:val="Tabletext"/>
              <w:spacing w:before="0" w:after="0" w:line="240" w:lineRule="auto"/>
              <w:rPr>
                <w:kern w:val="2"/>
                <w:sz w:val="18"/>
                <w:szCs w:val="18"/>
              </w:rPr>
            </w:pPr>
            <w:r w:rsidRPr="00B846C3">
              <w:rPr>
                <w:kern w:val="2"/>
                <w:sz w:val="18"/>
                <w:szCs w:val="18"/>
              </w:rPr>
              <w:t>[DN05069]</w:t>
            </w:r>
          </w:p>
        </w:tc>
        <w:tc>
          <w:tcPr>
            <w:tcW w:w="1134" w:type="dxa"/>
            <w:tcBorders>
              <w:bottom w:val="sing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50</w:t>
            </w:r>
          </w:p>
        </w:tc>
        <w:tc>
          <w:tcPr>
            <w:tcW w:w="1418"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0.82 (0.033)</w:t>
            </w:r>
          </w:p>
        </w:tc>
        <w:tc>
          <w:tcPr>
            <w:tcW w:w="1335"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16.9 (0.676)</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1.2</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1.7</w:t>
            </w:r>
          </w:p>
        </w:tc>
      </w:tr>
      <w:tr w:rsidR="00B846C3" w:rsidRPr="00B846C3" w:rsidTr="00F8659B">
        <w:trPr>
          <w:cantSplit/>
          <w:trHeight w:val="86"/>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vAlign w:val="center"/>
          </w:tcPr>
          <w:p w:rsidR="00B846C3" w:rsidRPr="00B846C3" w:rsidRDefault="00B846C3" w:rsidP="001966E4">
            <w:pPr>
              <w:pStyle w:val="Tabletext"/>
              <w:spacing w:before="0" w:after="0" w:line="240" w:lineRule="auto"/>
              <w:rPr>
                <w:kern w:val="2"/>
                <w:sz w:val="18"/>
                <w:szCs w:val="18"/>
                <w:u w:val="single"/>
              </w:rPr>
            </w:pPr>
          </w:p>
        </w:tc>
        <w:tc>
          <w:tcPr>
            <w:tcW w:w="1134" w:type="dxa"/>
            <w:tcBorders>
              <w:bottom w:val="sing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200</w:t>
            </w:r>
          </w:p>
        </w:tc>
        <w:tc>
          <w:tcPr>
            <w:tcW w:w="1418"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1.28 (0.05)</w:t>
            </w:r>
          </w:p>
        </w:tc>
        <w:tc>
          <w:tcPr>
            <w:tcW w:w="1335"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27.2 (1.088)</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1.8</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2.7</w:t>
            </w:r>
          </w:p>
        </w:tc>
      </w:tr>
      <w:tr w:rsidR="00B846C3" w:rsidRPr="00B846C3" w:rsidTr="00F8659B">
        <w:trPr>
          <w:cantSplit/>
          <w:trHeight w:val="86"/>
          <w:jc w:val="center"/>
        </w:trPr>
        <w:tc>
          <w:tcPr>
            <w:tcW w:w="1426" w:type="dxa"/>
            <w:vMerge/>
            <w:tcBorders>
              <w:left w:val="single" w:sz="8" w:space="0" w:color="auto"/>
              <w:bottom w:val="single" w:sz="4"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tcBorders>
              <w:bottom w:val="single" w:sz="4" w:space="0" w:color="auto"/>
            </w:tcBorders>
            <w:vAlign w:val="center"/>
          </w:tcPr>
          <w:p w:rsidR="00B846C3" w:rsidRPr="00B846C3" w:rsidRDefault="00B846C3" w:rsidP="001966E4">
            <w:pPr>
              <w:pStyle w:val="Tabletext"/>
              <w:spacing w:before="0" w:after="0" w:line="240" w:lineRule="auto"/>
              <w:rPr>
                <w:kern w:val="2"/>
                <w:sz w:val="18"/>
                <w:szCs w:val="18"/>
                <w:u w:val="single"/>
              </w:rPr>
            </w:pPr>
          </w:p>
        </w:tc>
        <w:tc>
          <w:tcPr>
            <w:tcW w:w="1134" w:type="dxa"/>
            <w:tcBorders>
              <w:bottom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600</w:t>
            </w:r>
          </w:p>
        </w:tc>
        <w:tc>
          <w:tcPr>
            <w:tcW w:w="1418" w:type="dxa"/>
            <w:tcBorders>
              <w:bottom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1.35 (0.054)</w:t>
            </w:r>
          </w:p>
        </w:tc>
        <w:tc>
          <w:tcPr>
            <w:tcW w:w="1335" w:type="dxa"/>
            <w:tcBorders>
              <w:bottom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27.9 (1.116)</w:t>
            </w:r>
          </w:p>
        </w:tc>
        <w:tc>
          <w:tcPr>
            <w:tcW w:w="850" w:type="dxa"/>
            <w:tcBorders>
              <w:bottom w:val="single" w:sz="4" w:space="0" w:color="auto"/>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2.0</w:t>
            </w:r>
          </w:p>
        </w:tc>
        <w:tc>
          <w:tcPr>
            <w:tcW w:w="851" w:type="dxa"/>
            <w:tcBorders>
              <w:bottom w:val="single" w:sz="4" w:space="0" w:color="auto"/>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2.8</w:t>
            </w:r>
          </w:p>
        </w:tc>
      </w:tr>
      <w:tr w:rsidR="00B846C3" w:rsidRPr="00B846C3" w:rsidTr="00F8659B">
        <w:trPr>
          <w:cantSplit/>
          <w:trHeight w:val="205"/>
          <w:jc w:val="center"/>
        </w:trPr>
        <w:tc>
          <w:tcPr>
            <w:tcW w:w="1426" w:type="dxa"/>
            <w:vMerge w:val="restart"/>
            <w:tcBorders>
              <w:top w:val="single" w:sz="4" w:space="0" w:color="auto"/>
              <w:left w:val="single" w:sz="8" w:space="0" w:color="auto"/>
            </w:tcBorders>
            <w:vAlign w:val="center"/>
          </w:tcPr>
          <w:p w:rsidR="00B846C3" w:rsidRDefault="00B846C3" w:rsidP="001966E4">
            <w:pPr>
              <w:pStyle w:val="Tabletext"/>
              <w:keepNext/>
              <w:spacing w:before="0" w:after="0" w:line="240" w:lineRule="auto"/>
              <w:rPr>
                <w:kern w:val="2"/>
                <w:sz w:val="18"/>
                <w:szCs w:val="18"/>
              </w:rPr>
            </w:pPr>
            <w:r w:rsidRPr="00B846C3">
              <w:rPr>
                <w:kern w:val="2"/>
                <w:sz w:val="18"/>
                <w:szCs w:val="18"/>
              </w:rPr>
              <w:t>Fertility*</w:t>
            </w:r>
          </w:p>
          <w:p w:rsidR="00B846C3" w:rsidRPr="00B846C3" w:rsidRDefault="00B846C3" w:rsidP="001966E4">
            <w:pPr>
              <w:pStyle w:val="Tabletext"/>
              <w:keepNext/>
              <w:spacing w:before="0" w:after="0" w:line="240" w:lineRule="auto"/>
              <w:rPr>
                <w:kern w:val="2"/>
                <w:sz w:val="18"/>
                <w:szCs w:val="18"/>
              </w:rPr>
            </w:pPr>
            <w:r w:rsidRPr="00B846C3">
              <w:rPr>
                <w:kern w:val="2"/>
                <w:sz w:val="18"/>
                <w:szCs w:val="18"/>
              </w:rPr>
              <w:t>Rat</w:t>
            </w:r>
            <w:r w:rsidR="00F8659B">
              <w:rPr>
                <w:kern w:val="2"/>
                <w:sz w:val="18"/>
                <w:szCs w:val="18"/>
              </w:rPr>
              <w:t xml:space="preserve"> </w:t>
            </w:r>
            <w:r w:rsidR="00F8659B">
              <w:rPr>
                <w:rFonts w:ascii="Times New Roman" w:hAnsi="Times New Roman"/>
                <w:kern w:val="2"/>
                <w:sz w:val="18"/>
                <w:szCs w:val="18"/>
              </w:rPr>
              <w:t>(Male)</w:t>
            </w:r>
          </w:p>
        </w:tc>
        <w:tc>
          <w:tcPr>
            <w:tcW w:w="1417" w:type="dxa"/>
            <w:vMerge w:val="restart"/>
            <w:tcBorders>
              <w:top w:val="single" w:sz="4" w:space="0" w:color="auto"/>
            </w:tcBorders>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2 week</w:t>
            </w:r>
          </w:p>
          <w:p w:rsidR="00B846C3" w:rsidRPr="00B846C3" w:rsidRDefault="00B846C3" w:rsidP="001966E4">
            <w:pPr>
              <w:pStyle w:val="Tabletext"/>
              <w:keepNext/>
              <w:spacing w:before="0" w:after="0" w:line="240" w:lineRule="auto"/>
              <w:rPr>
                <w:kern w:val="2"/>
                <w:sz w:val="18"/>
                <w:szCs w:val="18"/>
              </w:rPr>
            </w:pPr>
            <w:r w:rsidRPr="00B846C3">
              <w:rPr>
                <w:kern w:val="2"/>
                <w:sz w:val="18"/>
                <w:szCs w:val="18"/>
              </w:rPr>
              <w:t>[DN05056]</w:t>
            </w:r>
          </w:p>
        </w:tc>
        <w:tc>
          <w:tcPr>
            <w:tcW w:w="1134" w:type="dxa"/>
            <w:tcBorders>
              <w:top w:val="single" w:sz="4" w:space="0" w:color="auto"/>
              <w:bottom w:val="single" w:sz="4" w:space="0" w:color="auto"/>
            </w:tcBorders>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50</w:t>
            </w:r>
          </w:p>
        </w:tc>
        <w:tc>
          <w:tcPr>
            <w:tcW w:w="1418" w:type="dxa"/>
            <w:tcBorders>
              <w:top w:val="single" w:sz="4" w:space="0" w:color="auto"/>
            </w:tcBorders>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1.63 (0.065)</w:t>
            </w:r>
          </w:p>
        </w:tc>
        <w:tc>
          <w:tcPr>
            <w:tcW w:w="1335" w:type="dxa"/>
            <w:tcBorders>
              <w:top w:val="single" w:sz="4" w:space="0" w:color="auto"/>
            </w:tcBorders>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12.8 (0.512)</w:t>
            </w:r>
          </w:p>
        </w:tc>
        <w:tc>
          <w:tcPr>
            <w:tcW w:w="850" w:type="dxa"/>
            <w:tcBorders>
              <w:top w:val="single" w:sz="4" w:space="0" w:color="auto"/>
              <w:right w:val="single" w:sz="8" w:space="0" w:color="auto"/>
            </w:tcBorders>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2.4</w:t>
            </w:r>
          </w:p>
        </w:tc>
        <w:tc>
          <w:tcPr>
            <w:tcW w:w="851" w:type="dxa"/>
            <w:tcBorders>
              <w:top w:val="single" w:sz="4" w:space="0" w:color="auto"/>
              <w:right w:val="single" w:sz="8" w:space="0" w:color="auto"/>
            </w:tcBorders>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1.3</w:t>
            </w:r>
          </w:p>
        </w:tc>
      </w:tr>
      <w:tr w:rsidR="00B846C3" w:rsidRPr="00B846C3" w:rsidTr="00F8659B">
        <w:trPr>
          <w:cantSplit/>
          <w:trHeight w:val="203"/>
          <w:jc w:val="center"/>
        </w:trPr>
        <w:tc>
          <w:tcPr>
            <w:tcW w:w="1426" w:type="dxa"/>
            <w:vMerge/>
            <w:tcBorders>
              <w:left w:val="single" w:sz="8" w:space="0" w:color="auto"/>
            </w:tcBorders>
            <w:vAlign w:val="center"/>
          </w:tcPr>
          <w:p w:rsidR="00B846C3" w:rsidRPr="00B846C3" w:rsidRDefault="00B846C3" w:rsidP="001966E4">
            <w:pPr>
              <w:pStyle w:val="Tabletext"/>
              <w:keepNext/>
              <w:spacing w:before="0" w:after="0" w:line="240" w:lineRule="auto"/>
              <w:rPr>
                <w:kern w:val="2"/>
                <w:sz w:val="18"/>
                <w:szCs w:val="18"/>
              </w:rPr>
            </w:pPr>
          </w:p>
        </w:tc>
        <w:tc>
          <w:tcPr>
            <w:tcW w:w="1417" w:type="dxa"/>
            <w:vMerge/>
            <w:vAlign w:val="center"/>
          </w:tcPr>
          <w:p w:rsidR="00B846C3" w:rsidRPr="00B846C3" w:rsidRDefault="00B846C3" w:rsidP="001966E4">
            <w:pPr>
              <w:pStyle w:val="Tabletext"/>
              <w:keepNext/>
              <w:spacing w:before="0" w:after="0" w:line="240" w:lineRule="auto"/>
              <w:rPr>
                <w:kern w:val="2"/>
                <w:sz w:val="18"/>
                <w:szCs w:val="18"/>
              </w:rPr>
            </w:pPr>
          </w:p>
        </w:tc>
        <w:tc>
          <w:tcPr>
            <w:tcW w:w="1134" w:type="dxa"/>
            <w:tcBorders>
              <w:top w:val="single" w:sz="4" w:space="0" w:color="auto"/>
              <w:bottom w:val="single" w:sz="4" w:space="0" w:color="auto"/>
            </w:tcBorders>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200</w:t>
            </w:r>
          </w:p>
        </w:tc>
        <w:tc>
          <w:tcPr>
            <w:tcW w:w="1418" w:type="dxa"/>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2.78 (0.111)</w:t>
            </w:r>
          </w:p>
        </w:tc>
        <w:tc>
          <w:tcPr>
            <w:tcW w:w="1335" w:type="dxa"/>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24.4 (0.976)</w:t>
            </w:r>
          </w:p>
        </w:tc>
        <w:tc>
          <w:tcPr>
            <w:tcW w:w="850" w:type="dxa"/>
            <w:tcBorders>
              <w:right w:val="single" w:sz="8" w:space="0" w:color="auto"/>
            </w:tcBorders>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4.1</w:t>
            </w:r>
          </w:p>
        </w:tc>
        <w:tc>
          <w:tcPr>
            <w:tcW w:w="851" w:type="dxa"/>
            <w:tcBorders>
              <w:right w:val="single" w:sz="8" w:space="0" w:color="auto"/>
            </w:tcBorders>
            <w:vAlign w:val="center"/>
          </w:tcPr>
          <w:p w:rsidR="00B846C3" w:rsidRPr="00B846C3" w:rsidRDefault="00B846C3" w:rsidP="001966E4">
            <w:pPr>
              <w:pStyle w:val="Tabletext"/>
              <w:keepNext/>
              <w:spacing w:before="0" w:after="0" w:line="240" w:lineRule="auto"/>
              <w:rPr>
                <w:kern w:val="2"/>
                <w:sz w:val="18"/>
                <w:szCs w:val="18"/>
              </w:rPr>
            </w:pPr>
            <w:r w:rsidRPr="00B846C3">
              <w:rPr>
                <w:kern w:val="2"/>
                <w:sz w:val="18"/>
                <w:szCs w:val="18"/>
              </w:rPr>
              <w:t>2.4</w:t>
            </w:r>
          </w:p>
        </w:tc>
      </w:tr>
      <w:tr w:rsidR="00B846C3" w:rsidRPr="00B846C3" w:rsidTr="00F8659B">
        <w:trPr>
          <w:cantSplit/>
          <w:trHeight w:val="203"/>
          <w:jc w:val="center"/>
        </w:trPr>
        <w:tc>
          <w:tcPr>
            <w:tcW w:w="1426" w:type="dxa"/>
            <w:vMerge/>
            <w:tcBorders>
              <w:left w:val="single" w:sz="8" w:space="0" w:color="auto"/>
              <w:bottom w:val="single" w:sz="4"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tcBorders>
              <w:bottom w:val="single" w:sz="4"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134" w:type="dxa"/>
            <w:tcBorders>
              <w:top w:val="single" w:sz="4" w:space="0" w:color="auto"/>
              <w:bottom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600</w:t>
            </w:r>
          </w:p>
        </w:tc>
        <w:tc>
          <w:tcPr>
            <w:tcW w:w="1418" w:type="dxa"/>
            <w:tcBorders>
              <w:bottom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3.9 (0.156)</w:t>
            </w:r>
          </w:p>
        </w:tc>
        <w:tc>
          <w:tcPr>
            <w:tcW w:w="1335" w:type="dxa"/>
            <w:tcBorders>
              <w:bottom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27.6 (1.104)</w:t>
            </w:r>
          </w:p>
        </w:tc>
        <w:tc>
          <w:tcPr>
            <w:tcW w:w="850" w:type="dxa"/>
            <w:tcBorders>
              <w:bottom w:val="single" w:sz="4" w:space="0" w:color="auto"/>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5.7</w:t>
            </w:r>
          </w:p>
        </w:tc>
        <w:tc>
          <w:tcPr>
            <w:tcW w:w="851" w:type="dxa"/>
            <w:tcBorders>
              <w:bottom w:val="single" w:sz="4" w:space="0" w:color="auto"/>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2.7</w:t>
            </w:r>
          </w:p>
        </w:tc>
      </w:tr>
      <w:tr w:rsidR="004A51F4" w:rsidRPr="00B846C3" w:rsidTr="00F8659B">
        <w:trPr>
          <w:cantSplit/>
          <w:trHeight w:val="174"/>
          <w:jc w:val="center"/>
        </w:trPr>
        <w:tc>
          <w:tcPr>
            <w:tcW w:w="1426" w:type="dxa"/>
            <w:vMerge w:val="restart"/>
            <w:tcBorders>
              <w:top w:val="single" w:sz="4" w:space="0" w:color="auto"/>
              <w:left w:val="single" w:sz="8" w:space="0" w:color="auto"/>
            </w:tcBorders>
            <w:vAlign w:val="center"/>
          </w:tcPr>
          <w:p w:rsidR="004A51F4" w:rsidRDefault="004A51F4" w:rsidP="001966E4">
            <w:pPr>
              <w:pStyle w:val="Tabletext"/>
              <w:spacing w:before="0" w:after="0" w:line="240" w:lineRule="auto"/>
              <w:rPr>
                <w:kern w:val="2"/>
                <w:sz w:val="18"/>
                <w:szCs w:val="18"/>
              </w:rPr>
            </w:pPr>
            <w:proofErr w:type="spellStart"/>
            <w:r w:rsidRPr="00B846C3">
              <w:rPr>
                <w:kern w:val="2"/>
                <w:sz w:val="18"/>
                <w:szCs w:val="18"/>
              </w:rPr>
              <w:t>Embryofetal</w:t>
            </w:r>
            <w:proofErr w:type="spellEnd"/>
            <w:r w:rsidRPr="00B846C3">
              <w:rPr>
                <w:kern w:val="2"/>
                <w:sz w:val="18"/>
                <w:szCs w:val="18"/>
              </w:rPr>
              <w:t xml:space="preserve"> development*</w:t>
            </w:r>
          </w:p>
          <w:p w:rsidR="004A51F4" w:rsidRPr="00B846C3" w:rsidRDefault="004A51F4" w:rsidP="001966E4">
            <w:pPr>
              <w:pStyle w:val="Tabletext"/>
              <w:spacing w:before="0" w:after="0" w:line="240" w:lineRule="auto"/>
              <w:rPr>
                <w:kern w:val="2"/>
                <w:sz w:val="18"/>
                <w:szCs w:val="18"/>
              </w:rPr>
            </w:pPr>
            <w:r w:rsidRPr="00B846C3">
              <w:rPr>
                <w:kern w:val="2"/>
                <w:sz w:val="18"/>
                <w:szCs w:val="18"/>
              </w:rPr>
              <w:t>Mouse</w:t>
            </w:r>
            <w:r w:rsidR="00F8659B">
              <w:rPr>
                <w:kern w:val="2"/>
                <w:sz w:val="18"/>
                <w:szCs w:val="18"/>
              </w:rPr>
              <w:t xml:space="preserve"> (Female )</w:t>
            </w:r>
          </w:p>
          <w:p w:rsidR="004A51F4" w:rsidRPr="00B846C3" w:rsidRDefault="004A51F4" w:rsidP="009670B3">
            <w:pPr>
              <w:pStyle w:val="Tabletext"/>
              <w:spacing w:before="0" w:after="0" w:line="240" w:lineRule="auto"/>
              <w:rPr>
                <w:kern w:val="2"/>
                <w:sz w:val="18"/>
                <w:szCs w:val="18"/>
              </w:rPr>
            </w:pPr>
            <w:r w:rsidRPr="00B846C3">
              <w:rPr>
                <w:kern w:val="2"/>
                <w:sz w:val="18"/>
                <w:szCs w:val="18"/>
              </w:rPr>
              <w:t>(gavage)</w:t>
            </w:r>
          </w:p>
        </w:tc>
        <w:tc>
          <w:tcPr>
            <w:tcW w:w="1417" w:type="dxa"/>
            <w:vMerge w:val="restart"/>
            <w:tcBorders>
              <w:top w:val="single" w:sz="4" w:space="0" w:color="auto"/>
            </w:tcBorders>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 xml:space="preserve">GD 6-15 </w:t>
            </w:r>
          </w:p>
          <w:p w:rsidR="004A51F4" w:rsidRPr="00B846C3" w:rsidRDefault="004A51F4" w:rsidP="001966E4">
            <w:pPr>
              <w:pStyle w:val="Tabletext"/>
              <w:spacing w:before="0" w:after="0" w:line="240" w:lineRule="auto"/>
              <w:rPr>
                <w:kern w:val="2"/>
                <w:sz w:val="18"/>
                <w:szCs w:val="18"/>
              </w:rPr>
            </w:pPr>
            <w:r w:rsidRPr="00B846C3">
              <w:rPr>
                <w:kern w:val="2"/>
                <w:sz w:val="18"/>
                <w:szCs w:val="18"/>
              </w:rPr>
              <w:t xml:space="preserve">[DN06023] </w:t>
            </w:r>
          </w:p>
        </w:tc>
        <w:tc>
          <w:tcPr>
            <w:tcW w:w="1134" w:type="dxa"/>
            <w:tcBorders>
              <w:top w:val="single" w:sz="4" w:space="0" w:color="auto"/>
            </w:tcBorders>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600</w:t>
            </w:r>
          </w:p>
        </w:tc>
        <w:tc>
          <w:tcPr>
            <w:tcW w:w="1418" w:type="dxa"/>
            <w:tcBorders>
              <w:top w:val="single" w:sz="4" w:space="0" w:color="auto"/>
            </w:tcBorders>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3.23 (1.62)</w:t>
            </w:r>
          </w:p>
        </w:tc>
        <w:tc>
          <w:tcPr>
            <w:tcW w:w="1335" w:type="dxa"/>
            <w:tcBorders>
              <w:top w:val="single" w:sz="4" w:space="0" w:color="auto"/>
            </w:tcBorders>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14.6 (7.3)</w:t>
            </w:r>
          </w:p>
        </w:tc>
        <w:tc>
          <w:tcPr>
            <w:tcW w:w="850" w:type="dxa"/>
            <w:tcBorders>
              <w:top w:val="single" w:sz="4" w:space="0" w:color="auto"/>
              <w:right w:val="single" w:sz="8" w:space="0" w:color="auto"/>
            </w:tcBorders>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59</w:t>
            </w:r>
          </w:p>
        </w:tc>
        <w:tc>
          <w:tcPr>
            <w:tcW w:w="851" w:type="dxa"/>
            <w:tcBorders>
              <w:top w:val="single" w:sz="4" w:space="0" w:color="auto"/>
              <w:right w:val="single" w:sz="8" w:space="0" w:color="auto"/>
            </w:tcBorders>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18</w:t>
            </w:r>
          </w:p>
        </w:tc>
      </w:tr>
      <w:tr w:rsidR="004A51F4" w:rsidRPr="00B846C3" w:rsidTr="00F8659B">
        <w:trPr>
          <w:cantSplit/>
          <w:trHeight w:val="172"/>
          <w:jc w:val="center"/>
        </w:trPr>
        <w:tc>
          <w:tcPr>
            <w:tcW w:w="1426" w:type="dxa"/>
            <w:vMerge/>
            <w:tcBorders>
              <w:left w:val="single" w:sz="8" w:space="0" w:color="auto"/>
            </w:tcBorders>
            <w:vAlign w:val="center"/>
          </w:tcPr>
          <w:p w:rsidR="004A51F4" w:rsidRPr="00B846C3" w:rsidRDefault="004A51F4" w:rsidP="001966E4">
            <w:pPr>
              <w:pStyle w:val="Tabletext"/>
              <w:spacing w:before="0" w:after="0" w:line="240" w:lineRule="auto"/>
              <w:rPr>
                <w:kern w:val="2"/>
                <w:sz w:val="18"/>
                <w:szCs w:val="18"/>
              </w:rPr>
            </w:pPr>
          </w:p>
        </w:tc>
        <w:tc>
          <w:tcPr>
            <w:tcW w:w="1417" w:type="dxa"/>
            <w:vMerge/>
            <w:vAlign w:val="center"/>
          </w:tcPr>
          <w:p w:rsidR="004A51F4" w:rsidRPr="00B846C3" w:rsidRDefault="004A51F4" w:rsidP="001966E4">
            <w:pPr>
              <w:pStyle w:val="Tabletext"/>
              <w:spacing w:before="0" w:after="0" w:line="240" w:lineRule="auto"/>
              <w:rPr>
                <w:kern w:val="2"/>
                <w:sz w:val="18"/>
                <w:szCs w:val="18"/>
              </w:rPr>
            </w:pPr>
          </w:p>
        </w:tc>
        <w:tc>
          <w:tcPr>
            <w:tcW w:w="1134" w:type="dxa"/>
            <w:tcBorders>
              <w:top w:val="single" w:sz="4" w:space="0" w:color="auto"/>
            </w:tcBorders>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900</w:t>
            </w:r>
          </w:p>
        </w:tc>
        <w:tc>
          <w:tcPr>
            <w:tcW w:w="1418" w:type="dxa"/>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2.54 (1.27)</w:t>
            </w:r>
          </w:p>
        </w:tc>
        <w:tc>
          <w:tcPr>
            <w:tcW w:w="1335" w:type="dxa"/>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17.5 (8.8)</w:t>
            </w:r>
          </w:p>
        </w:tc>
        <w:tc>
          <w:tcPr>
            <w:tcW w:w="850" w:type="dxa"/>
            <w:tcBorders>
              <w:right w:val="single" w:sz="8" w:space="0" w:color="auto"/>
            </w:tcBorders>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47</w:t>
            </w:r>
          </w:p>
        </w:tc>
        <w:tc>
          <w:tcPr>
            <w:tcW w:w="851" w:type="dxa"/>
            <w:tcBorders>
              <w:right w:val="single" w:sz="8" w:space="0" w:color="auto"/>
            </w:tcBorders>
            <w:vAlign w:val="center"/>
          </w:tcPr>
          <w:p w:rsidR="004A51F4" w:rsidRPr="00B846C3" w:rsidRDefault="004A51F4" w:rsidP="001966E4">
            <w:pPr>
              <w:pStyle w:val="Tabletext"/>
              <w:spacing w:before="0" w:after="0" w:line="240" w:lineRule="auto"/>
              <w:rPr>
                <w:kern w:val="2"/>
                <w:sz w:val="18"/>
                <w:szCs w:val="18"/>
              </w:rPr>
            </w:pPr>
            <w:r w:rsidRPr="00B846C3">
              <w:rPr>
                <w:kern w:val="2"/>
                <w:sz w:val="18"/>
                <w:szCs w:val="18"/>
              </w:rPr>
              <w:t>22</w:t>
            </w:r>
          </w:p>
        </w:tc>
      </w:tr>
      <w:tr w:rsidR="004A51F4" w:rsidRPr="00B846C3" w:rsidTr="00F8659B">
        <w:trPr>
          <w:cantSplit/>
          <w:trHeight w:val="172"/>
          <w:jc w:val="center"/>
        </w:trPr>
        <w:tc>
          <w:tcPr>
            <w:tcW w:w="1426" w:type="dxa"/>
            <w:vMerge/>
            <w:tcBorders>
              <w:left w:val="single" w:sz="8" w:space="0" w:color="auto"/>
            </w:tcBorders>
            <w:vAlign w:val="center"/>
          </w:tcPr>
          <w:p w:rsidR="004A51F4" w:rsidRPr="00B846C3" w:rsidRDefault="004A51F4" w:rsidP="001966E4">
            <w:pPr>
              <w:pStyle w:val="Tabletext"/>
              <w:spacing w:before="0" w:after="0" w:line="240" w:lineRule="auto"/>
              <w:rPr>
                <w:kern w:val="2"/>
                <w:sz w:val="18"/>
                <w:szCs w:val="18"/>
              </w:rPr>
            </w:pPr>
          </w:p>
        </w:tc>
        <w:tc>
          <w:tcPr>
            <w:tcW w:w="1417" w:type="dxa"/>
            <w:vMerge/>
            <w:vAlign w:val="center"/>
          </w:tcPr>
          <w:p w:rsidR="004A51F4" w:rsidRPr="00B846C3" w:rsidRDefault="004A51F4" w:rsidP="001966E4">
            <w:pPr>
              <w:pStyle w:val="Tabletext"/>
              <w:spacing w:before="0" w:after="0" w:line="240" w:lineRule="auto"/>
              <w:rPr>
                <w:kern w:val="2"/>
                <w:sz w:val="18"/>
                <w:szCs w:val="18"/>
              </w:rPr>
            </w:pPr>
          </w:p>
        </w:tc>
        <w:tc>
          <w:tcPr>
            <w:tcW w:w="1134" w:type="dxa"/>
            <w:tcBorders>
              <w:top w:val="single" w:sz="4" w:space="0" w:color="auto"/>
            </w:tcBorders>
            <w:vAlign w:val="center"/>
          </w:tcPr>
          <w:p w:rsidR="004A51F4" w:rsidRPr="00B846C3" w:rsidRDefault="004A51F4" w:rsidP="001966E4">
            <w:pPr>
              <w:pStyle w:val="Tabletext"/>
              <w:spacing w:before="0" w:after="0" w:line="240" w:lineRule="auto"/>
              <w:rPr>
                <w:b/>
                <w:kern w:val="2"/>
                <w:sz w:val="18"/>
                <w:szCs w:val="18"/>
              </w:rPr>
            </w:pPr>
            <w:r w:rsidRPr="00B846C3">
              <w:rPr>
                <w:b/>
                <w:kern w:val="2"/>
                <w:sz w:val="18"/>
                <w:szCs w:val="18"/>
              </w:rPr>
              <w:t>1500</w:t>
            </w:r>
          </w:p>
        </w:tc>
        <w:tc>
          <w:tcPr>
            <w:tcW w:w="1418" w:type="dxa"/>
            <w:vAlign w:val="center"/>
          </w:tcPr>
          <w:p w:rsidR="004A51F4" w:rsidRPr="00B846C3" w:rsidRDefault="004A51F4" w:rsidP="001966E4">
            <w:pPr>
              <w:pStyle w:val="Tabletext"/>
              <w:spacing w:before="0" w:after="0" w:line="240" w:lineRule="auto"/>
              <w:rPr>
                <w:b/>
                <w:kern w:val="2"/>
                <w:sz w:val="18"/>
                <w:szCs w:val="18"/>
              </w:rPr>
            </w:pPr>
            <w:r w:rsidRPr="00B846C3">
              <w:rPr>
                <w:b/>
                <w:kern w:val="2"/>
                <w:sz w:val="18"/>
                <w:szCs w:val="18"/>
              </w:rPr>
              <w:t>4.02 (2.01)</w:t>
            </w:r>
          </w:p>
        </w:tc>
        <w:tc>
          <w:tcPr>
            <w:tcW w:w="1335" w:type="dxa"/>
            <w:vAlign w:val="center"/>
          </w:tcPr>
          <w:p w:rsidR="004A51F4" w:rsidRPr="00B846C3" w:rsidRDefault="004A51F4" w:rsidP="001966E4">
            <w:pPr>
              <w:pStyle w:val="Tabletext"/>
              <w:spacing w:before="0" w:after="0" w:line="240" w:lineRule="auto"/>
              <w:rPr>
                <w:b/>
                <w:kern w:val="2"/>
                <w:sz w:val="18"/>
                <w:szCs w:val="18"/>
              </w:rPr>
            </w:pPr>
            <w:r w:rsidRPr="00B846C3">
              <w:rPr>
                <w:b/>
                <w:kern w:val="2"/>
                <w:sz w:val="18"/>
                <w:szCs w:val="18"/>
              </w:rPr>
              <w:t>15.9 (8)</w:t>
            </w:r>
          </w:p>
        </w:tc>
        <w:tc>
          <w:tcPr>
            <w:tcW w:w="850" w:type="dxa"/>
            <w:tcBorders>
              <w:right w:val="single" w:sz="8" w:space="0" w:color="auto"/>
            </w:tcBorders>
            <w:vAlign w:val="center"/>
          </w:tcPr>
          <w:p w:rsidR="004A51F4" w:rsidRPr="00B846C3" w:rsidRDefault="004A51F4" w:rsidP="001966E4">
            <w:pPr>
              <w:pStyle w:val="Tabletext"/>
              <w:spacing w:before="0" w:after="0" w:line="240" w:lineRule="auto"/>
              <w:rPr>
                <w:b/>
                <w:kern w:val="2"/>
                <w:sz w:val="18"/>
                <w:szCs w:val="18"/>
              </w:rPr>
            </w:pPr>
            <w:r w:rsidRPr="00B846C3">
              <w:rPr>
                <w:b/>
                <w:kern w:val="2"/>
                <w:sz w:val="18"/>
                <w:szCs w:val="18"/>
              </w:rPr>
              <w:t>74</w:t>
            </w:r>
          </w:p>
        </w:tc>
        <w:tc>
          <w:tcPr>
            <w:tcW w:w="851" w:type="dxa"/>
            <w:tcBorders>
              <w:right w:val="single" w:sz="8" w:space="0" w:color="auto"/>
            </w:tcBorders>
            <w:vAlign w:val="center"/>
          </w:tcPr>
          <w:p w:rsidR="004A51F4" w:rsidRPr="00B846C3" w:rsidRDefault="004A51F4" w:rsidP="001966E4">
            <w:pPr>
              <w:pStyle w:val="Tabletext"/>
              <w:spacing w:before="0" w:after="0" w:line="240" w:lineRule="auto"/>
              <w:rPr>
                <w:b/>
                <w:kern w:val="2"/>
                <w:sz w:val="18"/>
                <w:szCs w:val="18"/>
              </w:rPr>
            </w:pPr>
            <w:r w:rsidRPr="00B846C3">
              <w:rPr>
                <w:b/>
                <w:kern w:val="2"/>
                <w:sz w:val="18"/>
                <w:szCs w:val="18"/>
              </w:rPr>
              <w:t>20</w:t>
            </w:r>
          </w:p>
        </w:tc>
      </w:tr>
      <w:tr w:rsidR="00B846C3" w:rsidRPr="00B846C3" w:rsidTr="00F8659B">
        <w:trPr>
          <w:cantSplit/>
          <w:trHeight w:val="732"/>
          <w:jc w:val="center"/>
        </w:trPr>
        <w:tc>
          <w:tcPr>
            <w:tcW w:w="1426" w:type="dxa"/>
            <w:tcBorders>
              <w:left w:val="single" w:sz="8" w:space="0" w:color="auto"/>
            </w:tcBorders>
            <w:vAlign w:val="center"/>
          </w:tcPr>
          <w:p w:rsidR="004A51F4" w:rsidRDefault="004A51F4" w:rsidP="004A51F4">
            <w:pPr>
              <w:pStyle w:val="Tabletext"/>
              <w:spacing w:before="0" w:after="0" w:line="240" w:lineRule="auto"/>
              <w:rPr>
                <w:kern w:val="2"/>
                <w:sz w:val="18"/>
                <w:szCs w:val="18"/>
              </w:rPr>
            </w:pPr>
            <w:proofErr w:type="spellStart"/>
            <w:r w:rsidRPr="00B846C3">
              <w:rPr>
                <w:kern w:val="2"/>
                <w:sz w:val="18"/>
                <w:szCs w:val="18"/>
              </w:rPr>
              <w:lastRenderedPageBreak/>
              <w:t>Embryofetal</w:t>
            </w:r>
            <w:proofErr w:type="spellEnd"/>
            <w:r w:rsidRPr="00B846C3">
              <w:rPr>
                <w:kern w:val="2"/>
                <w:sz w:val="18"/>
                <w:szCs w:val="18"/>
              </w:rPr>
              <w:t xml:space="preserve"> development*</w:t>
            </w:r>
          </w:p>
          <w:p w:rsidR="004A51F4" w:rsidRPr="00B846C3" w:rsidRDefault="004A51F4" w:rsidP="004A51F4">
            <w:pPr>
              <w:pStyle w:val="Tabletext"/>
              <w:spacing w:before="0" w:after="0" w:line="240" w:lineRule="auto"/>
              <w:rPr>
                <w:kern w:val="2"/>
                <w:sz w:val="18"/>
                <w:szCs w:val="18"/>
              </w:rPr>
            </w:pPr>
            <w:r w:rsidRPr="00B846C3">
              <w:rPr>
                <w:kern w:val="2"/>
                <w:sz w:val="18"/>
                <w:szCs w:val="18"/>
              </w:rPr>
              <w:t>Rat</w:t>
            </w:r>
          </w:p>
          <w:p w:rsidR="00B846C3" w:rsidRPr="00B846C3" w:rsidRDefault="004A51F4" w:rsidP="009670B3">
            <w:pPr>
              <w:pStyle w:val="Tabletext"/>
              <w:spacing w:before="0" w:after="0" w:line="240" w:lineRule="auto"/>
              <w:rPr>
                <w:kern w:val="2"/>
                <w:sz w:val="18"/>
                <w:szCs w:val="18"/>
              </w:rPr>
            </w:pPr>
            <w:r w:rsidRPr="00B846C3">
              <w:rPr>
                <w:kern w:val="2"/>
                <w:sz w:val="18"/>
                <w:szCs w:val="18"/>
              </w:rPr>
              <w:t>(gavage)</w:t>
            </w:r>
          </w:p>
        </w:tc>
        <w:tc>
          <w:tcPr>
            <w:tcW w:w="1417"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GD 6-15</w:t>
            </w:r>
          </w:p>
          <w:p w:rsidR="00B846C3" w:rsidRPr="00B846C3" w:rsidRDefault="00B846C3" w:rsidP="001966E4">
            <w:pPr>
              <w:pStyle w:val="Tabletext"/>
              <w:spacing w:before="0" w:after="0" w:line="240" w:lineRule="auto"/>
              <w:rPr>
                <w:kern w:val="2"/>
                <w:sz w:val="18"/>
                <w:szCs w:val="18"/>
              </w:rPr>
            </w:pPr>
            <w:r w:rsidRPr="00B846C3">
              <w:rPr>
                <w:kern w:val="2"/>
                <w:sz w:val="18"/>
                <w:szCs w:val="18"/>
              </w:rPr>
              <w:t>[DN03042]</w:t>
            </w:r>
          </w:p>
        </w:tc>
        <w:tc>
          <w:tcPr>
            <w:tcW w:w="1134" w:type="dxa"/>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3000</w:t>
            </w:r>
          </w:p>
        </w:tc>
        <w:tc>
          <w:tcPr>
            <w:tcW w:w="1418" w:type="dxa"/>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7.2 (0.288)</w:t>
            </w:r>
          </w:p>
        </w:tc>
        <w:tc>
          <w:tcPr>
            <w:tcW w:w="1335" w:type="dxa"/>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42.7 (1.708)</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11</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4.2</w:t>
            </w:r>
          </w:p>
        </w:tc>
      </w:tr>
      <w:tr w:rsidR="00B846C3" w:rsidRPr="00B846C3" w:rsidTr="00F8659B">
        <w:trPr>
          <w:cantSplit/>
          <w:trHeight w:val="732"/>
          <w:jc w:val="center"/>
        </w:trPr>
        <w:tc>
          <w:tcPr>
            <w:tcW w:w="1426" w:type="dxa"/>
            <w:tcBorders>
              <w:left w:val="single" w:sz="8" w:space="0" w:color="auto"/>
            </w:tcBorders>
            <w:vAlign w:val="center"/>
          </w:tcPr>
          <w:p w:rsidR="004A51F4" w:rsidRDefault="004A51F4" w:rsidP="004A51F4">
            <w:pPr>
              <w:pStyle w:val="Tabletext"/>
              <w:spacing w:before="0" w:after="0" w:line="240" w:lineRule="auto"/>
              <w:rPr>
                <w:kern w:val="2"/>
                <w:sz w:val="18"/>
                <w:szCs w:val="18"/>
              </w:rPr>
            </w:pPr>
            <w:proofErr w:type="spellStart"/>
            <w:r w:rsidRPr="00B846C3">
              <w:rPr>
                <w:kern w:val="2"/>
                <w:sz w:val="18"/>
                <w:szCs w:val="18"/>
              </w:rPr>
              <w:t>Embryofetal</w:t>
            </w:r>
            <w:proofErr w:type="spellEnd"/>
            <w:r w:rsidRPr="00B846C3">
              <w:rPr>
                <w:kern w:val="2"/>
                <w:sz w:val="18"/>
                <w:szCs w:val="18"/>
              </w:rPr>
              <w:t xml:space="preserve"> development*</w:t>
            </w:r>
          </w:p>
          <w:p w:rsidR="004A51F4" w:rsidRPr="00B846C3" w:rsidRDefault="004A51F4" w:rsidP="004A51F4">
            <w:pPr>
              <w:pStyle w:val="Tabletext"/>
              <w:spacing w:before="0" w:after="0" w:line="240" w:lineRule="auto"/>
              <w:rPr>
                <w:kern w:val="2"/>
                <w:sz w:val="18"/>
                <w:szCs w:val="18"/>
              </w:rPr>
            </w:pPr>
            <w:r w:rsidRPr="00B846C3">
              <w:rPr>
                <w:kern w:val="2"/>
                <w:sz w:val="18"/>
                <w:szCs w:val="18"/>
              </w:rPr>
              <w:t>Rabbit</w:t>
            </w:r>
          </w:p>
          <w:p w:rsidR="00B846C3" w:rsidRPr="00B846C3" w:rsidRDefault="004A51F4" w:rsidP="004A51F4">
            <w:pPr>
              <w:pStyle w:val="Tabletext"/>
              <w:spacing w:before="0" w:after="0" w:line="240" w:lineRule="auto"/>
              <w:rPr>
                <w:kern w:val="2"/>
                <w:sz w:val="18"/>
                <w:szCs w:val="18"/>
              </w:rPr>
            </w:pPr>
            <w:r w:rsidRPr="00B846C3">
              <w:rPr>
                <w:kern w:val="2"/>
                <w:sz w:val="18"/>
                <w:szCs w:val="18"/>
              </w:rPr>
              <w:t>(gavage)</w:t>
            </w:r>
          </w:p>
        </w:tc>
        <w:tc>
          <w:tcPr>
            <w:tcW w:w="1417"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GD 7-19</w:t>
            </w:r>
          </w:p>
          <w:p w:rsidR="00B846C3" w:rsidRPr="00B846C3" w:rsidRDefault="00B846C3" w:rsidP="001966E4">
            <w:pPr>
              <w:pStyle w:val="Tabletext"/>
              <w:spacing w:before="0" w:after="0" w:line="240" w:lineRule="auto"/>
              <w:rPr>
                <w:kern w:val="2"/>
                <w:sz w:val="18"/>
                <w:szCs w:val="18"/>
              </w:rPr>
            </w:pPr>
            <w:r w:rsidRPr="00B846C3">
              <w:rPr>
                <w:kern w:val="2"/>
                <w:sz w:val="18"/>
                <w:szCs w:val="18"/>
              </w:rPr>
              <w:t>[DN03045]</w:t>
            </w:r>
          </w:p>
        </w:tc>
        <w:tc>
          <w:tcPr>
            <w:tcW w:w="1134" w:type="dxa"/>
            <w:tcBorders>
              <w:bottom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1500</w:t>
            </w:r>
          </w:p>
        </w:tc>
        <w:tc>
          <w:tcPr>
            <w:tcW w:w="1418" w:type="dxa"/>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0.025 (0.0093)</w:t>
            </w:r>
          </w:p>
        </w:tc>
        <w:tc>
          <w:tcPr>
            <w:tcW w:w="1335" w:type="dxa"/>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0.355 (0.1313)</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0.3</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0.3</w:t>
            </w:r>
          </w:p>
        </w:tc>
      </w:tr>
      <w:tr w:rsidR="00B846C3" w:rsidRPr="00B846C3" w:rsidTr="00F8659B">
        <w:trPr>
          <w:cantSplit/>
          <w:trHeight w:val="185"/>
          <w:jc w:val="center"/>
        </w:trPr>
        <w:tc>
          <w:tcPr>
            <w:tcW w:w="1426" w:type="dxa"/>
            <w:vMerge w:val="restart"/>
            <w:tcBorders>
              <w:top w:val="single" w:sz="4" w:space="0" w:color="auto"/>
              <w:lef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Pre/postnatal development*</w:t>
            </w:r>
          </w:p>
          <w:p w:rsidR="00B846C3" w:rsidRPr="00B846C3" w:rsidRDefault="00B846C3" w:rsidP="001966E4">
            <w:pPr>
              <w:pStyle w:val="Tabletext"/>
              <w:spacing w:before="0" w:after="0" w:line="240" w:lineRule="auto"/>
              <w:rPr>
                <w:kern w:val="2"/>
                <w:sz w:val="18"/>
                <w:szCs w:val="18"/>
              </w:rPr>
            </w:pPr>
            <w:r w:rsidRPr="00B846C3">
              <w:rPr>
                <w:kern w:val="2"/>
                <w:sz w:val="18"/>
                <w:szCs w:val="18"/>
              </w:rPr>
              <w:t>Rat</w:t>
            </w:r>
          </w:p>
          <w:p w:rsidR="00B846C3" w:rsidRPr="00B846C3" w:rsidRDefault="00B846C3" w:rsidP="001966E4">
            <w:pPr>
              <w:pStyle w:val="Tabletext"/>
              <w:spacing w:before="0" w:after="0" w:line="240" w:lineRule="auto"/>
              <w:rPr>
                <w:kern w:val="2"/>
                <w:sz w:val="18"/>
                <w:szCs w:val="18"/>
              </w:rPr>
            </w:pPr>
            <w:r w:rsidRPr="00B846C3">
              <w:rPr>
                <w:kern w:val="2"/>
                <w:sz w:val="18"/>
                <w:szCs w:val="18"/>
              </w:rPr>
              <w:t>(gavage)</w:t>
            </w:r>
          </w:p>
        </w:tc>
        <w:tc>
          <w:tcPr>
            <w:tcW w:w="1417" w:type="dxa"/>
            <w:vMerge w:val="restart"/>
            <w:tcBorders>
              <w:top w:val="single" w:sz="4" w:space="0" w:color="auto"/>
            </w:tcBorders>
            <w:vAlign w:val="center"/>
          </w:tcPr>
          <w:p w:rsidR="00B846C3" w:rsidRPr="00B846C3" w:rsidRDefault="00F8659B" w:rsidP="001966E4">
            <w:pPr>
              <w:pStyle w:val="Tabletext"/>
              <w:spacing w:before="0" w:after="0" w:line="240" w:lineRule="auto"/>
              <w:rPr>
                <w:kern w:val="2"/>
                <w:sz w:val="18"/>
                <w:szCs w:val="18"/>
              </w:rPr>
            </w:pPr>
            <w:r>
              <w:rPr>
                <w:kern w:val="2"/>
                <w:sz w:val="18"/>
                <w:szCs w:val="18"/>
              </w:rPr>
              <w:t>GD 6–</w:t>
            </w:r>
            <w:r w:rsidR="00B846C3" w:rsidRPr="00B846C3">
              <w:rPr>
                <w:kern w:val="2"/>
                <w:sz w:val="18"/>
                <w:szCs w:val="18"/>
              </w:rPr>
              <w:t>PND 20</w:t>
            </w:r>
          </w:p>
          <w:p w:rsidR="00B846C3" w:rsidRPr="00B846C3" w:rsidRDefault="00B846C3" w:rsidP="001966E4">
            <w:pPr>
              <w:pStyle w:val="Tabletext"/>
              <w:spacing w:before="0" w:after="0" w:line="240" w:lineRule="auto"/>
              <w:rPr>
                <w:kern w:val="2"/>
                <w:sz w:val="18"/>
                <w:szCs w:val="18"/>
              </w:rPr>
            </w:pPr>
            <w:r w:rsidRPr="00B846C3">
              <w:rPr>
                <w:kern w:val="2"/>
                <w:sz w:val="18"/>
                <w:szCs w:val="18"/>
              </w:rPr>
              <w:t>[DN08001]</w:t>
            </w:r>
          </w:p>
        </w:tc>
        <w:tc>
          <w:tcPr>
            <w:tcW w:w="1134" w:type="dxa"/>
            <w:tcBorders>
              <w:top w:val="single" w:sz="4" w:space="0" w:color="auto"/>
              <w:bottom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25</w:t>
            </w:r>
          </w:p>
        </w:tc>
        <w:tc>
          <w:tcPr>
            <w:tcW w:w="1418" w:type="dxa"/>
            <w:tcBorders>
              <w:top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1.51 (0.06)</w:t>
            </w:r>
          </w:p>
        </w:tc>
        <w:tc>
          <w:tcPr>
            <w:tcW w:w="1335" w:type="dxa"/>
            <w:tcBorders>
              <w:top w:val="single" w:sz="4"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11.7 (0.468)</w:t>
            </w:r>
          </w:p>
        </w:tc>
        <w:tc>
          <w:tcPr>
            <w:tcW w:w="850" w:type="dxa"/>
            <w:tcBorders>
              <w:top w:val="single" w:sz="4" w:space="0" w:color="auto"/>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2.2</w:t>
            </w:r>
          </w:p>
        </w:tc>
        <w:tc>
          <w:tcPr>
            <w:tcW w:w="851" w:type="dxa"/>
            <w:tcBorders>
              <w:top w:val="single" w:sz="4" w:space="0" w:color="auto"/>
              <w:right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1.2</w:t>
            </w:r>
          </w:p>
        </w:tc>
      </w:tr>
      <w:tr w:rsidR="00B846C3" w:rsidRPr="00B846C3" w:rsidTr="00F8659B">
        <w:trPr>
          <w:cantSplit/>
          <w:trHeight w:val="184"/>
          <w:jc w:val="center"/>
        </w:trPr>
        <w:tc>
          <w:tcPr>
            <w:tcW w:w="1426" w:type="dxa"/>
            <w:vMerge/>
            <w:tcBorders>
              <w:left w:val="single" w:sz="8"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vAlign w:val="center"/>
          </w:tcPr>
          <w:p w:rsidR="00B846C3" w:rsidRPr="00B846C3" w:rsidRDefault="00B846C3" w:rsidP="001966E4">
            <w:pPr>
              <w:pStyle w:val="Tabletext"/>
              <w:spacing w:before="0" w:after="0" w:line="240" w:lineRule="auto"/>
              <w:rPr>
                <w:kern w:val="2"/>
                <w:sz w:val="18"/>
                <w:szCs w:val="18"/>
              </w:rPr>
            </w:pPr>
          </w:p>
        </w:tc>
        <w:tc>
          <w:tcPr>
            <w:tcW w:w="1134" w:type="dxa"/>
            <w:tcBorders>
              <w:top w:val="single" w:sz="4" w:space="0" w:color="auto"/>
              <w:bottom w:val="sing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200</w:t>
            </w:r>
          </w:p>
        </w:tc>
        <w:tc>
          <w:tcPr>
            <w:tcW w:w="1418"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4.9 (0.196)</w:t>
            </w:r>
          </w:p>
        </w:tc>
        <w:tc>
          <w:tcPr>
            <w:tcW w:w="1335" w:type="dxa"/>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43.4 (1.736)</w:t>
            </w:r>
          </w:p>
        </w:tc>
        <w:tc>
          <w:tcPr>
            <w:tcW w:w="850"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7.2</w:t>
            </w:r>
          </w:p>
        </w:tc>
        <w:tc>
          <w:tcPr>
            <w:tcW w:w="851" w:type="dxa"/>
            <w:tcBorders>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4.3</w:t>
            </w:r>
          </w:p>
        </w:tc>
      </w:tr>
      <w:tr w:rsidR="00B846C3" w:rsidRPr="00B846C3" w:rsidTr="00F8659B">
        <w:trPr>
          <w:cantSplit/>
          <w:trHeight w:val="184"/>
          <w:jc w:val="center"/>
        </w:trPr>
        <w:tc>
          <w:tcPr>
            <w:tcW w:w="1426" w:type="dxa"/>
            <w:vMerge/>
            <w:tcBorders>
              <w:left w:val="single" w:sz="8" w:space="0" w:color="auto"/>
              <w:bottom w:val="double" w:sz="4"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417" w:type="dxa"/>
            <w:vMerge/>
            <w:tcBorders>
              <w:bottom w:val="double" w:sz="4" w:space="0" w:color="auto"/>
            </w:tcBorders>
            <w:vAlign w:val="center"/>
          </w:tcPr>
          <w:p w:rsidR="00B846C3" w:rsidRPr="00B846C3" w:rsidRDefault="00B846C3" w:rsidP="001966E4">
            <w:pPr>
              <w:pStyle w:val="Tabletext"/>
              <w:spacing w:before="0" w:after="0" w:line="240" w:lineRule="auto"/>
              <w:rPr>
                <w:kern w:val="2"/>
                <w:sz w:val="18"/>
                <w:szCs w:val="18"/>
              </w:rPr>
            </w:pPr>
          </w:p>
        </w:tc>
        <w:tc>
          <w:tcPr>
            <w:tcW w:w="1134" w:type="dxa"/>
            <w:tcBorders>
              <w:top w:val="single" w:sz="4" w:space="0" w:color="auto"/>
              <w:bottom w:val="doub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1000</w:t>
            </w:r>
          </w:p>
        </w:tc>
        <w:tc>
          <w:tcPr>
            <w:tcW w:w="1418" w:type="dxa"/>
            <w:tcBorders>
              <w:bottom w:val="doub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4.94 (0.197)</w:t>
            </w:r>
          </w:p>
        </w:tc>
        <w:tc>
          <w:tcPr>
            <w:tcW w:w="1335" w:type="dxa"/>
            <w:tcBorders>
              <w:bottom w:val="double" w:sz="4"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47.5 (1.9)</w:t>
            </w:r>
          </w:p>
        </w:tc>
        <w:tc>
          <w:tcPr>
            <w:tcW w:w="850" w:type="dxa"/>
            <w:tcBorders>
              <w:bottom w:val="double" w:sz="4" w:space="0" w:color="auto"/>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7.2</w:t>
            </w:r>
          </w:p>
        </w:tc>
        <w:tc>
          <w:tcPr>
            <w:tcW w:w="851" w:type="dxa"/>
            <w:tcBorders>
              <w:bottom w:val="double" w:sz="4" w:space="0" w:color="auto"/>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4.7</w:t>
            </w:r>
          </w:p>
        </w:tc>
      </w:tr>
      <w:tr w:rsidR="00B846C3" w:rsidRPr="00B846C3" w:rsidTr="00F8659B">
        <w:trPr>
          <w:cantSplit/>
          <w:trHeight w:val="227"/>
          <w:jc w:val="center"/>
        </w:trPr>
        <w:tc>
          <w:tcPr>
            <w:tcW w:w="1426" w:type="dxa"/>
            <w:tcBorders>
              <w:top w:val="double" w:sz="4" w:space="0" w:color="auto"/>
              <w:left w:val="single" w:sz="8" w:space="0" w:color="auto"/>
              <w:bottom w:val="single" w:sz="8" w:space="0" w:color="auto"/>
            </w:tcBorders>
            <w:vAlign w:val="center"/>
          </w:tcPr>
          <w:p w:rsidR="00B846C3" w:rsidRPr="00B846C3" w:rsidRDefault="00B846C3" w:rsidP="001966E4">
            <w:pPr>
              <w:pStyle w:val="Tabletext"/>
              <w:spacing w:before="0" w:after="0" w:line="240" w:lineRule="auto"/>
              <w:rPr>
                <w:b/>
                <w:kern w:val="2"/>
                <w:sz w:val="18"/>
                <w:szCs w:val="18"/>
              </w:rPr>
            </w:pPr>
            <w:r w:rsidRPr="00B846C3">
              <w:rPr>
                <w:b/>
                <w:kern w:val="2"/>
                <w:sz w:val="18"/>
                <w:szCs w:val="18"/>
              </w:rPr>
              <w:t>Steady state Human</w:t>
            </w:r>
            <w:r w:rsidRPr="00B846C3">
              <w:rPr>
                <w:kern w:val="2"/>
                <w:sz w:val="18"/>
                <w:szCs w:val="18"/>
              </w:rPr>
              <w:br/>
              <w:t>(healthy subjects)</w:t>
            </w:r>
          </w:p>
        </w:tc>
        <w:tc>
          <w:tcPr>
            <w:tcW w:w="1417" w:type="dxa"/>
            <w:tcBorders>
              <w:top w:val="double" w:sz="4" w:space="0" w:color="auto"/>
              <w:bottom w:val="single" w:sz="8" w:space="0" w:color="auto"/>
            </w:tcBorders>
            <w:vAlign w:val="center"/>
          </w:tcPr>
          <w:p w:rsidR="00B846C3" w:rsidRPr="00251D09" w:rsidRDefault="00B846C3" w:rsidP="001966E4">
            <w:pPr>
              <w:pStyle w:val="Tabletext"/>
              <w:spacing w:before="0" w:after="0" w:line="240" w:lineRule="auto"/>
              <w:rPr>
                <w:b/>
                <w:kern w:val="2"/>
                <w:sz w:val="18"/>
                <w:szCs w:val="18"/>
              </w:rPr>
            </w:pPr>
            <w:r w:rsidRPr="00251D09">
              <w:rPr>
                <w:b/>
                <w:kern w:val="2"/>
                <w:sz w:val="18"/>
                <w:szCs w:val="18"/>
              </w:rPr>
              <w:t>Adults</w:t>
            </w:r>
          </w:p>
        </w:tc>
        <w:tc>
          <w:tcPr>
            <w:tcW w:w="1134" w:type="dxa"/>
            <w:tcBorders>
              <w:top w:val="double" w:sz="4" w:space="0" w:color="auto"/>
              <w:bottom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 xml:space="preserve">10 mg </w:t>
            </w:r>
          </w:p>
          <w:p w:rsidR="00B846C3" w:rsidRPr="00B846C3" w:rsidRDefault="00B846C3" w:rsidP="00341B29">
            <w:pPr>
              <w:pStyle w:val="Tabletext"/>
              <w:spacing w:before="0" w:after="0" w:line="240" w:lineRule="auto"/>
              <w:rPr>
                <w:kern w:val="2"/>
                <w:sz w:val="18"/>
                <w:szCs w:val="18"/>
              </w:rPr>
            </w:pPr>
            <w:r w:rsidRPr="00B846C3">
              <w:rPr>
                <w:kern w:val="2"/>
                <w:sz w:val="18"/>
                <w:szCs w:val="18"/>
              </w:rPr>
              <w:t xml:space="preserve">(5 mg, </w:t>
            </w:r>
            <w:r w:rsidR="00341B29">
              <w:rPr>
                <w:kern w:val="2"/>
                <w:sz w:val="18"/>
                <w:szCs w:val="18"/>
              </w:rPr>
              <w:t>oral</w:t>
            </w:r>
            <w:r w:rsidRPr="00B846C3">
              <w:rPr>
                <w:kern w:val="2"/>
                <w:sz w:val="18"/>
                <w:szCs w:val="18"/>
              </w:rPr>
              <w:t xml:space="preserve"> bid)</w:t>
            </w:r>
          </w:p>
        </w:tc>
        <w:tc>
          <w:tcPr>
            <w:tcW w:w="1418" w:type="dxa"/>
            <w:tcBorders>
              <w:top w:val="double" w:sz="4" w:space="0" w:color="auto"/>
              <w:bottom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0.21 (0.0273)</w:t>
            </w:r>
          </w:p>
        </w:tc>
        <w:tc>
          <w:tcPr>
            <w:tcW w:w="1335" w:type="dxa"/>
            <w:tcBorders>
              <w:top w:val="double" w:sz="4" w:space="0" w:color="auto"/>
              <w:bottom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3.1 (0.403)</w:t>
            </w:r>
          </w:p>
        </w:tc>
        <w:tc>
          <w:tcPr>
            <w:tcW w:w="1701" w:type="dxa"/>
            <w:gridSpan w:val="2"/>
            <w:tcBorders>
              <w:top w:val="double" w:sz="4" w:space="0" w:color="auto"/>
              <w:bottom w:val="single" w:sz="8" w:space="0" w:color="auto"/>
              <w:right w:val="single" w:sz="8" w:space="0" w:color="auto"/>
            </w:tcBorders>
            <w:vAlign w:val="center"/>
          </w:tcPr>
          <w:p w:rsidR="00B846C3" w:rsidRPr="00B846C3" w:rsidRDefault="00B846C3" w:rsidP="001966E4">
            <w:pPr>
              <w:pStyle w:val="Tabletext"/>
              <w:spacing w:before="0" w:after="0" w:line="240" w:lineRule="auto"/>
              <w:rPr>
                <w:kern w:val="2"/>
                <w:sz w:val="18"/>
                <w:szCs w:val="18"/>
              </w:rPr>
            </w:pPr>
            <w:r w:rsidRPr="00B846C3">
              <w:rPr>
                <w:kern w:val="2"/>
                <w:sz w:val="18"/>
                <w:szCs w:val="18"/>
              </w:rPr>
              <w:t>–</w:t>
            </w:r>
          </w:p>
        </w:tc>
      </w:tr>
    </w:tbl>
    <w:p w:rsidR="0075052F" w:rsidRPr="009670B3" w:rsidRDefault="0075052F" w:rsidP="00E50971">
      <w:pPr>
        <w:pStyle w:val="TableDescription"/>
      </w:pPr>
      <w:r w:rsidRPr="009670B3">
        <w:t xml:space="preserve"># = </w:t>
      </w:r>
      <w:proofErr w:type="spellStart"/>
      <w:r w:rsidRPr="009670B3">
        <w:t>animal:human</w:t>
      </w:r>
      <w:proofErr w:type="spellEnd"/>
      <w:r w:rsidRPr="009670B3">
        <w:t xml:space="preserve"> plasma AUC</w:t>
      </w:r>
      <w:r w:rsidRPr="009670B3">
        <w:rPr>
          <w:vertAlign w:val="subscript"/>
        </w:rPr>
        <w:t>0–24 h</w:t>
      </w:r>
      <w:r w:rsidRPr="009670B3">
        <w:t xml:space="preserve">;* Previously assessed as part of </w:t>
      </w:r>
      <w:r w:rsidR="00F8659B" w:rsidRPr="009670B3">
        <w:t xml:space="preserve">the nonclinical </w:t>
      </w:r>
      <w:r w:rsidRPr="009670B3">
        <w:t xml:space="preserve">evaluation report </w:t>
      </w:r>
      <w:r w:rsidR="00F8659B" w:rsidRPr="009670B3">
        <w:t xml:space="preserve">to register </w:t>
      </w:r>
      <w:r w:rsidR="00F8659B" w:rsidRPr="009670B3">
        <w:rPr>
          <w:kern w:val="2"/>
        </w:rPr>
        <w:t>apixaban</w:t>
      </w:r>
      <w:r w:rsidRPr="009670B3">
        <w:t xml:space="preserve">; </w:t>
      </w:r>
      <w:r w:rsidR="00A245F5" w:rsidRPr="009670B3">
        <w:rPr>
          <w:kern w:val="2"/>
        </w:rPr>
        <w:t xml:space="preserve">@: sampling day; </w:t>
      </w:r>
      <w:r w:rsidRPr="009670B3">
        <w:t>NOAELs are bolded; (</w:t>
      </w:r>
      <w:r w:rsidR="00071C0C" w:rsidRPr="009670B3">
        <w:t xml:space="preserve"> </w:t>
      </w:r>
      <w:r w:rsidRPr="009670B3">
        <w:t xml:space="preserve">) Adjusted </w:t>
      </w:r>
      <w:proofErr w:type="spellStart"/>
      <w:r w:rsidRPr="009670B3">
        <w:t>Cmax</w:t>
      </w:r>
      <w:proofErr w:type="spellEnd"/>
      <w:r w:rsidRPr="009670B3">
        <w:t xml:space="preserve"> and AUC values using conversion factors to account for differences in plasma protein binding – mouse: 0.5 (50% bound); rat: 0.04 (96% bound); rabbit: 0.37 (67% bound); human: 0.13 (87% bound); </w:t>
      </w:r>
      <w:r w:rsidR="00F8659B" w:rsidRPr="009670B3">
        <w:t>GD = gestation day</w:t>
      </w:r>
      <w:r w:rsidR="00A245F5" w:rsidRPr="009670B3">
        <w:t>.</w:t>
      </w:r>
    </w:p>
    <w:p w:rsidR="008E7846" w:rsidRDefault="0075052F" w:rsidP="009670B3">
      <w:r w:rsidRPr="00B846C3">
        <w:t>The exposure margins in the table above are smaller than those previously ascertained (due to the doubling of tablet strength and hence daily dosage) and require that the sponsor provide revised exposure values in the</w:t>
      </w:r>
      <w:r w:rsidR="00A245F5">
        <w:t xml:space="preserve"> product information</w:t>
      </w:r>
      <w:r w:rsidRPr="00B846C3">
        <w:t>.</w:t>
      </w:r>
    </w:p>
    <w:p w:rsidR="008E7846" w:rsidRDefault="008E7846" w:rsidP="008E7846">
      <w:pPr>
        <w:pStyle w:val="Heading3"/>
      </w:pPr>
      <w:bookmarkStart w:id="47" w:name="_Toc247691514"/>
      <w:bookmarkStart w:id="48" w:name="_Toc314842498"/>
      <w:bookmarkStart w:id="49" w:name="_Toc363676063"/>
      <w:r>
        <w:t>Toxicology</w:t>
      </w:r>
      <w:bookmarkEnd w:id="47"/>
      <w:bookmarkEnd w:id="48"/>
      <w:bookmarkEnd w:id="49"/>
    </w:p>
    <w:p w:rsidR="00440210" w:rsidRDefault="00440210" w:rsidP="009670B3">
      <w:pPr>
        <w:pStyle w:val="Heading4"/>
      </w:pPr>
      <w:r>
        <w:t>Repeat dose toxicity</w:t>
      </w:r>
    </w:p>
    <w:p w:rsidR="00B846C3" w:rsidRPr="00B846C3" w:rsidRDefault="00B846C3" w:rsidP="00B846C3">
      <w:r w:rsidRPr="00B846C3">
        <w:t xml:space="preserve">While no paediatric extension of indication is being sought in this submission, the sponsor submitted a completed report of a 3 month repeat dose toxicity in juvenile rats that was ongoing at the time of the previous submission </w:t>
      </w:r>
      <w:r w:rsidR="00F8659B">
        <w:t xml:space="preserve">to register </w:t>
      </w:r>
      <w:r w:rsidR="00F8659B">
        <w:rPr>
          <w:kern w:val="2"/>
        </w:rPr>
        <w:t>apixaban</w:t>
      </w:r>
      <w:r w:rsidRPr="00B846C3">
        <w:t>. S</w:t>
      </w:r>
      <w:r w:rsidR="00440210">
        <w:t xml:space="preserve">prague </w:t>
      </w:r>
      <w:r w:rsidRPr="00B846C3">
        <w:t>D</w:t>
      </w:r>
      <w:r w:rsidR="00440210">
        <w:t>awley</w:t>
      </w:r>
      <w:r w:rsidRPr="00B846C3">
        <w:t xml:space="preserve"> rats received apixaban by oral gavage on postnatal days (PND) 4 to 94 followed by a one month recovery period and a subsequent mating period to assess potential effects on fertility and early development. There were no apixaban-related mortalities, and clinical observations were of relatively minor significance (</w:t>
      </w:r>
      <w:r w:rsidR="00440210">
        <w:t>that is,</w:t>
      </w:r>
      <w:r w:rsidRPr="00B846C3">
        <w:t xml:space="preserve"> </w:t>
      </w:r>
      <w:proofErr w:type="spellStart"/>
      <w:r w:rsidRPr="00B846C3">
        <w:t>chromorhinorrhea</w:t>
      </w:r>
      <w:proofErr w:type="spellEnd"/>
      <w:r w:rsidRPr="00B846C3">
        <w:t>, salivation). The main treatment-related effect was prolongation of coagulation parameters (</w:t>
      </w:r>
      <w:proofErr w:type="spellStart"/>
      <w:r w:rsidRPr="00B846C3">
        <w:t>prothrombin</w:t>
      </w:r>
      <w:proofErr w:type="spellEnd"/>
      <w:r w:rsidRPr="00B846C3">
        <w:t xml:space="preserve"> time, activated partial </w:t>
      </w:r>
      <w:proofErr w:type="spellStart"/>
      <w:r w:rsidRPr="00B846C3">
        <w:t>thromboplastin</w:t>
      </w:r>
      <w:proofErr w:type="spellEnd"/>
      <w:r w:rsidRPr="00B846C3">
        <w:t xml:space="preserve"> time, as well as higher fibrinogen levels in males), which normalised once treatment had ceased.</w:t>
      </w:r>
    </w:p>
    <w:p w:rsidR="00B846C3" w:rsidRPr="00B846C3" w:rsidRDefault="00B846C3" w:rsidP="00B846C3">
      <w:r w:rsidRPr="00B846C3">
        <w:t xml:space="preserve">Serum analyses indicated slight rises in glucose levels, which persisted in the male recovery group. In contrast to findings reported previously </w:t>
      </w:r>
      <w:r w:rsidR="00F8659B">
        <w:t>for the s</w:t>
      </w:r>
      <w:r w:rsidRPr="00B846C3">
        <w:t xml:space="preserve">ubmission </w:t>
      </w:r>
      <w:r w:rsidR="00F8659B">
        <w:t xml:space="preserve">to register </w:t>
      </w:r>
      <w:r w:rsidR="00F8659B">
        <w:rPr>
          <w:kern w:val="2"/>
        </w:rPr>
        <w:t>apixaban,</w:t>
      </w:r>
      <w:r w:rsidR="00F8659B" w:rsidRPr="00B846C3">
        <w:t xml:space="preserve"> </w:t>
      </w:r>
      <w:r w:rsidRPr="00B846C3">
        <w:t>where apixaban caused decreases in plasma potassium in rats and dogs</w:t>
      </w:r>
      <w:bookmarkStart w:id="50" w:name="redacttext1"/>
      <w:r w:rsidRPr="00B846C3">
        <w:t xml:space="preserve">, </w:t>
      </w:r>
      <w:bookmarkEnd w:id="50"/>
      <w:r w:rsidRPr="00B846C3">
        <w:t>this was not seen in the current juvenile toxicity study. There were some instances of hepato</w:t>
      </w:r>
      <w:r w:rsidR="00440210">
        <w:t xml:space="preserve">cyte vacuolation (2 out of </w:t>
      </w:r>
      <w:r w:rsidRPr="00B846C3">
        <w:t xml:space="preserve">9 males; 2/10 females), though these did not differ from the vehicle control groups (1/10 males; 3/10 females). The previous </w:t>
      </w:r>
      <w:r w:rsidR="00440210">
        <w:t xml:space="preserve">Risk Management Plan </w:t>
      </w:r>
      <w:r w:rsidR="001528E2">
        <w:t xml:space="preserve">(RMP) </w:t>
      </w:r>
      <w:r w:rsidR="00440210">
        <w:t xml:space="preserve">for </w:t>
      </w:r>
      <w:r w:rsidR="00440210">
        <w:rPr>
          <w:kern w:val="2"/>
        </w:rPr>
        <w:t xml:space="preserve">apixaban </w:t>
      </w:r>
      <w:r w:rsidRPr="00B846C3">
        <w:t>raised this as a potential issue, but it was noted that there was no evidence for hepatotoxicity in previous studies or the current study.</w:t>
      </w:r>
    </w:p>
    <w:p w:rsidR="00B846C3" w:rsidRPr="00B846C3" w:rsidRDefault="00B846C3" w:rsidP="00B846C3">
      <w:proofErr w:type="spellStart"/>
      <w:r w:rsidRPr="00B846C3">
        <w:t>Histopathological</w:t>
      </w:r>
      <w:proofErr w:type="spellEnd"/>
      <w:r w:rsidRPr="00B846C3">
        <w:t xml:space="preserve"> observations indicated </w:t>
      </w:r>
      <w:proofErr w:type="spellStart"/>
      <w:r w:rsidRPr="00B846C3">
        <w:t>epididymidal</w:t>
      </w:r>
      <w:proofErr w:type="spellEnd"/>
      <w:r w:rsidRPr="00B846C3">
        <w:t xml:space="preserve"> </w:t>
      </w:r>
      <w:proofErr w:type="spellStart"/>
      <w:r w:rsidRPr="00B846C3">
        <w:t>hypospermia</w:t>
      </w:r>
      <w:proofErr w:type="spellEnd"/>
      <w:r w:rsidRPr="00B846C3">
        <w:t xml:space="preserve"> (</w:t>
      </w:r>
      <w:r w:rsidR="00440210">
        <w:t xml:space="preserve">in </w:t>
      </w:r>
      <w:r w:rsidRPr="00B846C3">
        <w:t>2/9 rats) and degeneration of seminiferous tubule (</w:t>
      </w:r>
      <w:r w:rsidR="00440210">
        <w:t xml:space="preserve">in </w:t>
      </w:r>
      <w:r w:rsidRPr="00B846C3">
        <w:t>3/9 rats) in HD treated male rats, whereas in females there were more HD treated rats found to have mineralisation in the kidneys than vehicle treated. Male observations i</w:t>
      </w:r>
      <w:r w:rsidR="009670B3">
        <w:t>n the kidney were not provided.</w:t>
      </w:r>
    </w:p>
    <w:p w:rsidR="00B846C3" w:rsidRPr="00B846C3" w:rsidRDefault="00B846C3" w:rsidP="00652554">
      <w:pPr>
        <w:pStyle w:val="Heading4"/>
      </w:pPr>
      <w:r w:rsidRPr="00B846C3">
        <w:lastRenderedPageBreak/>
        <w:t>Reproductive toxicity</w:t>
      </w:r>
    </w:p>
    <w:p w:rsidR="00B846C3" w:rsidRPr="00B846C3" w:rsidRDefault="00B846C3" w:rsidP="00B846C3">
      <w:r w:rsidRPr="00B846C3">
        <w:t>A subset of treated juvenile rats in the 3 month study was set aside to assess the effects of apixaban exposure on fertility and early embryonic development (at the end of the dosing period; PND 89 or 94). Pregnanci</w:t>
      </w:r>
      <w:r w:rsidR="00BE014D">
        <w:t xml:space="preserve">es resulting from treated male and </w:t>
      </w:r>
      <w:r w:rsidRPr="00B846C3">
        <w:t>untreated female pairings were used to determine litte</w:t>
      </w:r>
      <w:r w:rsidR="00BE014D">
        <w:t>r values, while treated female and</w:t>
      </w:r>
      <w:r w:rsidRPr="00B846C3">
        <w:t xml:space="preserve"> untreated male pairings were used to assess gestational periods and natural deliveries.</w:t>
      </w:r>
    </w:p>
    <w:p w:rsidR="00B846C3" w:rsidRPr="00B846C3" w:rsidRDefault="00B846C3" w:rsidP="00B846C3">
      <w:r w:rsidRPr="00B846C3">
        <w:t xml:space="preserve">No adverse effects on mating or fertility indices were reported irrespective of the pairings, noting also that the higher instances of </w:t>
      </w:r>
      <w:proofErr w:type="spellStart"/>
      <w:r w:rsidRPr="00B846C3">
        <w:t>hypospermia</w:t>
      </w:r>
      <w:proofErr w:type="spellEnd"/>
      <w:r w:rsidRPr="00B846C3">
        <w:t xml:space="preserve"> (2/9 rats) and degeneration of seminiferous tubules (3/9 rats) seen in the HD group did not impair successful mating. There were no alterations to gestational periods or delivery of pup litters. One dam from the HD group lost all her pups by postpartum days 5-6, which was attributed to an isolated instance of decreased maternal care, nesting and grooming behaviour.</w:t>
      </w:r>
      <w:r w:rsidR="00071C0C">
        <w:t xml:space="preserve"> </w:t>
      </w:r>
      <w:r w:rsidRPr="00B846C3">
        <w:t xml:space="preserve">In the </w:t>
      </w:r>
      <w:r w:rsidR="00BE014D">
        <w:t>mid dose (</w:t>
      </w:r>
      <w:r w:rsidRPr="00B846C3">
        <w:t>MD</w:t>
      </w:r>
      <w:r w:rsidR="00BE014D">
        <w:t>)</w:t>
      </w:r>
      <w:r w:rsidRPr="00B846C3">
        <w:t xml:space="preserve"> group 3 dams had a pup from their litters missing (</w:t>
      </w:r>
      <w:r w:rsidR="001528E2">
        <w:t>that is,</w:t>
      </w:r>
      <w:r w:rsidRPr="00B846C3">
        <w:t xml:space="preserve"> partially cannibalised with missing extremity). This may be compared with the vehicle group where only one dam had a missing pup. However, the remainder of the pups were delivered normally with no adverse effects resulting from maternal exposure to apixaban.</w:t>
      </w:r>
    </w:p>
    <w:p w:rsidR="00B846C3" w:rsidRPr="00B846C3" w:rsidRDefault="00B846C3" w:rsidP="00B846C3">
      <w:r w:rsidRPr="00B846C3">
        <w:t xml:space="preserve">In the previous submission, fertility and early </w:t>
      </w:r>
      <w:proofErr w:type="spellStart"/>
      <w:r w:rsidRPr="00B846C3">
        <w:t>embryofetal</w:t>
      </w:r>
      <w:proofErr w:type="spellEnd"/>
      <w:r w:rsidRPr="00B846C3">
        <w:t xml:space="preserve"> development in rats were not affected by apixaban at any of the tested doses (maximum dose 600 mg/kg </w:t>
      </w:r>
      <w:r w:rsidR="00341B29">
        <w:t>oral</w:t>
      </w:r>
      <w:r w:rsidR="001528E2">
        <w:t xml:space="preserve"> gavage, n</w:t>
      </w:r>
      <w:r w:rsidRPr="00B846C3">
        <w:t>=22-25 per group</w:t>
      </w:r>
      <w:r w:rsidR="001528E2">
        <w:t>,</w:t>
      </w:r>
      <w:r w:rsidRPr="00B846C3">
        <w:t xml:space="preserve"> </w:t>
      </w:r>
      <w:r w:rsidR="001528E2">
        <w:t xml:space="preserve">compared with </w:t>
      </w:r>
      <w:r w:rsidR="00BE7B23">
        <w:t>n</w:t>
      </w:r>
      <w:r w:rsidRPr="00B846C3">
        <w:t xml:space="preserve">=9-10 in the current study). In that study, treatment-related effects were confined to prolonged coagulation, with a </w:t>
      </w:r>
      <w:r w:rsidR="001528E2">
        <w:t>no observed effect level (</w:t>
      </w:r>
      <w:r w:rsidRPr="00B846C3">
        <w:t>NOEL</w:t>
      </w:r>
      <w:r w:rsidR="001528E2">
        <w:t>)</w:t>
      </w:r>
      <w:r w:rsidRPr="00B846C3">
        <w:t xml:space="preserve"> established at 600 mg/kg/day.</w:t>
      </w:r>
    </w:p>
    <w:p w:rsidR="00B846C3" w:rsidRPr="00B846C3" w:rsidRDefault="00B846C3" w:rsidP="00B846C3">
      <w:r w:rsidRPr="00B846C3">
        <w:t xml:space="preserve">While there were no effects on mating and resulting pregnancies in the current fertility study, the NOAEL was set at 50 mg/kg per day on the basis that </w:t>
      </w:r>
      <w:proofErr w:type="spellStart"/>
      <w:r w:rsidRPr="00B846C3">
        <w:t>hypospermia</w:t>
      </w:r>
      <w:proofErr w:type="spellEnd"/>
      <w:r w:rsidRPr="00B846C3">
        <w:t xml:space="preserve"> and degeneration of seminiferous tubules was observed in the HD group and one dam from the HD group lost all her pups.</w:t>
      </w:r>
    </w:p>
    <w:p w:rsidR="00B846C3" w:rsidRPr="00B846C3" w:rsidRDefault="00B846C3" w:rsidP="00652554">
      <w:pPr>
        <w:pStyle w:val="Heading4"/>
      </w:pPr>
      <w:r w:rsidRPr="00B846C3">
        <w:t>Paediatric use</w:t>
      </w:r>
    </w:p>
    <w:p w:rsidR="00B846C3" w:rsidRPr="00B846C3" w:rsidRDefault="00B846C3" w:rsidP="00B846C3">
      <w:r w:rsidRPr="00B846C3">
        <w:t xml:space="preserve">Although the current submission contained a completed developmental toxicity study in juvenile rats, the sponsor is </w:t>
      </w:r>
      <w:r w:rsidR="004F6447">
        <w:t xml:space="preserve">not seeking to register </w:t>
      </w:r>
      <w:proofErr w:type="spellStart"/>
      <w:r w:rsidR="004F6447">
        <w:t>Eliquis</w:t>
      </w:r>
      <w:proofErr w:type="spellEnd"/>
      <w:r w:rsidRPr="00B846C3">
        <w:t xml:space="preserve"> for paediatric use.</w:t>
      </w:r>
    </w:p>
    <w:p w:rsidR="00B846C3" w:rsidRPr="00B846C3" w:rsidRDefault="00B846C3" w:rsidP="00652554">
      <w:pPr>
        <w:pStyle w:val="Heading4"/>
      </w:pPr>
      <w:bookmarkStart w:id="51" w:name="_Toc295290868"/>
      <w:bookmarkStart w:id="52" w:name="_Toc336594408"/>
      <w:r w:rsidRPr="00B846C3">
        <w:t xml:space="preserve">Comments on the </w:t>
      </w:r>
      <w:r w:rsidR="00652554">
        <w:t>safety specification of the r</w:t>
      </w:r>
      <w:r w:rsidRPr="00B846C3">
        <w:t xml:space="preserve">isk </w:t>
      </w:r>
      <w:r w:rsidR="00652554">
        <w:t>management p</w:t>
      </w:r>
      <w:r w:rsidRPr="00B846C3">
        <w:t>lan</w:t>
      </w:r>
      <w:bookmarkEnd w:id="51"/>
      <w:bookmarkEnd w:id="52"/>
    </w:p>
    <w:p w:rsidR="004F6447" w:rsidRDefault="00B846C3" w:rsidP="00B846C3">
      <w:r w:rsidRPr="00B846C3">
        <w:t>Results and conclusions drawn from the nonclinical program for apixaban detailed in the sponsor’s draft RMP</w:t>
      </w:r>
      <w:r w:rsidR="001528E2">
        <w:t xml:space="preserve"> </w:t>
      </w:r>
      <w:r w:rsidRPr="00B846C3">
        <w:t>are in general concordance with those</w:t>
      </w:r>
      <w:r w:rsidR="00432588">
        <w:t xml:space="preserve"> of the n</w:t>
      </w:r>
      <w:r w:rsidR="004F6447">
        <w:t xml:space="preserve">onclinical </w:t>
      </w:r>
      <w:r w:rsidR="00432588">
        <w:t>e</w:t>
      </w:r>
      <w:r w:rsidR="00B52C7A">
        <w:t>valuator.</w:t>
      </w:r>
    </w:p>
    <w:p w:rsidR="008E7846" w:rsidRDefault="008E7846" w:rsidP="008E7846">
      <w:pPr>
        <w:pStyle w:val="Heading3"/>
      </w:pPr>
      <w:bookmarkStart w:id="53" w:name="_Toc247691515"/>
      <w:bookmarkStart w:id="54" w:name="_Toc314842499"/>
      <w:bookmarkStart w:id="55" w:name="_Toc363676064"/>
      <w:r>
        <w:t>Nonclinical summary and conclusions</w:t>
      </w:r>
      <w:bookmarkEnd w:id="53"/>
      <w:bookmarkEnd w:id="54"/>
      <w:bookmarkEnd w:id="55"/>
    </w:p>
    <w:p w:rsidR="0075052F" w:rsidRPr="0075052F" w:rsidRDefault="0075052F" w:rsidP="003745F6">
      <w:pPr>
        <w:pStyle w:val="ListBullet"/>
      </w:pPr>
      <w:r w:rsidRPr="0075052F">
        <w:t xml:space="preserve">The nonclinical studies complied with GLP and were scientifically sound. The submitted studies contributed to the understanding of apixaban drug interaction mechanisms and the toxicity of apixaban in juvenile animals but did not directly address the extension of indications or higher dosage/strength </w:t>
      </w:r>
      <w:r w:rsidRPr="009048BA">
        <w:rPr>
          <w:i/>
        </w:rPr>
        <w:t>per se</w:t>
      </w:r>
      <w:r w:rsidR="00B52C7A">
        <w:t>.</w:t>
      </w:r>
    </w:p>
    <w:p w:rsidR="0075052F" w:rsidRPr="0075052F" w:rsidRDefault="0075052F" w:rsidP="00B52C7A">
      <w:pPr>
        <w:pStyle w:val="ListBullet"/>
      </w:pPr>
      <w:r w:rsidRPr="0075052F">
        <w:t xml:space="preserve">Two </w:t>
      </w:r>
      <w:r w:rsidRPr="009048BA">
        <w:rPr>
          <w:i/>
        </w:rPr>
        <w:t>in vitro</w:t>
      </w:r>
      <w:r w:rsidRPr="0075052F">
        <w:t xml:space="preserve"> cell assay drug interaction studies were submitted that investigated potential interactions between candidate P-</w:t>
      </w:r>
      <w:proofErr w:type="spellStart"/>
      <w:r w:rsidRPr="0075052F">
        <w:t>gp</w:t>
      </w:r>
      <w:proofErr w:type="spellEnd"/>
      <w:r w:rsidRPr="0075052F">
        <w:t xml:space="preserve"> inhibitors and </w:t>
      </w:r>
      <w:proofErr w:type="spellStart"/>
      <w:r w:rsidRPr="0075052F">
        <w:t>digoxin</w:t>
      </w:r>
      <w:proofErr w:type="spellEnd"/>
      <w:r w:rsidRPr="0075052F">
        <w:t xml:space="preserve"> (as a model substrate). The results suggested that several commonly used medicines in AF (</w:t>
      </w:r>
      <w:r w:rsidR="009048BA">
        <w:t xml:space="preserve">for example, </w:t>
      </w:r>
      <w:r w:rsidRPr="0075052F">
        <w:t xml:space="preserve">naproxen and </w:t>
      </w:r>
      <w:proofErr w:type="spellStart"/>
      <w:r w:rsidRPr="0075052F">
        <w:t>diltiazem</w:t>
      </w:r>
      <w:proofErr w:type="spellEnd"/>
      <w:r w:rsidRPr="0075052F">
        <w:t>) have mild to modest inhibitory effects on P-</w:t>
      </w:r>
      <w:proofErr w:type="spellStart"/>
      <w:r w:rsidRPr="0075052F">
        <w:t>gp</w:t>
      </w:r>
      <w:proofErr w:type="spellEnd"/>
      <w:r w:rsidRPr="0075052F">
        <w:t xml:space="preserve"> </w:t>
      </w:r>
      <w:r w:rsidRPr="009048BA">
        <w:rPr>
          <w:i/>
        </w:rPr>
        <w:t>in vitro</w:t>
      </w:r>
      <w:r w:rsidRPr="0075052F">
        <w:t xml:space="preserve"> and may account for the modest increase in plasma AUC for apixaban observed in drug-interaction clinical trials (54% for naproxen, 40% for </w:t>
      </w:r>
      <w:proofErr w:type="spellStart"/>
      <w:r w:rsidRPr="0075052F">
        <w:t>diltiazem</w:t>
      </w:r>
      <w:proofErr w:type="spellEnd"/>
      <w:r w:rsidRPr="0075052F">
        <w:t xml:space="preserve">; </w:t>
      </w:r>
      <w:r w:rsidR="009048BA">
        <w:t xml:space="preserve">according to the sponsor’s </w:t>
      </w:r>
      <w:r w:rsidRPr="009048BA">
        <w:rPr>
          <w:i/>
        </w:rPr>
        <w:t xml:space="preserve">Clinical </w:t>
      </w:r>
      <w:r w:rsidR="001759D0">
        <w:rPr>
          <w:i/>
        </w:rPr>
        <w:t>o</w:t>
      </w:r>
      <w:r w:rsidRPr="009048BA">
        <w:rPr>
          <w:i/>
        </w:rPr>
        <w:t>verview</w:t>
      </w:r>
      <w:r w:rsidRPr="0075052F">
        <w:t>).</w:t>
      </w:r>
    </w:p>
    <w:p w:rsidR="0075052F" w:rsidRPr="0075052F" w:rsidRDefault="0075052F" w:rsidP="0075052F">
      <w:pPr>
        <w:pStyle w:val="ListBullet"/>
      </w:pPr>
      <w:r w:rsidRPr="0075052F">
        <w:t xml:space="preserve">The sponsor also submitted a 3 month repeat-dose toxicity study in juvenile rats which was ongoing at the time the </w:t>
      </w:r>
      <w:r w:rsidR="00F8659B">
        <w:t xml:space="preserve">original </w:t>
      </w:r>
      <w:r w:rsidRPr="0075052F">
        <w:t xml:space="preserve">submission </w:t>
      </w:r>
      <w:r w:rsidR="00F8659B">
        <w:t xml:space="preserve">to register </w:t>
      </w:r>
      <w:r w:rsidRPr="0075052F">
        <w:t xml:space="preserve">apixaban </w:t>
      </w:r>
      <w:r w:rsidR="00F8659B">
        <w:t xml:space="preserve">was </w:t>
      </w:r>
      <w:r w:rsidR="00F8659B">
        <w:lastRenderedPageBreak/>
        <w:t>submitted</w:t>
      </w:r>
      <w:r w:rsidRPr="0075052F">
        <w:t>. This study did not uncover any toxicities of major concern nor were there treatment-related mortalities. The most common apixaban-related effect concerned prolongation of coagulation parameters, which is characteristic of this class. Following a recovery period, no remarkable effects on male or female fertility or early embryonic development were observed in rats that received apixaban.</w:t>
      </w:r>
    </w:p>
    <w:p w:rsidR="00F67742" w:rsidRDefault="00F67742" w:rsidP="00A573D0">
      <w:pPr>
        <w:pStyle w:val="Heading4"/>
      </w:pPr>
      <w:r>
        <w:t>Recommendation</w:t>
      </w:r>
    </w:p>
    <w:p w:rsidR="0075052F" w:rsidRPr="00F67742" w:rsidRDefault="0075052F" w:rsidP="00F67742">
      <w:r w:rsidRPr="00F67742">
        <w:t>There are no nonclinical objections to the approval of apixaban for the new indication and the related increase in dose strength and daily dose.</w:t>
      </w:r>
    </w:p>
    <w:p w:rsidR="0075052F" w:rsidRPr="00F67742" w:rsidRDefault="0075052F" w:rsidP="00F67742">
      <w:r w:rsidRPr="00F67742">
        <w:t>The decision to approve the extension of indication to non-valvular AF will depend on clinical data as no nonclinical efficacy data were presented. The increased dose strength and maximum daily dose for this indication produce corresponding decreases in the relative exposure margins for apixaban attained in the animal studies and such changes should be documented in the draft P</w:t>
      </w:r>
      <w:r w:rsidR="009048BA" w:rsidRPr="00F67742">
        <w:t>I</w:t>
      </w:r>
      <w:r w:rsidR="00F67742" w:rsidRPr="00F67742">
        <w:t>.</w:t>
      </w:r>
      <w:r w:rsidR="009048BA" w:rsidRPr="00F67742">
        <w:rPr>
          <w:vertAlign w:val="superscript"/>
        </w:rPr>
        <w:footnoteReference w:id="1"/>
      </w:r>
    </w:p>
    <w:p w:rsidR="008E7846" w:rsidRDefault="008E7846" w:rsidP="008E7846">
      <w:pPr>
        <w:pStyle w:val="Heading2"/>
      </w:pPr>
      <w:bookmarkStart w:id="56" w:name="_Toc196046462"/>
      <w:bookmarkStart w:id="57" w:name="_Toc247691516"/>
      <w:bookmarkStart w:id="58" w:name="_Toc314842500"/>
      <w:bookmarkStart w:id="59" w:name="_Toc363676065"/>
      <w:bookmarkStart w:id="60" w:name="_Toc163441353"/>
      <w:bookmarkStart w:id="61" w:name="_Toc163441348"/>
      <w:r>
        <w:t xml:space="preserve">IV. </w:t>
      </w:r>
      <w:r w:rsidRPr="00254787">
        <w:t>Clinical</w:t>
      </w:r>
      <w:bookmarkEnd w:id="56"/>
      <w:r>
        <w:t xml:space="preserve"> </w:t>
      </w:r>
      <w:r w:rsidR="003A7F6C">
        <w:t>f</w:t>
      </w:r>
      <w:r>
        <w:t>indings</w:t>
      </w:r>
      <w:bookmarkEnd w:id="57"/>
      <w:bookmarkEnd w:id="58"/>
      <w:bookmarkEnd w:id="59"/>
    </w:p>
    <w:p w:rsidR="00443A2A" w:rsidRPr="00443A2A" w:rsidRDefault="00443A2A" w:rsidP="00443A2A">
      <w:r w:rsidRPr="00443A2A">
        <w:t>A summary of the clinical findings is presented in this section. Further details of these clinical findings can be found in Attachment 2.</w:t>
      </w:r>
    </w:p>
    <w:p w:rsidR="008E7846" w:rsidRDefault="008E7846" w:rsidP="008E7846">
      <w:pPr>
        <w:pStyle w:val="Heading3"/>
      </w:pPr>
      <w:bookmarkStart w:id="62" w:name="_Toc196046463"/>
      <w:bookmarkStart w:id="63" w:name="_Toc247691517"/>
      <w:bookmarkStart w:id="64" w:name="_Toc314842501"/>
      <w:bookmarkStart w:id="65" w:name="_Toc363676066"/>
      <w:r w:rsidRPr="00254787">
        <w:t>Introduction</w:t>
      </w:r>
      <w:bookmarkEnd w:id="62"/>
      <w:bookmarkEnd w:id="63"/>
      <w:bookmarkEnd w:id="64"/>
      <w:bookmarkEnd w:id="65"/>
    </w:p>
    <w:p w:rsidR="00FE4B72" w:rsidRPr="00FE4B72" w:rsidRDefault="00FE4B72" w:rsidP="00FE4B72">
      <w:r w:rsidRPr="00FE4B72">
        <w:t xml:space="preserve">Apixaban is a reversible, selective inhibitor of </w:t>
      </w:r>
      <w:proofErr w:type="spellStart"/>
      <w:r w:rsidRPr="00FE4B72">
        <w:t>FXa</w:t>
      </w:r>
      <w:proofErr w:type="spellEnd"/>
      <w:r w:rsidRPr="00FE4B72">
        <w:t xml:space="preserve"> used to prevent thrombin generation and thrombus formation. It has numerous potential indications for the prevention of venous and arterial thrombotic and embolic events.</w:t>
      </w:r>
    </w:p>
    <w:p w:rsidR="00FE4B72" w:rsidRPr="00FE4B72" w:rsidRDefault="00FE4B72" w:rsidP="00FE4B72">
      <w:r w:rsidRPr="00FE4B72">
        <w:t>The approved indication is the prevention of venous thromboembolic events (VTE</w:t>
      </w:r>
      <w:r w:rsidR="001528E2">
        <w:t>s</w:t>
      </w:r>
      <w:r w:rsidRPr="00FE4B72">
        <w:t>) in adult patients who have undergone elective total hip or total knee replacement surgery.</w:t>
      </w:r>
    </w:p>
    <w:p w:rsidR="00FE4B72" w:rsidRPr="00FE4B72" w:rsidRDefault="00FE4B72" w:rsidP="00FE4B72">
      <w:r w:rsidRPr="00FE4B72">
        <w:t xml:space="preserve">The proposed additional indication is to reduce the risk of stroke, systemic embolism </w:t>
      </w:r>
      <w:r w:rsidR="0031039E">
        <w:t xml:space="preserve">(SE) </w:t>
      </w:r>
      <w:r w:rsidRPr="00FE4B72">
        <w:t xml:space="preserve">and death in patients with non-valvular </w:t>
      </w:r>
      <w:r w:rsidR="00071C0C">
        <w:t xml:space="preserve">AF </w:t>
      </w:r>
      <w:r w:rsidRPr="00FE4B72">
        <w:t>with at least one additional risk factor for stroke.</w:t>
      </w:r>
    </w:p>
    <w:p w:rsidR="00FE4B72" w:rsidRPr="00FE4B72" w:rsidRDefault="00FE4B72" w:rsidP="00FE4B72">
      <w:pPr>
        <w:pStyle w:val="Heading4"/>
      </w:pPr>
      <w:bookmarkStart w:id="66" w:name="_Toc340050205"/>
      <w:bookmarkStart w:id="67" w:name="_Toc290888760"/>
      <w:bookmarkStart w:id="68" w:name="_Toc290846223"/>
      <w:bookmarkStart w:id="69" w:name="_Toc272414601"/>
      <w:r w:rsidRPr="00FE4B72">
        <w:t>Clinical rationale</w:t>
      </w:r>
      <w:bookmarkEnd w:id="66"/>
      <w:bookmarkEnd w:id="67"/>
      <w:bookmarkEnd w:id="68"/>
      <w:bookmarkEnd w:id="69"/>
    </w:p>
    <w:p w:rsidR="00FE4B72" w:rsidRPr="00FE4B72" w:rsidRDefault="00FE4B72" w:rsidP="00FE4B72">
      <w:r w:rsidRPr="00FE4B72">
        <w:t xml:space="preserve">Apixaban is an orally active, potent, direct, selective inhibitor of coagulation </w:t>
      </w:r>
      <w:proofErr w:type="spellStart"/>
      <w:r w:rsidR="00003349">
        <w:t>F</w:t>
      </w:r>
      <w:r w:rsidRPr="00FE4B72">
        <w:t>Xa</w:t>
      </w:r>
      <w:proofErr w:type="spellEnd"/>
      <w:r w:rsidRPr="00FE4B72">
        <w:t xml:space="preserve">. It directly and reversibly binds to the active site of </w:t>
      </w:r>
      <w:proofErr w:type="spellStart"/>
      <w:r w:rsidRPr="00FE4B72">
        <w:t>FXa</w:t>
      </w:r>
      <w:proofErr w:type="spellEnd"/>
      <w:r w:rsidRPr="00FE4B72">
        <w:t xml:space="preserve"> and exerts anticoagulant and antithrombotic effects by reducing the conversion of </w:t>
      </w:r>
      <w:proofErr w:type="spellStart"/>
      <w:r w:rsidRPr="00FE4B72">
        <w:t>prothrombin</w:t>
      </w:r>
      <w:proofErr w:type="spellEnd"/>
      <w:r w:rsidRPr="00FE4B72">
        <w:t xml:space="preserve"> to thrombin. At a</w:t>
      </w:r>
      <w:r w:rsidR="001528E2">
        <w:t>n oral</w:t>
      </w:r>
      <w:r w:rsidRPr="00FE4B72">
        <w:t xml:space="preserve"> dose of 2.5 mg </w:t>
      </w:r>
      <w:r w:rsidR="00341B29">
        <w:t>bid</w:t>
      </w:r>
      <w:r w:rsidRPr="00FE4B72">
        <w:t xml:space="preserve">, it has been approved </w:t>
      </w:r>
      <w:r w:rsidRPr="001528E2">
        <w:t xml:space="preserve">for </w:t>
      </w:r>
      <w:r w:rsidR="001528E2" w:rsidRPr="001528E2">
        <w:t xml:space="preserve">venous thromboembolism </w:t>
      </w:r>
      <w:r w:rsidRPr="001528E2">
        <w:t>prophylaxis</w:t>
      </w:r>
      <w:r w:rsidRPr="00FE4B72">
        <w:t xml:space="preserve"> in patients who have undergone elective knee and hip replacement. As an alternative to warfarin, it </w:t>
      </w:r>
      <w:r w:rsidR="004535DD">
        <w:t xml:space="preserve">has </w:t>
      </w:r>
      <w:r w:rsidRPr="00FE4B72">
        <w:t xml:space="preserve">also </w:t>
      </w:r>
      <w:r w:rsidR="004535DD">
        <w:t xml:space="preserve">been </w:t>
      </w:r>
      <w:r w:rsidRPr="00FE4B72">
        <w:t xml:space="preserve">developed as an anticoagulant for prevention of stroke and </w:t>
      </w:r>
      <w:r w:rsidR="0031039E">
        <w:t xml:space="preserve">SE </w:t>
      </w:r>
      <w:r w:rsidRPr="00FE4B72">
        <w:t xml:space="preserve">in patients with non-valvular </w:t>
      </w:r>
      <w:r w:rsidR="00071C0C">
        <w:t>AF</w:t>
      </w:r>
      <w:r w:rsidRPr="00FE4B72">
        <w:t>.</w:t>
      </w:r>
    </w:p>
    <w:p w:rsidR="00FE4B72" w:rsidRPr="00FE4B72" w:rsidRDefault="00FE4B72" w:rsidP="00FE4B72">
      <w:r w:rsidRPr="00FE4B72">
        <w:t>Atrial fibrillation is a common cardiac arrhythmia associated with a five-fold increase in the risk of stroke</w:t>
      </w:r>
      <w:r w:rsidR="00F43422">
        <w:t>.</w:t>
      </w:r>
      <w:r w:rsidR="00AB60B1">
        <w:rPr>
          <w:rStyle w:val="FootnoteReference"/>
        </w:rPr>
        <w:footnoteReference w:id="2"/>
      </w:r>
      <w:r w:rsidR="00AB60B1" w:rsidRPr="00AB60B1">
        <w:rPr>
          <w:vertAlign w:val="superscript"/>
        </w:rPr>
        <w:t>,</w:t>
      </w:r>
      <w:r w:rsidR="00AB60B1">
        <w:rPr>
          <w:rStyle w:val="FootnoteReference"/>
        </w:rPr>
        <w:footnoteReference w:id="3"/>
      </w:r>
      <w:r w:rsidRPr="00FE4B72">
        <w:t xml:space="preserve"> In patients with AF, anticoagulant agents such as warfarin or other </w:t>
      </w:r>
      <w:r w:rsidR="001528E2">
        <w:t>vitamin K antagonists</w:t>
      </w:r>
      <w:r w:rsidR="00C219F6">
        <w:t xml:space="preserve"> (VKA</w:t>
      </w:r>
      <w:r w:rsidR="0077673E">
        <w:t>s</w:t>
      </w:r>
      <w:r w:rsidR="00C219F6">
        <w:t>)</w:t>
      </w:r>
      <w:r w:rsidR="00C219F6">
        <w:rPr>
          <w:rStyle w:val="FootnoteReference"/>
        </w:rPr>
        <w:footnoteReference w:id="4"/>
      </w:r>
      <w:r w:rsidR="001528E2">
        <w:t xml:space="preserve"> </w:t>
      </w:r>
      <w:r w:rsidRPr="00FE4B72">
        <w:t xml:space="preserve">are recommended for prevention of stroke and </w:t>
      </w:r>
      <w:r w:rsidR="0031039E">
        <w:t>SE</w:t>
      </w:r>
      <w:r w:rsidR="00F43422">
        <w:t>.</w:t>
      </w:r>
      <w:r w:rsidR="00AB60B1">
        <w:rPr>
          <w:rStyle w:val="FootnoteReference"/>
        </w:rPr>
        <w:footnoteReference w:id="5"/>
      </w:r>
      <w:r w:rsidRPr="00FE4B72">
        <w:t xml:space="preserve"> These </w:t>
      </w:r>
      <w:r w:rsidRPr="00FE4B72">
        <w:lastRenderedPageBreak/>
        <w:t>compounds exert their a</w:t>
      </w:r>
      <w:r w:rsidR="001528E2">
        <w:t>nticoagulant effect by antagonis</w:t>
      </w:r>
      <w:r w:rsidRPr="00FE4B72">
        <w:t>ing the vitamin K-dependent clotting cycle and they are monitored by mea</w:t>
      </w:r>
      <w:r w:rsidR="001528E2">
        <w:t>ns of the international normalis</w:t>
      </w:r>
      <w:r w:rsidRPr="00FE4B72">
        <w:t>ed ratio (INR</w:t>
      </w:r>
      <w:r w:rsidR="0077673E">
        <w:t>, a measure of blood coagulation time</w:t>
      </w:r>
      <w:r w:rsidRPr="00FE4B72">
        <w:t xml:space="preserve">). Current therapies for stroke prevention include warfarin, </w:t>
      </w:r>
      <w:r w:rsidR="00C219F6" w:rsidRPr="00C219F6">
        <w:t xml:space="preserve">acetyl salicylic acid </w:t>
      </w:r>
      <w:r w:rsidR="00C219F6">
        <w:t>(</w:t>
      </w:r>
      <w:r w:rsidRPr="00FE4B72">
        <w:t>ASA</w:t>
      </w:r>
      <w:r w:rsidR="00C219F6">
        <w:t>, also known as aspirin)</w:t>
      </w:r>
      <w:r w:rsidRPr="00FE4B72">
        <w:t xml:space="preserve"> and more recently, </w:t>
      </w:r>
      <w:proofErr w:type="spellStart"/>
      <w:r w:rsidRPr="00FE4B72">
        <w:t>dabigatran</w:t>
      </w:r>
      <w:proofErr w:type="spellEnd"/>
      <w:r w:rsidRPr="00FE4B72">
        <w:t xml:space="preserve">. </w:t>
      </w:r>
      <w:proofErr w:type="spellStart"/>
      <w:r w:rsidRPr="00FE4B72">
        <w:t>Antiplatelet</w:t>
      </w:r>
      <w:proofErr w:type="spellEnd"/>
      <w:r w:rsidRPr="00FE4B72">
        <w:t xml:space="preserve"> therapy with low dose aspirin is recommended in patients with AF who are at low risk for stroke. </w:t>
      </w:r>
      <w:r w:rsidR="00C219F6">
        <w:t>A</w:t>
      </w:r>
      <w:r w:rsidR="00C219F6" w:rsidRPr="00C219F6">
        <w:t xml:space="preserve">cetyl salicylic acid </w:t>
      </w:r>
      <w:r w:rsidRPr="00FE4B72">
        <w:t>is also recommended for some patients at moderate risk for stroke if they are at high risk of bleeding, or in patients who have no access to adequate anticoagulation monitoring</w:t>
      </w:r>
      <w:r w:rsidR="0077673E">
        <w:t>.</w:t>
      </w:r>
      <w:r w:rsidR="00AB60B1">
        <w:rPr>
          <w:rStyle w:val="FootnoteReference"/>
        </w:rPr>
        <w:footnoteReference w:id="6"/>
      </w:r>
      <w:r w:rsidR="00071C0C">
        <w:t xml:space="preserve"> </w:t>
      </w:r>
      <w:r w:rsidRPr="00FE4B72">
        <w:t>Warfarin</w:t>
      </w:r>
      <w:r w:rsidR="00071C0C">
        <w:t xml:space="preserve"> </w:t>
      </w:r>
      <w:r w:rsidRPr="00FE4B72">
        <w:t>provides effective protection against stroke but it is not prescribed in up to 50% of AF patients, due mainly to bleeding concerns, low risk of embolus, difficulty of use, or patient refusal.</w:t>
      </w:r>
      <w:r w:rsidR="00071C0C">
        <w:t xml:space="preserve"> </w:t>
      </w:r>
      <w:r w:rsidRPr="00FE4B72">
        <w:t>Moreover, INRs are in</w:t>
      </w:r>
      <w:r w:rsidR="0077673E">
        <w:t xml:space="preserve"> the therapeutic range </w:t>
      </w:r>
      <w:r w:rsidR="00C219F6">
        <w:t xml:space="preserve">only about </w:t>
      </w:r>
      <w:r w:rsidRPr="00FE4B72">
        <w:t>60% of the time during chronic warfarin therapy</w:t>
      </w:r>
      <w:r w:rsidR="0077673E">
        <w:t>.</w:t>
      </w:r>
      <w:r w:rsidR="00AB60B1">
        <w:rPr>
          <w:rStyle w:val="FootnoteReference"/>
        </w:rPr>
        <w:footnoteReference w:id="7"/>
      </w:r>
      <w:r w:rsidRPr="00FE4B72">
        <w:t xml:space="preserve"> An oral </w:t>
      </w:r>
      <w:proofErr w:type="spellStart"/>
      <w:r w:rsidRPr="00FE4B72">
        <w:t>FXa</w:t>
      </w:r>
      <w:proofErr w:type="spellEnd"/>
      <w:r w:rsidRPr="00FE4B72">
        <w:t xml:space="preserve"> inhibitor which prevents stroke and reduces bleeding and death with a similar efficacy and safety profile compared with warfarin would significantly improve the long-term care and outcome of patients with AF.</w:t>
      </w:r>
    </w:p>
    <w:p w:rsidR="00FE4B72" w:rsidRDefault="00FE4B72" w:rsidP="00FE4B72">
      <w:pPr>
        <w:pStyle w:val="Heading4"/>
      </w:pPr>
      <w:bookmarkStart w:id="70" w:name="_Toc340050213"/>
      <w:bookmarkStart w:id="71" w:name="_Toc290888768"/>
      <w:bookmarkStart w:id="72" w:name="_Toc290846231"/>
      <w:bookmarkStart w:id="73" w:name="_Toc272414609"/>
      <w:r>
        <w:t>Guidance</w:t>
      </w:r>
      <w:bookmarkEnd w:id="70"/>
      <w:bookmarkEnd w:id="71"/>
      <w:bookmarkEnd w:id="72"/>
      <w:bookmarkEnd w:id="73"/>
    </w:p>
    <w:p w:rsidR="00FE4B72" w:rsidRPr="00FE4B72" w:rsidRDefault="00C91B3B" w:rsidP="00FE4B72">
      <w:r>
        <w:t>The proposed Phase III</w:t>
      </w:r>
      <w:r w:rsidR="00FE4B72" w:rsidRPr="00FE4B72">
        <w:t xml:space="preserve"> program, including apixaban dose selection, comparator selection, efficacy and safety endpoints, and statistical analyses, were discussed in depth with the FDA and the </w:t>
      </w:r>
      <w:r w:rsidR="00145FDE">
        <w:t>European Medicines Agency (EM</w:t>
      </w:r>
      <w:r w:rsidR="00FE4B72" w:rsidRPr="00FE4B72">
        <w:t>A</w:t>
      </w:r>
      <w:r w:rsidR="00145FDE">
        <w:t>)</w:t>
      </w:r>
      <w:r w:rsidR="00FE4B72" w:rsidRPr="00FE4B72">
        <w:t xml:space="preserve"> progressively </w:t>
      </w:r>
      <w:r w:rsidR="00A573D0">
        <w:t>over 2005</w:t>
      </w:r>
      <w:r w:rsidR="000C2569">
        <w:t>-201</w:t>
      </w:r>
      <w:r w:rsidR="00A573D0">
        <w:t>1</w:t>
      </w:r>
      <w:r w:rsidR="000C2569">
        <w:t xml:space="preserve">. </w:t>
      </w:r>
      <w:proofErr w:type="spellStart"/>
      <w:r w:rsidR="00A573D0">
        <w:t>Pre</w:t>
      </w:r>
      <w:r w:rsidR="00A573D0">
        <w:noBreakHyphen/>
      </w:r>
      <w:r w:rsidR="00FE4B72" w:rsidRPr="00FE4B72">
        <w:t>submission</w:t>
      </w:r>
      <w:proofErr w:type="spellEnd"/>
      <w:r w:rsidR="00FE4B72" w:rsidRPr="00FE4B72">
        <w:t xml:space="preserve"> meetings were held with the FDA and </w:t>
      </w:r>
      <w:proofErr w:type="gramStart"/>
      <w:r w:rsidR="00FE4B72" w:rsidRPr="00FE4B72">
        <w:t>EMA,</w:t>
      </w:r>
      <w:proofErr w:type="gramEnd"/>
      <w:r w:rsidR="00FE4B72" w:rsidRPr="00FE4B72">
        <w:t xml:space="preserve"> and with the TGA </w:t>
      </w:r>
      <w:r w:rsidR="00C219F6">
        <w:t xml:space="preserve">in September </w:t>
      </w:r>
      <w:r w:rsidR="00FE4B72" w:rsidRPr="00FE4B72">
        <w:t>2011.</w:t>
      </w:r>
    </w:p>
    <w:p w:rsidR="00FE4B72" w:rsidRPr="00FE4B72" w:rsidRDefault="00FE4B72" w:rsidP="00FE4B72">
      <w:pPr>
        <w:pStyle w:val="Heading4"/>
      </w:pPr>
      <w:bookmarkStart w:id="74" w:name="_Toc340050215"/>
      <w:bookmarkStart w:id="75" w:name="_Toc290888770"/>
      <w:bookmarkStart w:id="76" w:name="_Toc290846233"/>
      <w:bookmarkStart w:id="77" w:name="_Toc272414611"/>
      <w:bookmarkStart w:id="78" w:name="_Ref272159218"/>
      <w:r>
        <w:t>C</w:t>
      </w:r>
      <w:r w:rsidRPr="00FE4B72">
        <w:t>ontents of the clinical dossier</w:t>
      </w:r>
      <w:bookmarkEnd w:id="74"/>
      <w:bookmarkEnd w:id="75"/>
      <w:bookmarkEnd w:id="76"/>
      <w:bookmarkEnd w:id="77"/>
      <w:bookmarkEnd w:id="78"/>
    </w:p>
    <w:p w:rsidR="00FE4B72" w:rsidRPr="00FE4B72" w:rsidRDefault="00FE4B72" w:rsidP="00FE4B72">
      <w:r w:rsidRPr="00FE4B72">
        <w:t>The submission contained the following clinical information:</w:t>
      </w:r>
    </w:p>
    <w:p w:rsidR="00FE4B72" w:rsidRPr="006E27C0" w:rsidRDefault="00C219F6" w:rsidP="006E27C0">
      <w:pPr>
        <w:pStyle w:val="ListBullet"/>
      </w:pPr>
      <w:r>
        <w:t>T</w:t>
      </w:r>
      <w:r w:rsidRPr="006E27C0">
        <w:t>hree</w:t>
      </w:r>
      <w:r w:rsidR="00FE4B72" w:rsidRPr="006E27C0">
        <w:t xml:space="preserve"> clinical pharmacology studies, including 3 that provided pharmacokinetic </w:t>
      </w:r>
      <w:r w:rsidRPr="006E27C0">
        <w:t xml:space="preserve">(PK) </w:t>
      </w:r>
      <w:r w:rsidR="00FE4B72" w:rsidRPr="006E27C0">
        <w:t xml:space="preserve">data and </w:t>
      </w:r>
      <w:r w:rsidR="00F43422" w:rsidRPr="006E27C0">
        <w:t>one</w:t>
      </w:r>
      <w:r w:rsidR="00FE4B72" w:rsidRPr="006E27C0">
        <w:t xml:space="preserve"> that provided </w:t>
      </w:r>
      <w:proofErr w:type="spellStart"/>
      <w:r w:rsidR="00FE4B72" w:rsidRPr="006E27C0">
        <w:t>pharmacodynamic</w:t>
      </w:r>
      <w:proofErr w:type="spellEnd"/>
      <w:r w:rsidR="00FE4B72" w:rsidRPr="006E27C0">
        <w:t xml:space="preserve"> </w:t>
      </w:r>
      <w:r w:rsidRPr="006E27C0">
        <w:t xml:space="preserve">(PD) </w:t>
      </w:r>
      <w:r w:rsidR="00FE4B72" w:rsidRPr="006E27C0">
        <w:t>data.</w:t>
      </w:r>
    </w:p>
    <w:p w:rsidR="00FE4B72" w:rsidRPr="006E27C0" w:rsidRDefault="00C219F6" w:rsidP="006E27C0">
      <w:pPr>
        <w:pStyle w:val="ListBullet"/>
      </w:pPr>
      <w:r w:rsidRPr="006E27C0">
        <w:t>One</w:t>
      </w:r>
      <w:r w:rsidR="00FE4B72" w:rsidRPr="006E27C0">
        <w:t xml:space="preserve"> population pharmacokinetic </w:t>
      </w:r>
      <w:r w:rsidRPr="006E27C0">
        <w:t xml:space="preserve">(PPK) </w:t>
      </w:r>
      <w:r w:rsidR="00FE4B72" w:rsidRPr="006E27C0">
        <w:t>analyses.</w:t>
      </w:r>
    </w:p>
    <w:p w:rsidR="00FE4B72" w:rsidRPr="006E27C0" w:rsidRDefault="00FE4B72" w:rsidP="006E27C0">
      <w:pPr>
        <w:pStyle w:val="ListBullet"/>
      </w:pPr>
      <w:r w:rsidRPr="006E27C0">
        <w:t xml:space="preserve">Two pivotal Phase </w:t>
      </w:r>
      <w:r w:rsidR="00AB60B1" w:rsidRPr="006E27C0">
        <w:t>III</w:t>
      </w:r>
      <w:r w:rsidRPr="006E27C0">
        <w:t xml:space="preserve"> efficacy/safety studies (</w:t>
      </w:r>
      <w:r w:rsidR="00F43422" w:rsidRPr="006E27C0">
        <w:t xml:space="preserve">Study </w:t>
      </w:r>
      <w:r w:rsidRPr="006E27C0">
        <w:t xml:space="preserve">CV185030 </w:t>
      </w:r>
      <w:r w:rsidR="00F43422" w:rsidRPr="006E27C0">
        <w:t xml:space="preserve">(known as ARISTOTLE) </w:t>
      </w:r>
      <w:r w:rsidRPr="006E27C0">
        <w:t>and CV18</w:t>
      </w:r>
      <w:r w:rsidR="00AB60B1" w:rsidRPr="006E27C0">
        <w:t>5048</w:t>
      </w:r>
      <w:r w:rsidR="00F43422" w:rsidRPr="006E27C0">
        <w:t xml:space="preserve"> (known as </w:t>
      </w:r>
      <w:r w:rsidR="00C460EB" w:rsidRPr="006E27C0">
        <w:t>AVERROES</w:t>
      </w:r>
      <w:r w:rsidR="00AB60B1" w:rsidRPr="006E27C0">
        <w:t>)</w:t>
      </w:r>
      <w:r w:rsidR="00C460EB" w:rsidRPr="006E27C0">
        <w:t>)</w:t>
      </w:r>
      <w:r w:rsidR="00AB60B1" w:rsidRPr="006E27C0">
        <w:t xml:space="preserve"> and one supportive Phase </w:t>
      </w:r>
      <w:proofErr w:type="spellStart"/>
      <w:r w:rsidR="00AB60B1" w:rsidRPr="006E27C0">
        <w:t>II</w:t>
      </w:r>
      <w:r w:rsidRPr="006E27C0">
        <w:t>b</w:t>
      </w:r>
      <w:proofErr w:type="spellEnd"/>
      <w:r w:rsidRPr="006E27C0">
        <w:t xml:space="preserve"> study (</w:t>
      </w:r>
      <w:r w:rsidR="00C219F6" w:rsidRPr="006E27C0">
        <w:t xml:space="preserve">Study </w:t>
      </w:r>
      <w:r w:rsidRPr="006E27C0">
        <w:t>CV185068)</w:t>
      </w:r>
      <w:r w:rsidR="00F43422" w:rsidRPr="006E27C0">
        <w:t>.</w:t>
      </w:r>
    </w:p>
    <w:p w:rsidR="00FE4B72" w:rsidRPr="006E27C0" w:rsidRDefault="00FE4B72" w:rsidP="006E27C0">
      <w:pPr>
        <w:pStyle w:val="ListBullet"/>
      </w:pPr>
      <w:r w:rsidRPr="006E27C0">
        <w:t xml:space="preserve">Clinical </w:t>
      </w:r>
      <w:r w:rsidR="00C460EB" w:rsidRPr="006E27C0">
        <w:t>o</w:t>
      </w:r>
      <w:r w:rsidRPr="006E27C0">
        <w:t xml:space="preserve">verview, </w:t>
      </w:r>
      <w:r w:rsidR="00C219F6" w:rsidRPr="006E27C0">
        <w:t>summaries of c</w:t>
      </w:r>
      <w:r w:rsidRPr="006E27C0">
        <w:t xml:space="preserve">linical </w:t>
      </w:r>
      <w:r w:rsidR="00C219F6" w:rsidRPr="006E27C0">
        <w:t>efficacy and</w:t>
      </w:r>
      <w:r w:rsidRPr="006E27C0">
        <w:t xml:space="preserve"> </w:t>
      </w:r>
      <w:r w:rsidR="00C219F6" w:rsidRPr="006E27C0">
        <w:t>c</w:t>
      </w:r>
      <w:r w:rsidRPr="006E27C0">
        <w:t xml:space="preserve">linical </w:t>
      </w:r>
      <w:r w:rsidR="00C219F6" w:rsidRPr="006E27C0">
        <w:t>s</w:t>
      </w:r>
      <w:r w:rsidRPr="006E27C0">
        <w:t>afety</w:t>
      </w:r>
      <w:r w:rsidR="00F43422" w:rsidRPr="006E27C0">
        <w:t>,</w:t>
      </w:r>
      <w:r w:rsidRPr="006E27C0">
        <w:t xml:space="preserve"> and literature references.</w:t>
      </w:r>
    </w:p>
    <w:p w:rsidR="00FE4B72" w:rsidRPr="00FE4B72" w:rsidRDefault="00FE4B72" w:rsidP="00FE4B72">
      <w:r w:rsidRPr="00FE4B72">
        <w:t xml:space="preserve">Additional </w:t>
      </w:r>
      <w:r w:rsidR="00F43422">
        <w:t>m</w:t>
      </w:r>
      <w:r w:rsidRPr="00FE4B72">
        <w:t xml:space="preserve">aterials provided by </w:t>
      </w:r>
      <w:r w:rsidR="00F43422">
        <w:t>s</w:t>
      </w:r>
      <w:r w:rsidRPr="00FE4B72">
        <w:t>ponsor</w:t>
      </w:r>
      <w:r w:rsidR="0077673E">
        <w:t>:</w:t>
      </w:r>
    </w:p>
    <w:p w:rsidR="00FE4B72" w:rsidRPr="00FE4B72" w:rsidRDefault="00FE4B72" w:rsidP="00FE4B72">
      <w:pPr>
        <w:pStyle w:val="ListBullet"/>
      </w:pPr>
      <w:r w:rsidRPr="00FE4B72">
        <w:t>Supplem</w:t>
      </w:r>
      <w:r w:rsidR="00C219F6">
        <w:t xml:space="preserve">entary data for </w:t>
      </w:r>
      <w:r w:rsidR="00C460EB">
        <w:t>a</w:t>
      </w:r>
      <w:r w:rsidR="00C219F6">
        <w:t>pixaban S</w:t>
      </w:r>
      <w:r w:rsidRPr="00FE4B72">
        <w:t>tudy CV185036</w:t>
      </w:r>
      <w:r w:rsidR="0077673E">
        <w:t xml:space="preserve"> (known as ADOPT)</w:t>
      </w:r>
      <w:r w:rsidRPr="00FE4B72">
        <w:t>.</w:t>
      </w:r>
    </w:p>
    <w:p w:rsidR="00FE4B72" w:rsidRPr="00FE4B72" w:rsidRDefault="0077673E" w:rsidP="00FE4B72">
      <w:pPr>
        <w:pStyle w:val="ListBullet"/>
      </w:pPr>
      <w:r>
        <w:t>E</w:t>
      </w:r>
      <w:r w:rsidR="00FE4B72" w:rsidRPr="00FE4B72">
        <w:t xml:space="preserve">rratum to </w:t>
      </w:r>
      <w:r w:rsidR="00C460EB">
        <w:t>the sponsor’s s</w:t>
      </w:r>
      <w:r w:rsidR="00FE4B72" w:rsidRPr="00FE4B72">
        <w:t xml:space="preserve">ummary of the </w:t>
      </w:r>
      <w:r w:rsidR="00C460EB">
        <w:t>c</w:t>
      </w:r>
      <w:r w:rsidR="00FE4B72" w:rsidRPr="00FE4B72">
        <w:t xml:space="preserve">linical </w:t>
      </w:r>
      <w:r w:rsidR="00C460EB">
        <w:t>p</w:t>
      </w:r>
      <w:r w:rsidR="00FE4B72" w:rsidRPr="00FE4B72">
        <w:t>harmacology.</w:t>
      </w:r>
    </w:p>
    <w:p w:rsidR="00FE4B72" w:rsidRPr="00FE4B72" w:rsidRDefault="00FE4B72" w:rsidP="00FE4B72">
      <w:pPr>
        <w:pStyle w:val="ListBullet"/>
      </w:pPr>
      <w:r w:rsidRPr="00FE4B72">
        <w:t xml:space="preserve">Report into suspected misconduct at investigator site 1200 in China during </w:t>
      </w:r>
      <w:r w:rsidR="00C460EB">
        <w:t xml:space="preserve">the </w:t>
      </w:r>
      <w:proofErr w:type="spellStart"/>
      <w:r w:rsidR="00C460EB">
        <w:t>a</w:t>
      </w:r>
      <w:r w:rsidRPr="00FE4B72">
        <w:t>pixaban</w:t>
      </w:r>
      <w:proofErr w:type="spellEnd"/>
      <w:r w:rsidRPr="00FE4B72">
        <w:t xml:space="preserve"> ARISTOTLE </w:t>
      </w:r>
      <w:r w:rsidR="00C219F6">
        <w:t>S</w:t>
      </w:r>
      <w:r w:rsidRPr="00FE4B72">
        <w:t>tudy CV185030</w:t>
      </w:r>
      <w:r w:rsidR="0077673E">
        <w:t>.</w:t>
      </w:r>
    </w:p>
    <w:p w:rsidR="00FE4B72" w:rsidRPr="00FE4B72" w:rsidRDefault="00FE4B72" w:rsidP="00FE4B72">
      <w:pPr>
        <w:pStyle w:val="Heading4"/>
      </w:pPr>
      <w:bookmarkStart w:id="79" w:name="_Toc340050217"/>
      <w:bookmarkStart w:id="80" w:name="_Toc290888772"/>
      <w:bookmarkStart w:id="81" w:name="_Toc290846235"/>
      <w:r w:rsidRPr="00FE4B72">
        <w:t>Paediatric data</w:t>
      </w:r>
      <w:bookmarkEnd w:id="79"/>
      <w:bookmarkEnd w:id="80"/>
      <w:bookmarkEnd w:id="81"/>
    </w:p>
    <w:p w:rsidR="00FE4B72" w:rsidRPr="00FE4B72" w:rsidRDefault="00FE4B72" w:rsidP="006E27C0">
      <w:r w:rsidRPr="00FE4B72">
        <w:t>The submission did not include paed</w:t>
      </w:r>
      <w:r w:rsidR="006E27C0">
        <w:t>iatric data.</w:t>
      </w:r>
    </w:p>
    <w:p w:rsidR="00FE4B72" w:rsidRPr="00FE4B72" w:rsidRDefault="00FE4B72" w:rsidP="006C05FE">
      <w:pPr>
        <w:pStyle w:val="Heading4"/>
        <w:keepNext/>
      </w:pPr>
      <w:bookmarkStart w:id="82" w:name="_Toc340050218"/>
      <w:bookmarkStart w:id="83" w:name="_Toc290888773"/>
      <w:bookmarkStart w:id="84" w:name="_Toc290846236"/>
      <w:bookmarkStart w:id="85" w:name="_Toc272414612"/>
      <w:r w:rsidRPr="00FE4B72">
        <w:lastRenderedPageBreak/>
        <w:t>Good clinical practice</w:t>
      </w:r>
      <w:bookmarkEnd w:id="82"/>
      <w:bookmarkEnd w:id="83"/>
      <w:bookmarkEnd w:id="84"/>
      <w:bookmarkEnd w:id="85"/>
    </w:p>
    <w:p w:rsidR="00FE4B72" w:rsidRPr="00FE4B72" w:rsidRDefault="00FE4B72" w:rsidP="00EA5A6A">
      <w:bookmarkStart w:id="86" w:name="_Toc241374282"/>
      <w:r w:rsidRPr="00FE4B72">
        <w:t xml:space="preserve">All studies were conducted according to </w:t>
      </w:r>
      <w:r w:rsidR="009A0C40" w:rsidRPr="009A0C40">
        <w:t>International Conference on Harmonisation</w:t>
      </w:r>
      <w:r w:rsidR="009A0C40" w:rsidRPr="00FE4B72">
        <w:t xml:space="preserve"> </w:t>
      </w:r>
      <w:r w:rsidR="009A0C40">
        <w:t>(</w:t>
      </w:r>
      <w:r w:rsidRPr="00FE4B72">
        <w:t>ICH</w:t>
      </w:r>
      <w:r w:rsidR="009A0C40">
        <w:t>)</w:t>
      </w:r>
      <w:r w:rsidRPr="00FE4B72">
        <w:t xml:space="preserve"> </w:t>
      </w:r>
      <w:r w:rsidR="009A0C40">
        <w:t>Good Clinical Practice (</w:t>
      </w:r>
      <w:r w:rsidRPr="00FE4B72">
        <w:t>GCP</w:t>
      </w:r>
      <w:r w:rsidR="009A0C40">
        <w:t>)</w:t>
      </w:r>
      <w:r w:rsidRPr="00FE4B72">
        <w:t xml:space="preserve"> guidelines and complied with the principles of the Declaration of Helsinki. The studies were monitored by </w:t>
      </w:r>
      <w:r w:rsidR="009A0C40">
        <w:t xml:space="preserve">the sponsor </w:t>
      </w:r>
      <w:r w:rsidRPr="00FE4B72">
        <w:t>and Pharmaceutical Product Development (PPD) Inc.</w:t>
      </w:r>
      <w:bookmarkEnd w:id="86"/>
    </w:p>
    <w:p w:rsidR="008E7846" w:rsidRPr="00254787" w:rsidRDefault="008E7846" w:rsidP="008E7846">
      <w:pPr>
        <w:pStyle w:val="Heading3"/>
      </w:pPr>
      <w:bookmarkStart w:id="87" w:name="_Toc196046464"/>
      <w:bookmarkStart w:id="88" w:name="_Toc247691518"/>
      <w:bookmarkStart w:id="89" w:name="_Toc314842502"/>
      <w:bookmarkStart w:id="90" w:name="_Toc363676067"/>
      <w:r w:rsidRPr="00254787">
        <w:t>Pharmacokinetics</w:t>
      </w:r>
      <w:bookmarkEnd w:id="60"/>
      <w:bookmarkEnd w:id="87"/>
      <w:bookmarkEnd w:id="88"/>
      <w:bookmarkEnd w:id="89"/>
      <w:bookmarkEnd w:id="90"/>
    </w:p>
    <w:p w:rsidR="0003679C" w:rsidRPr="0003679C" w:rsidRDefault="0003679C" w:rsidP="00EA5A6A">
      <w:pPr>
        <w:pStyle w:val="Heading4"/>
      </w:pPr>
      <w:bookmarkStart w:id="91" w:name="_Ref271018934"/>
      <w:bookmarkStart w:id="92" w:name="_Ref271018924"/>
      <w:bookmarkStart w:id="93" w:name="_Ref271017296"/>
      <w:bookmarkStart w:id="94" w:name="_Toc340050220"/>
      <w:bookmarkStart w:id="95" w:name="_Toc290888775"/>
      <w:bookmarkStart w:id="96" w:name="_Toc290846238"/>
      <w:bookmarkStart w:id="97" w:name="_Toc272414614"/>
      <w:bookmarkStart w:id="98" w:name="_Toc196046481"/>
      <w:bookmarkStart w:id="99" w:name="_Toc247691520"/>
      <w:bookmarkStart w:id="100" w:name="_Toc314842503"/>
      <w:r w:rsidRPr="0003679C">
        <w:t>Studies</w:t>
      </w:r>
      <w:bookmarkEnd w:id="91"/>
      <w:bookmarkEnd w:id="92"/>
      <w:bookmarkEnd w:id="93"/>
      <w:r w:rsidRPr="0003679C">
        <w:t xml:space="preserve"> providing pharmacokinetic data</w:t>
      </w:r>
      <w:bookmarkEnd w:id="94"/>
      <w:bookmarkEnd w:id="95"/>
      <w:bookmarkEnd w:id="96"/>
      <w:bookmarkEnd w:id="97"/>
    </w:p>
    <w:p w:rsidR="00FE4B72" w:rsidRPr="00FE4B72" w:rsidRDefault="00FE4B72" w:rsidP="00EA5A6A">
      <w:r w:rsidRPr="00FE4B72">
        <w:t xml:space="preserve">Table </w:t>
      </w:r>
      <w:r w:rsidR="006C05FE">
        <w:t>3</w:t>
      </w:r>
      <w:r w:rsidRPr="00FE4B72">
        <w:t xml:space="preserve"> shows the studies relating to each </w:t>
      </w:r>
      <w:r w:rsidR="009A0C40">
        <w:t xml:space="preserve">PK </w:t>
      </w:r>
      <w:r w:rsidRPr="00FE4B72">
        <w:t>topic.</w:t>
      </w:r>
    </w:p>
    <w:p w:rsidR="00A573D0" w:rsidRPr="00E84C56" w:rsidRDefault="00A573D0" w:rsidP="00EA5A6A">
      <w:pPr>
        <w:pStyle w:val="TableTitle"/>
      </w:pPr>
      <w:bookmarkStart w:id="101" w:name="_Ref272426277"/>
      <w:bookmarkStart w:id="102" w:name="_Toc290888900"/>
      <w:bookmarkStart w:id="103" w:name="_Toc340050389"/>
      <w:bookmarkStart w:id="104" w:name="_Toc340050265"/>
      <w:bookmarkStart w:id="105" w:name="_Toc300307601"/>
      <w:bookmarkStart w:id="106" w:name="_Toc290846258"/>
      <w:bookmarkStart w:id="107" w:name="_Toc272414635"/>
      <w:bookmarkStart w:id="108" w:name="_Ref271018755"/>
      <w:bookmarkStart w:id="109" w:name="_Ref271018704"/>
      <w:bookmarkStart w:id="110" w:name="_Ref269982040"/>
      <w:bookmarkStart w:id="111" w:name="_Toc241374296"/>
      <w:proofErr w:type="gramStart"/>
      <w:r w:rsidRPr="00E84C56">
        <w:t xml:space="preserve">Table </w:t>
      </w:r>
      <w:bookmarkEnd w:id="101"/>
      <w:r>
        <w:t>3</w:t>
      </w:r>
      <w:r w:rsidRPr="00E84C56">
        <w:t>.</w:t>
      </w:r>
      <w:proofErr w:type="gramEnd"/>
      <w:r w:rsidRPr="00E84C56">
        <w:t xml:space="preserve"> </w:t>
      </w:r>
      <w:proofErr w:type="gramStart"/>
      <w:r w:rsidRPr="00E84C56">
        <w:t>Submitted pharmacokinetic studies.</w:t>
      </w:r>
      <w:bookmarkEnd w:id="102"/>
      <w:bookmarkEnd w:id="103"/>
      <w:proofErr w:type="gramEnd"/>
    </w:p>
    <w:tbl>
      <w:tblPr>
        <w:tblStyle w:val="TableTGAblue"/>
        <w:tblW w:w="0" w:type="auto"/>
        <w:tblLayout w:type="fixed"/>
        <w:tblLook w:val="04A0"/>
      </w:tblPr>
      <w:tblGrid>
        <w:gridCol w:w="1384"/>
        <w:gridCol w:w="2126"/>
        <w:gridCol w:w="1701"/>
        <w:gridCol w:w="3119"/>
      </w:tblGrid>
      <w:tr w:rsidR="00A573D0" w:rsidRPr="000C2569" w:rsidTr="00EA5A6A">
        <w:trPr>
          <w:cnfStyle w:val="100000000000"/>
          <w:tblHeader/>
        </w:trPr>
        <w:tc>
          <w:tcPr>
            <w:tcW w:w="1384" w:type="dxa"/>
            <w:vAlign w:val="center"/>
            <w:hideMark/>
          </w:tcPr>
          <w:p w:rsidR="00A573D0" w:rsidRPr="000C2569" w:rsidRDefault="00A573D0" w:rsidP="00A573D0">
            <w:pPr>
              <w:keepNext/>
              <w:spacing w:before="0" w:after="0" w:line="240" w:lineRule="auto"/>
              <w:ind w:left="0"/>
              <w:rPr>
                <w:b w:val="0"/>
                <w:sz w:val="18"/>
                <w:szCs w:val="18"/>
              </w:rPr>
            </w:pPr>
            <w:r w:rsidRPr="000C2569">
              <w:rPr>
                <w:sz w:val="18"/>
                <w:szCs w:val="18"/>
              </w:rPr>
              <w:t>PK Topic</w:t>
            </w:r>
          </w:p>
        </w:tc>
        <w:tc>
          <w:tcPr>
            <w:tcW w:w="2126" w:type="dxa"/>
            <w:vAlign w:val="center"/>
            <w:hideMark/>
          </w:tcPr>
          <w:p w:rsidR="00A573D0" w:rsidRPr="000C2569" w:rsidRDefault="00A573D0" w:rsidP="00A573D0">
            <w:pPr>
              <w:keepNext/>
              <w:spacing w:before="0" w:after="0" w:line="240" w:lineRule="auto"/>
              <w:ind w:left="0"/>
              <w:rPr>
                <w:b w:val="0"/>
                <w:sz w:val="18"/>
                <w:szCs w:val="18"/>
              </w:rPr>
            </w:pPr>
            <w:r w:rsidRPr="000C2569">
              <w:rPr>
                <w:sz w:val="18"/>
                <w:szCs w:val="18"/>
              </w:rPr>
              <w:t>Subtopic</w:t>
            </w:r>
          </w:p>
        </w:tc>
        <w:tc>
          <w:tcPr>
            <w:tcW w:w="1701" w:type="dxa"/>
            <w:vAlign w:val="center"/>
            <w:hideMark/>
          </w:tcPr>
          <w:p w:rsidR="00A573D0" w:rsidRPr="000C2569" w:rsidRDefault="00A573D0" w:rsidP="00A573D0">
            <w:pPr>
              <w:keepNext/>
              <w:spacing w:before="0" w:after="0" w:line="240" w:lineRule="auto"/>
              <w:ind w:left="0"/>
              <w:rPr>
                <w:b w:val="0"/>
                <w:sz w:val="18"/>
                <w:szCs w:val="18"/>
              </w:rPr>
            </w:pPr>
            <w:r w:rsidRPr="000C2569">
              <w:rPr>
                <w:sz w:val="18"/>
                <w:szCs w:val="18"/>
              </w:rPr>
              <w:t>Study ID</w:t>
            </w:r>
          </w:p>
        </w:tc>
        <w:tc>
          <w:tcPr>
            <w:tcW w:w="3119" w:type="dxa"/>
            <w:hideMark/>
          </w:tcPr>
          <w:p w:rsidR="00A573D0" w:rsidRPr="000C2569" w:rsidRDefault="00A573D0" w:rsidP="00A573D0">
            <w:pPr>
              <w:keepNext/>
              <w:spacing w:line="240" w:lineRule="auto"/>
              <w:ind w:left="0"/>
              <w:rPr>
                <w:b w:val="0"/>
                <w:sz w:val="18"/>
                <w:szCs w:val="18"/>
              </w:rPr>
            </w:pPr>
            <w:r w:rsidRPr="000C2569">
              <w:rPr>
                <w:sz w:val="18"/>
                <w:szCs w:val="18"/>
              </w:rPr>
              <w:t>Primary aim of the study</w:t>
            </w:r>
          </w:p>
        </w:tc>
      </w:tr>
      <w:tr w:rsidR="00A573D0" w:rsidRPr="000C2569" w:rsidTr="00A573D0">
        <w:tc>
          <w:tcPr>
            <w:tcW w:w="1384" w:type="dxa"/>
            <w:vMerge w:val="restart"/>
            <w:hideMark/>
          </w:tcPr>
          <w:p w:rsidR="00A573D0" w:rsidRPr="000C2569" w:rsidRDefault="00A573D0" w:rsidP="00A573D0">
            <w:pPr>
              <w:keepNext/>
              <w:spacing w:before="0" w:after="0" w:line="240" w:lineRule="auto"/>
              <w:ind w:left="0"/>
              <w:rPr>
                <w:sz w:val="18"/>
                <w:szCs w:val="18"/>
              </w:rPr>
            </w:pPr>
            <w:r w:rsidRPr="000C2569">
              <w:rPr>
                <w:sz w:val="18"/>
                <w:szCs w:val="18"/>
              </w:rPr>
              <w:t>PK in health adults</w:t>
            </w: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General PK</w:t>
            </w:r>
          </w:p>
          <w:p w:rsidR="00A573D0" w:rsidRPr="000C2569" w:rsidRDefault="00A573D0" w:rsidP="00A573D0">
            <w:pPr>
              <w:keepNext/>
              <w:spacing w:before="0" w:after="0" w:line="240" w:lineRule="auto"/>
              <w:ind w:left="0"/>
              <w:rPr>
                <w:sz w:val="18"/>
                <w:szCs w:val="18"/>
              </w:rPr>
            </w:pPr>
            <w:r>
              <w:rPr>
                <w:sz w:val="18"/>
                <w:szCs w:val="18"/>
              </w:rPr>
              <w:tab/>
            </w:r>
            <w:r w:rsidRPr="000C2569">
              <w:rPr>
                <w:sz w:val="18"/>
                <w:szCs w:val="18"/>
              </w:rPr>
              <w:t>single dose</w:t>
            </w:r>
          </w:p>
          <w:p w:rsidR="00A573D0" w:rsidRPr="000C2569" w:rsidRDefault="00A573D0" w:rsidP="00A573D0">
            <w:pPr>
              <w:keepNext/>
              <w:spacing w:before="0" w:after="0" w:line="240" w:lineRule="auto"/>
              <w:ind w:left="0"/>
              <w:rPr>
                <w:sz w:val="18"/>
                <w:szCs w:val="18"/>
              </w:rPr>
            </w:pPr>
            <w:r w:rsidRPr="000C2569">
              <w:rPr>
                <w:sz w:val="18"/>
                <w:szCs w:val="18"/>
              </w:rPr>
              <w:tab/>
              <w:t>multi-dose</w:t>
            </w:r>
          </w:p>
        </w:tc>
        <w:tc>
          <w:tcPr>
            <w:tcW w:w="1701" w:type="dxa"/>
          </w:tcPr>
          <w:p w:rsidR="00A573D0" w:rsidRPr="000C2569" w:rsidRDefault="00A573D0" w:rsidP="00A573D0">
            <w:pPr>
              <w:keepNext/>
              <w:spacing w:before="0" w:after="0" w:line="240" w:lineRule="auto"/>
              <w:ind w:left="0"/>
              <w:rPr>
                <w:sz w:val="18"/>
                <w:szCs w:val="18"/>
              </w:rPr>
            </w:pPr>
          </w:p>
          <w:p w:rsidR="00A573D0" w:rsidRPr="000C2569" w:rsidRDefault="00A573D0" w:rsidP="00A573D0">
            <w:pPr>
              <w:keepNext/>
              <w:spacing w:before="0" w:after="0" w:line="240" w:lineRule="auto"/>
              <w:ind w:left="0"/>
              <w:rPr>
                <w:sz w:val="18"/>
                <w:szCs w:val="18"/>
              </w:rPr>
            </w:pPr>
            <w:r w:rsidRPr="000C2569">
              <w:rPr>
                <w:sz w:val="18"/>
                <w:szCs w:val="18"/>
              </w:rPr>
              <w:t>N/A</w:t>
            </w:r>
          </w:p>
          <w:p w:rsidR="00A573D0" w:rsidRPr="000C2569" w:rsidRDefault="00A573D0" w:rsidP="00A573D0">
            <w:pPr>
              <w:keepNext/>
              <w:spacing w:before="0" w:after="0" w:line="240" w:lineRule="auto"/>
              <w:ind w:left="0"/>
              <w:rPr>
                <w:sz w:val="18"/>
                <w:szCs w:val="18"/>
              </w:rPr>
            </w:pPr>
            <w:r w:rsidRPr="000C2569">
              <w:rPr>
                <w:sz w:val="18"/>
                <w:szCs w:val="18"/>
              </w:rPr>
              <w:t>Study CV185074</w:t>
            </w:r>
          </w:p>
        </w:tc>
        <w:tc>
          <w:tcPr>
            <w:tcW w:w="3119" w:type="dxa"/>
          </w:tcPr>
          <w:p w:rsidR="00A573D0" w:rsidRPr="000C2569" w:rsidRDefault="00A573D0" w:rsidP="00A573D0">
            <w:pPr>
              <w:keepNext/>
              <w:spacing w:before="0" w:after="0" w:line="240" w:lineRule="auto"/>
              <w:ind w:left="0"/>
              <w:rPr>
                <w:sz w:val="18"/>
                <w:szCs w:val="18"/>
              </w:rPr>
            </w:pPr>
          </w:p>
          <w:p w:rsidR="00A573D0" w:rsidRPr="000C2569" w:rsidRDefault="00A573D0" w:rsidP="00A573D0">
            <w:pPr>
              <w:keepNext/>
              <w:spacing w:before="0" w:after="0" w:line="240" w:lineRule="auto"/>
              <w:ind w:left="0"/>
              <w:rPr>
                <w:sz w:val="18"/>
                <w:szCs w:val="18"/>
              </w:rPr>
            </w:pPr>
            <w:r w:rsidRPr="000C2569">
              <w:rPr>
                <w:sz w:val="18"/>
                <w:szCs w:val="18"/>
              </w:rPr>
              <w:t xml:space="preserve">Assess the multi-dose PK of </w:t>
            </w:r>
            <w:proofErr w:type="spellStart"/>
            <w:r w:rsidRPr="000C2569">
              <w:rPr>
                <w:sz w:val="18"/>
                <w:szCs w:val="18"/>
              </w:rPr>
              <w:t>apixaban</w:t>
            </w:r>
            <w:proofErr w:type="spellEnd"/>
            <w:r w:rsidRPr="000C2569">
              <w:rPr>
                <w:sz w:val="18"/>
                <w:szCs w:val="18"/>
              </w:rPr>
              <w:t xml:space="preserve"> and </w:t>
            </w:r>
            <w:proofErr w:type="spellStart"/>
            <w:r w:rsidRPr="000C2569">
              <w:rPr>
                <w:sz w:val="18"/>
                <w:szCs w:val="18"/>
              </w:rPr>
              <w:t>rivaroxaban</w:t>
            </w:r>
            <w:proofErr w:type="spellEnd"/>
          </w:p>
        </w:tc>
      </w:tr>
      <w:tr w:rsidR="00A573D0" w:rsidRPr="000C2569" w:rsidTr="00A573D0">
        <w:tc>
          <w:tcPr>
            <w:tcW w:w="1384" w:type="dxa"/>
            <w:vMerge/>
            <w:hideMark/>
          </w:tcPr>
          <w:p w:rsidR="00A573D0" w:rsidRPr="000C2569" w:rsidRDefault="00A573D0" w:rsidP="00A573D0">
            <w:pPr>
              <w:keepNext/>
              <w:spacing w:before="0" w:after="0" w:line="240" w:lineRule="auto"/>
              <w:ind w:left="0"/>
              <w:rPr>
                <w:sz w:val="18"/>
                <w:szCs w:val="18"/>
              </w:rPr>
            </w:pP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 xml:space="preserve">Bioequivalence† </w:t>
            </w:r>
          </w:p>
          <w:p w:rsidR="00A573D0" w:rsidRPr="000C2569" w:rsidRDefault="00A573D0" w:rsidP="00A573D0">
            <w:pPr>
              <w:keepNext/>
              <w:spacing w:before="0" w:after="0" w:line="240" w:lineRule="auto"/>
              <w:ind w:left="0"/>
              <w:rPr>
                <w:sz w:val="18"/>
                <w:szCs w:val="18"/>
              </w:rPr>
            </w:pPr>
            <w:r w:rsidRPr="000C2569">
              <w:rPr>
                <w:sz w:val="18"/>
                <w:szCs w:val="18"/>
              </w:rPr>
              <w:tab/>
              <w:t>single dose</w:t>
            </w:r>
          </w:p>
          <w:p w:rsidR="00A573D0" w:rsidRPr="000C2569" w:rsidRDefault="00A573D0" w:rsidP="00A573D0">
            <w:pPr>
              <w:keepNext/>
              <w:spacing w:before="0" w:after="0" w:line="240" w:lineRule="auto"/>
              <w:ind w:left="0"/>
              <w:rPr>
                <w:sz w:val="18"/>
                <w:szCs w:val="18"/>
              </w:rPr>
            </w:pPr>
            <w:r w:rsidRPr="000C2569">
              <w:rPr>
                <w:sz w:val="18"/>
                <w:szCs w:val="18"/>
              </w:rPr>
              <w:tab/>
              <w:t>multi-dose</w:t>
            </w:r>
          </w:p>
        </w:tc>
        <w:tc>
          <w:tcPr>
            <w:tcW w:w="1701" w:type="dxa"/>
          </w:tcPr>
          <w:p w:rsidR="00A573D0" w:rsidRPr="000C2569" w:rsidRDefault="00A573D0" w:rsidP="00A573D0">
            <w:pPr>
              <w:keepNext/>
              <w:spacing w:before="0" w:after="0" w:line="240" w:lineRule="auto"/>
              <w:ind w:left="0"/>
              <w:rPr>
                <w:sz w:val="18"/>
                <w:szCs w:val="18"/>
              </w:rPr>
            </w:pPr>
          </w:p>
          <w:p w:rsidR="00A573D0" w:rsidRPr="000C2569" w:rsidRDefault="00A573D0" w:rsidP="00A573D0">
            <w:pPr>
              <w:keepNext/>
              <w:spacing w:before="0" w:after="0" w:line="240" w:lineRule="auto"/>
              <w:ind w:left="0"/>
              <w:rPr>
                <w:sz w:val="18"/>
                <w:szCs w:val="18"/>
              </w:rPr>
            </w:pPr>
            <w:r w:rsidRPr="000C2569">
              <w:rPr>
                <w:sz w:val="18"/>
                <w:szCs w:val="18"/>
              </w:rPr>
              <w:t>Study CV185029</w:t>
            </w:r>
          </w:p>
          <w:p w:rsidR="00A573D0" w:rsidRPr="000C2569" w:rsidRDefault="00A573D0" w:rsidP="00A573D0">
            <w:pPr>
              <w:keepNext/>
              <w:spacing w:before="0" w:after="0" w:line="240" w:lineRule="auto"/>
              <w:ind w:left="0"/>
              <w:rPr>
                <w:sz w:val="18"/>
                <w:szCs w:val="18"/>
              </w:rPr>
            </w:pPr>
            <w:r w:rsidRPr="000C2569">
              <w:rPr>
                <w:sz w:val="18"/>
                <w:szCs w:val="18"/>
              </w:rPr>
              <w:t>N/A</w:t>
            </w:r>
          </w:p>
        </w:tc>
        <w:tc>
          <w:tcPr>
            <w:tcW w:w="3119" w:type="dxa"/>
          </w:tcPr>
          <w:p w:rsidR="00A573D0" w:rsidRPr="000C2569" w:rsidRDefault="00A573D0" w:rsidP="00A573D0">
            <w:pPr>
              <w:keepNext/>
              <w:spacing w:before="0" w:after="0" w:line="240" w:lineRule="auto"/>
              <w:ind w:left="0"/>
              <w:rPr>
                <w:sz w:val="18"/>
                <w:szCs w:val="18"/>
              </w:rPr>
            </w:pPr>
          </w:p>
          <w:p w:rsidR="00A573D0" w:rsidRPr="000C2569" w:rsidRDefault="00A573D0" w:rsidP="00A573D0">
            <w:pPr>
              <w:keepNext/>
              <w:spacing w:before="0" w:after="0" w:line="240" w:lineRule="auto"/>
              <w:ind w:left="0"/>
              <w:rPr>
                <w:sz w:val="18"/>
                <w:szCs w:val="18"/>
              </w:rPr>
            </w:pPr>
            <w:r w:rsidRPr="000C2569">
              <w:rPr>
                <w:sz w:val="18"/>
                <w:szCs w:val="18"/>
              </w:rPr>
              <w:t>Assess the oral bioavailability of apixaban solution formulation relative to tablets.</w:t>
            </w:r>
          </w:p>
        </w:tc>
      </w:tr>
      <w:tr w:rsidR="00A573D0" w:rsidRPr="000C2569" w:rsidTr="00A573D0">
        <w:tc>
          <w:tcPr>
            <w:tcW w:w="1384" w:type="dxa"/>
            <w:vMerge/>
            <w:hideMark/>
          </w:tcPr>
          <w:p w:rsidR="00A573D0" w:rsidRPr="000C2569" w:rsidRDefault="00A573D0" w:rsidP="00A573D0">
            <w:pPr>
              <w:keepNext/>
              <w:spacing w:before="0" w:after="0" w:line="240" w:lineRule="auto"/>
              <w:ind w:left="0"/>
              <w:rPr>
                <w:sz w:val="18"/>
                <w:szCs w:val="18"/>
              </w:rPr>
            </w:pP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Food Effect</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N/A</w:t>
            </w:r>
          </w:p>
        </w:tc>
        <w:tc>
          <w:tcPr>
            <w:tcW w:w="3119" w:type="dxa"/>
          </w:tcPr>
          <w:p w:rsidR="00A573D0" w:rsidRPr="000C2569" w:rsidRDefault="00A573D0" w:rsidP="00A573D0">
            <w:pPr>
              <w:keepNext/>
              <w:spacing w:before="0" w:after="0" w:line="240" w:lineRule="auto"/>
              <w:ind w:left="0"/>
              <w:rPr>
                <w:sz w:val="18"/>
                <w:szCs w:val="18"/>
              </w:rPr>
            </w:pPr>
          </w:p>
        </w:tc>
      </w:tr>
      <w:tr w:rsidR="00A573D0" w:rsidRPr="000C2569" w:rsidTr="00A573D0">
        <w:tc>
          <w:tcPr>
            <w:tcW w:w="1384" w:type="dxa"/>
            <w:vMerge w:val="restart"/>
            <w:hideMark/>
          </w:tcPr>
          <w:p w:rsidR="00A573D0" w:rsidRPr="000C2569" w:rsidRDefault="00A573D0" w:rsidP="00A573D0">
            <w:pPr>
              <w:keepNext/>
              <w:spacing w:before="0" w:after="0" w:line="240" w:lineRule="auto"/>
              <w:ind w:left="0"/>
              <w:rPr>
                <w:sz w:val="18"/>
                <w:szCs w:val="18"/>
              </w:rPr>
            </w:pPr>
            <w:r w:rsidRPr="000C2569">
              <w:rPr>
                <w:sz w:val="18"/>
                <w:szCs w:val="18"/>
              </w:rPr>
              <w:t>PK in special populations</w:t>
            </w: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Target population §</w:t>
            </w:r>
          </w:p>
          <w:p w:rsidR="00A573D0" w:rsidRPr="000C2569" w:rsidRDefault="00A573D0" w:rsidP="00A573D0">
            <w:pPr>
              <w:keepNext/>
              <w:spacing w:before="0" w:after="0" w:line="240" w:lineRule="auto"/>
              <w:ind w:left="0"/>
              <w:rPr>
                <w:sz w:val="18"/>
                <w:szCs w:val="18"/>
              </w:rPr>
            </w:pPr>
            <w:r w:rsidRPr="000C2569">
              <w:rPr>
                <w:sz w:val="18"/>
                <w:szCs w:val="18"/>
              </w:rPr>
              <w:tab/>
              <w:t>single dose</w:t>
            </w:r>
          </w:p>
          <w:p w:rsidR="00A573D0" w:rsidRPr="000C2569" w:rsidRDefault="00A573D0" w:rsidP="00A573D0">
            <w:pPr>
              <w:keepNext/>
              <w:spacing w:before="0" w:after="0" w:line="240" w:lineRule="auto"/>
              <w:ind w:left="0"/>
              <w:rPr>
                <w:sz w:val="18"/>
                <w:szCs w:val="18"/>
              </w:rPr>
            </w:pPr>
            <w:r w:rsidRPr="000C2569">
              <w:rPr>
                <w:sz w:val="18"/>
                <w:szCs w:val="18"/>
              </w:rPr>
              <w:tab/>
              <w:t>multi dose</w:t>
            </w:r>
          </w:p>
        </w:tc>
        <w:tc>
          <w:tcPr>
            <w:tcW w:w="1701" w:type="dxa"/>
          </w:tcPr>
          <w:p w:rsidR="00A573D0" w:rsidRPr="000C2569" w:rsidRDefault="00A573D0" w:rsidP="00A573D0">
            <w:pPr>
              <w:keepNext/>
              <w:spacing w:before="0" w:after="0" w:line="240" w:lineRule="auto"/>
              <w:ind w:left="0"/>
              <w:rPr>
                <w:sz w:val="18"/>
                <w:szCs w:val="18"/>
              </w:rPr>
            </w:pPr>
          </w:p>
          <w:p w:rsidR="00A573D0" w:rsidRPr="000C2569" w:rsidRDefault="00A573D0" w:rsidP="00A573D0">
            <w:pPr>
              <w:keepNext/>
              <w:spacing w:before="0" w:after="0" w:line="240" w:lineRule="auto"/>
              <w:ind w:left="0"/>
              <w:rPr>
                <w:sz w:val="18"/>
                <w:szCs w:val="18"/>
              </w:rPr>
            </w:pPr>
            <w:r w:rsidRPr="000C2569">
              <w:rPr>
                <w:sz w:val="18"/>
                <w:szCs w:val="18"/>
              </w:rPr>
              <w:t>N/A</w:t>
            </w:r>
          </w:p>
          <w:p w:rsidR="00A573D0" w:rsidRPr="000C2569" w:rsidRDefault="00A573D0" w:rsidP="00A573D0">
            <w:pPr>
              <w:keepNext/>
              <w:spacing w:before="0" w:after="0" w:line="240" w:lineRule="auto"/>
              <w:ind w:left="0"/>
              <w:rPr>
                <w:sz w:val="18"/>
                <w:szCs w:val="18"/>
              </w:rPr>
            </w:pPr>
            <w:r w:rsidRPr="000C2569">
              <w:rPr>
                <w:sz w:val="18"/>
                <w:szCs w:val="18"/>
              </w:rPr>
              <w:t>N/A</w:t>
            </w:r>
          </w:p>
        </w:tc>
        <w:tc>
          <w:tcPr>
            <w:tcW w:w="3119" w:type="dxa"/>
          </w:tcPr>
          <w:p w:rsidR="00A573D0" w:rsidRPr="000C2569" w:rsidRDefault="00A573D0" w:rsidP="00A573D0">
            <w:pPr>
              <w:keepNext/>
              <w:spacing w:before="0" w:after="0" w:line="240" w:lineRule="auto"/>
              <w:ind w:left="0"/>
              <w:rPr>
                <w:sz w:val="18"/>
                <w:szCs w:val="18"/>
              </w:rPr>
            </w:pPr>
          </w:p>
        </w:tc>
      </w:tr>
      <w:tr w:rsidR="00A573D0" w:rsidRPr="000C2569" w:rsidTr="00A573D0">
        <w:tc>
          <w:tcPr>
            <w:tcW w:w="1384" w:type="dxa"/>
            <w:vMerge/>
            <w:hideMark/>
          </w:tcPr>
          <w:p w:rsidR="00A573D0" w:rsidRPr="000C2569" w:rsidRDefault="00A573D0" w:rsidP="00A573D0">
            <w:pPr>
              <w:keepNext/>
              <w:spacing w:before="0" w:after="0" w:line="240" w:lineRule="auto"/>
              <w:ind w:left="0"/>
              <w:rPr>
                <w:sz w:val="18"/>
                <w:szCs w:val="18"/>
              </w:rPr>
            </w:pP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Hepatic impairment</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 xml:space="preserve">Study </w:t>
            </w:r>
            <w:r>
              <w:rPr>
                <w:sz w:val="18"/>
                <w:szCs w:val="18"/>
              </w:rPr>
              <w:t>CV</w:t>
            </w:r>
            <w:r w:rsidRPr="000C2569">
              <w:rPr>
                <w:sz w:val="18"/>
                <w:szCs w:val="18"/>
              </w:rPr>
              <w:t>185025</w:t>
            </w:r>
          </w:p>
        </w:tc>
        <w:tc>
          <w:tcPr>
            <w:tcW w:w="3119" w:type="dxa"/>
            <w:hideMark/>
          </w:tcPr>
          <w:p w:rsidR="00A573D0" w:rsidRPr="000C2569" w:rsidRDefault="00A573D0" w:rsidP="00A573D0">
            <w:pPr>
              <w:keepNext/>
              <w:spacing w:before="0" w:after="0" w:line="240" w:lineRule="auto"/>
              <w:ind w:left="0"/>
              <w:rPr>
                <w:sz w:val="18"/>
                <w:szCs w:val="18"/>
              </w:rPr>
            </w:pPr>
            <w:r w:rsidRPr="000C2569">
              <w:rPr>
                <w:sz w:val="18"/>
                <w:szCs w:val="18"/>
              </w:rPr>
              <w:t>Assess stable hepatic impairment on the PK of apixaban</w:t>
            </w:r>
          </w:p>
        </w:tc>
      </w:tr>
      <w:tr w:rsidR="00A573D0" w:rsidRPr="000C2569" w:rsidTr="00A573D0">
        <w:tc>
          <w:tcPr>
            <w:tcW w:w="1384" w:type="dxa"/>
            <w:vMerge/>
            <w:hideMark/>
          </w:tcPr>
          <w:p w:rsidR="00A573D0" w:rsidRPr="000C2569" w:rsidRDefault="00A573D0" w:rsidP="00A573D0">
            <w:pPr>
              <w:keepNext/>
              <w:spacing w:before="0" w:after="0" w:line="240" w:lineRule="auto"/>
              <w:ind w:left="0"/>
              <w:rPr>
                <w:sz w:val="18"/>
                <w:szCs w:val="18"/>
              </w:rPr>
            </w:pP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Renal impairment</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N/A</w:t>
            </w:r>
          </w:p>
        </w:tc>
        <w:tc>
          <w:tcPr>
            <w:tcW w:w="3119" w:type="dxa"/>
          </w:tcPr>
          <w:p w:rsidR="00A573D0" w:rsidRPr="000C2569" w:rsidRDefault="00A573D0" w:rsidP="00A573D0">
            <w:pPr>
              <w:keepNext/>
              <w:spacing w:before="0" w:after="0" w:line="240" w:lineRule="auto"/>
              <w:ind w:left="0"/>
              <w:rPr>
                <w:sz w:val="18"/>
                <w:szCs w:val="18"/>
              </w:rPr>
            </w:pPr>
          </w:p>
        </w:tc>
      </w:tr>
      <w:tr w:rsidR="00A573D0" w:rsidRPr="000C2569" w:rsidTr="00A573D0">
        <w:tc>
          <w:tcPr>
            <w:tcW w:w="1384" w:type="dxa"/>
            <w:vMerge/>
            <w:hideMark/>
          </w:tcPr>
          <w:p w:rsidR="00A573D0" w:rsidRPr="000C2569" w:rsidRDefault="00A573D0" w:rsidP="00A573D0">
            <w:pPr>
              <w:keepNext/>
              <w:spacing w:before="0" w:after="0" w:line="240" w:lineRule="auto"/>
              <w:ind w:left="0"/>
              <w:rPr>
                <w:sz w:val="18"/>
                <w:szCs w:val="18"/>
              </w:rPr>
            </w:pP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Neonates/infants/</w:t>
            </w:r>
          </w:p>
          <w:p w:rsidR="00A573D0" w:rsidRPr="000C2569" w:rsidRDefault="00A573D0" w:rsidP="00A573D0">
            <w:pPr>
              <w:keepNext/>
              <w:spacing w:before="0" w:after="0" w:line="240" w:lineRule="auto"/>
              <w:ind w:left="0"/>
              <w:rPr>
                <w:sz w:val="18"/>
                <w:szCs w:val="18"/>
              </w:rPr>
            </w:pPr>
            <w:r w:rsidRPr="000C2569">
              <w:rPr>
                <w:sz w:val="18"/>
                <w:szCs w:val="18"/>
              </w:rPr>
              <w:t>children/adolescents</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N/A</w:t>
            </w:r>
          </w:p>
        </w:tc>
        <w:tc>
          <w:tcPr>
            <w:tcW w:w="3119" w:type="dxa"/>
          </w:tcPr>
          <w:p w:rsidR="00A573D0" w:rsidRPr="000C2569" w:rsidRDefault="00A573D0" w:rsidP="00A573D0">
            <w:pPr>
              <w:keepNext/>
              <w:spacing w:before="0" w:after="0" w:line="240" w:lineRule="auto"/>
              <w:ind w:left="0"/>
              <w:rPr>
                <w:sz w:val="18"/>
                <w:szCs w:val="18"/>
              </w:rPr>
            </w:pPr>
          </w:p>
        </w:tc>
      </w:tr>
      <w:tr w:rsidR="00A573D0" w:rsidRPr="000C2569" w:rsidTr="00A573D0">
        <w:tc>
          <w:tcPr>
            <w:tcW w:w="1384" w:type="dxa"/>
            <w:vMerge/>
            <w:hideMark/>
          </w:tcPr>
          <w:p w:rsidR="00A573D0" w:rsidRPr="000C2569" w:rsidRDefault="00A573D0" w:rsidP="00A573D0">
            <w:pPr>
              <w:keepNext/>
              <w:spacing w:before="0" w:after="0" w:line="240" w:lineRule="auto"/>
              <w:ind w:left="0"/>
              <w:rPr>
                <w:sz w:val="18"/>
                <w:szCs w:val="18"/>
              </w:rPr>
            </w:pP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Elderly</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N/A</w:t>
            </w:r>
          </w:p>
        </w:tc>
        <w:tc>
          <w:tcPr>
            <w:tcW w:w="3119" w:type="dxa"/>
          </w:tcPr>
          <w:p w:rsidR="00A573D0" w:rsidRPr="000C2569" w:rsidRDefault="00A573D0" w:rsidP="00A573D0">
            <w:pPr>
              <w:keepNext/>
              <w:spacing w:before="0" w:after="0" w:line="240" w:lineRule="auto"/>
              <w:ind w:left="0"/>
              <w:rPr>
                <w:sz w:val="18"/>
                <w:szCs w:val="18"/>
              </w:rPr>
            </w:pPr>
          </w:p>
        </w:tc>
      </w:tr>
      <w:tr w:rsidR="00A573D0" w:rsidRPr="000C2569" w:rsidTr="00A573D0">
        <w:tc>
          <w:tcPr>
            <w:tcW w:w="1384" w:type="dxa"/>
            <w:vMerge/>
            <w:hideMark/>
          </w:tcPr>
          <w:p w:rsidR="00A573D0" w:rsidRPr="000C2569" w:rsidRDefault="00A573D0" w:rsidP="00A573D0">
            <w:pPr>
              <w:keepNext/>
              <w:spacing w:before="0" w:after="0" w:line="240" w:lineRule="auto"/>
              <w:ind w:left="0"/>
              <w:rPr>
                <w:sz w:val="18"/>
                <w:szCs w:val="18"/>
              </w:rPr>
            </w:pP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Other special population</w:t>
            </w:r>
            <w:r>
              <w:rPr>
                <w:sz w:val="18"/>
                <w:szCs w:val="18"/>
              </w:rPr>
              <w:t>s</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PPK Study</w:t>
            </w:r>
          </w:p>
        </w:tc>
        <w:tc>
          <w:tcPr>
            <w:tcW w:w="3119" w:type="dxa"/>
            <w:hideMark/>
          </w:tcPr>
          <w:p w:rsidR="00A573D0" w:rsidRPr="000C2569" w:rsidRDefault="00A573D0" w:rsidP="00A573D0">
            <w:pPr>
              <w:keepNext/>
              <w:spacing w:before="0" w:after="0" w:line="240" w:lineRule="auto"/>
              <w:ind w:left="0"/>
              <w:rPr>
                <w:sz w:val="18"/>
                <w:szCs w:val="18"/>
              </w:rPr>
            </w:pPr>
            <w:r w:rsidRPr="000C2569">
              <w:rPr>
                <w:sz w:val="18"/>
                <w:szCs w:val="18"/>
              </w:rPr>
              <w:t>To describe the PK of apixaban in healthy subjects and individuals with non-valvular AF</w:t>
            </w:r>
          </w:p>
        </w:tc>
      </w:tr>
      <w:tr w:rsidR="00A573D0" w:rsidRPr="000C2569" w:rsidTr="00A573D0">
        <w:tc>
          <w:tcPr>
            <w:tcW w:w="1384" w:type="dxa"/>
            <w:hideMark/>
          </w:tcPr>
          <w:p w:rsidR="00A573D0" w:rsidRPr="000C2569" w:rsidRDefault="00A573D0" w:rsidP="00A573D0">
            <w:pPr>
              <w:keepNext/>
              <w:spacing w:before="0" w:after="0" w:line="240" w:lineRule="auto"/>
              <w:ind w:left="0"/>
              <w:rPr>
                <w:sz w:val="18"/>
                <w:szCs w:val="18"/>
              </w:rPr>
            </w:pPr>
            <w:r w:rsidRPr="000C2569">
              <w:rPr>
                <w:sz w:val="18"/>
                <w:szCs w:val="18"/>
              </w:rPr>
              <w:t>Genetic/ gender-related PK</w:t>
            </w: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Males versus females.</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PPK study</w:t>
            </w:r>
          </w:p>
        </w:tc>
        <w:tc>
          <w:tcPr>
            <w:tcW w:w="3119" w:type="dxa"/>
            <w:hideMark/>
          </w:tcPr>
          <w:p w:rsidR="00A573D0" w:rsidRPr="000C2569" w:rsidRDefault="00A573D0" w:rsidP="00A573D0">
            <w:pPr>
              <w:keepNext/>
              <w:spacing w:before="0" w:after="0" w:line="240" w:lineRule="auto"/>
              <w:ind w:left="0"/>
              <w:rPr>
                <w:sz w:val="18"/>
                <w:szCs w:val="18"/>
              </w:rPr>
            </w:pPr>
            <w:r w:rsidRPr="000C2569">
              <w:rPr>
                <w:sz w:val="18"/>
                <w:szCs w:val="18"/>
              </w:rPr>
              <w:t>See above.</w:t>
            </w:r>
          </w:p>
        </w:tc>
      </w:tr>
      <w:tr w:rsidR="00A573D0" w:rsidRPr="000C2569" w:rsidTr="00A573D0">
        <w:tc>
          <w:tcPr>
            <w:tcW w:w="1384" w:type="dxa"/>
            <w:hideMark/>
          </w:tcPr>
          <w:p w:rsidR="00A573D0" w:rsidRPr="000C2569" w:rsidRDefault="00A573D0" w:rsidP="00A573D0">
            <w:pPr>
              <w:keepNext/>
              <w:spacing w:before="0" w:after="0" w:line="240" w:lineRule="auto"/>
              <w:ind w:left="0"/>
              <w:rPr>
                <w:sz w:val="18"/>
                <w:szCs w:val="18"/>
              </w:rPr>
            </w:pPr>
            <w:r w:rsidRPr="000C2569">
              <w:rPr>
                <w:sz w:val="18"/>
                <w:szCs w:val="18"/>
              </w:rPr>
              <w:t>PK Interactions</w:t>
            </w: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None</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None</w:t>
            </w:r>
          </w:p>
        </w:tc>
        <w:tc>
          <w:tcPr>
            <w:tcW w:w="3119" w:type="dxa"/>
          </w:tcPr>
          <w:p w:rsidR="00A573D0" w:rsidRPr="000C2569" w:rsidRDefault="00A573D0" w:rsidP="00A573D0">
            <w:pPr>
              <w:keepNext/>
              <w:spacing w:before="0" w:after="0" w:line="240" w:lineRule="auto"/>
              <w:ind w:left="0"/>
              <w:rPr>
                <w:sz w:val="18"/>
                <w:szCs w:val="18"/>
              </w:rPr>
            </w:pPr>
          </w:p>
        </w:tc>
      </w:tr>
      <w:tr w:rsidR="00A573D0" w:rsidRPr="000C2569" w:rsidTr="00A573D0">
        <w:tc>
          <w:tcPr>
            <w:tcW w:w="1384" w:type="dxa"/>
            <w:hideMark/>
          </w:tcPr>
          <w:p w:rsidR="00A573D0" w:rsidRPr="000C2569" w:rsidRDefault="00A573D0" w:rsidP="00A573D0">
            <w:pPr>
              <w:keepNext/>
              <w:spacing w:before="0" w:after="0" w:line="240" w:lineRule="auto"/>
              <w:ind w:left="0"/>
              <w:rPr>
                <w:sz w:val="18"/>
                <w:szCs w:val="18"/>
              </w:rPr>
            </w:pPr>
            <w:r w:rsidRPr="000C2569">
              <w:rPr>
                <w:sz w:val="18"/>
                <w:szCs w:val="18"/>
              </w:rPr>
              <w:t xml:space="preserve">Population </w:t>
            </w:r>
          </w:p>
          <w:p w:rsidR="00A573D0" w:rsidRPr="000C2569" w:rsidRDefault="00A573D0" w:rsidP="00A573D0">
            <w:pPr>
              <w:keepNext/>
              <w:spacing w:before="0" w:after="0" w:line="240" w:lineRule="auto"/>
              <w:ind w:left="0"/>
              <w:rPr>
                <w:sz w:val="18"/>
                <w:szCs w:val="18"/>
              </w:rPr>
            </w:pPr>
            <w:r w:rsidRPr="000C2569">
              <w:rPr>
                <w:sz w:val="18"/>
                <w:szCs w:val="18"/>
              </w:rPr>
              <w:t>PK Analyses</w:t>
            </w: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Healthy subjects</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PPK Study</w:t>
            </w:r>
          </w:p>
        </w:tc>
        <w:tc>
          <w:tcPr>
            <w:tcW w:w="3119" w:type="dxa"/>
            <w:hideMark/>
          </w:tcPr>
          <w:p w:rsidR="00A573D0" w:rsidRPr="000C2569" w:rsidRDefault="00A573D0" w:rsidP="00A573D0">
            <w:pPr>
              <w:keepNext/>
              <w:spacing w:before="0" w:after="0" w:line="240" w:lineRule="auto"/>
              <w:ind w:left="0"/>
              <w:rPr>
                <w:sz w:val="18"/>
                <w:szCs w:val="18"/>
              </w:rPr>
            </w:pPr>
            <w:r w:rsidRPr="000C2569">
              <w:rPr>
                <w:sz w:val="18"/>
                <w:szCs w:val="18"/>
              </w:rPr>
              <w:t>See above.</w:t>
            </w:r>
          </w:p>
        </w:tc>
      </w:tr>
      <w:tr w:rsidR="00A573D0" w:rsidRPr="000C2569" w:rsidTr="00A573D0">
        <w:tc>
          <w:tcPr>
            <w:tcW w:w="1384" w:type="dxa"/>
          </w:tcPr>
          <w:p w:rsidR="00A573D0" w:rsidRPr="000C2569" w:rsidRDefault="00A573D0" w:rsidP="00A573D0">
            <w:pPr>
              <w:keepNext/>
              <w:spacing w:before="0" w:after="0" w:line="240" w:lineRule="auto"/>
              <w:ind w:left="0"/>
              <w:rPr>
                <w:sz w:val="18"/>
                <w:szCs w:val="18"/>
              </w:rPr>
            </w:pP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Target Population</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PPK Study</w:t>
            </w:r>
          </w:p>
        </w:tc>
        <w:tc>
          <w:tcPr>
            <w:tcW w:w="3119" w:type="dxa"/>
            <w:hideMark/>
          </w:tcPr>
          <w:p w:rsidR="00A573D0" w:rsidRPr="000C2569" w:rsidRDefault="00A573D0" w:rsidP="00A573D0">
            <w:pPr>
              <w:keepNext/>
              <w:spacing w:before="0" w:after="0" w:line="240" w:lineRule="auto"/>
              <w:ind w:left="0"/>
              <w:rPr>
                <w:sz w:val="18"/>
                <w:szCs w:val="18"/>
              </w:rPr>
            </w:pPr>
            <w:r w:rsidRPr="000C2569">
              <w:rPr>
                <w:sz w:val="18"/>
                <w:szCs w:val="18"/>
              </w:rPr>
              <w:t>See above</w:t>
            </w:r>
          </w:p>
        </w:tc>
      </w:tr>
      <w:tr w:rsidR="00A573D0" w:rsidRPr="000C2569" w:rsidTr="00A573D0">
        <w:tc>
          <w:tcPr>
            <w:tcW w:w="1384" w:type="dxa"/>
          </w:tcPr>
          <w:p w:rsidR="00A573D0" w:rsidRPr="000C2569" w:rsidRDefault="00A573D0" w:rsidP="00A573D0">
            <w:pPr>
              <w:keepNext/>
              <w:spacing w:before="0" w:after="0" w:line="240" w:lineRule="auto"/>
              <w:ind w:left="0"/>
              <w:rPr>
                <w:sz w:val="18"/>
                <w:szCs w:val="18"/>
              </w:rPr>
            </w:pPr>
          </w:p>
        </w:tc>
        <w:tc>
          <w:tcPr>
            <w:tcW w:w="2126" w:type="dxa"/>
            <w:hideMark/>
          </w:tcPr>
          <w:p w:rsidR="00A573D0" w:rsidRPr="000C2569" w:rsidRDefault="00A573D0" w:rsidP="00A573D0">
            <w:pPr>
              <w:keepNext/>
              <w:spacing w:before="0" w:after="0" w:line="240" w:lineRule="auto"/>
              <w:ind w:left="0"/>
              <w:rPr>
                <w:sz w:val="18"/>
                <w:szCs w:val="18"/>
              </w:rPr>
            </w:pPr>
            <w:r w:rsidRPr="000C2569">
              <w:rPr>
                <w:sz w:val="18"/>
                <w:szCs w:val="18"/>
              </w:rPr>
              <w:t>Other</w:t>
            </w:r>
          </w:p>
        </w:tc>
        <w:tc>
          <w:tcPr>
            <w:tcW w:w="1701" w:type="dxa"/>
            <w:hideMark/>
          </w:tcPr>
          <w:p w:rsidR="00A573D0" w:rsidRPr="000C2569" w:rsidRDefault="00A573D0" w:rsidP="00A573D0">
            <w:pPr>
              <w:keepNext/>
              <w:spacing w:before="0" w:after="0" w:line="240" w:lineRule="auto"/>
              <w:ind w:left="0"/>
              <w:rPr>
                <w:sz w:val="18"/>
                <w:szCs w:val="18"/>
              </w:rPr>
            </w:pPr>
            <w:r w:rsidRPr="000C2569">
              <w:rPr>
                <w:sz w:val="18"/>
                <w:szCs w:val="18"/>
              </w:rPr>
              <w:t>N/A</w:t>
            </w:r>
          </w:p>
        </w:tc>
        <w:tc>
          <w:tcPr>
            <w:tcW w:w="3119" w:type="dxa"/>
          </w:tcPr>
          <w:p w:rsidR="00A573D0" w:rsidRPr="000C2569" w:rsidRDefault="00A573D0" w:rsidP="00A573D0">
            <w:pPr>
              <w:keepNext/>
              <w:spacing w:before="0" w:after="0" w:line="240" w:lineRule="auto"/>
              <w:ind w:left="0"/>
              <w:rPr>
                <w:sz w:val="18"/>
                <w:szCs w:val="18"/>
              </w:rPr>
            </w:pPr>
          </w:p>
        </w:tc>
      </w:tr>
    </w:tbl>
    <w:p w:rsidR="00A573D0" w:rsidRPr="00E50971" w:rsidRDefault="00A573D0" w:rsidP="00E50971">
      <w:pPr>
        <w:pStyle w:val="TableDescription"/>
      </w:pPr>
      <w:r w:rsidRPr="00E50971">
        <w:t>† Bioequivalence of different formulations.</w:t>
      </w:r>
    </w:p>
    <w:p w:rsidR="00A573D0" w:rsidRPr="00E50971" w:rsidRDefault="00A573D0" w:rsidP="00E50971">
      <w:pPr>
        <w:pStyle w:val="TableDescription"/>
      </w:pPr>
      <w:r w:rsidRPr="00E50971">
        <w:t>§ Subjects who would be eligible to receive the drug if approved for the proposed indication.</w:t>
      </w:r>
    </w:p>
    <w:p w:rsidR="00FE4B72" w:rsidRPr="00FE4B72" w:rsidRDefault="00FE4B72" w:rsidP="00E50971">
      <w:pPr>
        <w:pStyle w:val="Heading4"/>
      </w:pPr>
      <w:r w:rsidRPr="00FE4B72">
        <w:t>Evaluator’s overall conclusions on pharmacokinetics</w:t>
      </w:r>
      <w:bookmarkEnd w:id="104"/>
      <w:bookmarkEnd w:id="105"/>
      <w:bookmarkEnd w:id="106"/>
      <w:bookmarkEnd w:id="107"/>
      <w:bookmarkEnd w:id="108"/>
      <w:bookmarkEnd w:id="109"/>
      <w:bookmarkEnd w:id="110"/>
      <w:bookmarkEnd w:id="111"/>
    </w:p>
    <w:p w:rsidR="00FE4B72" w:rsidRPr="00E50971" w:rsidRDefault="00FE4B72" w:rsidP="00721D63">
      <w:pPr>
        <w:pStyle w:val="ListBullet"/>
      </w:pPr>
      <w:r w:rsidRPr="00FE4B72">
        <w:t>F</w:t>
      </w:r>
      <w:r w:rsidRPr="00E50971">
        <w:t>ollowing 4</w:t>
      </w:r>
      <w:r w:rsidR="000C2569" w:rsidRPr="00E50971">
        <w:t xml:space="preserve"> days of oral dosing of </w:t>
      </w:r>
      <w:proofErr w:type="spellStart"/>
      <w:r w:rsidR="0077673E" w:rsidRPr="00E50971">
        <w:t>apixaban</w:t>
      </w:r>
      <w:proofErr w:type="spellEnd"/>
      <w:r w:rsidR="0077673E" w:rsidRPr="00E50971">
        <w:t xml:space="preserve"> </w:t>
      </w:r>
      <w:r w:rsidR="000C2569" w:rsidRPr="00E50971">
        <w:t xml:space="preserve">2.5 mg every </w:t>
      </w:r>
      <w:r w:rsidRPr="00E50971">
        <w:t>12</w:t>
      </w:r>
      <w:r w:rsidR="000C2569" w:rsidRPr="00E50971">
        <w:t xml:space="preserve"> </w:t>
      </w:r>
      <w:r w:rsidRPr="00E50971">
        <w:t xml:space="preserve">h in healthy subjects the </w:t>
      </w:r>
      <w:proofErr w:type="spellStart"/>
      <w:r w:rsidRPr="00E50971">
        <w:t>Cmax</w:t>
      </w:r>
      <w:proofErr w:type="spellEnd"/>
      <w:r w:rsidRPr="00E50971">
        <w:t xml:space="preserve">, </w:t>
      </w:r>
      <w:r w:rsidR="000C2569" w:rsidRPr="00E50971">
        <w:t xml:space="preserve">time to reach </w:t>
      </w:r>
      <w:proofErr w:type="spellStart"/>
      <w:r w:rsidR="000C2569" w:rsidRPr="00E50971">
        <w:t>Cmax</w:t>
      </w:r>
      <w:proofErr w:type="spellEnd"/>
      <w:r w:rsidR="000C2569" w:rsidRPr="00E50971">
        <w:t xml:space="preserve"> (</w:t>
      </w:r>
      <w:proofErr w:type="spellStart"/>
      <w:r w:rsidRPr="00E50971">
        <w:t>Tmax</w:t>
      </w:r>
      <w:proofErr w:type="spellEnd"/>
      <w:r w:rsidR="000C2569" w:rsidRPr="00E50971">
        <w:t>)</w:t>
      </w:r>
      <w:r w:rsidRPr="00E50971">
        <w:t xml:space="preserve">, </w:t>
      </w:r>
      <w:r w:rsidR="000C2569" w:rsidRPr="00E50971">
        <w:t>AUC over the dosing interval (</w:t>
      </w:r>
      <w:proofErr w:type="spellStart"/>
      <w:r w:rsidRPr="00E50971">
        <w:t>AUC</w:t>
      </w:r>
      <w:r w:rsidR="000C2569" w:rsidRPr="00E50971">
        <w:t>tau</w:t>
      </w:r>
      <w:proofErr w:type="spellEnd"/>
      <w:r w:rsidR="000C2569" w:rsidRPr="00E50971">
        <w:t>)</w:t>
      </w:r>
      <w:r w:rsidRPr="00E50971">
        <w:t xml:space="preserve"> and </w:t>
      </w:r>
      <w:r w:rsidR="000C2569" w:rsidRPr="00E50971">
        <w:t>half life (</w:t>
      </w:r>
      <w:r w:rsidRPr="00E50971">
        <w:t>t½</w:t>
      </w:r>
      <w:r w:rsidR="000C2569" w:rsidRPr="00E50971">
        <w:t>)</w:t>
      </w:r>
      <w:r w:rsidRPr="00E50971">
        <w:t xml:space="preserve"> of </w:t>
      </w:r>
      <w:proofErr w:type="spellStart"/>
      <w:r w:rsidRPr="00E50971">
        <w:t>apixaban</w:t>
      </w:r>
      <w:proofErr w:type="spellEnd"/>
      <w:r w:rsidRPr="00E50971">
        <w:t xml:space="preserve"> were 80.5 </w:t>
      </w:r>
      <w:proofErr w:type="spellStart"/>
      <w:r w:rsidRPr="00E50971">
        <w:t>ng</w:t>
      </w:r>
      <w:proofErr w:type="spellEnd"/>
      <w:r w:rsidRPr="00E50971">
        <w:t>/</w:t>
      </w:r>
      <w:proofErr w:type="spellStart"/>
      <w:r w:rsidRPr="00E50971">
        <w:t>mL</w:t>
      </w:r>
      <w:proofErr w:type="spellEnd"/>
      <w:r w:rsidRPr="00E50971">
        <w:t xml:space="preserve">, 2 h, 527 </w:t>
      </w:r>
      <w:proofErr w:type="spellStart"/>
      <w:r w:rsidRPr="00E50971">
        <w:t>ng.h</w:t>
      </w:r>
      <w:proofErr w:type="spellEnd"/>
      <w:r w:rsidRPr="00E50971">
        <w:t>/</w:t>
      </w:r>
      <w:proofErr w:type="spellStart"/>
      <w:r w:rsidRPr="00E50971">
        <w:t>mL</w:t>
      </w:r>
      <w:proofErr w:type="spellEnd"/>
      <w:r w:rsidRPr="00E50971">
        <w:t xml:space="preserve"> and 8.65 h, respectively.</w:t>
      </w:r>
    </w:p>
    <w:p w:rsidR="00FE4B72" w:rsidRPr="00E50971" w:rsidRDefault="00FE4B72" w:rsidP="00E50971">
      <w:pPr>
        <w:pStyle w:val="ListBullet"/>
      </w:pPr>
      <w:r w:rsidRPr="00E50971">
        <w:t xml:space="preserve">The bioavailability </w:t>
      </w:r>
      <w:r w:rsidR="000C2569" w:rsidRPr="00E50971">
        <w:t xml:space="preserve">(F) </w:t>
      </w:r>
      <w:r w:rsidRPr="00E50971">
        <w:t xml:space="preserve">of 10 mg of the solution and tablet </w:t>
      </w:r>
      <w:r w:rsidR="00642C74" w:rsidRPr="00E50971">
        <w:t>formulations were similar (F=</w:t>
      </w:r>
      <w:r w:rsidRPr="00E50971">
        <w:t>105%), suggesting that the solution and tablet formulations may be used interchangeably.</w:t>
      </w:r>
    </w:p>
    <w:p w:rsidR="00FE4B72" w:rsidRPr="00E50971" w:rsidRDefault="00FE4B72" w:rsidP="00E50971">
      <w:pPr>
        <w:pStyle w:val="ListBullet"/>
      </w:pPr>
      <w:r w:rsidRPr="00E50971">
        <w:t xml:space="preserve">The AUC of 10 mg of the solution and tablet formulations were equivalent, whereas the </w:t>
      </w:r>
      <w:proofErr w:type="spellStart"/>
      <w:r w:rsidRPr="00E50971">
        <w:t>Cmax</w:t>
      </w:r>
      <w:proofErr w:type="spellEnd"/>
      <w:r w:rsidRPr="00E50971">
        <w:t xml:space="preserve"> was similar.</w:t>
      </w:r>
    </w:p>
    <w:p w:rsidR="00FE4B72" w:rsidRPr="00E50971" w:rsidRDefault="00FE4B72" w:rsidP="00E50971">
      <w:pPr>
        <w:pStyle w:val="ListBullet"/>
      </w:pPr>
      <w:r w:rsidRPr="00E50971">
        <w:lastRenderedPageBreak/>
        <w:t xml:space="preserve">No studies directly compared </w:t>
      </w:r>
      <w:proofErr w:type="spellStart"/>
      <w:r w:rsidRPr="00E50971">
        <w:t>apixaban</w:t>
      </w:r>
      <w:proofErr w:type="spellEnd"/>
      <w:r w:rsidRPr="00E50971">
        <w:t xml:space="preserve"> PK in patients with non-valvular </w:t>
      </w:r>
      <w:r w:rsidR="00071C0C" w:rsidRPr="00E50971">
        <w:t xml:space="preserve">AF </w:t>
      </w:r>
      <w:r w:rsidRPr="00E50971">
        <w:t>and healthy subjects.</w:t>
      </w:r>
    </w:p>
    <w:p w:rsidR="00FE4B72" w:rsidRPr="00E50971" w:rsidRDefault="00FE4B72" w:rsidP="00E50971">
      <w:pPr>
        <w:pStyle w:val="ListBullet"/>
      </w:pPr>
      <w:r w:rsidRPr="00E50971">
        <w:t>Mild and moderate hepatic impairment did not significan</w:t>
      </w:r>
      <w:r w:rsidR="000C2569" w:rsidRPr="00E50971">
        <w:t>tly affect the PK of a single 5 </w:t>
      </w:r>
      <w:r w:rsidRPr="00E50971">
        <w:t xml:space="preserve">mg oral dose of </w:t>
      </w:r>
      <w:proofErr w:type="spellStart"/>
      <w:r w:rsidRPr="00E50971">
        <w:t>apixaban</w:t>
      </w:r>
      <w:proofErr w:type="spellEnd"/>
      <w:r w:rsidRPr="00E50971">
        <w:t>.</w:t>
      </w:r>
    </w:p>
    <w:p w:rsidR="00FE4B72" w:rsidRPr="00E50971" w:rsidRDefault="00FE4B72" w:rsidP="00E50971">
      <w:pPr>
        <w:pStyle w:val="ListBullet"/>
      </w:pPr>
      <w:r w:rsidRPr="00E50971">
        <w:t xml:space="preserve">No studies examined the PK of </w:t>
      </w:r>
      <w:proofErr w:type="spellStart"/>
      <w:r w:rsidRPr="00E50971">
        <w:t>apixaban</w:t>
      </w:r>
      <w:proofErr w:type="spellEnd"/>
      <w:r w:rsidRPr="00E50971">
        <w:t xml:space="preserve"> in subjects with severe hepatic impairment.</w:t>
      </w:r>
    </w:p>
    <w:p w:rsidR="00FE4B72" w:rsidRPr="00E50971" w:rsidRDefault="00FE4B72" w:rsidP="00E50971">
      <w:pPr>
        <w:pStyle w:val="ListBullet"/>
      </w:pPr>
      <w:r w:rsidRPr="00E50971">
        <w:t>PPK analysis indicated that the subject’s age and gender were predictive covariates on</w:t>
      </w:r>
      <w:r w:rsidR="002963D8" w:rsidRPr="00E50971">
        <w:t xml:space="preserve"> </w:t>
      </w:r>
      <w:r w:rsidR="008D6729" w:rsidRPr="00E50971">
        <w:t xml:space="preserve">apparent </w:t>
      </w:r>
      <w:r w:rsidR="002963D8" w:rsidRPr="00E50971">
        <w:t>non renal clearance (</w:t>
      </w:r>
      <w:r w:rsidRPr="00E50971">
        <w:t>CLNR/F</w:t>
      </w:r>
      <w:r w:rsidR="002963D8" w:rsidRPr="00E50971">
        <w:t>)</w:t>
      </w:r>
      <w:r w:rsidRPr="00E50971">
        <w:t>.</w:t>
      </w:r>
      <w:r w:rsidR="00071C0C" w:rsidRPr="00E50971">
        <w:t xml:space="preserve"> </w:t>
      </w:r>
      <w:r w:rsidRPr="00E50971">
        <w:t xml:space="preserve">Body weight and patient population were found to influence </w:t>
      </w:r>
      <w:r w:rsidR="00C91B3B" w:rsidRPr="00E50971">
        <w:t>the volume of distribution central compartment (</w:t>
      </w:r>
      <w:proofErr w:type="spellStart"/>
      <w:r w:rsidRPr="00E50971">
        <w:t>Vc</w:t>
      </w:r>
      <w:proofErr w:type="spellEnd"/>
      <w:r w:rsidRPr="00E50971">
        <w:t>/F</w:t>
      </w:r>
      <w:r w:rsidR="00C91B3B" w:rsidRPr="00E50971">
        <w:t>)</w:t>
      </w:r>
      <w:r w:rsidR="008D6729" w:rsidRPr="00E50971">
        <w:t>;</w:t>
      </w:r>
      <w:r w:rsidRPr="00E50971">
        <w:t xml:space="preserve"> and Asian race, AF, recent </w:t>
      </w:r>
      <w:r w:rsidR="00C91B3B" w:rsidRPr="00E50971">
        <w:t xml:space="preserve">acute coronary syndrome </w:t>
      </w:r>
      <w:r w:rsidRPr="00E50971">
        <w:t xml:space="preserve">and strong or moderate </w:t>
      </w:r>
      <w:proofErr w:type="spellStart"/>
      <w:r w:rsidR="00642C74" w:rsidRPr="00E50971">
        <w:t>cytochrome</w:t>
      </w:r>
      <w:proofErr w:type="spellEnd"/>
      <w:r w:rsidR="00642C74" w:rsidRPr="00E50971">
        <w:t xml:space="preserve"> P450 </w:t>
      </w:r>
      <w:r w:rsidR="00C91B3B" w:rsidRPr="00E50971">
        <w:t>3A4 (</w:t>
      </w:r>
      <w:r w:rsidRPr="00E50971">
        <w:t>CYP3A4</w:t>
      </w:r>
      <w:r w:rsidR="00C91B3B" w:rsidRPr="00E50971">
        <w:t>)</w:t>
      </w:r>
      <w:r w:rsidR="00865981" w:rsidRPr="00E50971">
        <w:t>/P</w:t>
      </w:r>
      <w:r w:rsidRPr="00E50971">
        <w:t>-</w:t>
      </w:r>
      <w:proofErr w:type="spellStart"/>
      <w:r w:rsidRPr="00E50971">
        <w:t>gp</w:t>
      </w:r>
      <w:proofErr w:type="spellEnd"/>
      <w:r w:rsidRPr="00E50971">
        <w:t xml:space="preserve"> inhibitors resulted in decreased </w:t>
      </w:r>
      <w:r w:rsidR="00C91B3B" w:rsidRPr="00E50971">
        <w:t xml:space="preserve">clearance </w:t>
      </w:r>
      <w:r w:rsidRPr="00E50971">
        <w:t xml:space="preserve">compared to </w:t>
      </w:r>
      <w:r w:rsidR="00DE67F2" w:rsidRPr="00E50971">
        <w:t xml:space="preserve">clearance in </w:t>
      </w:r>
      <w:r w:rsidR="004535DD" w:rsidRPr="00E50971">
        <w:t>non-Asian subjects, healthy subjects or patients who did not receive strong or moderate CYP3A4/P-</w:t>
      </w:r>
      <w:proofErr w:type="spellStart"/>
      <w:r w:rsidR="004535DD" w:rsidRPr="00E50971">
        <w:t>gp</w:t>
      </w:r>
      <w:proofErr w:type="spellEnd"/>
      <w:r w:rsidR="004535DD" w:rsidRPr="00E50971">
        <w:t xml:space="preserve"> inhibitors, respectively</w:t>
      </w:r>
      <w:r w:rsidRPr="00E50971">
        <w:t>.</w:t>
      </w:r>
    </w:p>
    <w:p w:rsidR="008E7846" w:rsidRDefault="008E7846" w:rsidP="008E7846">
      <w:pPr>
        <w:pStyle w:val="Heading3"/>
      </w:pPr>
      <w:bookmarkStart w:id="112" w:name="_Toc363676068"/>
      <w:proofErr w:type="spellStart"/>
      <w:r w:rsidRPr="00254787">
        <w:t>Pharmacodynamics</w:t>
      </w:r>
      <w:bookmarkEnd w:id="61"/>
      <w:bookmarkEnd w:id="98"/>
      <w:bookmarkEnd w:id="99"/>
      <w:bookmarkEnd w:id="100"/>
      <w:bookmarkEnd w:id="112"/>
      <w:proofErr w:type="spellEnd"/>
    </w:p>
    <w:p w:rsidR="007F5C84" w:rsidRPr="007F5C84" w:rsidRDefault="007F5C84" w:rsidP="007F5C84">
      <w:bookmarkStart w:id="113" w:name="_Toc163441372"/>
      <w:bookmarkStart w:id="114" w:name="_Toc196046485"/>
      <w:bookmarkStart w:id="115" w:name="_Toc247691521"/>
      <w:bookmarkStart w:id="116" w:name="_Toc314842504"/>
      <w:r w:rsidRPr="007F5C84">
        <w:t xml:space="preserve">Apixaban is a reversible, direct and highly selective inhibitor of </w:t>
      </w:r>
      <w:proofErr w:type="spellStart"/>
      <w:r w:rsidR="00F41964">
        <w:t>F</w:t>
      </w:r>
      <w:r w:rsidRPr="007F5C84">
        <w:t>Xa</w:t>
      </w:r>
      <w:proofErr w:type="spellEnd"/>
      <w:r w:rsidRPr="007F5C84">
        <w:t xml:space="preserve">. It does not require </w:t>
      </w:r>
      <w:proofErr w:type="spellStart"/>
      <w:r w:rsidRPr="007F5C84">
        <w:t>antithrombin</w:t>
      </w:r>
      <w:proofErr w:type="spellEnd"/>
      <w:r w:rsidRPr="007F5C84">
        <w:t xml:space="preserve"> III for antithrombotic activity. Apixaban inhibits free and clot-bound </w:t>
      </w:r>
      <w:proofErr w:type="spellStart"/>
      <w:r w:rsidR="00F41964">
        <w:t>F</w:t>
      </w:r>
      <w:r w:rsidRPr="007F5C84">
        <w:t>Xa</w:t>
      </w:r>
      <w:proofErr w:type="spellEnd"/>
      <w:r w:rsidRPr="007F5C84">
        <w:t xml:space="preserve">, and </w:t>
      </w:r>
      <w:proofErr w:type="spellStart"/>
      <w:r w:rsidRPr="007F5C84">
        <w:t>prothrombinase</w:t>
      </w:r>
      <w:proofErr w:type="spellEnd"/>
      <w:r w:rsidRPr="007F5C84">
        <w:t xml:space="preserve"> activity. Apixaban has no direct effects on platelet aggregation, but indirectly inhibits platelet ag</w:t>
      </w:r>
      <w:r>
        <w:t xml:space="preserve">gregation induced by thrombin. </w:t>
      </w:r>
      <w:r w:rsidRPr="007F5C84">
        <w:t xml:space="preserve">By inhibiting </w:t>
      </w:r>
      <w:proofErr w:type="spellStart"/>
      <w:r w:rsidR="00F41964">
        <w:t>F</w:t>
      </w:r>
      <w:r w:rsidRPr="007F5C84">
        <w:t>Xa</w:t>
      </w:r>
      <w:proofErr w:type="spellEnd"/>
      <w:r w:rsidRPr="007F5C84">
        <w:t xml:space="preserve">, </w:t>
      </w:r>
      <w:proofErr w:type="spellStart"/>
      <w:r w:rsidRPr="007F5C84">
        <w:t>apixaban</w:t>
      </w:r>
      <w:proofErr w:type="spellEnd"/>
      <w:r w:rsidRPr="007F5C84">
        <w:t xml:space="preserve"> prevents thrombin generation and thrombus development.</w:t>
      </w:r>
    </w:p>
    <w:p w:rsidR="0003679C" w:rsidRDefault="0003679C" w:rsidP="00E50971">
      <w:pPr>
        <w:pStyle w:val="Heading4"/>
      </w:pPr>
      <w:r>
        <w:t>Studies providing pharmacodynamic data</w:t>
      </w:r>
    </w:p>
    <w:p w:rsidR="008E7846" w:rsidRDefault="0003679C" w:rsidP="0003679C">
      <w:r w:rsidRPr="0003679C">
        <w:t xml:space="preserve">Table </w:t>
      </w:r>
      <w:r w:rsidR="006C05FE">
        <w:t>4</w:t>
      </w:r>
      <w:r>
        <w:t xml:space="preserve"> </w:t>
      </w:r>
      <w:r w:rsidRPr="0003679C">
        <w:t xml:space="preserve">shows the studies relating to each </w:t>
      </w:r>
      <w:r w:rsidR="007F5C84">
        <w:t xml:space="preserve">PD </w:t>
      </w:r>
      <w:r w:rsidRPr="0003679C">
        <w:t>topic</w:t>
      </w:r>
      <w:bookmarkStart w:id="117" w:name="_Toc184439992"/>
      <w:bookmarkStart w:id="118" w:name="_Toc184440279"/>
      <w:bookmarkStart w:id="119" w:name="_Toc184444657"/>
      <w:bookmarkStart w:id="120" w:name="_Toc196046487"/>
      <w:bookmarkEnd w:id="113"/>
      <w:bookmarkEnd w:id="114"/>
      <w:bookmarkEnd w:id="115"/>
      <w:bookmarkEnd w:id="116"/>
      <w:r>
        <w:t>.</w:t>
      </w:r>
    </w:p>
    <w:p w:rsidR="00A573D0" w:rsidRPr="00241618" w:rsidRDefault="00A573D0" w:rsidP="00E50971">
      <w:pPr>
        <w:pStyle w:val="TableTitle"/>
        <w:rPr>
          <w:lang w:eastAsia="ja-JP"/>
        </w:rPr>
      </w:pPr>
      <w:proofErr w:type="gramStart"/>
      <w:r>
        <w:rPr>
          <w:lang w:eastAsia="ja-JP"/>
        </w:rPr>
        <w:t>Table 4.</w:t>
      </w:r>
      <w:proofErr w:type="gramEnd"/>
      <w:r>
        <w:rPr>
          <w:lang w:eastAsia="ja-JP"/>
        </w:rPr>
        <w:t xml:space="preserve"> </w:t>
      </w:r>
      <w:proofErr w:type="gramStart"/>
      <w:r>
        <w:rPr>
          <w:lang w:eastAsia="ja-JP"/>
        </w:rPr>
        <w:t>S</w:t>
      </w:r>
      <w:r w:rsidRPr="00241618">
        <w:rPr>
          <w:lang w:eastAsia="ja-JP"/>
        </w:rPr>
        <w:t xml:space="preserve">tudies relating to </w:t>
      </w:r>
      <w:proofErr w:type="spellStart"/>
      <w:r w:rsidRPr="00241618">
        <w:rPr>
          <w:lang w:eastAsia="ja-JP"/>
        </w:rPr>
        <w:t>pharmacodynamic</w:t>
      </w:r>
      <w:r>
        <w:rPr>
          <w:lang w:eastAsia="ja-JP"/>
        </w:rPr>
        <w:t>s</w:t>
      </w:r>
      <w:proofErr w:type="spellEnd"/>
      <w:r>
        <w:rPr>
          <w:lang w:eastAsia="ja-JP"/>
        </w:rPr>
        <w:t>.</w:t>
      </w:r>
      <w:proofErr w:type="gramEnd"/>
    </w:p>
    <w:tbl>
      <w:tblPr>
        <w:tblStyle w:val="TableTGAblue"/>
        <w:tblW w:w="8083" w:type="dxa"/>
        <w:tblLayout w:type="fixed"/>
        <w:tblLook w:val="04A0"/>
      </w:tblPr>
      <w:tblGrid>
        <w:gridCol w:w="2127"/>
        <w:gridCol w:w="1277"/>
        <w:gridCol w:w="1558"/>
        <w:gridCol w:w="3121"/>
      </w:tblGrid>
      <w:tr w:rsidR="00A573D0" w:rsidRPr="00C91B3B" w:rsidTr="00E50971">
        <w:trPr>
          <w:cnfStyle w:val="100000000000"/>
          <w:tblHeader/>
        </w:trPr>
        <w:tc>
          <w:tcPr>
            <w:tcW w:w="2127" w:type="dxa"/>
            <w:hideMark/>
          </w:tcPr>
          <w:p w:rsidR="00A573D0" w:rsidRPr="00C91B3B" w:rsidRDefault="00A573D0" w:rsidP="00A573D0">
            <w:pPr>
              <w:spacing w:line="240" w:lineRule="auto"/>
              <w:ind w:left="0"/>
              <w:rPr>
                <w:b w:val="0"/>
                <w:sz w:val="18"/>
                <w:szCs w:val="18"/>
              </w:rPr>
            </w:pPr>
            <w:r w:rsidRPr="00C91B3B">
              <w:rPr>
                <w:sz w:val="18"/>
                <w:szCs w:val="18"/>
              </w:rPr>
              <w:t>PD Topic</w:t>
            </w:r>
          </w:p>
        </w:tc>
        <w:tc>
          <w:tcPr>
            <w:tcW w:w="1277" w:type="dxa"/>
            <w:hideMark/>
          </w:tcPr>
          <w:p w:rsidR="00A573D0" w:rsidRPr="00C91B3B" w:rsidRDefault="00A573D0" w:rsidP="00A573D0">
            <w:pPr>
              <w:spacing w:line="240" w:lineRule="auto"/>
              <w:ind w:left="0"/>
              <w:rPr>
                <w:b w:val="0"/>
                <w:sz w:val="18"/>
                <w:szCs w:val="18"/>
              </w:rPr>
            </w:pPr>
            <w:r w:rsidRPr="00C91B3B">
              <w:rPr>
                <w:sz w:val="18"/>
                <w:szCs w:val="18"/>
              </w:rPr>
              <w:t>Subtopic</w:t>
            </w:r>
          </w:p>
        </w:tc>
        <w:tc>
          <w:tcPr>
            <w:tcW w:w="1558" w:type="dxa"/>
            <w:hideMark/>
          </w:tcPr>
          <w:p w:rsidR="00A573D0" w:rsidRPr="00C91B3B" w:rsidRDefault="00A573D0" w:rsidP="00A573D0">
            <w:pPr>
              <w:spacing w:line="240" w:lineRule="auto"/>
              <w:ind w:left="0"/>
              <w:rPr>
                <w:b w:val="0"/>
                <w:sz w:val="18"/>
                <w:szCs w:val="18"/>
              </w:rPr>
            </w:pPr>
            <w:r w:rsidRPr="00C91B3B">
              <w:rPr>
                <w:sz w:val="18"/>
                <w:szCs w:val="18"/>
              </w:rPr>
              <w:t>Study ID</w:t>
            </w:r>
          </w:p>
        </w:tc>
        <w:tc>
          <w:tcPr>
            <w:tcW w:w="3121" w:type="dxa"/>
            <w:hideMark/>
          </w:tcPr>
          <w:p w:rsidR="00A573D0" w:rsidRPr="00C91B3B" w:rsidRDefault="00A573D0" w:rsidP="00A573D0">
            <w:pPr>
              <w:spacing w:line="240" w:lineRule="auto"/>
              <w:ind w:left="0"/>
              <w:rPr>
                <w:b w:val="0"/>
                <w:sz w:val="18"/>
                <w:szCs w:val="18"/>
              </w:rPr>
            </w:pPr>
            <w:r w:rsidRPr="00C91B3B">
              <w:rPr>
                <w:sz w:val="18"/>
                <w:szCs w:val="18"/>
              </w:rPr>
              <w:t>Primary aim of the study</w:t>
            </w:r>
          </w:p>
        </w:tc>
      </w:tr>
      <w:tr w:rsidR="00A573D0" w:rsidRPr="00C91B3B" w:rsidTr="00A573D0">
        <w:trPr>
          <w:trHeight w:val="577"/>
        </w:trPr>
        <w:tc>
          <w:tcPr>
            <w:tcW w:w="2127" w:type="dxa"/>
            <w:hideMark/>
          </w:tcPr>
          <w:p w:rsidR="00A573D0" w:rsidRPr="00C91B3B" w:rsidRDefault="00A573D0" w:rsidP="00A573D0">
            <w:pPr>
              <w:spacing w:before="0" w:after="0" w:line="240" w:lineRule="auto"/>
              <w:ind w:left="0"/>
              <w:rPr>
                <w:sz w:val="18"/>
                <w:szCs w:val="18"/>
              </w:rPr>
            </w:pPr>
            <w:r w:rsidRPr="00C91B3B">
              <w:rPr>
                <w:sz w:val="18"/>
                <w:szCs w:val="18"/>
              </w:rPr>
              <w:t>Primary Pharmacology</w:t>
            </w:r>
          </w:p>
        </w:tc>
        <w:tc>
          <w:tcPr>
            <w:tcW w:w="1277" w:type="dxa"/>
            <w:hideMark/>
          </w:tcPr>
          <w:p w:rsidR="00A573D0" w:rsidRPr="00C91B3B" w:rsidRDefault="00A573D0" w:rsidP="00A573D0">
            <w:pPr>
              <w:spacing w:before="0" w:after="0" w:line="240" w:lineRule="auto"/>
              <w:ind w:left="0"/>
              <w:rPr>
                <w:sz w:val="18"/>
                <w:szCs w:val="18"/>
              </w:rPr>
            </w:pPr>
            <w:r w:rsidRPr="00C91B3B">
              <w:rPr>
                <w:sz w:val="18"/>
                <w:szCs w:val="18"/>
              </w:rPr>
              <w:t>Anti-</w:t>
            </w:r>
            <w:proofErr w:type="spellStart"/>
            <w:r w:rsidRPr="00C91B3B">
              <w:rPr>
                <w:sz w:val="18"/>
                <w:szCs w:val="18"/>
              </w:rPr>
              <w:t>FXa</w:t>
            </w:r>
            <w:proofErr w:type="spellEnd"/>
            <w:r w:rsidRPr="00C91B3B">
              <w:rPr>
                <w:sz w:val="18"/>
                <w:szCs w:val="18"/>
              </w:rPr>
              <w:t xml:space="preserve"> effect</w:t>
            </w:r>
          </w:p>
        </w:tc>
        <w:tc>
          <w:tcPr>
            <w:tcW w:w="1558" w:type="dxa"/>
            <w:hideMark/>
          </w:tcPr>
          <w:p w:rsidR="00A573D0" w:rsidRPr="00C91B3B" w:rsidRDefault="00A573D0" w:rsidP="00A573D0">
            <w:pPr>
              <w:spacing w:before="0" w:after="0" w:line="240" w:lineRule="auto"/>
              <w:ind w:left="0"/>
              <w:rPr>
                <w:sz w:val="18"/>
                <w:szCs w:val="18"/>
              </w:rPr>
            </w:pPr>
            <w:r w:rsidRPr="00C91B3B">
              <w:rPr>
                <w:sz w:val="18"/>
                <w:szCs w:val="18"/>
              </w:rPr>
              <w:t>Study CV185074</w:t>
            </w:r>
          </w:p>
        </w:tc>
        <w:tc>
          <w:tcPr>
            <w:tcW w:w="3121" w:type="dxa"/>
            <w:hideMark/>
          </w:tcPr>
          <w:p w:rsidR="00A573D0" w:rsidRPr="00C91B3B" w:rsidRDefault="00A573D0" w:rsidP="00A573D0">
            <w:pPr>
              <w:spacing w:before="0" w:after="0" w:line="240" w:lineRule="auto"/>
              <w:ind w:left="0"/>
              <w:rPr>
                <w:sz w:val="18"/>
                <w:szCs w:val="18"/>
              </w:rPr>
            </w:pPr>
            <w:r w:rsidRPr="00C91B3B">
              <w:rPr>
                <w:sz w:val="18"/>
                <w:szCs w:val="18"/>
              </w:rPr>
              <w:t>To assess the multi-dose anti-</w:t>
            </w:r>
            <w:proofErr w:type="spellStart"/>
            <w:r w:rsidRPr="00C91B3B">
              <w:rPr>
                <w:sz w:val="18"/>
                <w:szCs w:val="18"/>
              </w:rPr>
              <w:t>FXa</w:t>
            </w:r>
            <w:proofErr w:type="spellEnd"/>
            <w:r w:rsidRPr="00C91B3B">
              <w:rPr>
                <w:sz w:val="18"/>
                <w:szCs w:val="18"/>
              </w:rPr>
              <w:t xml:space="preserve"> activity of </w:t>
            </w:r>
            <w:proofErr w:type="spellStart"/>
            <w:r w:rsidRPr="00C91B3B">
              <w:rPr>
                <w:sz w:val="18"/>
                <w:szCs w:val="18"/>
              </w:rPr>
              <w:t>apixaban</w:t>
            </w:r>
            <w:proofErr w:type="spellEnd"/>
            <w:r w:rsidRPr="00C91B3B">
              <w:rPr>
                <w:sz w:val="18"/>
                <w:szCs w:val="18"/>
              </w:rPr>
              <w:t xml:space="preserve"> in healthy subjects.</w:t>
            </w:r>
          </w:p>
        </w:tc>
      </w:tr>
      <w:tr w:rsidR="00A573D0" w:rsidRPr="00C91B3B" w:rsidTr="00A573D0">
        <w:tc>
          <w:tcPr>
            <w:tcW w:w="2127" w:type="dxa"/>
            <w:hideMark/>
          </w:tcPr>
          <w:p w:rsidR="00A573D0" w:rsidRPr="00C91B3B" w:rsidRDefault="00A573D0" w:rsidP="00A573D0">
            <w:pPr>
              <w:spacing w:before="0" w:after="0" w:line="240" w:lineRule="auto"/>
              <w:ind w:left="0"/>
              <w:rPr>
                <w:sz w:val="18"/>
                <w:szCs w:val="18"/>
              </w:rPr>
            </w:pPr>
            <w:r w:rsidRPr="00C91B3B">
              <w:rPr>
                <w:sz w:val="18"/>
                <w:szCs w:val="18"/>
              </w:rPr>
              <w:t>Secondary Pharmacology</w:t>
            </w:r>
          </w:p>
        </w:tc>
        <w:tc>
          <w:tcPr>
            <w:tcW w:w="1277" w:type="dxa"/>
            <w:hideMark/>
          </w:tcPr>
          <w:p w:rsidR="00A573D0" w:rsidRPr="00C91B3B" w:rsidRDefault="00A573D0" w:rsidP="00A573D0">
            <w:pPr>
              <w:spacing w:before="0" w:after="0" w:line="240" w:lineRule="auto"/>
              <w:ind w:left="0"/>
              <w:rPr>
                <w:sz w:val="18"/>
                <w:szCs w:val="18"/>
              </w:rPr>
            </w:pPr>
            <w:r>
              <w:rPr>
                <w:sz w:val="18"/>
                <w:szCs w:val="18"/>
              </w:rPr>
              <w:t>NA</w:t>
            </w:r>
          </w:p>
        </w:tc>
        <w:tc>
          <w:tcPr>
            <w:tcW w:w="1558" w:type="dxa"/>
            <w:hideMark/>
          </w:tcPr>
          <w:p w:rsidR="00A573D0" w:rsidRPr="00C91B3B" w:rsidRDefault="00A573D0" w:rsidP="00A573D0">
            <w:pPr>
              <w:spacing w:before="0" w:after="0" w:line="240" w:lineRule="auto"/>
              <w:ind w:left="0"/>
              <w:rPr>
                <w:sz w:val="18"/>
                <w:szCs w:val="18"/>
              </w:rPr>
            </w:pPr>
            <w:r>
              <w:rPr>
                <w:sz w:val="18"/>
                <w:szCs w:val="18"/>
              </w:rPr>
              <w:t>NA</w:t>
            </w:r>
          </w:p>
        </w:tc>
        <w:tc>
          <w:tcPr>
            <w:tcW w:w="3121" w:type="dxa"/>
          </w:tcPr>
          <w:p w:rsidR="00A573D0" w:rsidRPr="00C91B3B" w:rsidRDefault="00A573D0" w:rsidP="00A573D0">
            <w:pPr>
              <w:spacing w:before="0" w:after="0" w:line="240" w:lineRule="auto"/>
              <w:ind w:left="0"/>
              <w:rPr>
                <w:sz w:val="18"/>
                <w:szCs w:val="18"/>
              </w:rPr>
            </w:pPr>
          </w:p>
        </w:tc>
      </w:tr>
      <w:tr w:rsidR="00A573D0" w:rsidRPr="00C91B3B" w:rsidTr="00A573D0">
        <w:tc>
          <w:tcPr>
            <w:tcW w:w="2127" w:type="dxa"/>
            <w:hideMark/>
          </w:tcPr>
          <w:p w:rsidR="00A573D0" w:rsidRPr="00C91B3B" w:rsidRDefault="00A573D0" w:rsidP="00A573D0">
            <w:pPr>
              <w:spacing w:before="0" w:after="0" w:line="240" w:lineRule="auto"/>
              <w:ind w:left="0"/>
              <w:rPr>
                <w:sz w:val="18"/>
                <w:szCs w:val="18"/>
              </w:rPr>
            </w:pPr>
            <w:r>
              <w:rPr>
                <w:sz w:val="18"/>
                <w:szCs w:val="18"/>
              </w:rPr>
              <w:t>Gender other genetic and A</w:t>
            </w:r>
            <w:r w:rsidRPr="00C91B3B">
              <w:rPr>
                <w:sz w:val="18"/>
                <w:szCs w:val="18"/>
              </w:rPr>
              <w:t>ge-Related Differences in PD Response</w:t>
            </w:r>
          </w:p>
        </w:tc>
        <w:tc>
          <w:tcPr>
            <w:tcW w:w="1277" w:type="dxa"/>
            <w:hideMark/>
          </w:tcPr>
          <w:p w:rsidR="00A573D0" w:rsidRPr="00C91B3B" w:rsidRDefault="00A573D0" w:rsidP="00A573D0">
            <w:pPr>
              <w:spacing w:before="0" w:after="0" w:line="240" w:lineRule="auto"/>
              <w:ind w:left="0"/>
              <w:rPr>
                <w:sz w:val="18"/>
                <w:szCs w:val="18"/>
              </w:rPr>
            </w:pPr>
            <w:r w:rsidRPr="00C91B3B">
              <w:rPr>
                <w:sz w:val="18"/>
                <w:szCs w:val="18"/>
              </w:rPr>
              <w:t>Effect of gender</w:t>
            </w:r>
          </w:p>
        </w:tc>
        <w:tc>
          <w:tcPr>
            <w:tcW w:w="1558" w:type="dxa"/>
            <w:hideMark/>
          </w:tcPr>
          <w:p w:rsidR="00A573D0" w:rsidRPr="00C91B3B" w:rsidRDefault="00A573D0" w:rsidP="00A573D0">
            <w:pPr>
              <w:spacing w:before="0" w:after="0" w:line="240" w:lineRule="auto"/>
              <w:ind w:left="0"/>
              <w:rPr>
                <w:sz w:val="18"/>
                <w:szCs w:val="18"/>
              </w:rPr>
            </w:pPr>
            <w:r w:rsidRPr="00C91B3B">
              <w:rPr>
                <w:sz w:val="18"/>
                <w:szCs w:val="18"/>
              </w:rPr>
              <w:t>N/A</w:t>
            </w:r>
          </w:p>
        </w:tc>
        <w:tc>
          <w:tcPr>
            <w:tcW w:w="3121" w:type="dxa"/>
          </w:tcPr>
          <w:p w:rsidR="00A573D0" w:rsidRPr="00C91B3B" w:rsidRDefault="00A573D0" w:rsidP="00A573D0">
            <w:pPr>
              <w:spacing w:before="0" w:after="0" w:line="240" w:lineRule="auto"/>
              <w:ind w:left="0"/>
              <w:rPr>
                <w:sz w:val="18"/>
                <w:szCs w:val="18"/>
              </w:rPr>
            </w:pPr>
          </w:p>
        </w:tc>
      </w:tr>
      <w:tr w:rsidR="00A573D0" w:rsidRPr="00C91B3B" w:rsidTr="00A573D0">
        <w:tc>
          <w:tcPr>
            <w:tcW w:w="2127" w:type="dxa"/>
            <w:hideMark/>
          </w:tcPr>
          <w:p w:rsidR="00A573D0" w:rsidRPr="00C91B3B" w:rsidRDefault="00A573D0" w:rsidP="00A573D0">
            <w:pPr>
              <w:spacing w:before="0" w:after="0" w:line="240" w:lineRule="auto"/>
              <w:ind w:left="0"/>
              <w:rPr>
                <w:sz w:val="18"/>
                <w:szCs w:val="18"/>
              </w:rPr>
            </w:pPr>
            <w:r w:rsidRPr="00C91B3B">
              <w:rPr>
                <w:sz w:val="18"/>
                <w:szCs w:val="18"/>
              </w:rPr>
              <w:t>PD Interactions</w:t>
            </w:r>
          </w:p>
        </w:tc>
        <w:tc>
          <w:tcPr>
            <w:tcW w:w="1277" w:type="dxa"/>
            <w:hideMark/>
          </w:tcPr>
          <w:p w:rsidR="00A573D0" w:rsidRPr="00C91B3B" w:rsidRDefault="00A573D0" w:rsidP="00A573D0">
            <w:pPr>
              <w:spacing w:before="0" w:after="0" w:line="240" w:lineRule="auto"/>
              <w:ind w:left="0"/>
              <w:rPr>
                <w:sz w:val="18"/>
                <w:szCs w:val="18"/>
              </w:rPr>
            </w:pPr>
            <w:r w:rsidRPr="00C91B3B">
              <w:rPr>
                <w:sz w:val="18"/>
                <w:szCs w:val="18"/>
              </w:rPr>
              <w:t>None provided.</w:t>
            </w:r>
          </w:p>
        </w:tc>
        <w:tc>
          <w:tcPr>
            <w:tcW w:w="1558" w:type="dxa"/>
            <w:hideMark/>
          </w:tcPr>
          <w:p w:rsidR="00A573D0" w:rsidRPr="00C91B3B" w:rsidRDefault="00A573D0" w:rsidP="00A573D0">
            <w:pPr>
              <w:spacing w:before="0" w:after="0" w:line="240" w:lineRule="auto"/>
              <w:ind w:left="0"/>
              <w:rPr>
                <w:sz w:val="18"/>
                <w:szCs w:val="18"/>
              </w:rPr>
            </w:pPr>
            <w:r w:rsidRPr="00C91B3B">
              <w:rPr>
                <w:sz w:val="18"/>
                <w:szCs w:val="18"/>
              </w:rPr>
              <w:t>None</w:t>
            </w:r>
          </w:p>
        </w:tc>
        <w:tc>
          <w:tcPr>
            <w:tcW w:w="3121" w:type="dxa"/>
          </w:tcPr>
          <w:p w:rsidR="00A573D0" w:rsidRPr="00C91B3B" w:rsidRDefault="00A573D0" w:rsidP="00A573D0">
            <w:pPr>
              <w:spacing w:before="0" w:after="0" w:line="240" w:lineRule="auto"/>
              <w:ind w:left="0"/>
              <w:rPr>
                <w:sz w:val="18"/>
                <w:szCs w:val="18"/>
              </w:rPr>
            </w:pPr>
          </w:p>
        </w:tc>
      </w:tr>
      <w:tr w:rsidR="00A573D0" w:rsidRPr="00C91B3B" w:rsidTr="00A573D0">
        <w:tc>
          <w:tcPr>
            <w:tcW w:w="2127" w:type="dxa"/>
            <w:vMerge w:val="restart"/>
            <w:hideMark/>
          </w:tcPr>
          <w:p w:rsidR="00A573D0" w:rsidRPr="00C91B3B" w:rsidRDefault="00A573D0" w:rsidP="00A573D0">
            <w:pPr>
              <w:spacing w:before="0" w:after="0" w:line="240" w:lineRule="auto"/>
              <w:ind w:left="0"/>
              <w:rPr>
                <w:sz w:val="18"/>
                <w:szCs w:val="18"/>
              </w:rPr>
            </w:pPr>
            <w:r>
              <w:rPr>
                <w:sz w:val="18"/>
                <w:szCs w:val="18"/>
              </w:rPr>
              <w:t>Population PD and PK/</w:t>
            </w:r>
            <w:r w:rsidRPr="00C91B3B">
              <w:rPr>
                <w:sz w:val="18"/>
                <w:szCs w:val="18"/>
              </w:rPr>
              <w:t>PD analyses</w:t>
            </w:r>
          </w:p>
        </w:tc>
        <w:tc>
          <w:tcPr>
            <w:tcW w:w="1277" w:type="dxa"/>
            <w:hideMark/>
          </w:tcPr>
          <w:p w:rsidR="00A573D0" w:rsidRPr="00C91B3B" w:rsidRDefault="00A573D0" w:rsidP="00A573D0">
            <w:pPr>
              <w:spacing w:before="0" w:after="0" w:line="240" w:lineRule="auto"/>
              <w:ind w:left="0"/>
              <w:rPr>
                <w:sz w:val="18"/>
                <w:szCs w:val="18"/>
              </w:rPr>
            </w:pPr>
            <w:r w:rsidRPr="00C91B3B">
              <w:rPr>
                <w:sz w:val="18"/>
                <w:szCs w:val="18"/>
              </w:rPr>
              <w:t>Healthy subjects</w:t>
            </w:r>
          </w:p>
        </w:tc>
        <w:tc>
          <w:tcPr>
            <w:tcW w:w="1558" w:type="dxa"/>
            <w:hideMark/>
          </w:tcPr>
          <w:p w:rsidR="00A573D0" w:rsidRPr="00C91B3B" w:rsidRDefault="00A573D0" w:rsidP="00A573D0">
            <w:pPr>
              <w:spacing w:before="0" w:after="0" w:line="240" w:lineRule="auto"/>
              <w:ind w:left="0"/>
              <w:rPr>
                <w:sz w:val="18"/>
                <w:szCs w:val="18"/>
              </w:rPr>
            </w:pPr>
            <w:r w:rsidRPr="00C91B3B">
              <w:rPr>
                <w:sz w:val="18"/>
                <w:szCs w:val="18"/>
              </w:rPr>
              <w:t>N/A</w:t>
            </w:r>
          </w:p>
        </w:tc>
        <w:tc>
          <w:tcPr>
            <w:tcW w:w="3121" w:type="dxa"/>
            <w:hideMark/>
          </w:tcPr>
          <w:p w:rsidR="00A573D0" w:rsidRPr="00C91B3B" w:rsidRDefault="00A573D0" w:rsidP="00A573D0">
            <w:pPr>
              <w:spacing w:before="0" w:after="0" w:line="240" w:lineRule="auto"/>
              <w:ind w:left="0"/>
              <w:rPr>
                <w:sz w:val="18"/>
                <w:szCs w:val="18"/>
              </w:rPr>
            </w:pPr>
            <w:r w:rsidRPr="00C91B3B">
              <w:rPr>
                <w:sz w:val="18"/>
                <w:szCs w:val="18"/>
              </w:rPr>
              <w:t>Characterisation of the relationships between apixaban plasma concentration and anti-</w:t>
            </w:r>
            <w:proofErr w:type="spellStart"/>
            <w:r w:rsidRPr="00C91B3B">
              <w:rPr>
                <w:sz w:val="18"/>
                <w:szCs w:val="18"/>
              </w:rPr>
              <w:t>FXa</w:t>
            </w:r>
            <w:proofErr w:type="spellEnd"/>
            <w:r w:rsidRPr="00C91B3B">
              <w:rPr>
                <w:sz w:val="18"/>
                <w:szCs w:val="18"/>
              </w:rPr>
              <w:t xml:space="preserve"> activity.</w:t>
            </w:r>
          </w:p>
        </w:tc>
      </w:tr>
      <w:tr w:rsidR="00A573D0" w:rsidRPr="00C91B3B" w:rsidTr="00A573D0">
        <w:tc>
          <w:tcPr>
            <w:tcW w:w="2127" w:type="dxa"/>
            <w:vMerge/>
            <w:hideMark/>
          </w:tcPr>
          <w:p w:rsidR="00A573D0" w:rsidRPr="00C91B3B" w:rsidRDefault="00A573D0" w:rsidP="00A573D0">
            <w:pPr>
              <w:spacing w:before="0" w:after="0" w:line="240" w:lineRule="auto"/>
              <w:ind w:left="0"/>
              <w:rPr>
                <w:sz w:val="18"/>
                <w:szCs w:val="18"/>
              </w:rPr>
            </w:pPr>
          </w:p>
        </w:tc>
        <w:tc>
          <w:tcPr>
            <w:tcW w:w="1277" w:type="dxa"/>
            <w:hideMark/>
          </w:tcPr>
          <w:p w:rsidR="00A573D0" w:rsidRPr="00C91B3B" w:rsidRDefault="00A573D0" w:rsidP="00A573D0">
            <w:pPr>
              <w:spacing w:before="0" w:after="0" w:line="240" w:lineRule="auto"/>
              <w:ind w:left="0"/>
              <w:rPr>
                <w:sz w:val="18"/>
                <w:szCs w:val="18"/>
              </w:rPr>
            </w:pPr>
            <w:r w:rsidRPr="00C91B3B">
              <w:rPr>
                <w:sz w:val="18"/>
                <w:szCs w:val="18"/>
              </w:rPr>
              <w:t>Target population</w:t>
            </w:r>
          </w:p>
        </w:tc>
        <w:tc>
          <w:tcPr>
            <w:tcW w:w="1558" w:type="dxa"/>
            <w:hideMark/>
          </w:tcPr>
          <w:p w:rsidR="00A573D0" w:rsidRPr="00C91B3B" w:rsidRDefault="00A573D0" w:rsidP="00A573D0">
            <w:pPr>
              <w:spacing w:before="0" w:after="0" w:line="240" w:lineRule="auto"/>
              <w:ind w:left="0"/>
              <w:rPr>
                <w:sz w:val="18"/>
                <w:szCs w:val="18"/>
              </w:rPr>
            </w:pPr>
            <w:r w:rsidRPr="00C91B3B">
              <w:rPr>
                <w:sz w:val="18"/>
                <w:szCs w:val="18"/>
              </w:rPr>
              <w:t>N/A</w:t>
            </w:r>
          </w:p>
        </w:tc>
        <w:tc>
          <w:tcPr>
            <w:tcW w:w="3121" w:type="dxa"/>
            <w:hideMark/>
          </w:tcPr>
          <w:p w:rsidR="00A573D0" w:rsidRPr="00C91B3B" w:rsidRDefault="00A573D0" w:rsidP="00A573D0">
            <w:pPr>
              <w:spacing w:before="0" w:after="0" w:line="240" w:lineRule="auto"/>
              <w:ind w:left="0"/>
              <w:rPr>
                <w:sz w:val="18"/>
                <w:szCs w:val="18"/>
              </w:rPr>
            </w:pPr>
            <w:r w:rsidRPr="00C91B3B">
              <w:rPr>
                <w:sz w:val="18"/>
                <w:szCs w:val="18"/>
              </w:rPr>
              <w:t>See above.</w:t>
            </w:r>
          </w:p>
        </w:tc>
      </w:tr>
    </w:tbl>
    <w:p w:rsidR="00A573D0" w:rsidRDefault="00A573D0" w:rsidP="00E50971">
      <w:pPr>
        <w:pStyle w:val="TableDescription"/>
      </w:pPr>
      <w:r w:rsidRPr="0003679C">
        <w:t xml:space="preserve">§ Subjects who would be eligible to receive the drug if approved for the proposed indication. </w:t>
      </w:r>
    </w:p>
    <w:p w:rsidR="00A573D0" w:rsidRPr="0003679C" w:rsidRDefault="00A573D0" w:rsidP="00E50971">
      <w:pPr>
        <w:pStyle w:val="TableDescription"/>
      </w:pPr>
      <w:r w:rsidRPr="0003679C">
        <w:t>‡ And adolescents if applicable.</w:t>
      </w:r>
    </w:p>
    <w:p w:rsidR="0003679C" w:rsidRPr="0003679C" w:rsidRDefault="0003679C" w:rsidP="00E50971">
      <w:r w:rsidRPr="0003679C">
        <w:t xml:space="preserve">None of the </w:t>
      </w:r>
      <w:r w:rsidR="00C91B3B">
        <w:t xml:space="preserve">PD </w:t>
      </w:r>
      <w:r w:rsidRPr="0003679C">
        <w:t>studies had deficiencies that excluded their results from consideration.</w:t>
      </w:r>
    </w:p>
    <w:p w:rsidR="0003679C" w:rsidRPr="0003679C" w:rsidRDefault="0003679C" w:rsidP="00E50971">
      <w:pPr>
        <w:pStyle w:val="Heading4"/>
      </w:pPr>
      <w:bookmarkStart w:id="121" w:name="_Toc340050277"/>
      <w:bookmarkStart w:id="122" w:name="_Toc300307613"/>
      <w:bookmarkStart w:id="123" w:name="_Toc290846270"/>
      <w:bookmarkStart w:id="124" w:name="_Toc272414648"/>
      <w:bookmarkStart w:id="125" w:name="_Ref269983272"/>
      <w:r w:rsidRPr="0003679C">
        <w:t xml:space="preserve">Evaluator’s overall conclusions on </w:t>
      </w:r>
      <w:proofErr w:type="spellStart"/>
      <w:r w:rsidRPr="0003679C">
        <w:t>pharmacodynamics</w:t>
      </w:r>
      <w:bookmarkEnd w:id="121"/>
      <w:bookmarkEnd w:id="122"/>
      <w:bookmarkEnd w:id="123"/>
      <w:bookmarkEnd w:id="124"/>
      <w:bookmarkEnd w:id="125"/>
      <w:proofErr w:type="spellEnd"/>
    </w:p>
    <w:p w:rsidR="0003679C" w:rsidRPr="0003679C" w:rsidRDefault="0003679C" w:rsidP="0003679C">
      <w:r w:rsidRPr="0003679C">
        <w:t>In h</w:t>
      </w:r>
      <w:r w:rsidR="00E50971">
        <w:t>ealthy subjects:</w:t>
      </w:r>
    </w:p>
    <w:p w:rsidR="0003679C" w:rsidRPr="0003679C" w:rsidRDefault="0003679C" w:rsidP="002F1D65">
      <w:pPr>
        <w:pStyle w:val="ListBullet"/>
      </w:pPr>
      <w:proofErr w:type="gramStart"/>
      <w:r w:rsidRPr="0003679C">
        <w:t>there</w:t>
      </w:r>
      <w:proofErr w:type="gramEnd"/>
      <w:r w:rsidRPr="0003679C">
        <w:t xml:space="preserve"> was a close temporal relationship between changes in </w:t>
      </w:r>
      <w:proofErr w:type="spellStart"/>
      <w:r w:rsidRPr="0003679C">
        <w:t>apixaban</w:t>
      </w:r>
      <w:proofErr w:type="spellEnd"/>
      <w:r w:rsidRPr="0003679C">
        <w:t xml:space="preserve"> and </w:t>
      </w:r>
      <w:proofErr w:type="spellStart"/>
      <w:r w:rsidRPr="0003679C">
        <w:t>rivaroxaban</w:t>
      </w:r>
      <w:proofErr w:type="spellEnd"/>
      <w:r w:rsidRPr="0003679C">
        <w:t xml:space="preserve"> </w:t>
      </w:r>
      <w:r w:rsidR="00DE67F2">
        <w:t xml:space="preserve">(also a </w:t>
      </w:r>
      <w:proofErr w:type="spellStart"/>
      <w:r w:rsidR="00DE67F2">
        <w:t>FXa</w:t>
      </w:r>
      <w:proofErr w:type="spellEnd"/>
      <w:r w:rsidR="00DE67F2">
        <w:t xml:space="preserve"> inhibitor) </w:t>
      </w:r>
      <w:r w:rsidRPr="0003679C">
        <w:t xml:space="preserve">plasma concentrations and changes in </w:t>
      </w:r>
      <w:r w:rsidR="00C91B3B" w:rsidRPr="00C91B3B">
        <w:t>anti-</w:t>
      </w:r>
      <w:proofErr w:type="spellStart"/>
      <w:r w:rsidR="00DD5B34">
        <w:t>F</w:t>
      </w:r>
      <w:r w:rsidR="00C91B3B" w:rsidRPr="00C91B3B">
        <w:t>Xa</w:t>
      </w:r>
      <w:proofErr w:type="spellEnd"/>
      <w:r w:rsidR="00C91B3B" w:rsidRPr="00C91B3B">
        <w:t xml:space="preserve"> activity</w:t>
      </w:r>
      <w:r w:rsidRPr="0003679C">
        <w:t>, with no delay of onset observed.</w:t>
      </w:r>
    </w:p>
    <w:p w:rsidR="0003679C" w:rsidRPr="0003679C" w:rsidRDefault="0003679C" w:rsidP="0003679C">
      <w:pPr>
        <w:pStyle w:val="ListBullet"/>
      </w:pPr>
      <w:proofErr w:type="gramStart"/>
      <w:r w:rsidRPr="0003679C">
        <w:lastRenderedPageBreak/>
        <w:t>for</w:t>
      </w:r>
      <w:proofErr w:type="gramEnd"/>
      <w:r w:rsidRPr="0003679C">
        <w:t xml:space="preserve"> both </w:t>
      </w:r>
      <w:proofErr w:type="spellStart"/>
      <w:r w:rsidRPr="0003679C">
        <w:t>apixaban</w:t>
      </w:r>
      <w:proofErr w:type="spellEnd"/>
      <w:r w:rsidRPr="0003679C">
        <w:t xml:space="preserve"> and </w:t>
      </w:r>
      <w:proofErr w:type="spellStart"/>
      <w:r w:rsidRPr="0003679C">
        <w:t>rivaroxaban</w:t>
      </w:r>
      <w:proofErr w:type="spellEnd"/>
      <w:r w:rsidRPr="0003679C">
        <w:t xml:space="preserve">, a linear relationship between plasma concentration and </w:t>
      </w:r>
      <w:r w:rsidR="00E12F88" w:rsidRPr="00C91B3B">
        <w:t>anti-</w:t>
      </w:r>
      <w:proofErr w:type="spellStart"/>
      <w:r w:rsidR="00E12F88">
        <w:t>F</w:t>
      </w:r>
      <w:r w:rsidR="00E12F88" w:rsidRPr="00C91B3B">
        <w:t>Xa</w:t>
      </w:r>
      <w:proofErr w:type="spellEnd"/>
      <w:r w:rsidR="00E12F88" w:rsidRPr="00C91B3B">
        <w:t xml:space="preserve"> activity</w:t>
      </w:r>
      <w:r w:rsidRPr="0003679C">
        <w:t xml:space="preserve"> was observed.</w:t>
      </w:r>
      <w:r w:rsidR="00071C0C">
        <w:t xml:space="preserve"> </w:t>
      </w:r>
      <w:r w:rsidRPr="0003679C">
        <w:t xml:space="preserve">However, further PPK modelling indicated that a linear relationship between concentration and </w:t>
      </w:r>
      <w:r w:rsidR="00E12F88" w:rsidRPr="00C91B3B">
        <w:t>anti-</w:t>
      </w:r>
      <w:proofErr w:type="spellStart"/>
      <w:r w:rsidR="00E12F88">
        <w:t>F</w:t>
      </w:r>
      <w:r w:rsidR="00E12F88" w:rsidRPr="00C91B3B">
        <w:t>Xa</w:t>
      </w:r>
      <w:proofErr w:type="spellEnd"/>
      <w:r w:rsidR="00E12F88" w:rsidRPr="00C91B3B">
        <w:t xml:space="preserve"> activity</w:t>
      </w:r>
      <w:r w:rsidRPr="0003679C">
        <w:t xml:space="preserve"> was not sufficient to accurately predict the effects of apixaban at both low and high concentrations in patients with non-valvular </w:t>
      </w:r>
      <w:r w:rsidR="00071C0C">
        <w:t>AF</w:t>
      </w:r>
      <w:r w:rsidRPr="0003679C">
        <w:t>.</w:t>
      </w:r>
    </w:p>
    <w:p w:rsidR="0003679C" w:rsidRPr="0003679C" w:rsidRDefault="00BE7B23" w:rsidP="0003679C">
      <w:pPr>
        <w:pStyle w:val="ListBullet"/>
      </w:pPr>
      <w:proofErr w:type="spellStart"/>
      <w:proofErr w:type="gramStart"/>
      <w:r>
        <w:t>r</w:t>
      </w:r>
      <w:r w:rsidR="0003679C" w:rsidRPr="0003679C">
        <w:t>ivaroxaban</w:t>
      </w:r>
      <w:proofErr w:type="spellEnd"/>
      <w:proofErr w:type="gramEnd"/>
      <w:r w:rsidR="0003679C" w:rsidRPr="0003679C">
        <w:t xml:space="preserve"> and </w:t>
      </w:r>
      <w:proofErr w:type="spellStart"/>
      <w:r w:rsidR="0003679C" w:rsidRPr="0003679C">
        <w:t>apixaban</w:t>
      </w:r>
      <w:proofErr w:type="spellEnd"/>
      <w:r w:rsidR="0003679C" w:rsidRPr="0003679C">
        <w:t xml:space="preserve"> induced </w:t>
      </w:r>
      <w:r w:rsidR="00E12F88" w:rsidRPr="00C91B3B">
        <w:t>anti-</w:t>
      </w:r>
      <w:proofErr w:type="spellStart"/>
      <w:r w:rsidR="00E12F88">
        <w:t>F</w:t>
      </w:r>
      <w:r w:rsidR="00E12F88" w:rsidRPr="00C91B3B">
        <w:t>Xa</w:t>
      </w:r>
      <w:proofErr w:type="spellEnd"/>
      <w:r w:rsidR="00E12F88" w:rsidRPr="00C91B3B">
        <w:t xml:space="preserve"> activity</w:t>
      </w:r>
      <w:r w:rsidR="0003679C" w:rsidRPr="0003679C">
        <w:t xml:space="preserve"> with a median </w:t>
      </w:r>
      <w:proofErr w:type="spellStart"/>
      <w:r w:rsidR="0003679C" w:rsidRPr="0003679C">
        <w:t>Tmax</w:t>
      </w:r>
      <w:proofErr w:type="spellEnd"/>
      <w:r w:rsidR="0003679C" w:rsidRPr="0003679C">
        <w:t xml:space="preserve"> of 2 h; however, the geometric mean peak </w:t>
      </w:r>
      <w:r w:rsidR="00E12F88" w:rsidRPr="00C91B3B">
        <w:t>anti-</w:t>
      </w:r>
      <w:proofErr w:type="spellStart"/>
      <w:r w:rsidR="00E12F88">
        <w:t>F</w:t>
      </w:r>
      <w:r w:rsidR="00E12F88" w:rsidRPr="00C91B3B">
        <w:t>Xa</w:t>
      </w:r>
      <w:proofErr w:type="spellEnd"/>
      <w:r w:rsidR="00E12F88" w:rsidRPr="00C91B3B">
        <w:t xml:space="preserve"> activity</w:t>
      </w:r>
      <w:r w:rsidR="0003679C" w:rsidRPr="0003679C">
        <w:t xml:space="preserve"> was approximately 2.5</w:t>
      </w:r>
      <w:r w:rsidR="00C91B3B">
        <w:t xml:space="preserve"> </w:t>
      </w:r>
      <w:r w:rsidR="0003679C" w:rsidRPr="0003679C">
        <w:t xml:space="preserve">fold higher following </w:t>
      </w:r>
      <w:proofErr w:type="spellStart"/>
      <w:r w:rsidR="0003679C" w:rsidRPr="0003679C">
        <w:t>rivaroxaban</w:t>
      </w:r>
      <w:proofErr w:type="spellEnd"/>
      <w:r w:rsidR="0003679C" w:rsidRPr="0003679C">
        <w:t xml:space="preserve"> than following </w:t>
      </w:r>
      <w:proofErr w:type="spellStart"/>
      <w:r w:rsidR="0003679C" w:rsidRPr="0003679C">
        <w:t>apixaban</w:t>
      </w:r>
      <w:proofErr w:type="spellEnd"/>
      <w:r w:rsidR="0003679C" w:rsidRPr="0003679C">
        <w:t xml:space="preserve"> treatment.</w:t>
      </w:r>
    </w:p>
    <w:p w:rsidR="0003679C" w:rsidRPr="007F5C84" w:rsidRDefault="0003679C" w:rsidP="007F5C84">
      <w:r w:rsidRPr="007F5C84">
        <w:t xml:space="preserve">No studies directly compared apixaban PD in patients with non-valvular </w:t>
      </w:r>
      <w:r w:rsidR="00071C0C" w:rsidRPr="007F5C84">
        <w:t xml:space="preserve">AF </w:t>
      </w:r>
      <w:r w:rsidRPr="007F5C84">
        <w:t>and healthy subjects.</w:t>
      </w:r>
    </w:p>
    <w:p w:rsidR="0003679C" w:rsidRPr="007F5C84" w:rsidRDefault="0003679C" w:rsidP="002F1D65">
      <w:r w:rsidRPr="007F5C84">
        <w:t>Following a single 5 mg oral dose of apixaban, mild and moderate hepatic impairment had no effect on the ability of the drug to modify INR</w:t>
      </w:r>
      <w:r w:rsidR="00DD5B34" w:rsidRPr="007F5C84">
        <w:t xml:space="preserve"> and activated partial </w:t>
      </w:r>
      <w:proofErr w:type="spellStart"/>
      <w:r w:rsidR="00DD5B34" w:rsidRPr="007F5C84">
        <w:t>thromboplastin</w:t>
      </w:r>
      <w:proofErr w:type="spellEnd"/>
      <w:r w:rsidR="00DD5B34" w:rsidRPr="007F5C84">
        <w:t xml:space="preserve"> time (</w:t>
      </w:r>
      <w:proofErr w:type="spellStart"/>
      <w:r w:rsidRPr="007F5C84">
        <w:t>aPTT</w:t>
      </w:r>
      <w:proofErr w:type="spellEnd"/>
      <w:r w:rsidR="00DD5B34" w:rsidRPr="007F5C84">
        <w:t>), or on its</w:t>
      </w:r>
      <w:r w:rsidRPr="007F5C84">
        <w:t xml:space="preserve"> </w:t>
      </w:r>
      <w:r w:rsidR="00E12F88" w:rsidRPr="00C91B3B">
        <w:t>anti-</w:t>
      </w:r>
      <w:proofErr w:type="spellStart"/>
      <w:r w:rsidR="00E12F88">
        <w:t>F</w:t>
      </w:r>
      <w:r w:rsidR="00E12F88" w:rsidRPr="00C91B3B">
        <w:t>Xa</w:t>
      </w:r>
      <w:proofErr w:type="spellEnd"/>
      <w:r w:rsidR="00E12F88" w:rsidRPr="00C91B3B">
        <w:t xml:space="preserve"> activity</w:t>
      </w:r>
      <w:r w:rsidR="00E12F88">
        <w:t xml:space="preserve"> </w:t>
      </w:r>
      <w:proofErr w:type="spellStart"/>
      <w:r w:rsidRPr="007F5C84">
        <w:t>activity</w:t>
      </w:r>
      <w:proofErr w:type="spellEnd"/>
      <w:r w:rsidRPr="007F5C84">
        <w:t>.</w:t>
      </w:r>
    </w:p>
    <w:p w:rsidR="0003679C" w:rsidRPr="00E657AE" w:rsidRDefault="0003679C" w:rsidP="00E50971">
      <w:pPr>
        <w:pStyle w:val="Heading3"/>
      </w:pPr>
      <w:bookmarkStart w:id="126" w:name="_Toc340050278"/>
      <w:bookmarkStart w:id="127" w:name="_Toc363676069"/>
      <w:r>
        <w:t>D</w:t>
      </w:r>
      <w:r w:rsidRPr="00E657AE">
        <w:t>osage selection for the pivotal studies</w:t>
      </w:r>
      <w:bookmarkEnd w:id="126"/>
      <w:bookmarkEnd w:id="127"/>
    </w:p>
    <w:p w:rsidR="0003679C" w:rsidRPr="0003679C" w:rsidRDefault="00642C74" w:rsidP="0003679C">
      <w:r>
        <w:t>For comparator studies, t</w:t>
      </w:r>
      <w:r w:rsidR="0003679C" w:rsidRPr="0003679C">
        <w:t xml:space="preserve">he dose of warfarin was adjusted to an INR of 2.0-3.0, a range universally accepted for </w:t>
      </w:r>
      <w:r w:rsidR="00DD5B34" w:rsidRPr="00DD5B34">
        <w:t>deep venous thrombosis</w:t>
      </w:r>
      <w:r w:rsidR="00DD5B34" w:rsidRPr="0003679C">
        <w:t xml:space="preserve"> </w:t>
      </w:r>
      <w:r w:rsidR="00DD5B34">
        <w:t>(</w:t>
      </w:r>
      <w:r w:rsidR="0003679C" w:rsidRPr="0003679C">
        <w:t>DVT</w:t>
      </w:r>
      <w:r w:rsidR="00DD5B34">
        <w:t>)</w:t>
      </w:r>
      <w:r w:rsidR="0003679C" w:rsidRPr="0003679C">
        <w:t xml:space="preserve"> treatment and stroke prevention in patients with AF. The ASA dose was selected at the discretion of the investigator within the range 81–324 mg once daily to accommodate differences in local and international usage guidelines fo</w:t>
      </w:r>
      <w:r w:rsidR="00E50971">
        <w:t>r low dose aspirin prophylaxis.</w:t>
      </w:r>
    </w:p>
    <w:p w:rsidR="00DD5B34" w:rsidRDefault="0003679C" w:rsidP="0003679C">
      <w:r w:rsidRPr="0003679C">
        <w:t xml:space="preserve">The dose of apixaban was selected from the Phase </w:t>
      </w:r>
      <w:r w:rsidR="00AB60B1">
        <w:t>II</w:t>
      </w:r>
      <w:r w:rsidRPr="0003679C">
        <w:t xml:space="preserve"> study (</w:t>
      </w:r>
      <w:r w:rsidR="00DD5B34">
        <w:t xml:space="preserve">Study </w:t>
      </w:r>
      <w:r w:rsidRPr="0003679C">
        <w:t>CV185010) which compared daily apixaban doses of 5, 10 and 20</w:t>
      </w:r>
      <w:r w:rsidR="00DD5B34">
        <w:t xml:space="preserve"> </w:t>
      </w:r>
      <w:r w:rsidRPr="0003679C">
        <w:t xml:space="preserve">mg, given both once daily and </w:t>
      </w:r>
      <w:r w:rsidR="00341B29">
        <w:t>bid</w:t>
      </w:r>
      <w:r w:rsidRPr="0003679C">
        <w:t xml:space="preserve">, against blinded </w:t>
      </w:r>
      <w:proofErr w:type="spellStart"/>
      <w:r w:rsidRPr="0003679C">
        <w:t>enoxaparin</w:t>
      </w:r>
      <w:proofErr w:type="spellEnd"/>
      <w:r w:rsidRPr="0003679C">
        <w:t xml:space="preserve"> 30</w:t>
      </w:r>
      <w:r w:rsidR="00DD5B34">
        <w:t xml:space="preserve"> </w:t>
      </w:r>
      <w:r w:rsidRPr="0003679C">
        <w:t xml:space="preserve">mg </w:t>
      </w:r>
      <w:r w:rsidR="00DD5B34">
        <w:t>by subcutaneous (</w:t>
      </w:r>
      <w:r w:rsidRPr="0003679C">
        <w:t>SC</w:t>
      </w:r>
      <w:r w:rsidR="00DD5B34">
        <w:t xml:space="preserve">) injection every </w:t>
      </w:r>
      <w:r w:rsidRPr="0003679C">
        <w:t>12</w:t>
      </w:r>
      <w:r w:rsidR="00DD5B34">
        <w:t xml:space="preserve"> </w:t>
      </w:r>
      <w:r w:rsidR="00E50971">
        <w:t xml:space="preserve">h and open-label </w:t>
      </w:r>
      <w:proofErr w:type="spellStart"/>
      <w:r w:rsidR="00E50971">
        <w:t>warfarin</w:t>
      </w:r>
      <w:proofErr w:type="spellEnd"/>
      <w:r w:rsidR="00E50971">
        <w:t>.</w:t>
      </w:r>
    </w:p>
    <w:p w:rsidR="0003679C" w:rsidRPr="0003679C" w:rsidRDefault="0003679C" w:rsidP="0003679C">
      <w:r w:rsidRPr="0003679C">
        <w:t xml:space="preserve">Study CV185010 was fully evaluated </w:t>
      </w:r>
      <w:r w:rsidR="00DE67F2">
        <w:t xml:space="preserve">by the TGA </w:t>
      </w:r>
      <w:r w:rsidR="001A4168">
        <w:t xml:space="preserve">for </w:t>
      </w:r>
      <w:r w:rsidRPr="0003679C">
        <w:t xml:space="preserve">the initial apixaban </w:t>
      </w:r>
      <w:r w:rsidR="001A4168">
        <w:t xml:space="preserve">registration </w:t>
      </w:r>
      <w:r w:rsidRPr="0003679C">
        <w:t>submission of 2011 for the indication of elective knee and hip replacement surgery.</w:t>
      </w:r>
      <w:r w:rsidR="00071C0C">
        <w:t xml:space="preserve"> </w:t>
      </w:r>
      <w:r w:rsidRPr="0003679C">
        <w:t xml:space="preserve">For all apixaban groups, VTE/all-cause death rates were at least 21% lower compared with the rate on </w:t>
      </w:r>
      <w:proofErr w:type="spellStart"/>
      <w:r w:rsidRPr="0003679C">
        <w:t>enoxaparin</w:t>
      </w:r>
      <w:proofErr w:type="spellEnd"/>
      <w:r w:rsidRPr="0003679C">
        <w:t xml:space="preserve">, and at least 53% lower than the rate in subjects on warfarin. All doses of apixaban had favourable efficacy but the higher doses, 10 and 20 mg/day, had similar or higher rates of bleeding than </w:t>
      </w:r>
      <w:proofErr w:type="spellStart"/>
      <w:r w:rsidRPr="0003679C">
        <w:t>enoxaparin</w:t>
      </w:r>
      <w:proofErr w:type="spellEnd"/>
      <w:r w:rsidRPr="0003679C">
        <w:t>.</w:t>
      </w:r>
      <w:r w:rsidR="00071C0C">
        <w:t xml:space="preserve"> </w:t>
      </w:r>
      <w:r w:rsidRPr="0003679C">
        <w:t xml:space="preserve">Apixaban had lower rates of bleeding compared with </w:t>
      </w:r>
      <w:proofErr w:type="spellStart"/>
      <w:r w:rsidRPr="0003679C">
        <w:t>enoxaparin</w:t>
      </w:r>
      <w:proofErr w:type="spellEnd"/>
      <w:r w:rsidRPr="0003679C">
        <w:t xml:space="preserve"> at the lower doses of 2.5 mg </w:t>
      </w:r>
      <w:r w:rsidR="00341B29">
        <w:t>bid</w:t>
      </w:r>
      <w:r w:rsidRPr="0003679C">
        <w:t xml:space="preserve"> and 5 mg once daily. There was also a significant efficacy advantage in favour of </w:t>
      </w:r>
      <w:r w:rsidR="00341B29">
        <w:t>bid</w:t>
      </w:r>
      <w:r w:rsidRPr="0003679C">
        <w:t xml:space="preserve"> dosage compared with once daily dosage. The event rate was 8.4% for the apixaban 2.5 mg </w:t>
      </w:r>
      <w:r w:rsidR="00341B29">
        <w:t>bid</w:t>
      </w:r>
      <w:r w:rsidRPr="0003679C">
        <w:t xml:space="preserve"> regimen, and 13.1% for the apixaban 5 mg once daily re</w:t>
      </w:r>
      <w:r w:rsidR="00E50971">
        <w:t>gimen for the primary endpoint.</w:t>
      </w:r>
    </w:p>
    <w:p w:rsidR="0003679C" w:rsidRPr="0003679C" w:rsidRDefault="0003679C" w:rsidP="0003679C">
      <w:r w:rsidRPr="0003679C">
        <w:t xml:space="preserve">A Phase </w:t>
      </w:r>
      <w:r w:rsidR="00AB60B1">
        <w:t>II</w:t>
      </w:r>
      <w:r w:rsidRPr="0003679C">
        <w:t xml:space="preserve"> study (</w:t>
      </w:r>
      <w:r w:rsidR="001A4168">
        <w:t xml:space="preserve">Study </w:t>
      </w:r>
      <w:r w:rsidRPr="0003679C">
        <w:t>CV185017) of DVT prevention compared three apixaban groups (5</w:t>
      </w:r>
      <w:r w:rsidR="00DE67F2">
        <w:t> </w:t>
      </w:r>
      <w:r w:rsidRPr="0003679C">
        <w:t xml:space="preserve">mg </w:t>
      </w:r>
      <w:r w:rsidR="00341B29">
        <w:t>bid</w:t>
      </w:r>
      <w:r w:rsidRPr="0003679C">
        <w:t xml:space="preserve">, 10 mg </w:t>
      </w:r>
      <w:r w:rsidR="00341B29">
        <w:t>bid</w:t>
      </w:r>
      <w:r w:rsidRPr="0003679C">
        <w:t xml:space="preserve"> and 20 mg </w:t>
      </w:r>
      <w:r w:rsidR="00341B29">
        <w:t>bid</w:t>
      </w:r>
      <w:r w:rsidRPr="0003679C">
        <w:t xml:space="preserve">) with an open-label warfarin group in subjects who had undergone elective hip or knee replacement surgery. Study CV185017 has not been reviewed as the </w:t>
      </w:r>
      <w:r w:rsidR="001A4168">
        <w:t>Clinical Study Report (</w:t>
      </w:r>
      <w:r w:rsidRPr="0003679C">
        <w:t>CSR</w:t>
      </w:r>
      <w:r w:rsidR="001A4168">
        <w:t>)</w:t>
      </w:r>
      <w:r w:rsidRPr="0003679C">
        <w:t xml:space="preserve"> was not included in the data package. A brief study design and outcome w</w:t>
      </w:r>
      <w:r w:rsidR="001A4168">
        <w:t>ere</w:t>
      </w:r>
      <w:r w:rsidRPr="0003679C">
        <w:t xml:space="preserve"> recorded in a commentary provided by the sponsor in the current submission.</w:t>
      </w:r>
      <w:r w:rsidR="00071C0C">
        <w:t xml:space="preserve"> </w:t>
      </w:r>
      <w:r w:rsidRPr="0003679C">
        <w:t>V</w:t>
      </w:r>
      <w:r w:rsidR="001A4168">
        <w:t xml:space="preserve">enous thromboembolic event </w:t>
      </w:r>
      <w:r w:rsidRPr="0003679C">
        <w:t>rates were low in all groups and there was no excess bleeding in any apixaban group.</w:t>
      </w:r>
    </w:p>
    <w:p w:rsidR="0003679C" w:rsidRPr="0003679C" w:rsidRDefault="0003679C" w:rsidP="0003679C">
      <w:r w:rsidRPr="0003679C">
        <w:t xml:space="preserve">For the proposed indication of AF, stroke prevention was considered to outweigh the risk of bleeding and an apixaban dose of 5 mg </w:t>
      </w:r>
      <w:r w:rsidR="00341B29">
        <w:t>bid</w:t>
      </w:r>
      <w:r w:rsidRPr="0003679C">
        <w:t xml:space="preserve"> was selected to provide the optimum balance of efficacy and safety. However, patients considered at high risk of bleeding</w:t>
      </w:r>
      <w:r w:rsidR="004535DD">
        <w:rPr>
          <w:rStyle w:val="FootnoteReference"/>
        </w:rPr>
        <w:footnoteReference w:id="8"/>
      </w:r>
      <w:r w:rsidR="004535DD">
        <w:t xml:space="preserve"> </w:t>
      </w:r>
      <w:r w:rsidRPr="0003679C">
        <w:t xml:space="preserve">by the investigators were given the lower apixaban dose of 2.5 mg </w:t>
      </w:r>
      <w:r w:rsidR="00341B29">
        <w:t>bid</w:t>
      </w:r>
      <w:r w:rsidRPr="0003679C">
        <w:t>. No dose ranging studies were performed in subjects with AF.</w:t>
      </w:r>
    </w:p>
    <w:p w:rsidR="0003679C" w:rsidRDefault="0003679C" w:rsidP="006C05FE">
      <w:pPr>
        <w:pStyle w:val="Heading3"/>
      </w:pPr>
      <w:bookmarkStart w:id="128" w:name="_Toc363676070"/>
      <w:bookmarkStart w:id="129" w:name="_Toc163441378"/>
      <w:bookmarkStart w:id="130" w:name="_Toc196046495"/>
      <w:bookmarkStart w:id="131" w:name="_Toc247691522"/>
      <w:bookmarkStart w:id="132" w:name="_Toc314842505"/>
      <w:bookmarkEnd w:id="117"/>
      <w:bookmarkEnd w:id="118"/>
      <w:bookmarkEnd w:id="119"/>
      <w:bookmarkEnd w:id="120"/>
      <w:r>
        <w:lastRenderedPageBreak/>
        <w:t>Efficacy</w:t>
      </w:r>
      <w:bookmarkEnd w:id="128"/>
    </w:p>
    <w:p w:rsidR="0003679C" w:rsidRDefault="0003679C" w:rsidP="006C05FE">
      <w:pPr>
        <w:pStyle w:val="Heading4"/>
        <w:keepNext/>
      </w:pPr>
      <w:r>
        <w:t>Studies providing efficacy data</w:t>
      </w:r>
    </w:p>
    <w:p w:rsidR="0003679C" w:rsidRDefault="0003679C" w:rsidP="006C05FE">
      <w:pPr>
        <w:pStyle w:val="Heading5"/>
      </w:pPr>
      <w:r>
        <w:t>Pivotal efficacy studies</w:t>
      </w:r>
    </w:p>
    <w:p w:rsidR="008D4CE4" w:rsidRPr="001A4168" w:rsidRDefault="008D4CE4" w:rsidP="001A4168">
      <w:pPr>
        <w:pStyle w:val="Heading6"/>
      </w:pPr>
      <w:bookmarkStart w:id="133" w:name="_Toc290888812"/>
      <w:bookmarkStart w:id="134" w:name="_Toc290846275"/>
      <w:bookmarkStart w:id="135" w:name="_Toc272414653"/>
      <w:bookmarkStart w:id="136" w:name="_Ref271040932"/>
      <w:bookmarkStart w:id="137" w:name="_Ref271040927"/>
      <w:bookmarkStart w:id="138" w:name="_Ref243301615"/>
      <w:bookmarkStart w:id="139" w:name="_Toc340050282"/>
      <w:bookmarkStart w:id="140" w:name="_Ref325109879"/>
      <w:r w:rsidRPr="001A4168">
        <w:t xml:space="preserve">Study </w:t>
      </w:r>
      <w:bookmarkEnd w:id="133"/>
      <w:bookmarkEnd w:id="134"/>
      <w:bookmarkEnd w:id="135"/>
      <w:bookmarkEnd w:id="136"/>
      <w:bookmarkEnd w:id="137"/>
      <w:bookmarkEnd w:id="138"/>
      <w:r w:rsidRPr="001A4168">
        <w:t>CV185030</w:t>
      </w:r>
      <w:bookmarkEnd w:id="139"/>
      <w:bookmarkEnd w:id="140"/>
      <w:r w:rsidR="001A4168">
        <w:t>.</w:t>
      </w:r>
      <w:r w:rsidR="001A4168" w:rsidRPr="001A4168">
        <w:t xml:space="preserve"> </w:t>
      </w:r>
      <w:r w:rsidR="001A4168">
        <w:t>T</w:t>
      </w:r>
      <w:r w:rsidR="001A4168" w:rsidRPr="001A4168">
        <w:t>he Apixaban</w:t>
      </w:r>
      <w:r w:rsidR="001A4168">
        <w:t xml:space="preserve"> </w:t>
      </w:r>
      <w:r w:rsidR="001A4168" w:rsidRPr="001A4168">
        <w:t>for Reduction in Stroke and Other Thromboembolic Events in Atrial Fibrillation</w:t>
      </w:r>
      <w:r w:rsidR="001A4168">
        <w:t xml:space="preserve"> </w:t>
      </w:r>
      <w:r w:rsidR="001A4168" w:rsidRPr="001A4168">
        <w:t>(ARISTOTLE)</w:t>
      </w:r>
      <w:r w:rsidR="00A04B46">
        <w:rPr>
          <w:rStyle w:val="FootnoteReference"/>
        </w:rPr>
        <w:footnoteReference w:id="9"/>
      </w:r>
    </w:p>
    <w:p w:rsidR="008D4CE4" w:rsidRDefault="008D4CE4" w:rsidP="008D4CE4">
      <w:r w:rsidRPr="008D4CE4">
        <w:t>This was an active</w:t>
      </w:r>
      <w:r w:rsidR="001528E2">
        <w:t>-controlled (warfarin), randomis</w:t>
      </w:r>
      <w:r w:rsidRPr="008D4CE4">
        <w:t>ed, double-blind, double-dummy, parallel group study comparing apixaban to warfarin, with titration of warfarin based on</w:t>
      </w:r>
      <w:r w:rsidR="00E50971">
        <w:t xml:space="preserve"> central monitoring of the INR.</w:t>
      </w:r>
    </w:p>
    <w:p w:rsidR="008D4CE4" w:rsidRPr="008D4CE4" w:rsidRDefault="008D4CE4" w:rsidP="008D4CE4">
      <w:r w:rsidRPr="008D4CE4">
        <w:t>Subjects with AF and at least one additional risk</w:t>
      </w:r>
      <w:r w:rsidR="001528E2">
        <w:t xml:space="preserve"> factor for stroke were randomis</w:t>
      </w:r>
      <w:r w:rsidRPr="008D4CE4">
        <w:t xml:space="preserve">ed 1:1 to receive either apixaban 5 mg </w:t>
      </w:r>
      <w:r w:rsidR="00341B29">
        <w:t>bid</w:t>
      </w:r>
      <w:r w:rsidRPr="008D4CE4">
        <w:t xml:space="preserve"> or warfarin titrated to INR 2.0-3.0 with matched placebo tablets. There was a screening period of up to 14 days or until </w:t>
      </w:r>
      <w:r w:rsidR="001A4168">
        <w:t>the patient’s</w:t>
      </w:r>
      <w:r w:rsidRPr="008D4CE4">
        <w:t xml:space="preserve"> INR was stabilised within the acceptable range. This was followed by a treatment phase lasting until the earlier of subject discontinuation or the recording in the study population of approximately 448 primary efficacy events, with a post-treatme</w:t>
      </w:r>
      <w:r w:rsidR="00E50971">
        <w:t>nt follow-up period of 30 days.</w:t>
      </w:r>
    </w:p>
    <w:p w:rsidR="008D4CE4" w:rsidRPr="008D4CE4" w:rsidRDefault="008D4CE4" w:rsidP="008D4CE4">
      <w:r w:rsidRPr="008D4CE4">
        <w:t xml:space="preserve">Apixaban (or matching placebo) was given 5 mg </w:t>
      </w:r>
      <w:r w:rsidR="00341B29">
        <w:t>bid</w:t>
      </w:r>
      <w:r w:rsidRPr="008D4CE4">
        <w:t xml:space="preserve">. It was given 2.5 mg </w:t>
      </w:r>
      <w:r w:rsidR="00341B29">
        <w:t>bid</w:t>
      </w:r>
      <w:r w:rsidRPr="008D4CE4">
        <w:t xml:space="preserve"> if any two</w:t>
      </w:r>
      <w:r w:rsidR="0017253A">
        <w:rPr>
          <w:rStyle w:val="FootnoteReference"/>
        </w:rPr>
        <w:footnoteReference w:id="10"/>
      </w:r>
      <w:r w:rsidRPr="008D4CE4">
        <w:t xml:space="preserve"> of the following cri</w:t>
      </w:r>
      <w:r w:rsidR="006C05FE">
        <w:t>teria applied at baseline: age ≥80 years, body weight ≤</w:t>
      </w:r>
      <w:r w:rsidRPr="008D4CE4">
        <w:t xml:space="preserve">60 kg or serum creatinine ≥133 µmol/L. Dosing of warfarin or matching placebo employed a standard algorithm with central monitoring of INR measurements using encrypted point-of-care devices. All subjects were followed for the development of stroke (haemorrhagic, ischaemic or unspecified), SE, </w:t>
      </w:r>
      <w:r w:rsidR="00D505AD" w:rsidRPr="00D505AD">
        <w:t>myocardial infarction</w:t>
      </w:r>
      <w:r w:rsidR="00D505AD" w:rsidRPr="008D4CE4">
        <w:t xml:space="preserve"> </w:t>
      </w:r>
      <w:r w:rsidR="00D505AD">
        <w:t>(</w:t>
      </w:r>
      <w:r w:rsidRPr="008D4CE4">
        <w:t>MI</w:t>
      </w:r>
      <w:r w:rsidR="00D505AD">
        <w:t>)</w:t>
      </w:r>
      <w:r w:rsidRPr="008D4CE4">
        <w:t>, death, bleeding, hospitalisation or treatment discontinuation</w:t>
      </w:r>
      <w:r w:rsidR="00D505AD">
        <w:t>,</w:t>
      </w:r>
      <w:r w:rsidRPr="008D4CE4">
        <w:t xml:space="preserve"> until the end of the study. All efficacy and safety endpoints were evaluated by an independent, external, blinded Events Adjudication Committee.</w:t>
      </w:r>
    </w:p>
    <w:p w:rsidR="008D4CE4" w:rsidRPr="008D4CE4" w:rsidRDefault="008D4CE4" w:rsidP="008D4CE4">
      <w:r w:rsidRPr="008D4CE4">
        <w:t>The primary efficacy outcome was to determine if apixaban was non-inferior to warfarin (INR target range 2.0-3.0) for the combined endpoint of stroke (haemorrhagic, ischaemic or unspecified) or SE in subjects with AF and at least one additional risk factor for stroke.</w:t>
      </w:r>
    </w:p>
    <w:p w:rsidR="008D4CE4" w:rsidRPr="008D4CE4" w:rsidRDefault="008D4CE4" w:rsidP="008D4CE4">
      <w:r w:rsidRPr="008D4CE4">
        <w:t>Other efficacy outcomes were to determine if apixaban was superior to warfarin for:</w:t>
      </w:r>
    </w:p>
    <w:p w:rsidR="008D4CE4" w:rsidRPr="00E50971" w:rsidRDefault="008D4CE4" w:rsidP="00E50971">
      <w:pPr>
        <w:pStyle w:val="ListBullet"/>
      </w:pPr>
      <w:r w:rsidRPr="00E50971">
        <w:t>the combined endpoint of stroke or SE</w:t>
      </w:r>
    </w:p>
    <w:p w:rsidR="008D4CE4" w:rsidRPr="00E50971" w:rsidRDefault="008D4CE4" w:rsidP="00E50971">
      <w:pPr>
        <w:pStyle w:val="ListBullet"/>
      </w:pPr>
      <w:r w:rsidRPr="00E50971">
        <w:t>major bleeding</w:t>
      </w:r>
    </w:p>
    <w:p w:rsidR="008D4CE4" w:rsidRPr="00E50971" w:rsidRDefault="008D4CE4" w:rsidP="00E50971">
      <w:pPr>
        <w:pStyle w:val="ListBullet"/>
      </w:pPr>
      <w:r w:rsidRPr="00E50971">
        <w:t>all cause death</w:t>
      </w:r>
    </w:p>
    <w:p w:rsidR="008D4CE4" w:rsidRPr="00D505AD" w:rsidRDefault="008D4CE4" w:rsidP="00D505AD">
      <w:pPr>
        <w:pStyle w:val="Heading6"/>
      </w:pPr>
      <w:bookmarkStart w:id="141" w:name="_Toc340050296"/>
      <w:bookmarkStart w:id="142" w:name="_Toc290888813"/>
      <w:bookmarkStart w:id="143" w:name="_Toc290846276"/>
      <w:r w:rsidRPr="00D505AD">
        <w:t>Study CV185048</w:t>
      </w:r>
      <w:bookmarkEnd w:id="141"/>
      <w:bookmarkEnd w:id="142"/>
      <w:bookmarkEnd w:id="143"/>
      <w:r w:rsidR="00D505AD" w:rsidRPr="00D505AD">
        <w:t xml:space="preserve">. </w:t>
      </w:r>
      <w:r w:rsidR="00D505AD" w:rsidRPr="00D505AD">
        <w:rPr>
          <w:rFonts w:eastAsiaTheme="minorHAnsi"/>
        </w:rPr>
        <w:t xml:space="preserve">The Apixaban </w:t>
      </w:r>
      <w:proofErr w:type="gramStart"/>
      <w:r w:rsidR="00D505AD" w:rsidRPr="00D505AD">
        <w:rPr>
          <w:rFonts w:eastAsiaTheme="minorHAnsi"/>
        </w:rPr>
        <w:t>Versus</w:t>
      </w:r>
      <w:proofErr w:type="gramEnd"/>
      <w:r w:rsidR="00D505AD" w:rsidRPr="00D505AD">
        <w:rPr>
          <w:rFonts w:eastAsiaTheme="minorHAnsi"/>
        </w:rPr>
        <w:t xml:space="preserve"> Acetylsalicylic Acid [ASA] to Prevent Stroke in Atrial Fibrillation</w:t>
      </w:r>
      <w:r w:rsidR="00D505AD">
        <w:rPr>
          <w:rFonts w:eastAsiaTheme="minorHAnsi"/>
        </w:rPr>
        <w:t xml:space="preserve"> </w:t>
      </w:r>
      <w:r w:rsidR="00D505AD" w:rsidRPr="00D505AD">
        <w:rPr>
          <w:rFonts w:eastAsiaTheme="minorHAnsi"/>
        </w:rPr>
        <w:t>Patients Who Have Failed or Are Unsuitable for Vitamin K Antagonist Treatment study</w:t>
      </w:r>
      <w:r w:rsidR="00D505AD">
        <w:rPr>
          <w:rFonts w:eastAsiaTheme="minorHAnsi"/>
        </w:rPr>
        <w:t xml:space="preserve"> </w:t>
      </w:r>
      <w:r w:rsidR="00D505AD" w:rsidRPr="00D505AD">
        <w:rPr>
          <w:rFonts w:eastAsiaTheme="minorHAnsi"/>
        </w:rPr>
        <w:t>(AVERROES</w:t>
      </w:r>
      <w:r w:rsidR="00D505AD">
        <w:rPr>
          <w:rFonts w:eastAsiaTheme="minorHAnsi"/>
        </w:rPr>
        <w:t>)</w:t>
      </w:r>
    </w:p>
    <w:p w:rsidR="008D4CE4" w:rsidRDefault="001528E2" w:rsidP="008D4CE4">
      <w:r>
        <w:t>This was a randomis</w:t>
      </w:r>
      <w:r w:rsidR="008D4CE4" w:rsidRPr="008D4CE4">
        <w:t xml:space="preserve">ed, double-blind, double-dummy, parallel-group study comparing apixaban and </w:t>
      </w:r>
      <w:r w:rsidR="00D505AD">
        <w:t xml:space="preserve">ASA </w:t>
      </w:r>
      <w:r w:rsidR="008D4CE4" w:rsidRPr="008D4CE4">
        <w:t>for the prevention of stroke in AF subjects who have failed or are unsuitable for warfarin treatment. A total of 6</w:t>
      </w:r>
      <w:r w:rsidR="00D505AD">
        <w:t>,</w:t>
      </w:r>
      <w:r w:rsidR="008D4CE4" w:rsidRPr="008D4CE4">
        <w:t>421 subjects were enrolled in the study and 5</w:t>
      </w:r>
      <w:r w:rsidR="00D505AD">
        <w:t>,</w:t>
      </w:r>
      <w:r w:rsidR="008D4CE4" w:rsidRPr="008D4CE4">
        <w:t>598 (2</w:t>
      </w:r>
      <w:r w:rsidR="00D505AD">
        <w:t>,</w:t>
      </w:r>
      <w:r w:rsidR="008D4CE4" w:rsidRPr="008D4CE4">
        <w:t>798 on apixaba</w:t>
      </w:r>
      <w:r>
        <w:t>n and 2</w:t>
      </w:r>
      <w:r w:rsidR="00D505AD">
        <w:t>,</w:t>
      </w:r>
      <w:r>
        <w:t>780 on ASA) were randomis</w:t>
      </w:r>
      <w:r w:rsidR="00E50971">
        <w:t>ed to receive study treatment.</w:t>
      </w:r>
    </w:p>
    <w:p w:rsidR="00210662" w:rsidRDefault="008D4CE4" w:rsidP="008D4CE4">
      <w:r w:rsidRPr="008D4CE4">
        <w:t>The trial required subjects who had at least one ad</w:t>
      </w:r>
      <w:r w:rsidR="00D505AD">
        <w:t>ditional risk factor for stroke</w:t>
      </w:r>
      <w:r w:rsidRPr="008D4CE4">
        <w:t xml:space="preserve"> and who had previously used or were unsuitable for warfarin. They were screened during a</w:t>
      </w:r>
      <w:r w:rsidR="001528E2">
        <w:t xml:space="preserve"> 28 day period and then randomis</w:t>
      </w:r>
      <w:r w:rsidRPr="008D4CE4">
        <w:t>ed 1:1 to receive apixaban or ASA.</w:t>
      </w:r>
      <w:r w:rsidR="00071C0C">
        <w:t xml:space="preserve"> </w:t>
      </w:r>
      <w:r w:rsidR="001528E2">
        <w:t>Following randomis</w:t>
      </w:r>
      <w:r w:rsidRPr="008D4CE4">
        <w:t xml:space="preserve">ation, visits were scheduled at Months 1 and 3, and then every 3 months until completion of the </w:t>
      </w:r>
      <w:r w:rsidRPr="008D4CE4">
        <w:lastRenderedPageBreak/>
        <w:t>double-blind phase of the study. Subjects who discontinued study treatment were followed for outcome events until the end of the double-blind period. The double-blind treatment period was to end after at least 226 primary efficacy endpoints were recorded.</w:t>
      </w:r>
    </w:p>
    <w:p w:rsidR="008D4CE4" w:rsidRPr="008D4CE4" w:rsidRDefault="008D4CE4" w:rsidP="008D4CE4">
      <w:r w:rsidRPr="008D4CE4">
        <w:t xml:space="preserve">Subject numbers and study duration were based on event rates from similar studies. However, following a planned interim analysis the </w:t>
      </w:r>
      <w:r w:rsidR="00D505AD" w:rsidRPr="00D505AD">
        <w:t xml:space="preserve">Data Monitoring Committee </w:t>
      </w:r>
      <w:r w:rsidR="00D505AD">
        <w:t>(</w:t>
      </w:r>
      <w:r w:rsidRPr="008D4CE4">
        <w:t>DMC</w:t>
      </w:r>
      <w:r w:rsidR="00D505AD">
        <w:t>)</w:t>
      </w:r>
      <w:r w:rsidRPr="008D4CE4">
        <w:t xml:space="preserve"> stopped the study early because of superior efficacy in the apixaban group.</w:t>
      </w:r>
    </w:p>
    <w:p w:rsidR="008D4CE4" w:rsidRPr="008D4CE4" w:rsidRDefault="008D4CE4" w:rsidP="008D4CE4">
      <w:r w:rsidRPr="008D4CE4">
        <w:t>All subjects were followed for the development of stroke (haemorrhagic, ischaemic or unspecified), SE, MI, death, bleeding, hospitalisation or treatment discontinuat</w:t>
      </w:r>
      <w:r w:rsidR="00E50971">
        <w:t>ion until the end of the study.</w:t>
      </w:r>
    </w:p>
    <w:p w:rsidR="008D4CE4" w:rsidRPr="008D4CE4" w:rsidRDefault="001528E2" w:rsidP="008D4CE4">
      <w:r>
        <w:t>Subjects were randomis</w:t>
      </w:r>
      <w:r w:rsidR="00E50971">
        <w:t>ed 1:1 to receive either:</w:t>
      </w:r>
    </w:p>
    <w:p w:rsidR="008D4CE4" w:rsidRPr="00E50971" w:rsidRDefault="008D4CE4" w:rsidP="00E50971">
      <w:pPr>
        <w:pStyle w:val="ListBullet"/>
      </w:pPr>
      <w:proofErr w:type="spellStart"/>
      <w:r w:rsidRPr="008D4CE4">
        <w:t>A</w:t>
      </w:r>
      <w:r w:rsidRPr="00E50971">
        <w:t>pixaban</w:t>
      </w:r>
      <w:proofErr w:type="spellEnd"/>
      <w:r w:rsidRPr="00E50971">
        <w:t xml:space="preserve"> 5 mg </w:t>
      </w:r>
      <w:r w:rsidR="00341B29" w:rsidRPr="00E50971">
        <w:t>bid</w:t>
      </w:r>
      <w:r w:rsidRPr="00E50971">
        <w:t xml:space="preserve"> (or 2.5 mg for at risk subjects) or matching placebo.</w:t>
      </w:r>
    </w:p>
    <w:p w:rsidR="008D4CE4" w:rsidRPr="008D4CE4" w:rsidRDefault="008D4CE4" w:rsidP="00E50971">
      <w:pPr>
        <w:pStyle w:val="ListBullet"/>
      </w:pPr>
      <w:r w:rsidRPr="00E50971">
        <w:t>ASA 81 to 324 mg once daily o</w:t>
      </w:r>
      <w:r w:rsidRPr="008D4CE4">
        <w:t>r matching placebo.</w:t>
      </w:r>
    </w:p>
    <w:p w:rsidR="008D4CE4" w:rsidRPr="008D4CE4" w:rsidRDefault="008D4CE4" w:rsidP="008D4CE4">
      <w:r w:rsidRPr="008D4CE4">
        <w:t xml:space="preserve">Apixaban (or matching placebo) was given as a 5 mg tablet </w:t>
      </w:r>
      <w:r w:rsidR="00341B29">
        <w:t>bid</w:t>
      </w:r>
      <w:r w:rsidRPr="008D4CE4">
        <w:t xml:space="preserve">, or as a 2.5 mg tablet </w:t>
      </w:r>
      <w:r w:rsidR="00341B29">
        <w:t>bid</w:t>
      </w:r>
      <w:r w:rsidRPr="008D4CE4">
        <w:t xml:space="preserve"> for subjects at increased risk of bleeding; namely </w:t>
      </w:r>
      <w:r w:rsidR="005824CB">
        <w:t xml:space="preserve">those who met at least two of the following criteria: </w:t>
      </w:r>
      <w:r w:rsidRPr="008D4CE4">
        <w:t xml:space="preserve">age &gt;80 years, </w:t>
      </w:r>
      <w:r w:rsidR="00DD46B0">
        <w:t xml:space="preserve">body weight ≤60 kg or serum </w:t>
      </w:r>
      <w:proofErr w:type="spellStart"/>
      <w:r w:rsidR="00DD46B0">
        <w:t>creatinine</w:t>
      </w:r>
      <w:proofErr w:type="spellEnd"/>
      <w:r w:rsidR="00DD46B0">
        <w:t xml:space="preserve"> ≥</w:t>
      </w:r>
      <w:r w:rsidR="00E50971">
        <w:t>133 µmol/L.</w:t>
      </w:r>
    </w:p>
    <w:p w:rsidR="008D4CE4" w:rsidRPr="008D4CE4" w:rsidRDefault="008D4CE4" w:rsidP="008D4CE4">
      <w:r w:rsidRPr="008D4CE4">
        <w:t xml:space="preserve">The ASA dose was selected at the discretion of the investigator. More than 90% of subjects were receiving a dose of either 81mg </w:t>
      </w:r>
      <w:r w:rsidR="001528E2">
        <w:t>or 162 mg on the day of randomis</w:t>
      </w:r>
      <w:r w:rsidR="00E50971">
        <w:t>ation.</w:t>
      </w:r>
    </w:p>
    <w:p w:rsidR="008D4CE4" w:rsidRPr="008D4CE4" w:rsidRDefault="008D4CE4" w:rsidP="008D4CE4">
      <w:r w:rsidRPr="008D4CE4">
        <w:t xml:space="preserve">The main efficacy outcome was to determine if apixaban 5 mg </w:t>
      </w:r>
      <w:r w:rsidR="00341B29">
        <w:t>bid</w:t>
      </w:r>
      <w:r w:rsidRPr="008D4CE4">
        <w:t xml:space="preserve"> (2.5 mg </w:t>
      </w:r>
      <w:r w:rsidR="00341B29">
        <w:t>bid</w:t>
      </w:r>
      <w:r w:rsidRPr="008D4CE4">
        <w:t xml:space="preserve"> in selected at risk subjects) is superior to ASA (81 to 324 mg once daily) for preventing the composite outcome of stroke or </w:t>
      </w:r>
      <w:r w:rsidR="00520FDC">
        <w:t xml:space="preserve">SE </w:t>
      </w:r>
      <w:r w:rsidRPr="008D4CE4">
        <w:t>in subjects with AF and at least one additional risk factor for stroke who failed or are u</w:t>
      </w:r>
      <w:r w:rsidR="00E50971">
        <w:t xml:space="preserve">nsuitable for </w:t>
      </w:r>
      <w:proofErr w:type="spellStart"/>
      <w:r w:rsidR="00E50971">
        <w:t>warfarin</w:t>
      </w:r>
      <w:proofErr w:type="spellEnd"/>
      <w:r w:rsidR="00E50971">
        <w:t xml:space="preserve"> therapy.</w:t>
      </w:r>
    </w:p>
    <w:p w:rsidR="008D4CE4" w:rsidRPr="008D4CE4" w:rsidRDefault="008D4CE4" w:rsidP="008D4CE4">
      <w:r w:rsidRPr="008D4CE4">
        <w:t>Other efficacy outcomes included:</w:t>
      </w:r>
    </w:p>
    <w:p w:rsidR="008D4CE4" w:rsidRPr="00E50971" w:rsidRDefault="008D4CE4" w:rsidP="00E50971">
      <w:pPr>
        <w:pStyle w:val="ListBullet"/>
      </w:pPr>
      <w:r w:rsidRPr="00E50971">
        <w:t xml:space="preserve">To determine if </w:t>
      </w:r>
      <w:proofErr w:type="spellStart"/>
      <w:r w:rsidRPr="00E50971">
        <w:t>apixaban</w:t>
      </w:r>
      <w:proofErr w:type="spellEnd"/>
      <w:r w:rsidRPr="00E50971">
        <w:t xml:space="preserve"> is superior to ASA for prevention of the compo</w:t>
      </w:r>
      <w:r w:rsidR="00520FDC" w:rsidRPr="00E50971">
        <w:t>site endpoint of stroke, SE, MI</w:t>
      </w:r>
      <w:r w:rsidRPr="00E50971">
        <w:t xml:space="preserve"> or vascular death (major vascular events).</w:t>
      </w:r>
    </w:p>
    <w:p w:rsidR="008D4CE4" w:rsidRPr="00E50971" w:rsidRDefault="008D4CE4" w:rsidP="00E50971">
      <w:pPr>
        <w:pStyle w:val="ListBullet"/>
      </w:pPr>
      <w:r w:rsidRPr="00E50971">
        <w:t xml:space="preserve">To determine if </w:t>
      </w:r>
      <w:proofErr w:type="spellStart"/>
      <w:r w:rsidRPr="00E50971">
        <w:t>apixaban</w:t>
      </w:r>
      <w:proofErr w:type="spellEnd"/>
      <w:r w:rsidRPr="00E50971">
        <w:t xml:space="preserve"> is superior to ASA for all-cause death.</w:t>
      </w:r>
    </w:p>
    <w:p w:rsidR="008D4CE4" w:rsidRPr="008D4CE4" w:rsidRDefault="008D4CE4" w:rsidP="00E50971">
      <w:pPr>
        <w:pStyle w:val="ListBullet"/>
      </w:pPr>
      <w:r w:rsidRPr="00E50971">
        <w:t xml:space="preserve">To compare </w:t>
      </w:r>
      <w:proofErr w:type="spellStart"/>
      <w:r w:rsidRPr="00E50971">
        <w:t>apixaban</w:t>
      </w:r>
      <w:proofErr w:type="spellEnd"/>
      <w:r w:rsidRPr="00E50971">
        <w:t xml:space="preserve"> and ASA with respect to: the composite outcome of stroke, SE, MI, vascular death, or major bleeding (net clinical benefit)</w:t>
      </w:r>
      <w:r w:rsidR="00210662" w:rsidRPr="00E50971">
        <w:t>; the composite endpoint of all-</w:t>
      </w:r>
      <w:r w:rsidRPr="00E50971">
        <w:t>cause death, stroke, or SE; vascular de</w:t>
      </w:r>
      <w:r w:rsidRPr="008D4CE4">
        <w:t>ath; or major bleeding.</w:t>
      </w:r>
    </w:p>
    <w:p w:rsidR="0003679C" w:rsidRPr="0003679C" w:rsidRDefault="008D4CE4" w:rsidP="008D4CE4">
      <w:pPr>
        <w:pStyle w:val="Heading5"/>
      </w:pPr>
      <w:r>
        <w:t>Other efficacy studies</w:t>
      </w:r>
    </w:p>
    <w:p w:rsidR="008D4CE4" w:rsidRPr="008D4CE4" w:rsidRDefault="008D4CE4" w:rsidP="008D4CE4">
      <w:pPr>
        <w:pStyle w:val="Heading6"/>
      </w:pPr>
      <w:bookmarkStart w:id="144" w:name="_Toc340050311"/>
      <w:bookmarkStart w:id="145" w:name="_Toc290888815"/>
      <w:bookmarkStart w:id="146" w:name="_Toc290846278"/>
      <w:bookmarkStart w:id="147" w:name="_Toc340050314"/>
      <w:bookmarkStart w:id="148" w:name="_Toc290888819"/>
      <w:bookmarkStart w:id="149" w:name="_Toc290846282"/>
      <w:bookmarkStart w:id="150" w:name="_Toc272414657"/>
      <w:bookmarkStart w:id="151" w:name="_Ref271126605"/>
      <w:r w:rsidRPr="008D4CE4">
        <w:t>Study CV185067</w:t>
      </w:r>
      <w:bookmarkEnd w:id="144"/>
      <w:bookmarkEnd w:id="145"/>
      <w:bookmarkEnd w:id="146"/>
    </w:p>
    <w:p w:rsidR="00210662" w:rsidRDefault="008D4CE4" w:rsidP="008D4CE4">
      <w:r w:rsidRPr="008D4CE4">
        <w:t xml:space="preserve">This was a Phase </w:t>
      </w:r>
      <w:proofErr w:type="spellStart"/>
      <w:r w:rsidR="00AB60B1">
        <w:t>II</w:t>
      </w:r>
      <w:r w:rsidR="001528E2">
        <w:t>b</w:t>
      </w:r>
      <w:proofErr w:type="spellEnd"/>
      <w:r w:rsidR="001528E2">
        <w:t>, randomis</w:t>
      </w:r>
      <w:r w:rsidRPr="008D4CE4">
        <w:t xml:space="preserve">ed, partially blind (double-blind apixaban, open-label warfarin), active controlled (warfarin), multicentre study </w:t>
      </w:r>
      <w:r w:rsidR="00210662">
        <w:t xml:space="preserve">to evaluate the safety and </w:t>
      </w:r>
      <w:proofErr w:type="spellStart"/>
      <w:r w:rsidR="00210662">
        <w:t>dose</w:t>
      </w:r>
      <w:r w:rsidR="00210662">
        <w:noBreakHyphen/>
      </w:r>
      <w:r w:rsidRPr="008D4CE4">
        <w:t>response</w:t>
      </w:r>
      <w:proofErr w:type="spellEnd"/>
      <w:r w:rsidRPr="008D4CE4">
        <w:t xml:space="preserve"> relationship of two doses (2.5 mg </w:t>
      </w:r>
      <w:r w:rsidR="00341B29">
        <w:t>bid</w:t>
      </w:r>
      <w:r w:rsidRPr="008D4CE4">
        <w:t xml:space="preserve"> and 5 mg </w:t>
      </w:r>
      <w:r w:rsidR="00341B29">
        <w:t>bid</w:t>
      </w:r>
      <w:r w:rsidRPr="008D4CE4">
        <w:t xml:space="preserve">) of apixaban compared </w:t>
      </w:r>
      <w:r w:rsidR="00145FDE">
        <w:t>to warfarin (controlled INR 2.0</w:t>
      </w:r>
      <w:r w:rsidRPr="008D4CE4">
        <w:t xml:space="preserve">-3.0) administered for 12 weeks in Japanese subjects with </w:t>
      </w:r>
      <w:r w:rsidR="00520FDC">
        <w:t xml:space="preserve">non-valvular </w:t>
      </w:r>
      <w:r w:rsidRPr="008D4CE4">
        <w:t>AF</w:t>
      </w:r>
      <w:r w:rsidR="00900C44">
        <w:t>.</w:t>
      </w:r>
    </w:p>
    <w:p w:rsidR="008D4CE4" w:rsidRPr="008D4CE4" w:rsidRDefault="008D4CE4" w:rsidP="008D4CE4">
      <w:r w:rsidRPr="008D4CE4">
        <w:t xml:space="preserve">The primary objective was to assess the effects of two doses of apixaban (2.5 mg </w:t>
      </w:r>
      <w:r w:rsidR="00341B29">
        <w:t>bid</w:t>
      </w:r>
      <w:r w:rsidRPr="008D4CE4">
        <w:t xml:space="preserve"> and 5 mg </w:t>
      </w:r>
      <w:r w:rsidR="00341B29">
        <w:t>bid</w:t>
      </w:r>
      <w:r w:rsidRPr="008D4CE4">
        <w:t xml:space="preserve">) compared with warfarin on the composite endpoint of major and clinically relevant non-major </w:t>
      </w:r>
      <w:r w:rsidR="00F73250">
        <w:t xml:space="preserve">(CRNM) </w:t>
      </w:r>
      <w:r w:rsidRPr="008D4CE4">
        <w:t>bleeding even</w:t>
      </w:r>
      <w:r w:rsidR="00E50971">
        <w:t>ts during the treatment period.</w:t>
      </w:r>
    </w:p>
    <w:p w:rsidR="008D4CE4" w:rsidRPr="008D4CE4" w:rsidRDefault="008D4CE4" w:rsidP="008D4CE4">
      <w:r w:rsidRPr="008D4CE4">
        <w:t>Secondary objectives included:</w:t>
      </w:r>
    </w:p>
    <w:p w:rsidR="008D4CE4" w:rsidRPr="008D4CE4" w:rsidRDefault="008D4CE4" w:rsidP="00900C44">
      <w:pPr>
        <w:pStyle w:val="ListBullet"/>
      </w:pPr>
      <w:r w:rsidRPr="008D4CE4">
        <w:t>To compare</w:t>
      </w:r>
      <w:r w:rsidR="003B5B4F">
        <w:t xml:space="preserve"> the effects of two doses of ap</w:t>
      </w:r>
      <w:r w:rsidRPr="008D4CE4">
        <w:t xml:space="preserve">ixaban and warfarin on all bleeding events (major bleeding, </w:t>
      </w:r>
      <w:r w:rsidR="00F73250">
        <w:t xml:space="preserve">CRNM </w:t>
      </w:r>
      <w:r w:rsidRPr="008D4CE4">
        <w:t>bleeding and minor bleeding).</w:t>
      </w:r>
    </w:p>
    <w:p w:rsidR="008D4CE4" w:rsidRPr="008D4CE4" w:rsidRDefault="008D4CE4" w:rsidP="00900C44">
      <w:pPr>
        <w:pStyle w:val="ListBullet"/>
      </w:pPr>
      <w:r w:rsidRPr="008D4CE4">
        <w:t>To compare the effects of two doses of apixaban on major bleeding events.</w:t>
      </w:r>
    </w:p>
    <w:p w:rsidR="008D4CE4" w:rsidRPr="008D4CE4" w:rsidRDefault="008D4CE4" w:rsidP="00900C44">
      <w:pPr>
        <w:pStyle w:val="ListBullet"/>
      </w:pPr>
      <w:r w:rsidRPr="008D4CE4">
        <w:t>To assess the overall safety and tolerability of apixaban and warfarin.</w:t>
      </w:r>
    </w:p>
    <w:p w:rsidR="008D4CE4" w:rsidRPr="008D4CE4" w:rsidRDefault="008D4CE4" w:rsidP="00900C44">
      <w:pPr>
        <w:pStyle w:val="ListBullet"/>
      </w:pPr>
      <w:r w:rsidRPr="008D4CE4">
        <w:lastRenderedPageBreak/>
        <w:t>To compare the effects of two doses of apixaban and warfarin on efficacy endpoints (stroke, SE, all-cause death and MI).</w:t>
      </w:r>
    </w:p>
    <w:p w:rsidR="008D4CE4" w:rsidRPr="008D4CE4" w:rsidRDefault="008D4CE4" w:rsidP="00900C44">
      <w:pPr>
        <w:pStyle w:val="ListBullet"/>
      </w:pPr>
      <w:r w:rsidRPr="008D4CE4">
        <w:t>PK, PD a</w:t>
      </w:r>
      <w:r w:rsidR="001528E2">
        <w:t>nd biomarker data to characteris</w:t>
      </w:r>
      <w:r w:rsidRPr="008D4CE4">
        <w:t>e the profile of</w:t>
      </w:r>
      <w:r w:rsidR="00E50971">
        <w:t xml:space="preserve"> </w:t>
      </w:r>
      <w:proofErr w:type="spellStart"/>
      <w:r w:rsidR="00E50971">
        <w:t>apixaban</w:t>
      </w:r>
      <w:proofErr w:type="spellEnd"/>
      <w:r w:rsidR="00E50971">
        <w:t xml:space="preserve"> in Japanese subjects.</w:t>
      </w:r>
    </w:p>
    <w:p w:rsidR="008D4CE4" w:rsidRPr="00900C44" w:rsidRDefault="008D4CE4" w:rsidP="00E50971">
      <w:pPr>
        <w:pStyle w:val="Heading6"/>
      </w:pPr>
      <w:bookmarkStart w:id="152" w:name="_Toc340050312"/>
      <w:r w:rsidRPr="00900C44">
        <w:t>Study CV185036</w:t>
      </w:r>
      <w:bookmarkEnd w:id="152"/>
      <w:r w:rsidR="00900C44" w:rsidRPr="00900C44">
        <w:t xml:space="preserve">. Study of Apixaban for the Prevention of Thrombosis-related Events in Patients </w:t>
      </w:r>
      <w:proofErr w:type="gramStart"/>
      <w:r w:rsidR="00900C44" w:rsidRPr="00900C44">
        <w:t>With</w:t>
      </w:r>
      <w:proofErr w:type="gramEnd"/>
      <w:r w:rsidR="00900C44" w:rsidRPr="00900C44">
        <w:t xml:space="preserve"> Acute Medical Illness (ADOPT)</w:t>
      </w:r>
      <w:r w:rsidR="00900C44">
        <w:t>.</w:t>
      </w:r>
    </w:p>
    <w:p w:rsidR="008D4CE4" w:rsidRDefault="00145FDE" w:rsidP="008D4CE4">
      <w:r>
        <w:t xml:space="preserve">Study </w:t>
      </w:r>
      <w:r w:rsidR="008D4CE4" w:rsidRPr="008D4CE4">
        <w:t xml:space="preserve">CV185036 (ADOPT) was a Phase </w:t>
      </w:r>
      <w:r w:rsidR="00AB60B1">
        <w:t>III</w:t>
      </w:r>
      <w:r w:rsidR="008D4CE4" w:rsidRPr="008D4CE4">
        <w:t xml:space="preserve"> rando</w:t>
      </w:r>
      <w:r w:rsidR="001528E2">
        <w:t>mis</w:t>
      </w:r>
      <w:r w:rsidR="008D4CE4" w:rsidRPr="008D4CE4">
        <w:t xml:space="preserve">ed, double-blind, parallel-group, multi-centre study of the safety and efficacy of apixaban for prophylaxis of </w:t>
      </w:r>
      <w:r w:rsidR="00210662">
        <w:t xml:space="preserve">VTE </w:t>
      </w:r>
      <w:r w:rsidR="008D4CE4" w:rsidRPr="008D4CE4">
        <w:t>in acutely ill medical subjects</w:t>
      </w:r>
      <w:r w:rsidR="001528E2">
        <w:t xml:space="preserve"> during and following hospitalis</w:t>
      </w:r>
      <w:r w:rsidR="008D4CE4" w:rsidRPr="008D4CE4">
        <w:t>ation. A tota</w:t>
      </w:r>
      <w:r w:rsidR="001528E2">
        <w:t>l of 6</w:t>
      </w:r>
      <w:r w:rsidR="00900C44">
        <w:t>,</w:t>
      </w:r>
      <w:r w:rsidR="001528E2">
        <w:t>528 subjects were randomis</w:t>
      </w:r>
      <w:r w:rsidR="008D4CE4" w:rsidRPr="008D4CE4">
        <w:t xml:space="preserve">ed 1:1 to receive either </w:t>
      </w:r>
      <w:proofErr w:type="spellStart"/>
      <w:r w:rsidR="008D4CE4" w:rsidRPr="008D4CE4">
        <w:t>enoxaparin</w:t>
      </w:r>
      <w:proofErr w:type="spellEnd"/>
      <w:r w:rsidR="008D4CE4" w:rsidRPr="008D4CE4">
        <w:t xml:space="preserve"> 40 mg SC once daily while in hospital or oral ap</w:t>
      </w:r>
      <w:r w:rsidR="008D4CE4">
        <w:t xml:space="preserve">ixaban 2.5 mg </w:t>
      </w:r>
      <w:r w:rsidR="00341B29">
        <w:t>bid</w:t>
      </w:r>
      <w:r w:rsidR="008D4CE4">
        <w:t xml:space="preserve"> for 30 days.</w:t>
      </w:r>
    </w:p>
    <w:p w:rsidR="00145FDE" w:rsidRDefault="008D4CE4" w:rsidP="008D4CE4">
      <w:r w:rsidRPr="008D4CE4">
        <w:t xml:space="preserve">The primary efficacy endpoint was the composite of adjudicated total VTE (fatal and non-fatal </w:t>
      </w:r>
      <w:r w:rsidR="00900C44" w:rsidRPr="00900C44">
        <w:t>pulmonary embolism</w:t>
      </w:r>
      <w:r w:rsidR="00900C44" w:rsidRPr="008D4CE4">
        <w:t xml:space="preserve"> </w:t>
      </w:r>
      <w:r w:rsidR="00900C44">
        <w:t>(</w:t>
      </w:r>
      <w:r w:rsidRPr="008D4CE4">
        <w:t>PE</w:t>
      </w:r>
      <w:r w:rsidR="00900C44">
        <w:t>)</w:t>
      </w:r>
      <w:r w:rsidRPr="008D4CE4">
        <w:t>, and symptomatic or asymptomatic proximal and distal DVT) and VTE-related death during</w:t>
      </w:r>
      <w:r w:rsidR="00E50971">
        <w:t xml:space="preserve"> the intended treatment period.</w:t>
      </w:r>
    </w:p>
    <w:p w:rsidR="008D4CE4" w:rsidRPr="008D4CE4" w:rsidRDefault="008D4CE4" w:rsidP="008D4CE4">
      <w:r w:rsidRPr="008D4CE4">
        <w:t xml:space="preserve">Superiority of apixaban for the primary efficacy endpoint was not demonstrated. Event rates were 2.71% in the apixaban group compared with 3.06% in the </w:t>
      </w:r>
      <w:proofErr w:type="spellStart"/>
      <w:r w:rsidRPr="008D4CE4">
        <w:t>enoxaparin</w:t>
      </w:r>
      <w:proofErr w:type="spellEnd"/>
      <w:r w:rsidRPr="008D4CE4">
        <w:t xml:space="preserve"> group and the trend in favour of apixaban was not statistically significant (</w:t>
      </w:r>
      <w:r w:rsidR="00145FDE">
        <w:t>hazard ratio (</w:t>
      </w:r>
      <w:r w:rsidRPr="008D4CE4">
        <w:t>HR</w:t>
      </w:r>
      <w:r w:rsidR="00145FDE">
        <w:t>)</w:t>
      </w:r>
      <w:r w:rsidRPr="008D4CE4">
        <w:t xml:space="preserve"> 0.</w:t>
      </w:r>
      <w:r w:rsidR="00E50971">
        <w:t>87 [95% CI 0.62-1.23, p&lt;0.44]).</w:t>
      </w:r>
    </w:p>
    <w:p w:rsidR="008D4CE4" w:rsidRPr="008D4CE4" w:rsidRDefault="008D4CE4" w:rsidP="008D4CE4">
      <w:r w:rsidRPr="008D4CE4">
        <w:t xml:space="preserve">This was a study of a lower dose of apixaban with a different comparator given for a shorter duration for a different indication. The study failed its primary endpoint but it is included in </w:t>
      </w:r>
      <w:r w:rsidR="00145FDE">
        <w:t xml:space="preserve">the clinical </w:t>
      </w:r>
      <w:r w:rsidRPr="008D4CE4">
        <w:t>evaluation for its additional safety data in relation to apixaban.</w:t>
      </w:r>
    </w:p>
    <w:p w:rsidR="0003679C" w:rsidRPr="0003679C" w:rsidRDefault="0003679C" w:rsidP="00A573D0">
      <w:pPr>
        <w:pStyle w:val="Heading4"/>
      </w:pPr>
      <w:r w:rsidRPr="0003679C">
        <w:t xml:space="preserve">Evaluator’s conclusions on clinical efficacy for the indication: to reduce the risk of stroke, systemic embolism and death in patients with non-valvular </w:t>
      </w:r>
      <w:r w:rsidR="00071C0C">
        <w:t xml:space="preserve">AF </w:t>
      </w:r>
      <w:r w:rsidRPr="0003679C">
        <w:t>with at least one additional risk factor for stroke</w:t>
      </w:r>
      <w:bookmarkEnd w:id="147"/>
    </w:p>
    <w:p w:rsidR="00210662" w:rsidRDefault="0003679C" w:rsidP="00A573D0">
      <w:r w:rsidRPr="0003679C">
        <w:t xml:space="preserve">Two large Phase </w:t>
      </w:r>
      <w:r w:rsidR="00AB60B1">
        <w:t>III</w:t>
      </w:r>
      <w:r w:rsidRPr="0003679C">
        <w:t xml:space="preserve"> studies demonstrated a statistically significant superiority for apixaban compared to warfarin and ASA for the composite endpoint of stroke (haemorrhagic and ischaemic) and SE. The great majority of events were stroke with fewer SE, consistent with other studies of anticoagulation in subjects with AF. No formal analyses of pooled data were performed but the results in both studies </w:t>
      </w:r>
      <w:r w:rsidR="00145FDE">
        <w:t>were</w:t>
      </w:r>
      <w:r w:rsidR="00E50971">
        <w:t xml:space="preserve"> internally consistent.</w:t>
      </w:r>
    </w:p>
    <w:p w:rsidR="0003679C" w:rsidRPr="0003679C" w:rsidRDefault="00145FDE" w:rsidP="00210662">
      <w:r>
        <w:t>In S</w:t>
      </w:r>
      <w:r w:rsidR="0003679C" w:rsidRPr="0003679C">
        <w:t>tudy CV185030</w:t>
      </w:r>
      <w:r w:rsidR="00865981">
        <w:t xml:space="preserve"> (ARISTOTLE)</w:t>
      </w:r>
      <w:r w:rsidR="0003679C" w:rsidRPr="0003679C">
        <w:t>, stroke or SE occurred in subjects on apixaban at a rate of 1.27%/y</w:t>
      </w:r>
      <w:r>
        <w:t>ea</w:t>
      </w:r>
      <w:r w:rsidR="0003679C" w:rsidRPr="0003679C">
        <w:t>r compared with 1.6%/y</w:t>
      </w:r>
      <w:r>
        <w:t>ea</w:t>
      </w:r>
      <w:r w:rsidR="0003679C" w:rsidRPr="0003679C">
        <w:t>r in subjects on warfarin (p=0.0114, H</w:t>
      </w:r>
      <w:r w:rsidR="00210662">
        <w:t>R 0.79 [95% CI 0.66</w:t>
      </w:r>
      <w:r w:rsidR="00210662">
        <w:noBreakHyphen/>
      </w:r>
      <w:r>
        <w:t>0.95]). In S</w:t>
      </w:r>
      <w:r w:rsidR="0003679C" w:rsidRPr="0003679C">
        <w:t>tudy CV185048 the rates were 1.6</w:t>
      </w:r>
      <w:r w:rsidR="004535DD">
        <w:t>2</w:t>
      </w:r>
      <w:r w:rsidR="0003679C" w:rsidRPr="0003679C">
        <w:t>% in subjects who were given apixaban, and 3.63%, in subjects given ASA (p&lt;0.0001, HR 0.45 [95% CI 0.32-0.62]).</w:t>
      </w:r>
      <w:r w:rsidR="00071C0C">
        <w:t xml:space="preserve"> </w:t>
      </w:r>
      <w:proofErr w:type="spellStart"/>
      <w:r>
        <w:t>All</w:t>
      </w:r>
      <w:r>
        <w:noBreakHyphen/>
      </w:r>
      <w:r w:rsidR="0003679C" w:rsidRPr="0003679C">
        <w:t>cause</w:t>
      </w:r>
      <w:proofErr w:type="spellEnd"/>
      <w:r w:rsidR="0003679C" w:rsidRPr="0003679C">
        <w:t xml:space="preserve"> death rates were also lower in subjects who received apixaban in both studies, although the difference was statistically significant only in </w:t>
      </w:r>
      <w:r>
        <w:t>S</w:t>
      </w:r>
      <w:r w:rsidR="0003679C" w:rsidRPr="0003679C">
        <w:t xml:space="preserve">tudy CV185030 (p&lt;0.0465, HR 0.89 [95% CI 0.80-1.00]). In both studies, individual event rates for ischaemic and undetermined </w:t>
      </w:r>
      <w:r w:rsidR="00210662">
        <w:t>stroke, haemorrhagic stroke, SE</w:t>
      </w:r>
      <w:r w:rsidR="0003679C" w:rsidRPr="0003679C">
        <w:t xml:space="preserve"> and MI were numerically less frequent in the apixaban groups compared with the warfarin and ASA groups.</w:t>
      </w:r>
    </w:p>
    <w:bookmarkEnd w:id="148"/>
    <w:bookmarkEnd w:id="149"/>
    <w:bookmarkEnd w:id="150"/>
    <w:bookmarkEnd w:id="151"/>
    <w:p w:rsidR="0003679C" w:rsidRPr="0003679C" w:rsidRDefault="0003679C" w:rsidP="0003679C">
      <w:r w:rsidRPr="0003679C">
        <w:t>Study CV185</w:t>
      </w:r>
      <w:r w:rsidR="00145FDE">
        <w:t xml:space="preserve">048 </w:t>
      </w:r>
      <w:r w:rsidR="00865981">
        <w:t>(</w:t>
      </w:r>
      <w:r w:rsidR="00865981">
        <w:rPr>
          <w:rFonts w:eastAsiaTheme="minorHAnsi"/>
        </w:rPr>
        <w:t>AVERROES)</w:t>
      </w:r>
      <w:r w:rsidR="00865981">
        <w:t xml:space="preserve"> </w:t>
      </w:r>
      <w:r w:rsidR="00145FDE">
        <w:t>was stopped early by the DM</w:t>
      </w:r>
      <w:r w:rsidRPr="0003679C">
        <w:t>C because of clear superiority for the primary endpoint in favour of apixaban compared with aspirin. It is possible that superiority for secondary endpoints such as all-cause death might have achieved statistical significance if the trial had run its full course. Apixaban was statistically superior to ASA for prevention of stroke (haemorrhagic</w:t>
      </w:r>
      <w:r w:rsidR="00145FDE">
        <w:t xml:space="preserve"> or ischaemic) and SE (HR 0.45 [</w:t>
      </w:r>
      <w:r w:rsidR="004535DD">
        <w:t xml:space="preserve">unadjusted </w:t>
      </w:r>
      <w:r w:rsidRPr="0003679C">
        <w:t>95% CI 0.3</w:t>
      </w:r>
      <w:r w:rsidR="004535DD">
        <w:t>2</w:t>
      </w:r>
      <w:r w:rsidRPr="0003679C">
        <w:t>-0.</w:t>
      </w:r>
      <w:r w:rsidR="004535DD">
        <w:t>62</w:t>
      </w:r>
      <w:r w:rsidR="00145FDE">
        <w:t>]</w:t>
      </w:r>
      <w:r w:rsidRPr="0003679C">
        <w:t xml:space="preserve">). It was also associated with a reduction in major vascular events (composite of stroke, SE, MI and vascular death). The incidence of individual endpoints including haemorrhagic stroke, ischaemic stroke, unspecified stroke, vascular death and MI was lower in the apixaban group compared with the </w:t>
      </w:r>
      <w:proofErr w:type="spellStart"/>
      <w:r w:rsidRPr="0003679C">
        <w:t>warfa</w:t>
      </w:r>
      <w:r w:rsidR="00E50971">
        <w:t>rin</w:t>
      </w:r>
      <w:proofErr w:type="spellEnd"/>
      <w:r w:rsidR="00E50971">
        <w:t xml:space="preserve"> group.</w:t>
      </w:r>
    </w:p>
    <w:p w:rsidR="00AD59F1" w:rsidRDefault="0003679C" w:rsidP="0003679C">
      <w:r w:rsidRPr="0003679C">
        <w:lastRenderedPageBreak/>
        <w:t>The studies were designed in compliance with EMA and FDA guidelines for thrombotic therapy. The studies were adequately powered and conducted, randomi</w:t>
      </w:r>
      <w:r w:rsidR="001528E2">
        <w:t>s</w:t>
      </w:r>
      <w:r w:rsidRPr="0003679C">
        <w:t>ed, double-dummy, double-blind, active controlled and parallel group. The studies were well balanced for baseline characteristics including medical history, age, gender and race, and the study population represented the target population for apixaban in this submission. Study withdrawals and significant deviations from the protocol were not excessive. The efficacy and safety endpoints were appropriately monitored and confirmed by an independent, e</w:t>
      </w:r>
      <w:r w:rsidR="00E50971">
        <w:t>xternal adjudicating committee.</w:t>
      </w:r>
    </w:p>
    <w:p w:rsidR="0003679C" w:rsidRPr="0003679C" w:rsidRDefault="0003679C" w:rsidP="0003679C">
      <w:r w:rsidRPr="0003679C">
        <w:t>Th</w:t>
      </w:r>
      <w:r w:rsidR="00762CC6">
        <w:t>e key objective in the pivotal S</w:t>
      </w:r>
      <w:r w:rsidRPr="0003679C">
        <w:t>tudy CV185030 was non-inferiority of apixaban compared with warfarin. This objective was not only achieved but statistically significant superiority of apixaban over warfarin was also demonstrated.</w:t>
      </w:r>
      <w:r w:rsidR="00071C0C">
        <w:t xml:space="preserve"> </w:t>
      </w:r>
      <w:r w:rsidRPr="0003679C">
        <w:t>The percentage benefit was small but clinically meaningful given the major consequences of the</w:t>
      </w:r>
      <w:r w:rsidR="00E50971">
        <w:t xml:space="preserve"> efficacy outcomes in question.</w:t>
      </w:r>
    </w:p>
    <w:p w:rsidR="00762CC6" w:rsidRDefault="0003679C" w:rsidP="0003679C">
      <w:r w:rsidRPr="0003679C">
        <w:t>Apixaban was superior to warfarin in subjects considered suitable for warfarin therapy. Apixaban was also superior to ASA for subjects considered unsuitable for warfarin therapy. The benefit was apparent in subgroups including age, gender, race and renal function. A sim</w:t>
      </w:r>
      <w:r w:rsidR="00762CC6">
        <w:t xml:space="preserve">ilar benefit was observed in </w:t>
      </w:r>
      <w:proofErr w:type="spellStart"/>
      <w:r w:rsidR="00762CC6">
        <w:t>at</w:t>
      </w:r>
      <w:r w:rsidR="00762CC6">
        <w:noBreakHyphen/>
      </w:r>
      <w:r w:rsidRPr="0003679C">
        <w:t>risk</w:t>
      </w:r>
      <w:proofErr w:type="spellEnd"/>
      <w:r w:rsidRPr="0003679C">
        <w:t xml:space="preserve"> subjects (</w:t>
      </w:r>
      <w:r w:rsidR="005824CB">
        <w:t xml:space="preserve">those </w:t>
      </w:r>
      <w:r w:rsidR="00FE04BD">
        <w:t xml:space="preserve">with at least two of following criteria: </w:t>
      </w:r>
      <w:r w:rsidRPr="0003679C">
        <w:t xml:space="preserve">age ≥80 years, body weight ≤60 kg or serum creatinine ≥133 µmol/L) who received a lower dose of apixaban 2.5 mg </w:t>
      </w:r>
      <w:r w:rsidR="00341B29">
        <w:t>bid</w:t>
      </w:r>
      <w:r w:rsidRPr="0003679C">
        <w:t>.</w:t>
      </w:r>
    </w:p>
    <w:p w:rsidR="0003679C" w:rsidRPr="0003679C" w:rsidRDefault="0003679C" w:rsidP="00E50971">
      <w:r w:rsidRPr="0003679C">
        <w:t>Apixaban was superior to warfarin and ASA for all efficacy endpoints but most of the benefit was driven by a reduction in stroke. There were numerical benefits in favour of apixaban for individual endpoints such as SE but the numbers were small and the differences were not statistically significant. The practice is widespread but it is a moot point whether claims for such infrequent events should be c</w:t>
      </w:r>
      <w:r w:rsidR="00E50971">
        <w:t>aptured in composite endpoints.</w:t>
      </w:r>
    </w:p>
    <w:p w:rsidR="008E7846" w:rsidRPr="002E238E" w:rsidRDefault="008E7846" w:rsidP="008E7846">
      <w:pPr>
        <w:pStyle w:val="Heading3"/>
      </w:pPr>
      <w:bookmarkStart w:id="153" w:name="_Toc363676071"/>
      <w:r w:rsidRPr="002E238E">
        <w:t>Safety</w:t>
      </w:r>
      <w:bookmarkEnd w:id="129"/>
      <w:bookmarkEnd w:id="130"/>
      <w:bookmarkEnd w:id="131"/>
      <w:bookmarkEnd w:id="132"/>
      <w:bookmarkEnd w:id="153"/>
    </w:p>
    <w:p w:rsidR="008D4CE4" w:rsidRPr="008D4CE4" w:rsidRDefault="008D4CE4" w:rsidP="008D4CE4">
      <w:pPr>
        <w:pStyle w:val="Heading4"/>
      </w:pPr>
      <w:bookmarkStart w:id="154" w:name="_Toc340050316"/>
      <w:bookmarkStart w:id="155" w:name="_Toc290888821"/>
      <w:bookmarkStart w:id="156" w:name="_Toc290846284"/>
      <w:bookmarkStart w:id="157" w:name="_Toc272414659"/>
      <w:bookmarkStart w:id="158" w:name="_Toc184440288"/>
      <w:bookmarkStart w:id="159" w:name="_Toc184444666"/>
      <w:bookmarkStart w:id="160" w:name="_Toc196046496"/>
      <w:r w:rsidRPr="008D4CE4">
        <w:t>Studies providing evaluable safety data</w:t>
      </w:r>
      <w:bookmarkEnd w:id="154"/>
      <w:bookmarkEnd w:id="155"/>
      <w:bookmarkEnd w:id="156"/>
      <w:bookmarkEnd w:id="157"/>
    </w:p>
    <w:p w:rsidR="008D4CE4" w:rsidRPr="008D4CE4" w:rsidRDefault="008D4CE4" w:rsidP="008D4CE4">
      <w:bookmarkStart w:id="161" w:name="_Ref268776745"/>
      <w:r w:rsidRPr="008D4CE4">
        <w:t xml:space="preserve">The following studies </w:t>
      </w:r>
      <w:r w:rsidR="00E50971">
        <w:t>provided evaluable safety data:</w:t>
      </w:r>
    </w:p>
    <w:p w:rsidR="00116F6A" w:rsidRDefault="008D4CE4" w:rsidP="00E50971">
      <w:pPr>
        <w:pStyle w:val="Heading5"/>
      </w:pPr>
      <w:r w:rsidRPr="008B6DF4">
        <w:t>Pivotal efficacy studies</w:t>
      </w:r>
      <w:bookmarkEnd w:id="161"/>
      <w:r w:rsidRPr="008B6DF4">
        <w:t>:</w:t>
      </w:r>
    </w:p>
    <w:p w:rsidR="008D4CE4" w:rsidRPr="008D4CE4" w:rsidRDefault="008D4CE4" w:rsidP="008D4CE4">
      <w:r w:rsidRPr="008D4CE4">
        <w:t xml:space="preserve">The pivotal Phase </w:t>
      </w:r>
      <w:r w:rsidR="00AB60B1">
        <w:t>III</w:t>
      </w:r>
      <w:r w:rsidR="008B6DF4">
        <w:t xml:space="preserve"> S</w:t>
      </w:r>
      <w:r w:rsidRPr="008D4CE4">
        <w:t xml:space="preserve">tudies CV185030 </w:t>
      </w:r>
      <w:r w:rsidR="00865981">
        <w:t>(ARISTOTLE)</w:t>
      </w:r>
      <w:r w:rsidR="00865981" w:rsidRPr="008D4CE4">
        <w:t xml:space="preserve"> </w:t>
      </w:r>
      <w:r w:rsidRPr="008D4CE4">
        <w:t xml:space="preserve">and CV185048 </w:t>
      </w:r>
      <w:r w:rsidR="00865981">
        <w:t>(</w:t>
      </w:r>
      <w:r w:rsidR="00865981">
        <w:rPr>
          <w:rFonts w:eastAsiaTheme="minorHAnsi"/>
        </w:rPr>
        <w:t>AVERROES)</w:t>
      </w:r>
      <w:r w:rsidR="00865981" w:rsidRPr="008D4CE4">
        <w:t xml:space="preserve"> </w:t>
      </w:r>
      <w:r w:rsidRPr="008D4CE4">
        <w:t xml:space="preserve">provided the main safety data in the target population treated for up to 2.1 years. </w:t>
      </w:r>
      <w:r w:rsidR="008B6DF4">
        <w:t>Adverse events (</w:t>
      </w:r>
      <w:r w:rsidRPr="008D4CE4">
        <w:t>AEs</w:t>
      </w:r>
      <w:r w:rsidR="008B6DF4">
        <w:t>)</w:t>
      </w:r>
      <w:r w:rsidRPr="008D4CE4">
        <w:t xml:space="preserve"> could be reported spontaneously or during open-ended questioning, examination, or evaluation of subjects at each study visit. To prevent bias, subjects were not questioned about the specific occurrence of AEs.</w:t>
      </w:r>
    </w:p>
    <w:p w:rsidR="00116F6A" w:rsidRDefault="008D4CE4" w:rsidP="00E50971">
      <w:pPr>
        <w:pStyle w:val="Heading5"/>
      </w:pPr>
      <w:r w:rsidRPr="008B6DF4">
        <w:t>Other studies evaluable for safety only</w:t>
      </w:r>
      <w:bookmarkStart w:id="162" w:name="_Ref269204367"/>
      <w:r w:rsidR="00E50971">
        <w:t>:</w:t>
      </w:r>
    </w:p>
    <w:p w:rsidR="008B6DF4" w:rsidRDefault="008D4CE4" w:rsidP="008D4CE4">
      <w:r w:rsidRPr="008D4CE4">
        <w:t xml:space="preserve">The non-pivotal Phase </w:t>
      </w:r>
      <w:r w:rsidR="00AB60B1">
        <w:t>II</w:t>
      </w:r>
      <w:r w:rsidRPr="008D4CE4">
        <w:t xml:space="preserve"> efficacy </w:t>
      </w:r>
      <w:r w:rsidR="008B6DF4">
        <w:t>S</w:t>
      </w:r>
      <w:r w:rsidRPr="008D4CE4">
        <w:t>tudy CV185067 provided limited safety data.</w:t>
      </w:r>
    </w:p>
    <w:p w:rsidR="00116F6A" w:rsidRPr="00116F6A" w:rsidRDefault="008D4CE4" w:rsidP="00E50971">
      <w:pPr>
        <w:pStyle w:val="Heading5"/>
      </w:pPr>
      <w:r w:rsidRPr="00116F6A">
        <w:t>Additional safety data</w:t>
      </w:r>
      <w:r w:rsidR="00116F6A">
        <w:t>:</w:t>
      </w:r>
    </w:p>
    <w:p w:rsidR="008D4CE4" w:rsidRPr="008D4CE4" w:rsidRDefault="00116F6A" w:rsidP="008D4CE4">
      <w:r>
        <w:t xml:space="preserve">These </w:t>
      </w:r>
      <w:r w:rsidR="008D4CE4" w:rsidRPr="008D4CE4">
        <w:t xml:space="preserve">were evaluated in the unrelated </w:t>
      </w:r>
      <w:r w:rsidR="008B6DF4">
        <w:t>S</w:t>
      </w:r>
      <w:r w:rsidR="008D4CE4" w:rsidRPr="008D4CE4">
        <w:t>tudy CV185036</w:t>
      </w:r>
      <w:r w:rsidR="00865981">
        <w:t xml:space="preserve"> (ADOPT)</w:t>
      </w:r>
      <w:r w:rsidR="008D4CE4" w:rsidRPr="008D4CE4">
        <w:t xml:space="preserve">. Major bleeding occurred in 0.47% in the apixaban group and 0.19% in the </w:t>
      </w:r>
      <w:proofErr w:type="spellStart"/>
      <w:r w:rsidR="008D4CE4" w:rsidRPr="008D4CE4">
        <w:t>enoxaparin</w:t>
      </w:r>
      <w:proofErr w:type="spellEnd"/>
      <w:r w:rsidR="008D4CE4" w:rsidRPr="008D4CE4">
        <w:t xml:space="preserve"> group. The adjusted difference between groups was 0.29% (95% CI 0.01-0.57, p&lt;0.44). The frequency of AEs, </w:t>
      </w:r>
      <w:r w:rsidR="008B6DF4">
        <w:t>serious AEs (</w:t>
      </w:r>
      <w:r w:rsidR="008D4CE4" w:rsidRPr="008D4CE4">
        <w:t>SAEs</w:t>
      </w:r>
      <w:r w:rsidR="008B6DF4">
        <w:t>)</w:t>
      </w:r>
      <w:r w:rsidR="008D4CE4" w:rsidRPr="008D4CE4">
        <w:t>, deaths, and discontinuations due to AEs was similar in both treatment groups. The frequency of hepatic events and marked laboratory abnormalities was also similar in both treatment groups.</w:t>
      </w:r>
    </w:p>
    <w:p w:rsidR="008D4CE4" w:rsidRPr="008D4CE4" w:rsidRDefault="008D4CE4" w:rsidP="008D4CE4">
      <w:r w:rsidRPr="008D4CE4">
        <w:t xml:space="preserve">Major bleeding events were infrequent in both treatment groups but numerically more frequent in the apixaban group. Some of the excess bleeding events in the apixaban group can be attributed to the longer treatment duration (approximately 30 days for apixaban </w:t>
      </w:r>
      <w:r w:rsidRPr="008D4CE4">
        <w:lastRenderedPageBreak/>
        <w:t xml:space="preserve">and 7 days for </w:t>
      </w:r>
      <w:proofErr w:type="spellStart"/>
      <w:r w:rsidRPr="008D4CE4">
        <w:t>enoxaparin</w:t>
      </w:r>
      <w:proofErr w:type="spellEnd"/>
      <w:r w:rsidRPr="008D4CE4">
        <w:t>). Overall, the safety profile of apixaban in this study is compatible with the profile observed in the AF pivotal studies discussed below.</w:t>
      </w:r>
    </w:p>
    <w:p w:rsidR="008D4CE4" w:rsidRPr="008D4CE4" w:rsidRDefault="008D4CE4" w:rsidP="00116F6A">
      <w:pPr>
        <w:pStyle w:val="Heading4"/>
      </w:pPr>
      <w:bookmarkStart w:id="163" w:name="_Toc340050318"/>
      <w:bookmarkStart w:id="164" w:name="_Toc290888837"/>
      <w:bookmarkStart w:id="165" w:name="_Toc290846300"/>
      <w:bookmarkStart w:id="166" w:name="_Toc272414662"/>
      <w:bookmarkStart w:id="167" w:name="_Ref271196630"/>
      <w:bookmarkStart w:id="168" w:name="_Toc241374318"/>
      <w:bookmarkEnd w:id="162"/>
      <w:r w:rsidRPr="008D4CE4">
        <w:t>Patient exposure</w:t>
      </w:r>
      <w:bookmarkEnd w:id="163"/>
      <w:bookmarkEnd w:id="164"/>
      <w:bookmarkEnd w:id="165"/>
      <w:bookmarkEnd w:id="166"/>
      <w:bookmarkEnd w:id="167"/>
      <w:bookmarkEnd w:id="168"/>
    </w:p>
    <w:p w:rsidR="008B6DF4" w:rsidRDefault="008D4CE4" w:rsidP="002B0391">
      <w:r w:rsidRPr="008D4CE4">
        <w:t xml:space="preserve">Total exposure was high in the 23,718 subjects included in two pivotal Phase </w:t>
      </w:r>
      <w:r w:rsidR="00AB60B1">
        <w:t>III</w:t>
      </w:r>
      <w:r w:rsidR="008B6DF4">
        <w:t xml:space="preserve"> studies. Exposure in S</w:t>
      </w:r>
      <w:r w:rsidR="00865981">
        <w:t>tudy CV185030 was 15,</w:t>
      </w:r>
      <w:r w:rsidRPr="008D4CE4">
        <w:t xml:space="preserve">534 and 15,184 </w:t>
      </w:r>
      <w:r w:rsidR="005E088C">
        <w:t>patient</w:t>
      </w:r>
      <w:r w:rsidRPr="008D4CE4">
        <w:t>-years for apixaban and warfarin respectively, with an av</w:t>
      </w:r>
      <w:r w:rsidR="008B6DF4">
        <w:t xml:space="preserve">erage duration of treatment of approximately </w:t>
      </w:r>
      <w:r w:rsidRPr="008D4CE4">
        <w:t>1.7 years.</w:t>
      </w:r>
      <w:r w:rsidR="00071C0C">
        <w:t xml:space="preserve"> </w:t>
      </w:r>
      <w:r w:rsidR="008B6DF4">
        <w:t>Exposure in S</w:t>
      </w:r>
      <w:r w:rsidRPr="008D4CE4">
        <w:t xml:space="preserve">tudy CV185048 was 3,193 and 3,150 </w:t>
      </w:r>
      <w:r w:rsidR="005E088C">
        <w:t>patient</w:t>
      </w:r>
      <w:r w:rsidRPr="008D4CE4">
        <w:t>-years for a</w:t>
      </w:r>
      <w:r w:rsidR="008B6DF4">
        <w:t>pixaban and ASA respectively in-</w:t>
      </w:r>
      <w:r w:rsidRPr="008D4CE4">
        <w:t>study, with an av</w:t>
      </w:r>
      <w:r w:rsidR="008B6DF4">
        <w:t xml:space="preserve">erage duration of treatment of approximately </w:t>
      </w:r>
      <w:r w:rsidR="00E50971">
        <w:t>1.1 years.</w:t>
      </w:r>
    </w:p>
    <w:p w:rsidR="008D4CE4" w:rsidRPr="002B0391" w:rsidRDefault="008D4CE4" w:rsidP="002B0391">
      <w:r w:rsidRPr="008D4CE4">
        <w:t xml:space="preserve">In eight completed Phase </w:t>
      </w:r>
      <w:r w:rsidR="00AB60B1">
        <w:t>II</w:t>
      </w:r>
      <w:r w:rsidRPr="008D4CE4">
        <w:t xml:space="preserve"> and </w:t>
      </w:r>
      <w:r w:rsidR="008B6DF4">
        <w:t>III</w:t>
      </w:r>
      <w:r w:rsidRPr="008D4CE4">
        <w:t xml:space="preserve"> studies in other indications, safety data are available for an additional 11,929 subjects who received apixaban. Of these, 4,452 subjects received apixaban 10 mg/day, </w:t>
      </w:r>
      <w:r w:rsidRPr="002B0391">
        <w:t xml:space="preserve">either as 5 mg </w:t>
      </w:r>
      <w:r w:rsidR="00341B29">
        <w:t>bid</w:t>
      </w:r>
      <w:r w:rsidRPr="002B0391">
        <w:t xml:space="preserve"> or 10 mg once daily.</w:t>
      </w:r>
    </w:p>
    <w:p w:rsidR="002B0391" w:rsidRPr="002B0391" w:rsidRDefault="002B0391" w:rsidP="002B0391">
      <w:pPr>
        <w:pStyle w:val="Heading4"/>
      </w:pPr>
      <w:bookmarkStart w:id="169" w:name="_Toc241374328"/>
      <w:bookmarkStart w:id="170" w:name="_Toc272414691"/>
      <w:bookmarkStart w:id="171" w:name="_Toc290846329"/>
      <w:bookmarkStart w:id="172" w:name="_Toc290888866"/>
      <w:bookmarkStart w:id="173" w:name="_Toc340050361"/>
      <w:r w:rsidRPr="002B0391">
        <w:t xml:space="preserve">Evaluator’s overall </w:t>
      </w:r>
      <w:r w:rsidR="00116F6A">
        <w:t xml:space="preserve">summary and </w:t>
      </w:r>
      <w:r w:rsidRPr="002B0391">
        <w:t>conclusions on clinical safety</w:t>
      </w:r>
      <w:bookmarkEnd w:id="169"/>
      <w:bookmarkEnd w:id="170"/>
      <w:bookmarkEnd w:id="171"/>
      <w:bookmarkEnd w:id="172"/>
      <w:bookmarkEnd w:id="173"/>
    </w:p>
    <w:p w:rsidR="002B0391" w:rsidRPr="002B0391" w:rsidRDefault="002B0391" w:rsidP="002B0391">
      <w:r w:rsidRPr="002B0391">
        <w:t xml:space="preserve">Monitoring of standard safety endpoints (including AEs, SAEs, laboratory investigations, vital signs, </w:t>
      </w:r>
      <w:r w:rsidR="00D23650">
        <w:t>electrocardiograms (</w:t>
      </w:r>
      <w:r w:rsidRPr="002B0391">
        <w:t>ECGs</w:t>
      </w:r>
      <w:r w:rsidR="00D23650">
        <w:t>)</w:t>
      </w:r>
      <w:r w:rsidRPr="002B0391">
        <w:t xml:space="preserve">, </w:t>
      </w:r>
      <w:r w:rsidR="00D23650">
        <w:t>liver function tests (</w:t>
      </w:r>
      <w:r w:rsidRPr="002B0391">
        <w:t>LFTs</w:t>
      </w:r>
      <w:r w:rsidR="00D23650">
        <w:t>)</w:t>
      </w:r>
      <w:r w:rsidRPr="002B0391">
        <w:t xml:space="preserve"> and neurologic AEs) demonstrated no clinically significant differences between subjects treated with apix</w:t>
      </w:r>
      <w:r w:rsidR="00D23650">
        <w:t>aban and the active comparators</w:t>
      </w:r>
      <w:r w:rsidRPr="002B0391">
        <w:t xml:space="preserve"> warfarin and ASA.</w:t>
      </w:r>
      <w:r w:rsidR="00071C0C">
        <w:t xml:space="preserve"> </w:t>
      </w:r>
      <w:r w:rsidRPr="002B0391">
        <w:t>There were no placebo control subjects. However, exposure was high in all treatment groups (15,534 and 15,184 patient-years for apixaba</w:t>
      </w:r>
      <w:r w:rsidR="00D23650">
        <w:t>n and warfarin respectively in S</w:t>
      </w:r>
      <w:r w:rsidRPr="002B0391">
        <w:t xml:space="preserve">tudy CV185030; 3,193 and 3,150 patient-years for apixaban and ASA respectively in </w:t>
      </w:r>
      <w:r w:rsidR="00D23650">
        <w:t>S</w:t>
      </w:r>
      <w:r w:rsidRPr="002B0391">
        <w:t xml:space="preserve">tudy CV185048). Duration of treatment averaged </w:t>
      </w:r>
      <w:r w:rsidR="00D23650">
        <w:t xml:space="preserve">approximately </w:t>
      </w:r>
      <w:r w:rsidRPr="002B0391">
        <w:t xml:space="preserve">1.7 years </w:t>
      </w:r>
      <w:r w:rsidR="00FE04BD" w:rsidRPr="00FE04BD">
        <w:t xml:space="preserve">for study CV185030 and 1.1 years for study CV158048 </w:t>
      </w:r>
      <w:r w:rsidRPr="002B0391">
        <w:t>so it is unlikely that a significant, common safety signal for apixaban was overlooked.</w:t>
      </w:r>
    </w:p>
    <w:p w:rsidR="005E088C" w:rsidRDefault="002B0391" w:rsidP="002B0391">
      <w:r w:rsidRPr="002B0391">
        <w:t>The primary safety endpoint in both pivotal studies was bleeding</w:t>
      </w:r>
      <w:r w:rsidR="001528E2">
        <w:t>. Bleeding events were categoris</w:t>
      </w:r>
      <w:r w:rsidRPr="002B0391">
        <w:t xml:space="preserve">ed </w:t>
      </w:r>
      <w:r w:rsidRPr="00D23650">
        <w:rPr>
          <w:i/>
        </w:rPr>
        <w:t>a priori</w:t>
      </w:r>
      <w:r w:rsidRPr="002B0391">
        <w:t xml:space="preserve">, investigated and recorded carefully, and major events were confirmed by an </w:t>
      </w:r>
      <w:r w:rsidR="005E088C">
        <w:t>independent, external adjudicating committee</w:t>
      </w:r>
      <w:r w:rsidR="00E50971">
        <w:t>.</w:t>
      </w:r>
    </w:p>
    <w:p w:rsidR="002B0391" w:rsidRPr="002B0391" w:rsidRDefault="002B0391" w:rsidP="002B0391">
      <w:r w:rsidRPr="002B0391">
        <w:t xml:space="preserve">In </w:t>
      </w:r>
      <w:r w:rsidR="00D23650">
        <w:t>S</w:t>
      </w:r>
      <w:r w:rsidRPr="002B0391">
        <w:t xml:space="preserve">tudy CV185030, the safety profile of apixaban in relation to major and minor bleeding was superior to warfarin. The difference was highly significant and clinically relevant. In contrast, in </w:t>
      </w:r>
      <w:r w:rsidR="00D23650">
        <w:t>S</w:t>
      </w:r>
      <w:r w:rsidRPr="002B0391">
        <w:t>tudy CV185048 there was a higher incidence of major bleeding in the apixaban group compared with the ASA group. The difference was not statistically significant and the number of fatal bleeds and intracranial haemorrhages was the same in both groups. However, there was a statistically significant inc</w:t>
      </w:r>
      <w:r w:rsidR="00F73250">
        <w:t>rease in the composite of both m</w:t>
      </w:r>
      <w:r w:rsidRPr="002B0391">
        <w:t xml:space="preserve">ajor + CRNM </w:t>
      </w:r>
      <w:r w:rsidR="00F73250">
        <w:t xml:space="preserve">bleeding and </w:t>
      </w:r>
      <w:proofErr w:type="spellStart"/>
      <w:r w:rsidR="00F73250">
        <w:t>all</w:t>
      </w:r>
      <w:r w:rsidR="00F73250">
        <w:noBreakHyphen/>
      </w:r>
      <w:r w:rsidRPr="002B0391">
        <w:t>bleeding</w:t>
      </w:r>
      <w:proofErr w:type="spellEnd"/>
      <w:r w:rsidRPr="002B0391">
        <w:t xml:space="preserve"> in the </w:t>
      </w:r>
      <w:proofErr w:type="spellStart"/>
      <w:r w:rsidRPr="002B0391">
        <w:t>apixaban</w:t>
      </w:r>
      <w:proofErr w:type="spellEnd"/>
      <w:r w:rsidRPr="002B0391">
        <w:t xml:space="preserve"> group compared with the ASA group. On balance, the evidence suggests that apixaban is more likely to cause bleeding than ASA (as might be predicted from the phar</w:t>
      </w:r>
      <w:r w:rsidR="00E50971">
        <w:t>macology of the two compounds).</w:t>
      </w:r>
    </w:p>
    <w:p w:rsidR="002B0391" w:rsidRPr="002B0391" w:rsidRDefault="002B0391" w:rsidP="002B0391">
      <w:r w:rsidRPr="002B0391">
        <w:t>The safety profile of apixaban was similar in subgroups which included the elderly, subjects with renal failure, and both warfarin-experienced and warfarin-</w:t>
      </w:r>
      <w:r w:rsidR="00F73250">
        <w:t>naïve</w:t>
      </w:r>
      <w:r w:rsidRPr="002B0391">
        <w:t xml:space="preserve"> subjects. Of special note, apixaban was not associated with an increased risk of MI in either pivotal study although approximately one third of subjects had pre-existing coronary artery disease.</w:t>
      </w:r>
    </w:p>
    <w:p w:rsidR="002B0391" w:rsidRPr="002B0391" w:rsidRDefault="002B0391" w:rsidP="002B0391">
      <w:r w:rsidRPr="002B0391">
        <w:t>Overall, the safety summary provided by the sponsor is acceptable.</w:t>
      </w:r>
    </w:p>
    <w:p w:rsidR="008E7846" w:rsidRDefault="008E7846" w:rsidP="008E7846">
      <w:pPr>
        <w:pStyle w:val="Heading3"/>
      </w:pPr>
      <w:bookmarkStart w:id="174" w:name="_Toc255919423"/>
      <w:bookmarkStart w:id="175" w:name="_Toc241374329"/>
      <w:bookmarkStart w:id="176" w:name="_Toc270320087"/>
      <w:bookmarkStart w:id="177" w:name="_Toc314842506"/>
      <w:bookmarkStart w:id="178" w:name="_Toc363676072"/>
      <w:bookmarkStart w:id="179" w:name="_Toc163441387"/>
      <w:bookmarkEnd w:id="158"/>
      <w:bookmarkEnd w:id="159"/>
      <w:bookmarkEnd w:id="160"/>
      <w:r>
        <w:t>List of questions</w:t>
      </w:r>
      <w:bookmarkEnd w:id="174"/>
      <w:bookmarkEnd w:id="175"/>
      <w:bookmarkEnd w:id="176"/>
      <w:bookmarkEnd w:id="177"/>
      <w:bookmarkEnd w:id="178"/>
    </w:p>
    <w:p w:rsidR="002B0391" w:rsidRPr="002B0391" w:rsidRDefault="002B0391" w:rsidP="00116F6A">
      <w:pPr>
        <w:pStyle w:val="Heading4"/>
      </w:pPr>
      <w:bookmarkStart w:id="180" w:name="_Toc340050374"/>
      <w:bookmarkStart w:id="181" w:name="_Toc290888879"/>
      <w:bookmarkStart w:id="182" w:name="_Toc290846342"/>
      <w:bookmarkStart w:id="183" w:name="_Toc272414702"/>
      <w:r w:rsidRPr="002B0391">
        <w:t>Pharmacokinetics</w:t>
      </w:r>
      <w:bookmarkEnd w:id="180"/>
      <w:bookmarkEnd w:id="181"/>
      <w:bookmarkEnd w:id="182"/>
      <w:bookmarkEnd w:id="183"/>
    </w:p>
    <w:p w:rsidR="002B0391" w:rsidRPr="002B0391" w:rsidRDefault="002B0391" w:rsidP="002B0391">
      <w:r w:rsidRPr="002B0391">
        <w:t>Other than information contained in the PPK report, have the PK of apixaban in patients with AF and healthy subjects been directly compared in a single study</w:t>
      </w:r>
      <w:r w:rsidR="0021675F">
        <w:t>?</w:t>
      </w:r>
      <w:r w:rsidRPr="002B0391">
        <w:t xml:space="preserve"> </w:t>
      </w:r>
      <w:r w:rsidR="0021675F">
        <w:t>I</w:t>
      </w:r>
      <w:r w:rsidRPr="002B0391">
        <w:t>f so</w:t>
      </w:r>
      <w:r w:rsidR="0021675F">
        <w:t>,</w:t>
      </w:r>
      <w:r w:rsidRPr="002B0391">
        <w:t xml:space="preserve"> the sponsor </w:t>
      </w:r>
      <w:r w:rsidR="0021675F">
        <w:t xml:space="preserve">is requested to </w:t>
      </w:r>
      <w:r w:rsidRPr="002B0391">
        <w:t xml:space="preserve">provide the </w:t>
      </w:r>
      <w:r w:rsidR="0021675F">
        <w:t xml:space="preserve">relevant </w:t>
      </w:r>
      <w:r w:rsidRPr="002B0391">
        <w:t>details</w:t>
      </w:r>
      <w:r w:rsidR="0021675F">
        <w:t>.</w:t>
      </w:r>
    </w:p>
    <w:p w:rsidR="0021675F" w:rsidRPr="002B0391" w:rsidRDefault="0021675F" w:rsidP="0021675F">
      <w:bookmarkStart w:id="184" w:name="_Toc340050375"/>
      <w:bookmarkStart w:id="185" w:name="_Toc290888880"/>
      <w:bookmarkStart w:id="186" w:name="_Toc290846343"/>
      <w:bookmarkStart w:id="187" w:name="_Toc272414703"/>
      <w:r w:rsidRPr="002B0391">
        <w:lastRenderedPageBreak/>
        <w:t xml:space="preserve">The sponsor is requested to provide the report of Study </w:t>
      </w:r>
      <w:r w:rsidR="00846304">
        <w:t>CV</w:t>
      </w:r>
      <w:r w:rsidRPr="002B0391">
        <w:t>185025 for review within the Round 2 evaluation phase of this submission.</w:t>
      </w:r>
    </w:p>
    <w:p w:rsidR="002B0391" w:rsidRPr="002B0391" w:rsidRDefault="002B0391" w:rsidP="00116F6A">
      <w:pPr>
        <w:pStyle w:val="Heading4"/>
      </w:pPr>
      <w:r w:rsidRPr="002B0391">
        <w:t>Pharmacodynamics</w:t>
      </w:r>
      <w:bookmarkEnd w:id="184"/>
      <w:bookmarkEnd w:id="185"/>
      <w:bookmarkEnd w:id="186"/>
      <w:bookmarkEnd w:id="187"/>
    </w:p>
    <w:p w:rsidR="0021675F" w:rsidRDefault="0021675F" w:rsidP="0021675F">
      <w:r w:rsidRPr="0021675F">
        <w:t xml:space="preserve">Other than information contained in the PPK report, have the </w:t>
      </w:r>
      <w:r>
        <w:t xml:space="preserve">PD </w:t>
      </w:r>
      <w:r w:rsidRPr="0021675F">
        <w:t xml:space="preserve">of apixaban in patients with </w:t>
      </w:r>
      <w:r>
        <w:t xml:space="preserve">AF </w:t>
      </w:r>
      <w:r w:rsidRPr="0021675F">
        <w:t>and in healthy subjects been direct</w:t>
      </w:r>
      <w:r>
        <w:t xml:space="preserve">ly compared in a single study? </w:t>
      </w:r>
      <w:r w:rsidRPr="0021675F">
        <w:t xml:space="preserve">If so, the sponsor is requested to provide the relevant </w:t>
      </w:r>
      <w:r>
        <w:t>details.</w:t>
      </w:r>
    </w:p>
    <w:p w:rsidR="0079142B" w:rsidRPr="0079142B" w:rsidRDefault="007C1C63" w:rsidP="00116F6A">
      <w:pPr>
        <w:pStyle w:val="Heading4"/>
      </w:pPr>
      <w:r>
        <w:t>Regulatory concerns</w:t>
      </w:r>
    </w:p>
    <w:p w:rsidR="008E7846" w:rsidRPr="0021675F" w:rsidRDefault="0021675F" w:rsidP="0021675F">
      <w:bookmarkStart w:id="188" w:name="_Toc247691523"/>
      <w:bookmarkStart w:id="189" w:name="_Toc314842507"/>
      <w:bookmarkStart w:id="190" w:name="_Toc184440295"/>
      <w:bookmarkStart w:id="191" w:name="_Toc184444673"/>
      <w:bookmarkStart w:id="192" w:name="_Toc196046503"/>
      <w:bookmarkEnd w:id="179"/>
      <w:r w:rsidRPr="0021675F">
        <w:t>The sponsor is requested to provide</w:t>
      </w:r>
      <w:r>
        <w:t xml:space="preserve"> </w:t>
      </w:r>
      <w:r w:rsidRPr="0021675F">
        <w:t xml:space="preserve">a copy of its responses to all of the questions asked in the US FDA Complete Response Letter </w:t>
      </w:r>
      <w:r>
        <w:t xml:space="preserve">(CRL) </w:t>
      </w:r>
      <w:r w:rsidRPr="0021675F">
        <w:t xml:space="preserve">addressed to Bristol-Myers Squibb in the USA and signed </w:t>
      </w:r>
      <w:r>
        <w:t>on 22/06/2012</w:t>
      </w:r>
      <w:r w:rsidR="003B5B4F">
        <w:rPr>
          <w:rStyle w:val="FootnoteReference"/>
        </w:rPr>
        <w:footnoteReference w:id="11"/>
      </w:r>
      <w:r w:rsidR="0079142B">
        <w:t xml:space="preserve">, a copy of which has been </w:t>
      </w:r>
      <w:r>
        <w:t>provided to the TGA</w:t>
      </w:r>
      <w:r w:rsidR="0079142B">
        <w:t>.</w:t>
      </w:r>
      <w:r>
        <w:t xml:space="preserve"> </w:t>
      </w:r>
      <w:r w:rsidRPr="0021675F">
        <w:t>If there are questions and/or issues from this CRL</w:t>
      </w:r>
      <w:r>
        <w:t xml:space="preserve"> </w:t>
      </w:r>
      <w:r w:rsidRPr="0021675F">
        <w:t xml:space="preserve">which are still unresolved by the due date for </w:t>
      </w:r>
      <w:r w:rsidR="00740941">
        <w:t xml:space="preserve">responding to the TGA questions, </w:t>
      </w:r>
      <w:r w:rsidRPr="0021675F">
        <w:t>the sponsor is requested</w:t>
      </w:r>
      <w:r w:rsidR="00740941">
        <w:t>,</w:t>
      </w:r>
      <w:r w:rsidRPr="0021675F">
        <w:t xml:space="preserve"> in that response</w:t>
      </w:r>
      <w:r w:rsidR="00740941">
        <w:t>,</w:t>
      </w:r>
      <w:r w:rsidRPr="0021675F">
        <w:t xml:space="preserve"> to identify these questions and/or issues so that the </w:t>
      </w:r>
      <w:r w:rsidR="00740941">
        <w:t>D</w:t>
      </w:r>
      <w:r w:rsidRPr="0021675F">
        <w:t xml:space="preserve">elegate can seek to resolve them </w:t>
      </w:r>
      <w:r w:rsidRPr="00740941">
        <w:rPr>
          <w:i/>
        </w:rPr>
        <w:t>via</w:t>
      </w:r>
      <w:r w:rsidRPr="0021675F">
        <w:t xml:space="preserve"> the Delegate's </w:t>
      </w:r>
      <w:r w:rsidR="001759D0">
        <w:t>o</w:t>
      </w:r>
      <w:r w:rsidR="0079142B">
        <w:t>verview</w:t>
      </w:r>
      <w:r w:rsidR="007C1C63">
        <w:t xml:space="preserve"> (see </w:t>
      </w:r>
      <w:r w:rsidR="007C1C63">
        <w:rPr>
          <w:i/>
        </w:rPr>
        <w:t xml:space="preserve">Overall </w:t>
      </w:r>
      <w:r w:rsidR="001759D0">
        <w:rPr>
          <w:i/>
        </w:rPr>
        <w:t>c</w:t>
      </w:r>
      <w:r w:rsidR="007C1C63">
        <w:rPr>
          <w:i/>
        </w:rPr>
        <w:t xml:space="preserve">onclusion and Risk/Benefit </w:t>
      </w:r>
      <w:r w:rsidR="001759D0">
        <w:rPr>
          <w:i/>
        </w:rPr>
        <w:t>a</w:t>
      </w:r>
      <w:r w:rsidR="007C1C63">
        <w:rPr>
          <w:i/>
        </w:rPr>
        <w:t xml:space="preserve">ssessment </w:t>
      </w:r>
      <w:r w:rsidR="007C1C63" w:rsidRPr="007C1C63">
        <w:t>in this AusPAR</w:t>
      </w:r>
      <w:r w:rsidR="007C1C63">
        <w:t>)</w:t>
      </w:r>
      <w:r w:rsidRPr="007C1C63">
        <w:t>.</w:t>
      </w:r>
      <w:bookmarkEnd w:id="188"/>
      <w:bookmarkEnd w:id="189"/>
    </w:p>
    <w:p w:rsidR="00846304" w:rsidRDefault="00846304" w:rsidP="00846304">
      <w:pPr>
        <w:pStyle w:val="Heading3"/>
      </w:pPr>
      <w:bookmarkStart w:id="193" w:name="_Toc363676073"/>
      <w:bookmarkStart w:id="194" w:name="_Ref271136331"/>
      <w:bookmarkStart w:id="195" w:name="_Ref271136335"/>
      <w:bookmarkStart w:id="196" w:name="_Toc272414692"/>
      <w:bookmarkStart w:id="197" w:name="_Ref290633656"/>
      <w:bookmarkStart w:id="198" w:name="_Toc290846330"/>
      <w:bookmarkStart w:id="199" w:name="_Toc290888867"/>
      <w:bookmarkStart w:id="200" w:name="_Toc340050362"/>
      <w:bookmarkStart w:id="201" w:name="_Toc196046504"/>
      <w:bookmarkStart w:id="202" w:name="_Toc163441390"/>
      <w:bookmarkEnd w:id="190"/>
      <w:bookmarkEnd w:id="191"/>
      <w:bookmarkEnd w:id="192"/>
      <w:r>
        <w:t xml:space="preserve">First </w:t>
      </w:r>
      <w:r w:rsidR="00E50971">
        <w:t>r</w:t>
      </w:r>
      <w:r>
        <w:t>ound clinical summary and conclusions</w:t>
      </w:r>
      <w:bookmarkEnd w:id="193"/>
    </w:p>
    <w:p w:rsidR="002B0391" w:rsidRPr="002B0391" w:rsidRDefault="002B0391" w:rsidP="002B0391">
      <w:pPr>
        <w:pStyle w:val="Heading4"/>
      </w:pPr>
      <w:r>
        <w:t>F</w:t>
      </w:r>
      <w:r w:rsidRPr="002B0391">
        <w:t>irst round benefit-risk assessment</w:t>
      </w:r>
      <w:bookmarkEnd w:id="194"/>
      <w:bookmarkEnd w:id="195"/>
      <w:bookmarkEnd w:id="196"/>
      <w:bookmarkEnd w:id="197"/>
      <w:bookmarkEnd w:id="198"/>
      <w:bookmarkEnd w:id="199"/>
      <w:bookmarkEnd w:id="200"/>
    </w:p>
    <w:p w:rsidR="002B0391" w:rsidRPr="002B0391" w:rsidRDefault="002B0391" w:rsidP="002B0391">
      <w:pPr>
        <w:pStyle w:val="Heading5"/>
      </w:pPr>
      <w:bookmarkStart w:id="203" w:name="_Toc236802592"/>
      <w:bookmarkStart w:id="204" w:name="_Toc241374331"/>
      <w:bookmarkStart w:id="205" w:name="_Ref272160836"/>
      <w:bookmarkStart w:id="206" w:name="_Toc272414693"/>
      <w:bookmarkStart w:id="207" w:name="_Toc290846331"/>
      <w:bookmarkStart w:id="208" w:name="_Toc290888868"/>
      <w:bookmarkStart w:id="209" w:name="_Toc340050363"/>
      <w:r w:rsidRPr="002B0391">
        <w:t>First round assessment of benefits</w:t>
      </w:r>
      <w:bookmarkEnd w:id="203"/>
      <w:bookmarkEnd w:id="204"/>
      <w:bookmarkEnd w:id="205"/>
      <w:bookmarkEnd w:id="206"/>
      <w:bookmarkEnd w:id="207"/>
      <w:bookmarkEnd w:id="208"/>
      <w:bookmarkEnd w:id="209"/>
    </w:p>
    <w:p w:rsidR="002B0391" w:rsidRPr="002B0391" w:rsidRDefault="002B0391" w:rsidP="002B0391">
      <w:r w:rsidRPr="002B0391">
        <w:t xml:space="preserve">The lifetime risk of AF in those over 55 years of age is 20-25% in both genders in </w:t>
      </w:r>
      <w:r w:rsidR="00B75ECE">
        <w:t xml:space="preserve">the </w:t>
      </w:r>
      <w:r w:rsidRPr="002B0391">
        <w:t>US and Europe and the incidence will rise as these populations age. A</w:t>
      </w:r>
      <w:r w:rsidR="00B75ECE">
        <w:t>trial fibrillation</w:t>
      </w:r>
      <w:r w:rsidRPr="002B0391">
        <w:t xml:space="preserve"> reduces exercise tolerance and may exacerbate cardiac failure. However, the most significant association is</w:t>
      </w:r>
      <w:r w:rsidR="00B75ECE">
        <w:t xml:space="preserve"> stroke which is increased </w:t>
      </w:r>
      <w:proofErr w:type="spellStart"/>
      <w:r w:rsidR="00B75ECE">
        <w:t xml:space="preserve">five </w:t>
      </w:r>
      <w:r w:rsidRPr="002B0391">
        <w:t>fold</w:t>
      </w:r>
      <w:proofErr w:type="spellEnd"/>
      <w:r w:rsidRPr="002B0391">
        <w:t xml:space="preserve"> in those with AF. More than 15% of strokes are associated with AF and 70% of these are fatal. The risk of stroke is 2.8% in those aged 60-69 years</w:t>
      </w:r>
      <w:r w:rsidR="005E088C">
        <w:t>:</w:t>
      </w:r>
      <w:r w:rsidRPr="002B0391">
        <w:t xml:space="preserve"> 9.9% in those aged 70-79; and 23.5% in those aged 80-89</w:t>
      </w:r>
      <w:r w:rsidR="005E088C">
        <w:t>.</w:t>
      </w:r>
      <w:r w:rsidR="00AB60B1">
        <w:rPr>
          <w:rStyle w:val="FootnoteReference"/>
        </w:rPr>
        <w:footnoteReference w:id="12"/>
      </w:r>
      <w:r w:rsidRPr="002B0391">
        <w:t xml:space="preserve"> The mortality in subjects with AF is twice that of age-matched subjects with sinus rhythm, due at least in part to </w:t>
      </w:r>
      <w:r w:rsidR="006F4599">
        <w:t>the increased risk of stroke</w:t>
      </w:r>
      <w:r w:rsidRPr="002B0391">
        <w:t xml:space="preserve">. The risk of stroke is enhanced by the association with other risk factors encapsulated in the </w:t>
      </w:r>
      <w:r w:rsidR="008F2DC5" w:rsidRPr="008F2DC5">
        <w:t xml:space="preserve">cardiac failure, hypertension, age, diabetes and stroke </w:t>
      </w:r>
      <w:r w:rsidR="003332A7">
        <w:t xml:space="preserve">(including </w:t>
      </w:r>
      <w:r w:rsidR="00A7244B" w:rsidRPr="00A7244B">
        <w:t>transient ischemic attack</w:t>
      </w:r>
      <w:r w:rsidR="00A7244B">
        <w:t>;</w:t>
      </w:r>
      <w:r w:rsidR="00A7244B" w:rsidRPr="00A7244B">
        <w:t xml:space="preserve"> </w:t>
      </w:r>
      <w:r w:rsidRPr="002B0391">
        <w:t>TIA)</w:t>
      </w:r>
      <w:r w:rsidR="003332A7">
        <w:t xml:space="preserve"> </w:t>
      </w:r>
      <w:r w:rsidR="00340ED5">
        <w:t>(</w:t>
      </w:r>
      <w:r w:rsidR="003332A7">
        <w:t xml:space="preserve">the </w:t>
      </w:r>
      <w:r w:rsidR="003332A7" w:rsidRPr="002B0391">
        <w:t>CHADS</w:t>
      </w:r>
      <w:r w:rsidR="003332A7" w:rsidRPr="00F41964">
        <w:rPr>
          <w:vertAlign w:val="subscript"/>
        </w:rPr>
        <w:t>2</w:t>
      </w:r>
      <w:r w:rsidR="00340ED5">
        <w:rPr>
          <w:rStyle w:val="FootnoteReference"/>
        </w:rPr>
        <w:footnoteReference w:id="13"/>
      </w:r>
      <w:r w:rsidR="00340ED5">
        <w:t>)</w:t>
      </w:r>
      <w:r w:rsidR="003332A7">
        <w:t xml:space="preserve"> </w:t>
      </w:r>
      <w:r w:rsidR="003332A7" w:rsidRPr="002B0391">
        <w:t>score</w:t>
      </w:r>
      <w:r w:rsidR="000E4AA3">
        <w:t>.</w:t>
      </w:r>
      <w:r w:rsidR="006F4599">
        <w:rPr>
          <w:rStyle w:val="FootnoteReference"/>
        </w:rPr>
        <w:footnoteReference w:id="14"/>
      </w:r>
    </w:p>
    <w:p w:rsidR="00340ED5" w:rsidRDefault="002B0391" w:rsidP="002B0391">
      <w:r w:rsidRPr="002B0391">
        <w:t>Warfarin is the gold standard for the prevention of stroke in subjects with AF and stroke rates may be reduced by up to 64% compared with subjects treated with placebo</w:t>
      </w:r>
      <w:r w:rsidR="000E4AA3">
        <w:t>.</w:t>
      </w:r>
      <w:r w:rsidR="00AB60B1">
        <w:rPr>
          <w:rStyle w:val="FootnoteReference"/>
        </w:rPr>
        <w:footnoteReference w:id="15"/>
      </w:r>
      <w:r w:rsidRPr="002B0391">
        <w:t xml:space="preserve"> However, up to 50% of subjects with AF receive treatment other than warfarin (approximately 30% are treated with ASA and 20% receive no antithrombotic therapy)</w:t>
      </w:r>
      <w:r w:rsidR="000E4AA3">
        <w:t>.</w:t>
      </w:r>
      <w:r w:rsidR="006F4599">
        <w:rPr>
          <w:rStyle w:val="FootnoteReference"/>
        </w:rPr>
        <w:footnoteReference w:id="16"/>
      </w:r>
      <w:r w:rsidRPr="002B0391">
        <w:t xml:space="preserve"> </w:t>
      </w:r>
      <w:proofErr w:type="spellStart"/>
      <w:r w:rsidRPr="002B0391">
        <w:t>Antiplatelet</w:t>
      </w:r>
      <w:proofErr w:type="spellEnd"/>
      <w:r w:rsidRPr="002B0391">
        <w:t xml:space="preserve"> agents such as ASA reduce stroke in AF subjects by 20%, but warfarin reduces stroke by 40% compared with anti-platelet agents</w:t>
      </w:r>
      <w:r w:rsidR="000E4AA3">
        <w:t>.</w:t>
      </w:r>
      <w:r w:rsidR="006F4599">
        <w:rPr>
          <w:rStyle w:val="FootnoteReference"/>
        </w:rPr>
        <w:footnoteReference w:id="17"/>
      </w:r>
    </w:p>
    <w:p w:rsidR="002B0391" w:rsidRPr="002B0391" w:rsidRDefault="002B0391" w:rsidP="002B0391">
      <w:r w:rsidRPr="002B0391">
        <w:lastRenderedPageBreak/>
        <w:t>Several European and US guidelines together advocate the use of warfarin for subjects with two or more risk factors for stroke, and ASA as a less preferable alternative for those with only a single risk factor. Up to 50% of subjects are considered unsuitable for warfarin therapy, mainly due to the risk of bleeding. Moreover, the benefit of warfarin therapy depends on the maintenance of INR within 2.0-3.0 but this is notoriously difficult to achieve, especially in elderly subjects. Treatment is complicated by concomitant illnesses such as hepatic and renal impairment, concomitant medications with the risk of drug-drug interactions, poor treatment compliance and logistic difficulties associated</w:t>
      </w:r>
      <w:r w:rsidR="00E50971">
        <w:t xml:space="preserve"> with long-term INR monitoring.</w:t>
      </w:r>
    </w:p>
    <w:p w:rsidR="002B0391" w:rsidRPr="002B0391" w:rsidRDefault="002B0391" w:rsidP="002B0391">
      <w:r w:rsidRPr="002B0391">
        <w:t>A</w:t>
      </w:r>
      <w:r w:rsidR="00237E9F">
        <w:t>cetyl salicylic acid</w:t>
      </w:r>
      <w:r w:rsidRPr="002B0391">
        <w:t xml:space="preserve"> reduces the risk of stroke, but not fatal stroke, in AF patients by up to 22% compared with placebo. However, ASA has been shown to be less effective than warfarin in preventing stroke</w:t>
      </w:r>
      <w:r w:rsidR="008F2DC5">
        <w:t>,</w:t>
      </w:r>
      <w:r w:rsidRPr="002B0391">
        <w:t xml:space="preserve"> with event rates of 4.5% and 2.4% respectively (HR 0.55 [95% CI 0.43-0.71])</w:t>
      </w:r>
      <w:r w:rsidR="000E4AA3">
        <w:t>.</w:t>
      </w:r>
      <w:r w:rsidR="006F4599">
        <w:rPr>
          <w:rStyle w:val="FootnoteReference"/>
        </w:rPr>
        <w:footnoteReference w:id="18"/>
      </w:r>
    </w:p>
    <w:p w:rsidR="002B0391" w:rsidRDefault="002B0391" w:rsidP="002B0391">
      <w:r w:rsidRPr="002B0391">
        <w:t xml:space="preserve">The primary efficacy endpoint in both pivotal studies </w:t>
      </w:r>
      <w:r w:rsidR="00340ED5">
        <w:t xml:space="preserve">provided for this submission </w:t>
      </w:r>
      <w:r w:rsidRPr="002B0391">
        <w:t xml:space="preserve">was stroke (ischaemic, haemorrhagic or unspecified) or SE. Secondary endpoints were all-cause death in both studies, and major vascular events (stroke, SE, MI, vascular death) in </w:t>
      </w:r>
      <w:r w:rsidR="008F2DC5">
        <w:t xml:space="preserve">Study </w:t>
      </w:r>
      <w:r w:rsidRPr="002B0391">
        <w:t xml:space="preserve">CV185048. The primary endpoint for </w:t>
      </w:r>
      <w:r w:rsidR="008F2DC5">
        <w:t>Study</w:t>
      </w:r>
      <w:r w:rsidR="008F2DC5" w:rsidRPr="002B0391">
        <w:t xml:space="preserve"> </w:t>
      </w:r>
      <w:r w:rsidRPr="002B0391">
        <w:t xml:space="preserve">CV185030 was </w:t>
      </w:r>
      <w:r w:rsidR="002A0CFA" w:rsidRPr="008D4CE4">
        <w:t>non-inferior</w:t>
      </w:r>
      <w:r w:rsidR="002A0CFA">
        <w:t>ity</w:t>
      </w:r>
      <w:r w:rsidRPr="002B0391">
        <w:t xml:space="preserve"> or superiority if </w:t>
      </w:r>
      <w:r w:rsidR="002A0CFA" w:rsidRPr="008D4CE4">
        <w:t>non-inferior</w:t>
      </w:r>
      <w:r w:rsidR="002A0CFA">
        <w:t xml:space="preserve">ity </w:t>
      </w:r>
      <w:r w:rsidRPr="002B0391">
        <w:t>was demonstrated.</w:t>
      </w:r>
      <w:r w:rsidR="00071C0C">
        <w:t xml:space="preserve"> </w:t>
      </w:r>
      <w:r w:rsidR="002A0CFA">
        <w:t>N</w:t>
      </w:r>
      <w:r w:rsidR="002A0CFA" w:rsidRPr="008D4CE4">
        <w:t>on-inferior</w:t>
      </w:r>
      <w:r w:rsidR="002A0CFA">
        <w:t>ity</w:t>
      </w:r>
      <w:r w:rsidR="002A0CFA" w:rsidRPr="008D4CE4">
        <w:t xml:space="preserve"> </w:t>
      </w:r>
      <w:r w:rsidRPr="002B0391">
        <w:t>was demonstrated and apixaban was significantly superior to warfarin and to ASA for the composite endpoint of stroke and SE. The incidence of SE was low compared with stroke</w:t>
      </w:r>
      <w:r w:rsidR="00340ED5">
        <w:t>,</w:t>
      </w:r>
      <w:r w:rsidRPr="002B0391">
        <w:t xml:space="preserve"> as demonstrated in previous AF studies. Apixaban had the largest benefit on haemorrhagic stroke as shown </w:t>
      </w:r>
      <w:r w:rsidR="00340ED5">
        <w:t xml:space="preserve">in Table </w:t>
      </w:r>
      <w:r w:rsidR="006C05FE">
        <w:t>5 and Table 6</w:t>
      </w:r>
      <w:r w:rsidRPr="002B0391">
        <w:t>:</w:t>
      </w:r>
    </w:p>
    <w:p w:rsidR="00340ED5" w:rsidRPr="002B0391" w:rsidRDefault="006C05FE" w:rsidP="00E50971">
      <w:pPr>
        <w:pStyle w:val="TableTitle"/>
      </w:pPr>
      <w:proofErr w:type="gramStart"/>
      <w:r>
        <w:t>Table 5</w:t>
      </w:r>
      <w:r w:rsidR="00340ED5">
        <w:t>.</w:t>
      </w:r>
      <w:proofErr w:type="gramEnd"/>
      <w:r w:rsidR="00340ED5">
        <w:t xml:space="preserve"> Key efficacy outcomes in subjects with AF in Study CV185030</w:t>
      </w:r>
    </w:p>
    <w:p w:rsidR="00340ED5" w:rsidRDefault="002B0391" w:rsidP="002B0391">
      <w:r w:rsidRPr="002B0391">
        <w:rPr>
          <w:noProof/>
          <w:lang w:eastAsia="en-AU"/>
        </w:rPr>
        <w:drawing>
          <wp:inline distT="0" distB="0" distL="0" distR="0">
            <wp:extent cx="4982696" cy="1483659"/>
            <wp:effectExtent l="19050" t="0" r="8404" b="0"/>
            <wp:docPr id="23" name="Picture 25" descr="Table 5. Key efficacy outcomes in subjects with AF in Study CV18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t="17250"/>
                    <a:stretch>
                      <a:fillRect/>
                    </a:stretch>
                  </pic:blipFill>
                  <pic:spPr bwMode="auto">
                    <a:xfrm>
                      <a:off x="0" y="0"/>
                      <a:ext cx="4982696" cy="1483659"/>
                    </a:xfrm>
                    <a:prstGeom prst="rect">
                      <a:avLst/>
                    </a:prstGeom>
                    <a:noFill/>
                    <a:ln w="9525">
                      <a:noFill/>
                      <a:miter lim="800000"/>
                      <a:headEnd/>
                      <a:tailEnd/>
                    </a:ln>
                  </pic:spPr>
                </pic:pic>
              </a:graphicData>
            </a:graphic>
          </wp:inline>
        </w:drawing>
      </w:r>
    </w:p>
    <w:p w:rsidR="00340ED5" w:rsidRPr="002B0391" w:rsidRDefault="006C05FE" w:rsidP="00A74C79">
      <w:pPr>
        <w:pStyle w:val="TableTitle"/>
      </w:pPr>
      <w:proofErr w:type="gramStart"/>
      <w:r>
        <w:t>Table 6</w:t>
      </w:r>
      <w:r w:rsidR="00340ED5">
        <w:t>.</w:t>
      </w:r>
      <w:proofErr w:type="gramEnd"/>
      <w:r w:rsidR="00340ED5">
        <w:t xml:space="preserve"> Key efficacy outcomes in subjects with AF in Study CV185048</w:t>
      </w:r>
    </w:p>
    <w:p w:rsidR="002B0391" w:rsidRPr="002B0391" w:rsidRDefault="002B0391" w:rsidP="00A74C79">
      <w:r w:rsidRPr="002B0391">
        <w:rPr>
          <w:noProof/>
          <w:lang w:eastAsia="en-AU"/>
        </w:rPr>
        <w:drawing>
          <wp:inline distT="0" distB="0" distL="0" distR="0">
            <wp:extent cx="4750733" cy="2268070"/>
            <wp:effectExtent l="19050" t="0" r="0" b="0"/>
            <wp:docPr id="22" name="Picture 26" descr="Table 6. Key efficacy outcomes in subjects with AF in Study CV18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srcRect l="819" t="12457"/>
                    <a:stretch>
                      <a:fillRect/>
                    </a:stretch>
                  </pic:blipFill>
                  <pic:spPr bwMode="auto">
                    <a:xfrm>
                      <a:off x="0" y="0"/>
                      <a:ext cx="4750733" cy="2268070"/>
                    </a:xfrm>
                    <a:prstGeom prst="rect">
                      <a:avLst/>
                    </a:prstGeom>
                    <a:noFill/>
                    <a:ln w="9525">
                      <a:noFill/>
                      <a:miter lim="800000"/>
                      <a:headEnd/>
                      <a:tailEnd/>
                    </a:ln>
                  </pic:spPr>
                </pic:pic>
              </a:graphicData>
            </a:graphic>
          </wp:inline>
        </w:drawing>
      </w:r>
    </w:p>
    <w:p w:rsidR="002B0391" w:rsidRPr="002B0391" w:rsidRDefault="002B0391" w:rsidP="002B0391">
      <w:r w:rsidRPr="002B0391">
        <w:lastRenderedPageBreak/>
        <w:t xml:space="preserve">Apixaban significantly reduced all-cause death compared with warfarin, with a trend in favour of apixaban compared with ASA. In </w:t>
      </w:r>
      <w:r w:rsidR="008F2DC5">
        <w:t>Study</w:t>
      </w:r>
      <w:r w:rsidR="008F2DC5" w:rsidRPr="002B0391">
        <w:t xml:space="preserve"> </w:t>
      </w:r>
      <w:r w:rsidRPr="002B0391">
        <w:t>CV185048, there was a significant benefit in favour of apixaban on major vascular events. The efficacy benefit was apparent in all subgroups and appeared to be independent of previous warfarin use, age, gender, number of risk factors for stroke, renal function, and apixaban dose reduction in at risk subjects. Apixaban was also superior to warfarin even in subjects whose INR co</w:t>
      </w:r>
      <w:r w:rsidR="00A74C79">
        <w:t>ntrol was in the optimal range.</w:t>
      </w:r>
    </w:p>
    <w:p w:rsidR="002B0391" w:rsidRPr="002B0391" w:rsidRDefault="002B0391" w:rsidP="002B0391">
      <w:r w:rsidRPr="002B0391">
        <w:t>The statistical benefit in favour of apixaban was highly significant when compared with both warfarin and ASA. The benefit in favour of apixaban was clinically worthwhile but modest compared with warfarin (HR 0.79 [95% CI: 0.66-0.95] for stroke; HR 0.89 [95% CI: 0.80-1.00] for all-cause death). However, the clinical benefit in favour of apixaban compared with ASA was more marked than that with warfarin (HR 0.45 [95% CI: 0.32-0.62] for stroke; HR 0.66 [95% CI: 0.53-0.83] for major vascular events). Overall, there is strong evidence that apixaban is equally effective or superior to the current gold standard therapi</w:t>
      </w:r>
      <w:r w:rsidR="00A74C79">
        <w:t>es for stroke prevention in AF.</w:t>
      </w:r>
    </w:p>
    <w:p w:rsidR="002B0391" w:rsidRPr="002B0391" w:rsidRDefault="002B0391" w:rsidP="002B0391">
      <w:pPr>
        <w:pStyle w:val="Heading5"/>
      </w:pPr>
      <w:bookmarkStart w:id="210" w:name="_Toc236802596"/>
      <w:bookmarkStart w:id="211" w:name="_Toc241374334"/>
      <w:bookmarkStart w:id="212" w:name="_Ref272160964"/>
      <w:bookmarkStart w:id="213" w:name="_Toc272414694"/>
      <w:bookmarkStart w:id="214" w:name="_Toc290846332"/>
      <w:bookmarkStart w:id="215" w:name="_Toc290888869"/>
      <w:bookmarkStart w:id="216" w:name="_Toc340050364"/>
      <w:r w:rsidRPr="002B0391">
        <w:t>First round assessment of ris</w:t>
      </w:r>
      <w:bookmarkEnd w:id="210"/>
      <w:bookmarkEnd w:id="211"/>
      <w:bookmarkEnd w:id="212"/>
      <w:bookmarkEnd w:id="213"/>
      <w:bookmarkEnd w:id="214"/>
      <w:bookmarkEnd w:id="215"/>
      <w:r w:rsidRPr="002B0391">
        <w:t>k</w:t>
      </w:r>
      <w:bookmarkEnd w:id="216"/>
    </w:p>
    <w:p w:rsidR="002B0391" w:rsidRPr="002B0391" w:rsidRDefault="002B0391" w:rsidP="002B0391">
      <w:r w:rsidRPr="002B0391">
        <w:t xml:space="preserve">Standard safety endpoints included AEs, SAEs, death, discontinuations due to AEs, neurologic and laboratory assessments including LFTs were recorded. Overall, the frequency of all the safety indices was acceptable with no evidence to suggest excess risk in the apixaban group compared with the </w:t>
      </w:r>
      <w:proofErr w:type="spellStart"/>
      <w:r w:rsidRPr="002B0391">
        <w:t>warfarin</w:t>
      </w:r>
      <w:proofErr w:type="spellEnd"/>
      <w:r w:rsidRPr="002B0391">
        <w:t xml:space="preserve"> and ASA groups.</w:t>
      </w:r>
    </w:p>
    <w:p w:rsidR="002B0391" w:rsidRPr="008F2DC5" w:rsidRDefault="002B0391" w:rsidP="008F2DC5">
      <w:r w:rsidRPr="008F2DC5">
        <w:t xml:space="preserve">The single greatest risk of apixaban for the proposed indication is bleeding. The frequency of bleeding with apixaban has been compared with warfarin, the most widely used anticoagulant therapy, and ASA, the most widely used </w:t>
      </w:r>
      <w:proofErr w:type="spellStart"/>
      <w:r w:rsidRPr="008F2DC5">
        <w:t>antiplatelet</w:t>
      </w:r>
      <w:proofErr w:type="spellEnd"/>
      <w:r w:rsidRPr="008F2DC5">
        <w:t xml:space="preserve"> agent for prophylaxis in AF. The frequency of bleeding was carefully evaluated and classified according to accepted guidelines such as </w:t>
      </w:r>
      <w:r w:rsidR="008F2DC5" w:rsidRPr="008F2DC5">
        <w:rPr>
          <w:i/>
        </w:rPr>
        <w:t xml:space="preserve">International Society on Thrombosis and </w:t>
      </w:r>
      <w:proofErr w:type="spellStart"/>
      <w:r w:rsidR="008F2DC5" w:rsidRPr="008F2DC5">
        <w:rPr>
          <w:i/>
        </w:rPr>
        <w:t>Hemostasis</w:t>
      </w:r>
      <w:proofErr w:type="spellEnd"/>
      <w:r w:rsidR="008F2DC5" w:rsidRPr="008F2DC5">
        <w:t xml:space="preserve"> (</w:t>
      </w:r>
      <w:r w:rsidRPr="008F2DC5">
        <w:t>ISTH</w:t>
      </w:r>
      <w:r w:rsidR="008F2DC5" w:rsidRPr="008F2DC5">
        <w:t>)</w:t>
      </w:r>
      <w:r w:rsidRPr="008F2DC5">
        <w:t xml:space="preserve">, </w:t>
      </w:r>
      <w:r w:rsidR="008F2DC5" w:rsidRPr="008F2DC5">
        <w:rPr>
          <w:i/>
        </w:rPr>
        <w:t>Global Utilization of Streptokinase and t-PA for Occluded Coronary Arteries Trial</w:t>
      </w:r>
      <w:r w:rsidR="008F2DC5" w:rsidRPr="008F2DC5">
        <w:t xml:space="preserve"> (</w:t>
      </w:r>
      <w:r w:rsidRPr="008F2DC5">
        <w:t>GUSTO</w:t>
      </w:r>
      <w:r w:rsidR="008F2DC5" w:rsidRPr="008F2DC5">
        <w:t>)</w:t>
      </w:r>
      <w:r w:rsidRPr="008F2DC5">
        <w:t xml:space="preserve"> and </w:t>
      </w:r>
      <w:proofErr w:type="spellStart"/>
      <w:r w:rsidR="008F2DC5" w:rsidRPr="008F2DC5">
        <w:rPr>
          <w:i/>
        </w:rPr>
        <w:t>Thrombolysis</w:t>
      </w:r>
      <w:proofErr w:type="spellEnd"/>
      <w:r w:rsidR="008F2DC5" w:rsidRPr="008F2DC5">
        <w:rPr>
          <w:i/>
        </w:rPr>
        <w:t xml:space="preserve"> in Myocardial Infarction</w:t>
      </w:r>
      <w:r w:rsidR="008F2DC5" w:rsidRPr="008F2DC5">
        <w:t xml:space="preserve"> (</w:t>
      </w:r>
      <w:r w:rsidRPr="008F2DC5">
        <w:t>TIMI</w:t>
      </w:r>
      <w:r w:rsidR="008F2DC5" w:rsidRPr="008F2DC5">
        <w:t>)</w:t>
      </w:r>
      <w:r w:rsidRPr="008F2DC5">
        <w:t>.</w:t>
      </w:r>
      <w:r w:rsidR="00071C0C" w:rsidRPr="008F2DC5">
        <w:t xml:space="preserve"> </w:t>
      </w:r>
      <w:r w:rsidRPr="008F2DC5">
        <w:t>Bleeding endpoint criteria were closely defined and adjudicated by a blinded expert panel for consistent reporting and to avoid bias.</w:t>
      </w:r>
    </w:p>
    <w:p w:rsidR="002B0391" w:rsidRDefault="002B0391" w:rsidP="002B0391">
      <w:r w:rsidRPr="002B0391">
        <w:t>The frequency of major bleeding, fatal haemorrhages, in</w:t>
      </w:r>
      <w:r w:rsidR="008F2DC5">
        <w:t xml:space="preserve">tracranial haemorrhages and </w:t>
      </w:r>
      <w:proofErr w:type="spellStart"/>
      <w:r w:rsidR="008F2DC5">
        <w:t>all</w:t>
      </w:r>
      <w:r w:rsidR="008F2DC5">
        <w:noBreakHyphen/>
      </w:r>
      <w:r w:rsidRPr="002B0391">
        <w:t>bleeding</w:t>
      </w:r>
      <w:proofErr w:type="spellEnd"/>
      <w:r w:rsidRPr="002B0391">
        <w:t xml:space="preserve"> was less in the apixaban group compared with the subjects on warfarin</w:t>
      </w:r>
      <w:r w:rsidR="008F2DC5">
        <w:t>,</w:t>
      </w:r>
      <w:r w:rsidRPr="002B0391">
        <w:t xml:space="preserve"> as shown below</w:t>
      </w:r>
      <w:r w:rsidR="008F2DC5">
        <w:t xml:space="preserve"> in Table </w:t>
      </w:r>
      <w:r w:rsidR="006C05FE">
        <w:t>7</w:t>
      </w:r>
      <w:r w:rsidRPr="002B0391">
        <w:t>. The benefit in favour of apixaban was statistically significant, clinically relevant, and was independent of INR control in the warfarin group. Major bleeding at critical sites was similar or lower in the apixaban group compared with the warfarin group, with the possible exception of intraocular bleeding.</w:t>
      </w:r>
    </w:p>
    <w:p w:rsidR="008F2DC5" w:rsidRPr="002B0391" w:rsidRDefault="008F2DC5" w:rsidP="00A74C79">
      <w:pPr>
        <w:pStyle w:val="TableTitle"/>
      </w:pPr>
      <w:proofErr w:type="gramStart"/>
      <w:r>
        <w:t xml:space="preserve">Table </w:t>
      </w:r>
      <w:r w:rsidR="006C05FE">
        <w:t>7</w:t>
      </w:r>
      <w:r>
        <w:t>.</w:t>
      </w:r>
      <w:proofErr w:type="gramEnd"/>
      <w:r>
        <w:t xml:space="preserve"> Bleeding events in Subjects with AF in the Study CV185030</w:t>
      </w:r>
    </w:p>
    <w:p w:rsidR="002B0391" w:rsidRPr="002B0391" w:rsidRDefault="00A75D98" w:rsidP="002B0391">
      <w:r>
        <w:pict>
          <v:shapetype id="_x0000_t202" coordsize="21600,21600" o:spt="202" path="m,l,21600r21600,l21600,xe">
            <v:stroke joinstyle="miter"/>
            <v:path gradientshapeok="t" o:connecttype="rect"/>
          </v:shapetype>
          <v:shape id="_x0000_s1026" type="#_x0000_t202" style="position:absolute;margin-left:24.9pt;margin-top:3.5pt;width:90.6pt;height:20.85pt;z-index:251657216;mso-height-percent:200;mso-height-percent:200;mso-width-relative:margin;mso-height-relative:margin" stroked="f">
            <v:textbox style="mso-fit-shape-to-text:t">
              <w:txbxContent>
                <w:p w:rsidR="00721D63" w:rsidRDefault="00721D63" w:rsidP="002B0391"/>
              </w:txbxContent>
            </v:textbox>
          </v:shape>
        </w:pict>
      </w:r>
      <w:r w:rsidR="002B0391" w:rsidRPr="002B0391">
        <w:rPr>
          <w:noProof/>
          <w:lang w:eastAsia="en-AU"/>
        </w:rPr>
        <w:drawing>
          <wp:inline distT="0" distB="0" distL="0" distR="0">
            <wp:extent cx="5745480" cy="1732280"/>
            <wp:effectExtent l="19050" t="0" r="7620" b="0"/>
            <wp:docPr id="20" name="Picture 15" descr="Table 7. Bleeding events in Subjects with AF in the Study CV18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l="3023" t="21609"/>
                    <a:stretch>
                      <a:fillRect/>
                    </a:stretch>
                  </pic:blipFill>
                  <pic:spPr bwMode="auto">
                    <a:xfrm>
                      <a:off x="0" y="0"/>
                      <a:ext cx="5745480" cy="1732280"/>
                    </a:xfrm>
                    <a:prstGeom prst="rect">
                      <a:avLst/>
                    </a:prstGeom>
                    <a:noFill/>
                    <a:ln w="9525">
                      <a:noFill/>
                      <a:miter lim="800000"/>
                      <a:headEnd/>
                      <a:tailEnd/>
                    </a:ln>
                  </pic:spPr>
                </pic:pic>
              </a:graphicData>
            </a:graphic>
          </wp:inline>
        </w:drawing>
      </w:r>
    </w:p>
    <w:p w:rsidR="002B0391" w:rsidRDefault="002B0391" w:rsidP="002B0391">
      <w:r w:rsidRPr="002B0391">
        <w:t>Major bleeding occurred more often in the apixaban group compared with the ASA group as shown below</w:t>
      </w:r>
      <w:r w:rsidR="008F2DC5">
        <w:t xml:space="preserve"> in Table </w:t>
      </w:r>
      <w:r w:rsidR="006C05FE">
        <w:t>8</w:t>
      </w:r>
      <w:r w:rsidRPr="002B0391">
        <w:t xml:space="preserve">. The difference was not statistically significant and there was no increase in the number of subjects with fatal or intracranial bleeds. However, there was </w:t>
      </w:r>
      <w:r w:rsidRPr="002B0391">
        <w:lastRenderedPageBreak/>
        <w:t>a statistically significant benefit in favour of ASA for the comp</w:t>
      </w:r>
      <w:r w:rsidR="00846304">
        <w:t xml:space="preserve">osite of major </w:t>
      </w:r>
      <w:r w:rsidR="00DC67D7">
        <w:t>+ CRNM bleeding and all-</w:t>
      </w:r>
      <w:r w:rsidR="00846304" w:rsidRPr="002B0391">
        <w:t>bleeding</w:t>
      </w:r>
      <w:r w:rsidRPr="002B0391">
        <w:t>.</w:t>
      </w:r>
    </w:p>
    <w:p w:rsidR="00846304" w:rsidRDefault="006C05FE" w:rsidP="00A74C79">
      <w:pPr>
        <w:pStyle w:val="TableTitle"/>
      </w:pPr>
      <w:proofErr w:type="gramStart"/>
      <w:r>
        <w:t>Table 8</w:t>
      </w:r>
      <w:r w:rsidR="008F2DC5">
        <w:t>.</w:t>
      </w:r>
      <w:proofErr w:type="gramEnd"/>
      <w:r w:rsidR="008F2DC5">
        <w:t xml:space="preserve"> Bleeding events in Subjects with AF in the Study CV185048</w:t>
      </w:r>
    </w:p>
    <w:p w:rsidR="002B0391" w:rsidRPr="002B0391" w:rsidRDefault="002B0391" w:rsidP="00A74C79">
      <w:r w:rsidRPr="002B0391">
        <w:rPr>
          <w:noProof/>
          <w:lang w:eastAsia="en-AU"/>
        </w:rPr>
        <w:drawing>
          <wp:inline distT="0" distB="0" distL="0" distR="0">
            <wp:extent cx="5730240" cy="1635760"/>
            <wp:effectExtent l="19050" t="0" r="3810" b="0"/>
            <wp:docPr id="18" name="Picture 18" descr="Table 8. Bleeding events in Subjects with AF in the Study CV18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l="3280" t="18274"/>
                    <a:stretch>
                      <a:fillRect/>
                    </a:stretch>
                  </pic:blipFill>
                  <pic:spPr bwMode="auto">
                    <a:xfrm>
                      <a:off x="0" y="0"/>
                      <a:ext cx="5730240" cy="1635760"/>
                    </a:xfrm>
                    <a:prstGeom prst="rect">
                      <a:avLst/>
                    </a:prstGeom>
                    <a:noFill/>
                    <a:ln w="9525">
                      <a:noFill/>
                      <a:miter lim="800000"/>
                      <a:headEnd/>
                      <a:tailEnd/>
                    </a:ln>
                  </pic:spPr>
                </pic:pic>
              </a:graphicData>
            </a:graphic>
          </wp:inline>
        </w:drawing>
      </w:r>
    </w:p>
    <w:p w:rsidR="002B0391" w:rsidRPr="002B0391" w:rsidRDefault="002B0391" w:rsidP="002B0391">
      <w:r w:rsidRPr="002B0391">
        <w:t>The frequency of bleeding is clearly less in subjects treated with apixaban than with warfarin and the benefit is clinically meaningful. As would be expected, the frequency of bleeding is greater in subjects treated with apixaban compared with ASA. The excess risk is small but clinically meaningful despite the similar frequency of fatal and intracranial bleeds in both treatment groups.</w:t>
      </w:r>
    </w:p>
    <w:p w:rsidR="002B0391" w:rsidRPr="002B0391" w:rsidRDefault="002B0391" w:rsidP="002B0391">
      <w:pPr>
        <w:pStyle w:val="Heading5"/>
      </w:pPr>
      <w:bookmarkStart w:id="217" w:name="_Toc236802597"/>
      <w:bookmarkStart w:id="218" w:name="_Toc241374335"/>
      <w:bookmarkStart w:id="219" w:name="_Toc272414695"/>
      <w:bookmarkStart w:id="220" w:name="_Toc290846333"/>
      <w:bookmarkStart w:id="221" w:name="_Toc290888870"/>
      <w:bookmarkStart w:id="222" w:name="_Toc340050365"/>
      <w:r w:rsidRPr="002B0391">
        <w:t>First round assessment of benefit-risk balance</w:t>
      </w:r>
      <w:bookmarkEnd w:id="217"/>
      <w:bookmarkEnd w:id="218"/>
      <w:bookmarkEnd w:id="219"/>
      <w:bookmarkEnd w:id="220"/>
      <w:bookmarkEnd w:id="221"/>
      <w:bookmarkEnd w:id="222"/>
    </w:p>
    <w:p w:rsidR="002B0391" w:rsidRPr="002B0391" w:rsidRDefault="002B0391" w:rsidP="002B0391">
      <w:r w:rsidRPr="002B0391">
        <w:t xml:space="preserve">The benefit-risk balance of apixaban 5 mg </w:t>
      </w:r>
      <w:r w:rsidR="00341B29">
        <w:t>bid</w:t>
      </w:r>
      <w:r w:rsidRPr="002B0391">
        <w:t>, given for the proposed usage, is favourable.</w:t>
      </w:r>
    </w:p>
    <w:p w:rsidR="002B0391" w:rsidRPr="002B0391" w:rsidRDefault="002B0391" w:rsidP="00457951">
      <w:pPr>
        <w:pStyle w:val="Heading4"/>
      </w:pPr>
      <w:bookmarkStart w:id="223" w:name="_Ref272160564"/>
      <w:bookmarkStart w:id="224" w:name="_Ref272161481"/>
      <w:bookmarkStart w:id="225" w:name="_Toc272414697"/>
      <w:bookmarkStart w:id="226" w:name="_Toc290846334"/>
      <w:bookmarkStart w:id="227" w:name="_Toc290888871"/>
      <w:bookmarkStart w:id="228" w:name="_Toc340050366"/>
      <w:r>
        <w:t>F</w:t>
      </w:r>
      <w:r w:rsidRPr="002B0391">
        <w:t>irst round recommendation regarding authorisation</w:t>
      </w:r>
      <w:bookmarkEnd w:id="223"/>
      <w:bookmarkEnd w:id="224"/>
      <w:bookmarkEnd w:id="225"/>
      <w:bookmarkEnd w:id="226"/>
      <w:bookmarkEnd w:id="227"/>
      <w:bookmarkEnd w:id="228"/>
    </w:p>
    <w:p w:rsidR="002B0391" w:rsidRPr="002B0391" w:rsidRDefault="002B0391" w:rsidP="00DC67D7">
      <w:pPr>
        <w:keepNext/>
      </w:pPr>
      <w:r w:rsidRPr="002B0391">
        <w:t xml:space="preserve">Authorisation is recommended for apixaban 2.5 mg </w:t>
      </w:r>
      <w:r w:rsidR="00341B29">
        <w:t>bid</w:t>
      </w:r>
      <w:r w:rsidRPr="002B0391">
        <w:t xml:space="preserve"> or 5 mg </w:t>
      </w:r>
      <w:r w:rsidR="00341B29">
        <w:t>bid</w:t>
      </w:r>
      <w:r w:rsidRPr="002B0391">
        <w:t xml:space="preserve"> for the proposed additional indication </w:t>
      </w:r>
      <w:r w:rsidRPr="008F2DC5">
        <w:rPr>
          <w:i/>
        </w:rPr>
        <w:t xml:space="preserve">to reduce the risk of stroke, systemic embolism and death in patients with non-valvular </w:t>
      </w:r>
      <w:r w:rsidR="00071C0C" w:rsidRPr="008F2DC5">
        <w:rPr>
          <w:i/>
        </w:rPr>
        <w:t xml:space="preserve">AF </w:t>
      </w:r>
      <w:r w:rsidRPr="008F2DC5">
        <w:rPr>
          <w:i/>
        </w:rPr>
        <w:t>with at least one additional risk factor for stroke</w:t>
      </w:r>
      <w:r w:rsidRPr="002B0391">
        <w:t>.</w:t>
      </w:r>
    </w:p>
    <w:p w:rsidR="0032160F" w:rsidRDefault="007C1C63" w:rsidP="0032160F">
      <w:pPr>
        <w:pStyle w:val="Heading4"/>
      </w:pPr>
      <w:bookmarkStart w:id="229" w:name="_Ref290644801"/>
      <w:bookmarkStart w:id="230" w:name="_Toc290846347"/>
      <w:bookmarkStart w:id="231" w:name="_Toc290888884"/>
      <w:bookmarkStart w:id="232" w:name="_Toc340050379"/>
      <w:r>
        <w:t>Second r</w:t>
      </w:r>
      <w:r w:rsidR="00846304">
        <w:t>ound clinical s</w:t>
      </w:r>
      <w:r w:rsidR="0032160F">
        <w:t xml:space="preserve">ummary and </w:t>
      </w:r>
      <w:r w:rsidR="00846304">
        <w:t>c</w:t>
      </w:r>
      <w:r w:rsidR="0032160F">
        <w:t>onclusions</w:t>
      </w:r>
    </w:p>
    <w:p w:rsidR="0032160F" w:rsidRPr="0032160F" w:rsidRDefault="0032160F" w:rsidP="00457951">
      <w:pPr>
        <w:pStyle w:val="Heading5"/>
      </w:pPr>
      <w:r>
        <w:t>E</w:t>
      </w:r>
      <w:r w:rsidRPr="0032160F">
        <w:t>valuation of clinical data submitted in response to questions</w:t>
      </w:r>
      <w:bookmarkEnd w:id="229"/>
      <w:bookmarkEnd w:id="230"/>
      <w:bookmarkEnd w:id="231"/>
      <w:bookmarkEnd w:id="232"/>
    </w:p>
    <w:p w:rsidR="0032160F" w:rsidRPr="0032160F" w:rsidRDefault="008F2DC5" w:rsidP="0032160F">
      <w:r>
        <w:t>Th</w:t>
      </w:r>
      <w:r w:rsidR="007C1C63">
        <w:t xml:space="preserve">is section provides the </w:t>
      </w:r>
      <w:r>
        <w:t>TGA clinical evaluator</w:t>
      </w:r>
      <w:r w:rsidR="007C1C63">
        <w:t>’</w:t>
      </w:r>
      <w:r>
        <w:t xml:space="preserve">s </w:t>
      </w:r>
      <w:r w:rsidR="00126161">
        <w:t xml:space="preserve">summary and assessment </w:t>
      </w:r>
      <w:r>
        <w:t xml:space="preserve">of </w:t>
      </w:r>
      <w:r w:rsidR="009F2C71">
        <w:t xml:space="preserve">the </w:t>
      </w:r>
      <w:r w:rsidR="0032160F" w:rsidRPr="0032160F">
        <w:t>sponsor</w:t>
      </w:r>
      <w:r w:rsidR="009F2C71">
        <w:t>’s</w:t>
      </w:r>
      <w:r w:rsidR="0032160F" w:rsidRPr="0032160F">
        <w:t xml:space="preserve"> responses </w:t>
      </w:r>
      <w:r w:rsidR="00126161">
        <w:t>to the List of Questions (above)</w:t>
      </w:r>
      <w:r w:rsidR="0032160F" w:rsidRPr="0032160F">
        <w:t>.</w:t>
      </w:r>
    </w:p>
    <w:p w:rsidR="0032160F" w:rsidRPr="007C1C63" w:rsidRDefault="00846304" w:rsidP="00457951">
      <w:pPr>
        <w:pStyle w:val="Heading6"/>
      </w:pPr>
      <w:proofErr w:type="gramStart"/>
      <w:r w:rsidRPr="007C1C63">
        <w:t>Question</w:t>
      </w:r>
      <w:r w:rsidR="0032160F" w:rsidRPr="007C1C63">
        <w:t>.</w:t>
      </w:r>
      <w:proofErr w:type="gramEnd"/>
      <w:r w:rsidR="0032160F" w:rsidRPr="007C1C63">
        <w:t xml:space="preserve"> The sponsor is requested to provide the report of </w:t>
      </w:r>
      <w:r w:rsidR="001C7625" w:rsidRPr="007C1C63">
        <w:t xml:space="preserve">PK </w:t>
      </w:r>
      <w:r w:rsidR="0032160F" w:rsidRPr="007C1C63">
        <w:t xml:space="preserve">Study </w:t>
      </w:r>
      <w:r w:rsidRPr="007C1C63">
        <w:t>CV</w:t>
      </w:r>
      <w:r w:rsidR="0032160F" w:rsidRPr="007C1C63">
        <w:t>185025 for review within the Round 2 evaluation phase of this submission.</w:t>
      </w:r>
    </w:p>
    <w:p w:rsidR="0032160F" w:rsidRPr="0032160F" w:rsidRDefault="0032160F" w:rsidP="0032160F">
      <w:proofErr w:type="gramStart"/>
      <w:r w:rsidRPr="007C1C63">
        <w:rPr>
          <w:i/>
        </w:rPr>
        <w:t xml:space="preserve">Sponsor’s </w:t>
      </w:r>
      <w:r w:rsidR="00846304" w:rsidRPr="007C1C63">
        <w:rPr>
          <w:i/>
        </w:rPr>
        <w:t>r</w:t>
      </w:r>
      <w:r w:rsidRPr="007C1C63">
        <w:rPr>
          <w:i/>
        </w:rPr>
        <w:t>esponse</w:t>
      </w:r>
      <w:r w:rsidR="00846304" w:rsidRPr="007C1C63">
        <w:rPr>
          <w:i/>
        </w:rPr>
        <w:t>.</w:t>
      </w:r>
      <w:proofErr w:type="gramEnd"/>
      <w:r w:rsidR="007C1C63">
        <w:rPr>
          <w:b/>
        </w:rPr>
        <w:t xml:space="preserve"> </w:t>
      </w:r>
      <w:r w:rsidRPr="0032160F">
        <w:t xml:space="preserve">Study CV185025 was previously submitted in the application </w:t>
      </w:r>
      <w:r w:rsidR="00126161">
        <w:t xml:space="preserve">to register </w:t>
      </w:r>
      <w:r w:rsidRPr="0032160F">
        <w:t xml:space="preserve">Eliquis for </w:t>
      </w:r>
      <w:r w:rsidR="00126161">
        <w:t xml:space="preserve">prevention of </w:t>
      </w:r>
      <w:r w:rsidRPr="0032160F">
        <w:t>VTE</w:t>
      </w:r>
      <w:r w:rsidR="00126161">
        <w:t>.</w:t>
      </w:r>
      <w:r w:rsidRPr="0032160F">
        <w:t xml:space="preserve"> At the request of the TGA an additional copy of this study </w:t>
      </w:r>
      <w:r w:rsidR="00126161">
        <w:t xml:space="preserve">was </w:t>
      </w:r>
      <w:r w:rsidRPr="0032160F">
        <w:t>provided</w:t>
      </w:r>
      <w:r w:rsidR="00126161">
        <w:t xml:space="preserve"> prior to the due date of this response</w:t>
      </w:r>
      <w:r w:rsidRPr="0032160F">
        <w:t>.</w:t>
      </w:r>
    </w:p>
    <w:p w:rsidR="0032160F" w:rsidRPr="0032160F" w:rsidRDefault="00846304" w:rsidP="0032160F">
      <w:proofErr w:type="gramStart"/>
      <w:r w:rsidRPr="007C1C63">
        <w:rPr>
          <w:i/>
        </w:rPr>
        <w:t>Evaluator’s response</w:t>
      </w:r>
      <w:r w:rsidR="0032160F" w:rsidRPr="007C1C63">
        <w:rPr>
          <w:i/>
        </w:rPr>
        <w:t>.</w:t>
      </w:r>
      <w:proofErr w:type="gramEnd"/>
      <w:r w:rsidR="0032160F" w:rsidRPr="0032160F">
        <w:t xml:space="preserve"> </w:t>
      </w:r>
      <w:r>
        <w:t>Study CV</w:t>
      </w:r>
      <w:r w:rsidR="0032160F" w:rsidRPr="0032160F">
        <w:t xml:space="preserve">185025, which examined the </w:t>
      </w:r>
      <w:r w:rsidR="00126161" w:rsidRPr="0032160F">
        <w:t xml:space="preserve">apixaban </w:t>
      </w:r>
      <w:r w:rsidR="0032160F" w:rsidRPr="0032160F">
        <w:t xml:space="preserve">PK in subjects with mild to moderate hepatic impairment and in healthy subjects, was received prior to the </w:t>
      </w:r>
      <w:r>
        <w:t xml:space="preserve">clinical evaluator </w:t>
      </w:r>
      <w:r w:rsidR="0032160F" w:rsidRPr="0032160F">
        <w:t>final</w:t>
      </w:r>
      <w:r>
        <w:t xml:space="preserve">ising </w:t>
      </w:r>
      <w:r w:rsidR="0032160F" w:rsidRPr="0032160F">
        <w:t>the First Round Evaluation</w:t>
      </w:r>
      <w:r w:rsidR="00126161">
        <w:t xml:space="preserve"> (above)</w:t>
      </w:r>
      <w:r w:rsidR="0032160F" w:rsidRPr="0032160F">
        <w:t xml:space="preserve">; therefore, the results and findings of this study were </w:t>
      </w:r>
      <w:r>
        <w:t>reviewed before the Second Round Evaluation commenced.</w:t>
      </w:r>
    </w:p>
    <w:p w:rsidR="0032160F" w:rsidRPr="007C1C63" w:rsidRDefault="0032160F" w:rsidP="00457951">
      <w:pPr>
        <w:pStyle w:val="Heading6"/>
      </w:pPr>
      <w:proofErr w:type="gramStart"/>
      <w:r w:rsidRPr="007C1C63">
        <w:t>Question</w:t>
      </w:r>
      <w:r w:rsidR="00846304" w:rsidRPr="007C1C63">
        <w:t>s</w:t>
      </w:r>
      <w:r w:rsidRPr="007C1C63">
        <w:t>.</w:t>
      </w:r>
      <w:proofErr w:type="gramEnd"/>
      <w:r w:rsidRPr="007C1C63">
        <w:t xml:space="preserve"> Other than information contained in the PPK report, have the </w:t>
      </w:r>
      <w:r w:rsidR="00846304" w:rsidRPr="007C1C63">
        <w:t>PK [and</w:t>
      </w:r>
      <w:r w:rsidR="00DC67D7">
        <w:t>/or</w:t>
      </w:r>
      <w:r w:rsidR="00846304" w:rsidRPr="007C1C63">
        <w:t xml:space="preserve"> PD] </w:t>
      </w:r>
      <w:r w:rsidRPr="007C1C63">
        <w:t xml:space="preserve">of apixaban in patients with </w:t>
      </w:r>
      <w:r w:rsidR="00071C0C" w:rsidRPr="007C1C63">
        <w:t xml:space="preserve">AF </w:t>
      </w:r>
      <w:r w:rsidRPr="007C1C63">
        <w:t>and in healthy subjects been directly compared in a single study? If so, the sponsor is requested to provide the relevant details.</w:t>
      </w:r>
    </w:p>
    <w:p w:rsidR="0032160F" w:rsidRPr="0032160F" w:rsidRDefault="0032160F" w:rsidP="0032160F">
      <w:proofErr w:type="gramStart"/>
      <w:r w:rsidRPr="007C1C63">
        <w:rPr>
          <w:i/>
        </w:rPr>
        <w:t xml:space="preserve">Sponsor’s </w:t>
      </w:r>
      <w:r w:rsidR="00846304" w:rsidRPr="007C1C63">
        <w:rPr>
          <w:i/>
        </w:rPr>
        <w:t>r</w:t>
      </w:r>
      <w:r w:rsidRPr="007C1C63">
        <w:rPr>
          <w:i/>
        </w:rPr>
        <w:t>esponse.</w:t>
      </w:r>
      <w:proofErr w:type="gramEnd"/>
      <w:r w:rsidRPr="0032160F">
        <w:t xml:space="preserve"> There is no s</w:t>
      </w:r>
      <w:r w:rsidR="00846304">
        <w:t>ingle study comparing the PK/PD</w:t>
      </w:r>
      <w:r w:rsidRPr="0032160F">
        <w:t xml:space="preserve"> of apixaban between healthy subjects and patients with </w:t>
      </w:r>
      <w:r w:rsidR="00071C0C">
        <w:t>AF</w:t>
      </w:r>
      <w:r w:rsidRPr="0032160F">
        <w:t xml:space="preserve">. All comparisons between healthy subjects and patients with </w:t>
      </w:r>
      <w:r w:rsidR="00071C0C">
        <w:t xml:space="preserve">AF </w:t>
      </w:r>
      <w:r w:rsidRPr="0032160F">
        <w:t>have been made on the basis of population pharmacokinetic mode</w:t>
      </w:r>
      <w:r w:rsidR="00846304">
        <w:t>l</w:t>
      </w:r>
      <w:r w:rsidRPr="0032160F">
        <w:t>ling.</w:t>
      </w:r>
    </w:p>
    <w:p w:rsidR="0032160F" w:rsidRDefault="00846304" w:rsidP="0032160F">
      <w:proofErr w:type="gramStart"/>
      <w:r w:rsidRPr="007C1C63">
        <w:rPr>
          <w:i/>
        </w:rPr>
        <w:t>Evaluator’s r</w:t>
      </w:r>
      <w:r w:rsidR="0032160F" w:rsidRPr="007C1C63">
        <w:rPr>
          <w:i/>
        </w:rPr>
        <w:t>esponse.</w:t>
      </w:r>
      <w:proofErr w:type="gramEnd"/>
      <w:r w:rsidR="0032160F" w:rsidRPr="0032160F">
        <w:t xml:space="preserve"> The sponsor has confirmed that no studies directly compared the PK/PD in patients with AF and healthy subjects.</w:t>
      </w:r>
      <w:r w:rsidR="00071C0C">
        <w:t xml:space="preserve"> </w:t>
      </w:r>
      <w:r w:rsidR="0032160F" w:rsidRPr="0032160F">
        <w:t xml:space="preserve">The PPK modelling study indicated that </w:t>
      </w:r>
      <w:r w:rsidR="0032160F" w:rsidRPr="0032160F">
        <w:lastRenderedPageBreak/>
        <w:t>AF patients had decreased apixaban CL/F (13.9%) compared to non-Asian healthy subjects, suggesting that apixaban exposure is increased in subjects with AF compared with healthy non-Asian subjects.</w:t>
      </w:r>
      <w:r w:rsidR="00071C0C">
        <w:t xml:space="preserve"> </w:t>
      </w:r>
      <w:r w:rsidR="0032160F" w:rsidRPr="0032160F">
        <w:t>In addition, Asian race reduced apixaban clearance by 14%; and a 15% to 30% increase in AUC (compared to control) was observed for intrinsic factors such as age (≥65 years), gender, and low body weight (≤50 kg), whereas, body weight ≥120 kg was associated with an approximately 30% lower AUC</w:t>
      </w:r>
      <w:r w:rsidR="001C7625" w:rsidRPr="001C7625">
        <w:rPr>
          <w:vertAlign w:val="subscript"/>
        </w:rPr>
        <w:t>0-∞</w:t>
      </w:r>
      <w:r w:rsidR="0032160F" w:rsidRPr="0032160F">
        <w:t>.</w:t>
      </w:r>
      <w:r w:rsidR="00071C0C">
        <w:t xml:space="preserve"> </w:t>
      </w:r>
      <w:r w:rsidR="0032160F" w:rsidRPr="0032160F">
        <w:t xml:space="preserve">Therefore in the absence of clinical trial data that directly examine the effects of these characteristics on apixaban PKs and PDs, the evaluator recommends that the </w:t>
      </w:r>
      <w:r w:rsidR="0032160F" w:rsidRPr="001C7625">
        <w:rPr>
          <w:i/>
        </w:rPr>
        <w:t>P</w:t>
      </w:r>
      <w:r w:rsidR="001C7625" w:rsidRPr="001C7625">
        <w:rPr>
          <w:i/>
        </w:rPr>
        <w:t>recautions</w:t>
      </w:r>
      <w:r w:rsidR="001C7625">
        <w:t xml:space="preserve"> </w:t>
      </w:r>
      <w:r w:rsidR="0032160F" w:rsidRPr="0032160F">
        <w:t>section of the PI is modified to identify that these charac</w:t>
      </w:r>
      <w:r w:rsidR="001C7625">
        <w:t>teristics may alter apixaban PK and PD</w:t>
      </w:r>
      <w:r w:rsidR="00C62B13">
        <w:t>.</w:t>
      </w:r>
      <w:r w:rsidR="001C7625">
        <w:rPr>
          <w:rStyle w:val="FootnoteReference"/>
        </w:rPr>
        <w:footnoteReference w:id="19"/>
      </w:r>
    </w:p>
    <w:p w:rsidR="001C7625" w:rsidRPr="007C1C63" w:rsidRDefault="001C7625" w:rsidP="00457951">
      <w:pPr>
        <w:pStyle w:val="Heading6"/>
      </w:pPr>
      <w:proofErr w:type="gramStart"/>
      <w:r w:rsidRPr="007C1C63">
        <w:t>Question.</w:t>
      </w:r>
      <w:proofErr w:type="gramEnd"/>
      <w:r w:rsidRPr="007C1C63">
        <w:t xml:space="preserve"> The sponsor is requested to provide a copy of its responses to all of the questions asked in the US FDA CRL</w:t>
      </w:r>
      <w:r w:rsidR="004F5311" w:rsidRPr="007C1C63">
        <w:t>.</w:t>
      </w:r>
    </w:p>
    <w:p w:rsidR="00237E9F" w:rsidRPr="004F5311" w:rsidRDefault="001C7625" w:rsidP="004F5311">
      <w:r w:rsidRPr="007C1C63">
        <w:rPr>
          <w:i/>
        </w:rPr>
        <w:t>Evaluator’s assessment:</w:t>
      </w:r>
      <w:r>
        <w:t xml:space="preserve"> </w:t>
      </w:r>
      <w:r w:rsidR="0032160F" w:rsidRPr="004F5311">
        <w:t xml:space="preserve">A copy of the sponsor’s responses </w:t>
      </w:r>
      <w:r w:rsidR="00D85DA0" w:rsidRPr="004F5311">
        <w:t>to the FDA CRL was provided to the TGA</w:t>
      </w:r>
      <w:r w:rsidR="0032160F" w:rsidRPr="004F5311">
        <w:t xml:space="preserve">. The </w:t>
      </w:r>
      <w:r w:rsidR="00E251E0" w:rsidRPr="004F5311">
        <w:t xml:space="preserve">clinical evaluator’s </w:t>
      </w:r>
      <w:r w:rsidR="004F5311">
        <w:t xml:space="preserve">summary and </w:t>
      </w:r>
      <w:r w:rsidR="00E251E0" w:rsidRPr="004F5311">
        <w:t xml:space="preserve">assessment of the issues in relation to matters raised by the FDA </w:t>
      </w:r>
      <w:r w:rsidR="004F5311">
        <w:t>are summarised below</w:t>
      </w:r>
      <w:r w:rsidR="00457951">
        <w:t>.</w:t>
      </w:r>
    </w:p>
    <w:p w:rsidR="004F5311" w:rsidRPr="004F5311" w:rsidRDefault="004F5311" w:rsidP="004F5311">
      <w:r w:rsidRPr="004F5311">
        <w:t xml:space="preserve">The questions </w:t>
      </w:r>
      <w:r>
        <w:t xml:space="preserve">raised by the FDA </w:t>
      </w:r>
      <w:r w:rsidRPr="004F5311">
        <w:t>relate mainly to dispensing errors in the ARISTOTLE study and potential root cause analyses.</w:t>
      </w:r>
    </w:p>
    <w:p w:rsidR="004F5311" w:rsidRDefault="004F5311" w:rsidP="004F5311">
      <w:r w:rsidRPr="009F2094">
        <w:rPr>
          <w:i/>
        </w:rPr>
        <w:t>FDA Question 1</w:t>
      </w:r>
      <w:r w:rsidRPr="004F5311">
        <w:t xml:space="preserve">: The most significant concern was related to dosing errors in the ARISTOTLE study (CV185030) </w:t>
      </w:r>
      <w:r>
        <w:t>where (according to the CSR) it appeared that a</w:t>
      </w:r>
      <w:r w:rsidR="00DC67D7">
        <w:rPr>
          <w:iCs/>
        </w:rPr>
        <w:t>t some point in the study</w:t>
      </w:r>
      <w:r>
        <w:rPr>
          <w:iCs/>
        </w:rPr>
        <w:t xml:space="preserve"> 7.3% of subjects in the apixaban group and 1.2% of subjects in the warfarin group received a study medication container of the incorrect type. </w:t>
      </w:r>
      <w:r w:rsidRPr="004F5311">
        <w:t>In a report to the EMA, the sponsors stated that the frequency of drug dispensation errors to patients was &lt;0.1%. However, the FDA requested a more detailed analysis to ensure there was no impact on any primary efficacy or safety endpoints due to patients who may have received two active study drugs (apixaban and warfar</w:t>
      </w:r>
      <w:r w:rsidR="00457951">
        <w:t>in), or no active study at all.</w:t>
      </w:r>
    </w:p>
    <w:p w:rsidR="00DC67D7" w:rsidRDefault="004F5311" w:rsidP="004F5311">
      <w:r w:rsidRPr="004F5311">
        <w:t>Three independent, mutually exclusive audits were conducted on random samples of tear-off dispensing labels attached to the study drug containers. The first audit of an 8% patient sample was initiated by the sponsor and a further 12% sample was analysed at EMA request. The FDA requested a further sample of 20%</w:t>
      </w:r>
      <w:r w:rsidR="00DC67D7">
        <w:t>,</w:t>
      </w:r>
      <w:r w:rsidRPr="004F5311">
        <w:t xml:space="preserve"> taking the complete sample to 40% of all study subjects. Legible labels were obtaine</w:t>
      </w:r>
      <w:r w:rsidR="00457951">
        <w:t>d in 99.2% of the total sample.</w:t>
      </w:r>
    </w:p>
    <w:p w:rsidR="00DC67D7" w:rsidRDefault="004F5311" w:rsidP="004F5311">
      <w:r w:rsidRPr="004F5311">
        <w:t>In the FDA initiated audit, dispensing the wrong study medication occurred in 0.1% of apixaban patients and 0.116% of patients assigned to warfarin. In the initial 20% sample audit the frequencies were 0.048% for apixaban and 0.041% for warfarin. Although the numbers were small, the frequency of detected errors was double in the 40% audit compared with the 20% audit. However, sampling errors become less frequent as sample size increases and the true error rate is unlikely to be significantly different from the r</w:t>
      </w:r>
      <w:r w:rsidR="00457951">
        <w:t>ate detected in the 40% sample.</w:t>
      </w:r>
    </w:p>
    <w:p w:rsidR="004F5311" w:rsidRDefault="004F5311" w:rsidP="004F5311">
      <w:r w:rsidRPr="004F5311">
        <w:t xml:space="preserve">The average number of dispensations in each patient was twenty: most errors were isolated and multiple errors did not occur in individual patients. Observed errors were combined with missing data to give an estimate of total error, assuming that the observed and missing error rates were the same. Using this worst case analysis, the overall frequency of incorrect dispensations was up to 0.47% and 0.54% in the </w:t>
      </w:r>
      <w:proofErr w:type="spellStart"/>
      <w:r w:rsidRPr="004F5311">
        <w:t>apixaban</w:t>
      </w:r>
      <w:proofErr w:type="spellEnd"/>
      <w:r w:rsidRPr="004F5311">
        <w:t xml:space="preserve"> an</w:t>
      </w:r>
      <w:r w:rsidR="00457951">
        <w:t xml:space="preserve">d </w:t>
      </w:r>
      <w:proofErr w:type="spellStart"/>
      <w:r w:rsidR="00457951">
        <w:t>warfarin</w:t>
      </w:r>
      <w:proofErr w:type="spellEnd"/>
      <w:r w:rsidR="00457951">
        <w:t xml:space="preserve"> groups respectively.</w:t>
      </w:r>
    </w:p>
    <w:p w:rsidR="00DC67D7" w:rsidRDefault="00DC67D7" w:rsidP="004F5311">
      <w:r>
        <w:t>The clinical evaluator considered that u</w:t>
      </w:r>
      <w:r w:rsidR="004F5311" w:rsidRPr="004F5311">
        <w:t xml:space="preserve">sing these worst case assumptions, the frequency of dosing errors was small, and the superiority of apixaban over warfarin for stroke, </w:t>
      </w:r>
      <w:r>
        <w:t>SE, bleeding and all-</w:t>
      </w:r>
      <w:r w:rsidR="004F5311" w:rsidRPr="004F5311">
        <w:t xml:space="preserve">cause death was maintained. Only if </w:t>
      </w:r>
      <w:r>
        <w:t xml:space="preserve">errors in missing data were 100 </w:t>
      </w:r>
      <w:r w:rsidR="004F5311" w:rsidRPr="004F5311">
        <w:t xml:space="preserve">fold higher than the observed rate would the statistical significance of the superiority exceed p=0.05 (p=0.053). As an example, the results of the sensitivity analysis relating to stroke </w:t>
      </w:r>
      <w:r w:rsidR="004F5311" w:rsidRPr="004F5311">
        <w:lastRenderedPageBreak/>
        <w:t xml:space="preserve">and </w:t>
      </w:r>
      <w:r>
        <w:t xml:space="preserve">SE </w:t>
      </w:r>
      <w:r w:rsidR="007217F6">
        <w:t xml:space="preserve">(SSE) </w:t>
      </w:r>
      <w:r w:rsidR="004F5311" w:rsidRPr="004F5311">
        <w:t>are shown below</w:t>
      </w:r>
      <w:r>
        <w:t xml:space="preserve"> in Table </w:t>
      </w:r>
      <w:r w:rsidR="006C05FE">
        <w:t>9</w:t>
      </w:r>
      <w:r w:rsidR="004F5311" w:rsidRPr="004F5311">
        <w:t>. Hazard ratios and 95% CI were comparable in the</w:t>
      </w:r>
      <w:r w:rsidR="00457951">
        <w:t xml:space="preserve"> different censoring scenarios.</w:t>
      </w:r>
    </w:p>
    <w:p w:rsidR="00DC67D7" w:rsidRDefault="006C05FE" w:rsidP="00457951">
      <w:pPr>
        <w:pStyle w:val="TableTitle"/>
      </w:pPr>
      <w:proofErr w:type="gramStart"/>
      <w:r>
        <w:t>Table 9</w:t>
      </w:r>
      <w:r w:rsidR="00DC67D7">
        <w:t>.</w:t>
      </w:r>
      <w:proofErr w:type="gramEnd"/>
      <w:r w:rsidR="00DC67D7">
        <w:t xml:space="preserve"> Sensitivity analysis for Time to SSE with different censoring scheme –</w:t>
      </w:r>
      <w:r w:rsidR="007217F6">
        <w:t xml:space="preserve"> r</w:t>
      </w:r>
      <w:r w:rsidR="00DC67D7">
        <w:t>andomised subjects in combined random sample</w:t>
      </w:r>
    </w:p>
    <w:p w:rsidR="004F5311" w:rsidRPr="004F5311" w:rsidRDefault="004F5311" w:rsidP="004F5311">
      <w:r w:rsidRPr="004F5311">
        <w:rPr>
          <w:noProof/>
          <w:lang w:eastAsia="en-AU"/>
        </w:rPr>
        <w:drawing>
          <wp:inline distT="0" distB="0" distL="0" distR="0">
            <wp:extent cx="5474653" cy="1314450"/>
            <wp:effectExtent l="19050" t="0" r="0" b="0"/>
            <wp:docPr id="6" name="Picture 7" descr="Table 9. Sensitivity analysis for Time to SSE with different censoring scheme – randomised subjects in combined random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l="1457" t="23333"/>
                    <a:stretch>
                      <a:fillRect/>
                    </a:stretch>
                  </pic:blipFill>
                  <pic:spPr bwMode="auto">
                    <a:xfrm>
                      <a:off x="0" y="0"/>
                      <a:ext cx="5474653" cy="1314450"/>
                    </a:xfrm>
                    <a:prstGeom prst="rect">
                      <a:avLst/>
                    </a:prstGeom>
                    <a:noFill/>
                    <a:ln w="9525">
                      <a:noFill/>
                      <a:miter lim="800000"/>
                      <a:headEnd/>
                      <a:tailEnd/>
                    </a:ln>
                  </pic:spPr>
                </pic:pic>
              </a:graphicData>
            </a:graphic>
          </wp:inline>
        </w:drawing>
      </w:r>
    </w:p>
    <w:p w:rsidR="004F5311" w:rsidRPr="004F5311" w:rsidRDefault="007217F6" w:rsidP="004F5311">
      <w:r>
        <w:t>The evaluator concluded that t</w:t>
      </w:r>
      <w:r w:rsidR="004F5311" w:rsidRPr="004F5311">
        <w:t>hese further analyses largely confirm the analysis and conclusions discussed in the first round evaluation. The superiority for apixaban compared with warfarin has been confirmed.</w:t>
      </w:r>
    </w:p>
    <w:p w:rsidR="004F5311" w:rsidRPr="004F5311" w:rsidRDefault="004F5311" w:rsidP="004F5311">
      <w:r w:rsidRPr="009F2094">
        <w:rPr>
          <w:i/>
        </w:rPr>
        <w:t>FDA Question2:</w:t>
      </w:r>
      <w:r w:rsidRPr="004F5311">
        <w:t xml:space="preserve"> The FDA requested an estimate of the number of patients </w:t>
      </w:r>
      <w:proofErr w:type="spellStart"/>
      <w:r w:rsidRPr="004F5311">
        <w:t>unblinded</w:t>
      </w:r>
      <w:proofErr w:type="spellEnd"/>
      <w:r w:rsidRPr="004F5311">
        <w:t xml:space="preserve"> by investigators without reporting them to the sponsor. Based on the random sample audits, the frequency of unreported </w:t>
      </w:r>
      <w:proofErr w:type="spellStart"/>
      <w:r w:rsidRPr="004F5311">
        <w:t>unblinding</w:t>
      </w:r>
      <w:proofErr w:type="spellEnd"/>
      <w:r w:rsidRPr="004F5311">
        <w:t xml:space="preserve"> was 3/8000 patients. This can be considered trivial.</w:t>
      </w:r>
    </w:p>
    <w:p w:rsidR="007217F6" w:rsidRDefault="004F5311" w:rsidP="004F5311">
      <w:r w:rsidRPr="009F2094">
        <w:rPr>
          <w:i/>
        </w:rPr>
        <w:t>FDA Question 3:</w:t>
      </w:r>
      <w:r w:rsidRPr="004F5311">
        <w:t xml:space="preserve"> The FDA requested details of the Site Monitoring Plan to understand how dispensing errors were allowed to occur. The sponsor responded that site monitoring was conducted to a high standard in accordance with their SOPs. The processes are described in detail and the sponsor point</w:t>
      </w:r>
      <w:r w:rsidR="007217F6">
        <w:t>s</w:t>
      </w:r>
      <w:r w:rsidRPr="004F5311">
        <w:t xml:space="preserve"> out that they were good enough to </w:t>
      </w:r>
      <w:r w:rsidR="00457951">
        <w:t>detect the errors in this case.</w:t>
      </w:r>
    </w:p>
    <w:p w:rsidR="004F5311" w:rsidRPr="004F5311" w:rsidRDefault="007217F6" w:rsidP="004F5311">
      <w:r>
        <w:t>The evaluator concluded that i</w:t>
      </w:r>
      <w:r w:rsidR="004F5311" w:rsidRPr="004F5311">
        <w:t xml:space="preserve">n general, most errors were transcriptional in the </w:t>
      </w:r>
      <w:r>
        <w:t>electronic case report form (</w:t>
      </w:r>
      <w:proofErr w:type="spellStart"/>
      <w:r w:rsidR="004F5311" w:rsidRPr="004F5311">
        <w:t>eCRF</w:t>
      </w:r>
      <w:proofErr w:type="spellEnd"/>
      <w:r>
        <w:t>)</w:t>
      </w:r>
      <w:r w:rsidR="004F5311" w:rsidRPr="004F5311">
        <w:t xml:space="preserve"> and relatively few actual dispensing errors occurred.</w:t>
      </w:r>
    </w:p>
    <w:p w:rsidR="004F5311" w:rsidRPr="004F5311" w:rsidRDefault="004F5311" w:rsidP="004F5311">
      <w:r w:rsidRPr="009F2094">
        <w:rPr>
          <w:i/>
        </w:rPr>
        <w:t>FDA Question 4:</w:t>
      </w:r>
      <w:r w:rsidRPr="004F5311">
        <w:t xml:space="preserve"> The FDA questioned manual changes to the automated </w:t>
      </w:r>
      <w:r w:rsidR="007217F6" w:rsidRPr="007217F6">
        <w:t>interactive voice response system</w:t>
      </w:r>
      <w:r w:rsidR="007217F6">
        <w:t xml:space="preserve"> (</w:t>
      </w:r>
      <w:r w:rsidRPr="004F5311">
        <w:t>IVRS</w:t>
      </w:r>
      <w:r w:rsidR="007217F6">
        <w:t>)</w:t>
      </w:r>
      <w:r w:rsidRPr="004F5311">
        <w:t>. They were concerned that human error may have contributed to dispensing errors. The sponsors justify this practice which is occasionally necessary and describe</w:t>
      </w:r>
      <w:r w:rsidR="007217F6">
        <w:t>d</w:t>
      </w:r>
      <w:r w:rsidRPr="004F5311">
        <w:t xml:space="preserve"> the pre-defined procedures and methods used for manual changes. In the event, there were only 107 manual changes out of over 400,000 study treatment containers so they were unlikely to have contributed to the dispensing error rate.</w:t>
      </w:r>
    </w:p>
    <w:p w:rsidR="004F5311" w:rsidRPr="004F5311" w:rsidRDefault="004F5311" w:rsidP="004F5311">
      <w:r w:rsidRPr="009F2094">
        <w:rPr>
          <w:i/>
        </w:rPr>
        <w:t>FDA Question 5:</w:t>
      </w:r>
      <w:r w:rsidRPr="004F5311">
        <w:t xml:space="preserve"> A ‘cursory examination’ of the study datasets by the FDA revealed that they did not always match the information in the </w:t>
      </w:r>
      <w:proofErr w:type="spellStart"/>
      <w:r w:rsidRPr="004F5311">
        <w:t>eCRFs</w:t>
      </w:r>
      <w:proofErr w:type="spellEnd"/>
      <w:r w:rsidRPr="004F5311">
        <w:t xml:space="preserve">. The sponsor replies that the perceived error rate was overstated and that accuracy is ensured by data management and statistical </w:t>
      </w:r>
      <w:r w:rsidR="007217F6">
        <w:t>standard operating procedures (</w:t>
      </w:r>
      <w:r w:rsidRPr="004F5311">
        <w:t>SOPs</w:t>
      </w:r>
      <w:r w:rsidR="007217F6">
        <w:t>)</w:t>
      </w:r>
      <w:r w:rsidRPr="004F5311">
        <w:t>, the use of validated systems, and the use of additional quality checks and validation procedures.</w:t>
      </w:r>
    </w:p>
    <w:p w:rsidR="004F5311" w:rsidRPr="004F5311" w:rsidRDefault="004F5311" w:rsidP="004F5311">
      <w:r w:rsidRPr="009F2094">
        <w:rPr>
          <w:i/>
        </w:rPr>
        <w:t>FDA Question 6:</w:t>
      </w:r>
      <w:r w:rsidRPr="004F5311">
        <w:t xml:space="preserve"> Some patients had a unique AE listed multiple times as both non-serious and serious and the sponsor was requested to prepare a new </w:t>
      </w:r>
      <w:r w:rsidR="007217F6">
        <w:t xml:space="preserve">AE </w:t>
      </w:r>
      <w:r w:rsidRPr="004F5311">
        <w:t>analysis dataset. The sponsor offered a variety of legitimate reasons why such apparent dual listings may occur. However, they prepared a new dataset</w:t>
      </w:r>
      <w:r>
        <w:t xml:space="preserve">. </w:t>
      </w:r>
      <w:r w:rsidRPr="004F5311">
        <w:t xml:space="preserve">The </w:t>
      </w:r>
      <w:r w:rsidR="007217F6">
        <w:t xml:space="preserve">evaluator considered that </w:t>
      </w:r>
      <w:r w:rsidRPr="004F5311">
        <w:t>minor changes did not impact on the safety profile of apixaban previously noted in the ARISTOTLE study.</w:t>
      </w:r>
    </w:p>
    <w:p w:rsidR="004F5311" w:rsidRDefault="007C1C63" w:rsidP="004F5311">
      <w:r>
        <w:t xml:space="preserve">Following review of the </w:t>
      </w:r>
      <w:r w:rsidR="007217F6">
        <w:t>sponsor’s responses to the FDA questions</w:t>
      </w:r>
      <w:r>
        <w:t xml:space="preserve">, </w:t>
      </w:r>
      <w:r w:rsidR="004F5311" w:rsidRPr="004F5311">
        <w:t xml:space="preserve">the TGA </w:t>
      </w:r>
      <w:r>
        <w:t>requested the sponsor address the following</w:t>
      </w:r>
      <w:r w:rsidR="007217F6">
        <w:t xml:space="preserve"> additional matters</w:t>
      </w:r>
      <w:r w:rsidR="00457951">
        <w:t>:</w:t>
      </w:r>
    </w:p>
    <w:p w:rsidR="004F5311" w:rsidRPr="00457951" w:rsidRDefault="004F5311" w:rsidP="00457951">
      <w:pPr>
        <w:pStyle w:val="ListBullet"/>
      </w:pPr>
      <w:r w:rsidRPr="009F2094">
        <w:t>Clarification o</w:t>
      </w:r>
      <w:r w:rsidRPr="00457951">
        <w:t>f all analysis co</w:t>
      </w:r>
      <w:r w:rsidR="009F2094" w:rsidRPr="00457951">
        <w:t>nducted (that is, 12%, 20%, 40).</w:t>
      </w:r>
    </w:p>
    <w:p w:rsidR="004F5311" w:rsidRPr="00457951" w:rsidRDefault="004F5311" w:rsidP="00457951">
      <w:pPr>
        <w:pStyle w:val="ListBullet"/>
      </w:pPr>
      <w:r w:rsidRPr="00457951">
        <w:t>Confirmation that all of the above audits were mutually exclusive</w:t>
      </w:r>
      <w:r w:rsidR="007217F6" w:rsidRPr="00457951">
        <w:t>.</w:t>
      </w:r>
    </w:p>
    <w:p w:rsidR="009F2094" w:rsidRPr="00457951" w:rsidRDefault="009F2094" w:rsidP="00457951">
      <w:pPr>
        <w:pStyle w:val="ListBullet"/>
      </w:pPr>
      <w:r w:rsidRPr="00457951">
        <w:t>Time of request received and from which regulatory authority.</w:t>
      </w:r>
    </w:p>
    <w:p w:rsidR="009F2094" w:rsidRPr="009F2094" w:rsidRDefault="009F2094" w:rsidP="00457951">
      <w:pPr>
        <w:pStyle w:val="ListBullet"/>
      </w:pPr>
      <w:r w:rsidRPr="00457951">
        <w:t>Strategy of sample size selection for each analy</w:t>
      </w:r>
      <w:r w:rsidRPr="009F2094">
        <w:t>sis conducted</w:t>
      </w:r>
      <w:r>
        <w:t>.</w:t>
      </w:r>
    </w:p>
    <w:p w:rsidR="009F2094" w:rsidRDefault="009F2094" w:rsidP="00457951">
      <w:pPr>
        <w:pStyle w:val="ListBullet"/>
      </w:pPr>
      <w:r>
        <w:lastRenderedPageBreak/>
        <w:t>Timelines for all analyse</w:t>
      </w:r>
      <w:r w:rsidRPr="009F2094">
        <w:t xml:space="preserve">s conducted and responses/results being made available. </w:t>
      </w:r>
      <w:r w:rsidR="004F5311" w:rsidRPr="009F2094">
        <w:t xml:space="preserve"> </w:t>
      </w:r>
    </w:p>
    <w:p w:rsidR="004F5311" w:rsidRPr="004F5311" w:rsidRDefault="004F5311" w:rsidP="00B968EC">
      <w:r w:rsidRPr="004F5311">
        <w:t xml:space="preserve">The sponsor confirmed that all the audits were mutually exclusive. </w:t>
      </w:r>
      <w:r w:rsidR="007C1C63">
        <w:t xml:space="preserve">Satisfactory responses were also provided </w:t>
      </w:r>
      <w:r w:rsidRPr="004F5311">
        <w:t>to the other questions</w:t>
      </w:r>
      <w:r w:rsidR="007C1C63">
        <w:t>.</w:t>
      </w:r>
      <w:r w:rsidRPr="004F5311">
        <w:t xml:space="preserve"> </w:t>
      </w:r>
      <w:r w:rsidR="009F2094">
        <w:t xml:space="preserve">It was noted that </w:t>
      </w:r>
      <w:r w:rsidRPr="004F5311">
        <w:t xml:space="preserve">the FDA </w:t>
      </w:r>
      <w:r w:rsidR="009F2094">
        <w:t xml:space="preserve">had </w:t>
      </w:r>
      <w:r w:rsidRPr="004F5311">
        <w:t>not raised further concerns.</w:t>
      </w:r>
    </w:p>
    <w:p w:rsidR="0032160F" w:rsidRPr="0032160F" w:rsidRDefault="00B968EC" w:rsidP="00B968EC">
      <w:pPr>
        <w:pStyle w:val="Heading4"/>
      </w:pPr>
      <w:bookmarkStart w:id="233" w:name="_Ref271134961"/>
      <w:bookmarkStart w:id="234" w:name="_Toc272414708"/>
      <w:bookmarkStart w:id="235" w:name="_Toc290846348"/>
      <w:bookmarkStart w:id="236" w:name="_Toc290888885"/>
      <w:bookmarkStart w:id="237" w:name="_Toc340050380"/>
      <w:r>
        <w:t>Second round benefit-risk assessment</w:t>
      </w:r>
      <w:bookmarkEnd w:id="233"/>
      <w:bookmarkEnd w:id="234"/>
      <w:bookmarkEnd w:id="235"/>
      <w:bookmarkEnd w:id="236"/>
      <w:bookmarkEnd w:id="237"/>
    </w:p>
    <w:p w:rsidR="0032160F" w:rsidRPr="0032160F" w:rsidRDefault="0032160F" w:rsidP="00B968EC">
      <w:r w:rsidRPr="0032160F">
        <w:t>The second round risk-benefit assessment has not changed from the first round assessment.</w:t>
      </w:r>
    </w:p>
    <w:p w:rsidR="0032160F" w:rsidRPr="0032160F" w:rsidRDefault="0032160F" w:rsidP="00840E53">
      <w:pPr>
        <w:pStyle w:val="Heading4"/>
      </w:pPr>
      <w:bookmarkStart w:id="238" w:name="_Toc290663810"/>
      <w:bookmarkStart w:id="239" w:name="_Toc290663966"/>
      <w:bookmarkStart w:id="240" w:name="_Toc290664559"/>
      <w:bookmarkStart w:id="241" w:name="_Toc290664868"/>
      <w:bookmarkStart w:id="242" w:name="_Toc290665024"/>
      <w:bookmarkStart w:id="243" w:name="_Toc290665752"/>
      <w:bookmarkStart w:id="244" w:name="_Toc290665925"/>
      <w:bookmarkStart w:id="245" w:name="_Toc290669473"/>
      <w:bookmarkStart w:id="246" w:name="_Toc290669646"/>
      <w:bookmarkStart w:id="247" w:name="_Toc290715963"/>
      <w:bookmarkStart w:id="248" w:name="_Toc290716136"/>
      <w:bookmarkStart w:id="249" w:name="_Toc290731463"/>
      <w:bookmarkStart w:id="250" w:name="_Toc290731636"/>
      <w:bookmarkStart w:id="251" w:name="_Toc290731957"/>
      <w:bookmarkStart w:id="252" w:name="_Toc290732278"/>
      <w:bookmarkStart w:id="253" w:name="_Toc290663811"/>
      <w:bookmarkStart w:id="254" w:name="_Toc290663967"/>
      <w:bookmarkStart w:id="255" w:name="_Toc290664560"/>
      <w:bookmarkStart w:id="256" w:name="_Toc290664869"/>
      <w:bookmarkStart w:id="257" w:name="_Toc290665025"/>
      <w:bookmarkStart w:id="258" w:name="_Toc290665753"/>
      <w:bookmarkStart w:id="259" w:name="_Toc290665926"/>
      <w:bookmarkStart w:id="260" w:name="_Toc290669474"/>
      <w:bookmarkStart w:id="261" w:name="_Toc290669647"/>
      <w:bookmarkStart w:id="262" w:name="_Toc290715964"/>
      <w:bookmarkStart w:id="263" w:name="_Toc290716137"/>
      <w:bookmarkStart w:id="264" w:name="_Toc290731464"/>
      <w:bookmarkStart w:id="265" w:name="_Toc290731637"/>
      <w:bookmarkStart w:id="266" w:name="_Toc290731958"/>
      <w:bookmarkStart w:id="267" w:name="_Toc290732279"/>
      <w:bookmarkStart w:id="268" w:name="_Ref272160677"/>
      <w:bookmarkStart w:id="269" w:name="_Toc272414713"/>
      <w:bookmarkStart w:id="270" w:name="_Toc290846352"/>
      <w:bookmarkStart w:id="271" w:name="_Toc290888889"/>
      <w:bookmarkStart w:id="272" w:name="_Toc340050381"/>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32160F">
        <w:t>S</w:t>
      </w:r>
      <w:r w:rsidR="00B968EC">
        <w:t>econd round recommendation regarding authorisation</w:t>
      </w:r>
      <w:bookmarkEnd w:id="268"/>
      <w:bookmarkEnd w:id="269"/>
      <w:bookmarkEnd w:id="270"/>
      <w:bookmarkEnd w:id="271"/>
      <w:bookmarkEnd w:id="272"/>
    </w:p>
    <w:p w:rsidR="007F5C84" w:rsidRDefault="0032160F" w:rsidP="0032160F">
      <w:r w:rsidRPr="0032160F">
        <w:t xml:space="preserve">Authorisation is recommended for apixaban 2.5 mg </w:t>
      </w:r>
      <w:r w:rsidR="00341B29">
        <w:t>bid</w:t>
      </w:r>
      <w:r w:rsidRPr="0032160F">
        <w:t xml:space="preserve"> or 5 mg </w:t>
      </w:r>
      <w:r w:rsidR="00341B29">
        <w:t>bid</w:t>
      </w:r>
      <w:r w:rsidRPr="0032160F">
        <w:t xml:space="preserve"> for the</w:t>
      </w:r>
      <w:r w:rsidR="00B968EC">
        <w:t xml:space="preserve"> proposed additional indication</w:t>
      </w:r>
    </w:p>
    <w:p w:rsidR="0032160F" w:rsidRPr="00840E53" w:rsidRDefault="0032160F" w:rsidP="007F5C84">
      <w:pPr>
        <w:ind w:left="720"/>
        <w:rPr>
          <w:i/>
        </w:rPr>
      </w:pPr>
      <w:proofErr w:type="gramStart"/>
      <w:r w:rsidRPr="00840E53">
        <w:rPr>
          <w:i/>
        </w:rPr>
        <w:t>to</w:t>
      </w:r>
      <w:proofErr w:type="gramEnd"/>
      <w:r w:rsidRPr="00840E53">
        <w:rPr>
          <w:i/>
        </w:rPr>
        <w:t xml:space="preserve"> reduce the risk of stroke, systemic embolism and death in patients with non-valvular </w:t>
      </w:r>
      <w:r w:rsidR="00071C0C">
        <w:rPr>
          <w:i/>
        </w:rPr>
        <w:t xml:space="preserve">AF </w:t>
      </w:r>
      <w:r w:rsidRPr="00840E53">
        <w:rPr>
          <w:i/>
        </w:rPr>
        <w:t>with at least one ad</w:t>
      </w:r>
      <w:r w:rsidR="00237E9F">
        <w:rPr>
          <w:i/>
        </w:rPr>
        <w:t>ditional risk factor for stroke</w:t>
      </w:r>
      <w:r w:rsidRPr="00840E53">
        <w:rPr>
          <w:i/>
        </w:rPr>
        <w:t>.</w:t>
      </w:r>
    </w:p>
    <w:p w:rsidR="008E7846" w:rsidRPr="00E41208" w:rsidRDefault="008E7846" w:rsidP="008E7846">
      <w:pPr>
        <w:pStyle w:val="Heading2"/>
      </w:pPr>
      <w:bookmarkStart w:id="273" w:name="_Toc247691524"/>
      <w:bookmarkStart w:id="274" w:name="_Toc314842508"/>
      <w:bookmarkStart w:id="275" w:name="_Toc363676074"/>
      <w:r w:rsidRPr="00E41208">
        <w:t xml:space="preserve">V. Pharmacovigilance </w:t>
      </w:r>
      <w:r>
        <w:t>f</w:t>
      </w:r>
      <w:r w:rsidRPr="00E41208">
        <w:t>indings</w:t>
      </w:r>
      <w:bookmarkEnd w:id="273"/>
      <w:bookmarkEnd w:id="274"/>
      <w:bookmarkEnd w:id="275"/>
    </w:p>
    <w:p w:rsidR="008E7846" w:rsidRDefault="00386150" w:rsidP="008E7846">
      <w:pPr>
        <w:pStyle w:val="Heading3"/>
        <w:rPr>
          <w:lang w:eastAsia="en-AU"/>
        </w:rPr>
      </w:pPr>
      <w:bookmarkStart w:id="276" w:name="_Toc247691526"/>
      <w:bookmarkStart w:id="277" w:name="_Toc314842509"/>
      <w:bookmarkStart w:id="278" w:name="_Toc363676075"/>
      <w:r>
        <w:rPr>
          <w:lang w:eastAsia="en-AU"/>
        </w:rPr>
        <w:t>Risk m</w:t>
      </w:r>
      <w:r w:rsidR="008E7846">
        <w:rPr>
          <w:lang w:eastAsia="en-AU"/>
        </w:rPr>
        <w:t xml:space="preserve">anagement </w:t>
      </w:r>
      <w:r>
        <w:rPr>
          <w:lang w:eastAsia="en-AU"/>
        </w:rPr>
        <w:t>p</w:t>
      </w:r>
      <w:r w:rsidR="008E7846">
        <w:rPr>
          <w:lang w:eastAsia="en-AU"/>
        </w:rPr>
        <w:t>lan</w:t>
      </w:r>
      <w:bookmarkEnd w:id="276"/>
      <w:bookmarkEnd w:id="277"/>
      <w:bookmarkEnd w:id="278"/>
    </w:p>
    <w:p w:rsidR="008E7846" w:rsidRPr="000B60F6" w:rsidRDefault="008E7846" w:rsidP="002F1D65">
      <w:r w:rsidRPr="000B60F6">
        <w:t xml:space="preserve">The sponsor submitted </w:t>
      </w:r>
      <w:r w:rsidR="000B60F6">
        <w:t xml:space="preserve">the Apixaban Risk Management Plan </w:t>
      </w:r>
      <w:r w:rsidR="000B60F6" w:rsidRPr="000B60F6">
        <w:t>(Version 1.0, Data Lock Point Apri</w:t>
      </w:r>
      <w:r w:rsidR="000B60F6">
        <w:t xml:space="preserve">l 1, 2011. </w:t>
      </w:r>
      <w:r w:rsidR="000B60F6" w:rsidRPr="000B60F6">
        <w:t>D</w:t>
      </w:r>
      <w:r w:rsidR="00C56FBB">
        <w:t>ocument date 9 September 2011) with</w:t>
      </w:r>
      <w:r w:rsidR="000B60F6" w:rsidRPr="000B60F6">
        <w:t xml:space="preserve"> Australian-specific Annex (version 1.0 data lock point 1 April 2011)</w:t>
      </w:r>
      <w:r w:rsidR="000B60F6">
        <w:t xml:space="preserve"> </w:t>
      </w:r>
      <w:r w:rsidRPr="000B60F6">
        <w:t>which was reviewed by the TGA’s Office of Product Review (OPR).</w:t>
      </w:r>
    </w:p>
    <w:p w:rsidR="008E7846" w:rsidRDefault="003A7F6C" w:rsidP="00B968EC">
      <w:pPr>
        <w:pStyle w:val="Heading4"/>
        <w:rPr>
          <w:lang w:eastAsia="en-AU"/>
        </w:rPr>
      </w:pPr>
      <w:r>
        <w:rPr>
          <w:lang w:eastAsia="en-AU"/>
        </w:rPr>
        <w:t>Safety s</w:t>
      </w:r>
      <w:r w:rsidR="008E7846">
        <w:rPr>
          <w:lang w:eastAsia="en-AU"/>
        </w:rPr>
        <w:t>pecification</w:t>
      </w:r>
    </w:p>
    <w:p w:rsidR="008E7846" w:rsidRDefault="008E7846" w:rsidP="002F1D65">
      <w:pPr>
        <w:rPr>
          <w:lang w:eastAsia="en-AU"/>
        </w:rPr>
      </w:pPr>
      <w:r>
        <w:rPr>
          <w:lang w:eastAsia="en-AU"/>
        </w:rPr>
        <w:t xml:space="preserve">The sponsor provided a summary of </w:t>
      </w:r>
      <w:proofErr w:type="gramStart"/>
      <w:r>
        <w:rPr>
          <w:lang w:eastAsia="en-AU"/>
        </w:rPr>
        <w:t>Ongoing</w:t>
      </w:r>
      <w:proofErr w:type="gramEnd"/>
      <w:r>
        <w:rPr>
          <w:lang w:eastAsia="en-AU"/>
        </w:rPr>
        <w:t xml:space="preserve"> safety Concerns which are shown at Table </w:t>
      </w:r>
      <w:r w:rsidR="006C05FE">
        <w:rPr>
          <w:lang w:eastAsia="en-AU"/>
        </w:rPr>
        <w:t>10</w:t>
      </w:r>
      <w:r>
        <w:rPr>
          <w:lang w:eastAsia="en-AU"/>
        </w:rPr>
        <w:t>.</w:t>
      </w:r>
    </w:p>
    <w:p w:rsidR="00C56FBB" w:rsidRDefault="006C05FE" w:rsidP="00B968EC">
      <w:pPr>
        <w:pStyle w:val="TableTitle"/>
        <w:rPr>
          <w:lang w:eastAsia="en-AU"/>
        </w:rPr>
      </w:pPr>
      <w:proofErr w:type="gramStart"/>
      <w:r>
        <w:rPr>
          <w:lang w:eastAsia="en-AU"/>
        </w:rPr>
        <w:lastRenderedPageBreak/>
        <w:t>Table 10</w:t>
      </w:r>
      <w:r w:rsidR="00C56FBB">
        <w:rPr>
          <w:lang w:eastAsia="en-AU"/>
        </w:rPr>
        <w:t>.</w:t>
      </w:r>
      <w:proofErr w:type="gramEnd"/>
      <w:r w:rsidR="00C56FBB">
        <w:rPr>
          <w:lang w:eastAsia="en-AU"/>
        </w:rPr>
        <w:t xml:space="preserve"> Summary of Ongoing Safety Concerns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784"/>
      </w:tblGrid>
      <w:tr w:rsidR="000B60F6" w:rsidRPr="000B60F6" w:rsidTr="00C56FBB">
        <w:trPr>
          <w:cantSplit/>
        </w:trPr>
        <w:tc>
          <w:tcPr>
            <w:tcW w:w="3828" w:type="dxa"/>
            <w:tcBorders>
              <w:top w:val="single" w:sz="4" w:space="0" w:color="auto"/>
              <w:left w:val="single" w:sz="4" w:space="0" w:color="auto"/>
              <w:bottom w:val="single" w:sz="4" w:space="0" w:color="auto"/>
              <w:right w:val="single" w:sz="4" w:space="0" w:color="auto"/>
            </w:tcBorders>
            <w:hideMark/>
          </w:tcPr>
          <w:p w:rsidR="000B60F6" w:rsidRPr="00D17FC6" w:rsidRDefault="000B60F6" w:rsidP="00DB315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20"/>
                <w:szCs w:val="20"/>
              </w:rPr>
            </w:pPr>
            <w:r w:rsidRPr="00D17FC6">
              <w:rPr>
                <w:b/>
                <w:sz w:val="20"/>
                <w:szCs w:val="20"/>
              </w:rPr>
              <w:t>Important Identified Risk</w:t>
            </w:r>
          </w:p>
        </w:tc>
        <w:tc>
          <w:tcPr>
            <w:tcW w:w="4784" w:type="dxa"/>
            <w:tcBorders>
              <w:top w:val="single" w:sz="4" w:space="0" w:color="auto"/>
              <w:left w:val="single" w:sz="4" w:space="0" w:color="auto"/>
              <w:bottom w:val="single" w:sz="4" w:space="0" w:color="auto"/>
              <w:right w:val="single" w:sz="4" w:space="0" w:color="auto"/>
            </w:tcBorders>
            <w:vAlign w:val="center"/>
            <w:hideMark/>
          </w:tcPr>
          <w:p w:rsidR="000B60F6" w:rsidRPr="000B60F6" w:rsidRDefault="000B60F6" w:rsidP="00B968EC">
            <w:pPr>
              <w:pStyle w:val="ListBullet"/>
              <w:rPr>
                <w:kern w:val="16"/>
              </w:rPr>
            </w:pPr>
            <w:r w:rsidRPr="000B60F6">
              <w:t>Bleeding</w:t>
            </w:r>
          </w:p>
        </w:tc>
      </w:tr>
      <w:tr w:rsidR="000B60F6" w:rsidRPr="000B60F6" w:rsidTr="00C56FBB">
        <w:trPr>
          <w:cantSplit/>
        </w:trPr>
        <w:tc>
          <w:tcPr>
            <w:tcW w:w="3828" w:type="dxa"/>
            <w:tcBorders>
              <w:top w:val="single" w:sz="4" w:space="0" w:color="auto"/>
              <w:left w:val="single" w:sz="4" w:space="0" w:color="auto"/>
              <w:bottom w:val="single" w:sz="4" w:space="0" w:color="auto"/>
              <w:right w:val="single" w:sz="4" w:space="0" w:color="auto"/>
            </w:tcBorders>
            <w:hideMark/>
          </w:tcPr>
          <w:p w:rsidR="000B60F6" w:rsidRPr="00D17FC6" w:rsidRDefault="000B60F6" w:rsidP="00DB315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20"/>
                <w:szCs w:val="20"/>
              </w:rPr>
            </w:pPr>
            <w:r w:rsidRPr="00D17FC6">
              <w:rPr>
                <w:b/>
                <w:sz w:val="20"/>
                <w:szCs w:val="20"/>
              </w:rPr>
              <w:t>Important Potential Risks</w:t>
            </w:r>
          </w:p>
        </w:tc>
        <w:tc>
          <w:tcPr>
            <w:tcW w:w="4784" w:type="dxa"/>
            <w:tcBorders>
              <w:top w:val="single" w:sz="4" w:space="0" w:color="auto"/>
              <w:left w:val="single" w:sz="4" w:space="0" w:color="auto"/>
              <w:bottom w:val="single" w:sz="4" w:space="0" w:color="auto"/>
              <w:right w:val="single" w:sz="4" w:space="0" w:color="auto"/>
            </w:tcBorders>
            <w:hideMark/>
          </w:tcPr>
          <w:p w:rsidR="000B60F6" w:rsidRPr="000B60F6" w:rsidRDefault="000B60F6" w:rsidP="00B968EC">
            <w:pPr>
              <w:pStyle w:val="ListBullet"/>
              <w:rPr>
                <w:kern w:val="16"/>
              </w:rPr>
            </w:pPr>
            <w:proofErr w:type="spellStart"/>
            <w:r w:rsidRPr="000B60F6">
              <w:t>VTEp</w:t>
            </w:r>
            <w:proofErr w:type="spellEnd"/>
            <w:r w:rsidRPr="000B60F6">
              <w:t>: Transient Elevation of Liver Tests</w:t>
            </w:r>
          </w:p>
          <w:p w:rsidR="000B60F6" w:rsidRPr="000B60F6" w:rsidRDefault="000B60F6" w:rsidP="00B968EC">
            <w:pPr>
              <w:pStyle w:val="ListBullet"/>
              <w:rPr>
                <w:kern w:val="16"/>
              </w:rPr>
            </w:pPr>
            <w:r w:rsidRPr="000B60F6">
              <w:t>AF:</w:t>
            </w:r>
            <w:r w:rsidR="00071C0C">
              <w:t xml:space="preserve"> </w:t>
            </w:r>
            <w:r w:rsidRPr="000B60F6">
              <w:t>Liver Injury</w:t>
            </w:r>
          </w:p>
        </w:tc>
      </w:tr>
      <w:tr w:rsidR="000B60F6" w:rsidRPr="000B60F6" w:rsidTr="00C56FBB">
        <w:trPr>
          <w:cantSplit/>
        </w:trPr>
        <w:tc>
          <w:tcPr>
            <w:tcW w:w="3828" w:type="dxa"/>
            <w:tcBorders>
              <w:top w:val="single" w:sz="4" w:space="0" w:color="auto"/>
              <w:left w:val="single" w:sz="4" w:space="0" w:color="auto"/>
              <w:bottom w:val="single" w:sz="4" w:space="0" w:color="auto"/>
              <w:right w:val="single" w:sz="4" w:space="0" w:color="auto"/>
            </w:tcBorders>
            <w:hideMark/>
          </w:tcPr>
          <w:p w:rsidR="000B60F6" w:rsidRPr="00D17FC6" w:rsidRDefault="000B60F6" w:rsidP="00DB315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20"/>
                <w:szCs w:val="20"/>
              </w:rPr>
            </w:pPr>
            <w:r w:rsidRPr="00D17FC6">
              <w:rPr>
                <w:b/>
                <w:sz w:val="20"/>
                <w:szCs w:val="20"/>
              </w:rPr>
              <w:t>Important Missing Information</w:t>
            </w:r>
          </w:p>
        </w:tc>
        <w:tc>
          <w:tcPr>
            <w:tcW w:w="4784" w:type="dxa"/>
            <w:tcBorders>
              <w:top w:val="single" w:sz="4" w:space="0" w:color="auto"/>
              <w:left w:val="single" w:sz="4" w:space="0" w:color="auto"/>
              <w:bottom w:val="single" w:sz="4" w:space="0" w:color="auto"/>
              <w:right w:val="single" w:sz="4" w:space="0" w:color="auto"/>
            </w:tcBorders>
            <w:hideMark/>
          </w:tcPr>
          <w:p w:rsidR="000B60F6" w:rsidRPr="000B60F6" w:rsidRDefault="000B60F6" w:rsidP="00B968EC">
            <w:pPr>
              <w:pStyle w:val="ListBullet"/>
              <w:rPr>
                <w:kern w:val="16"/>
              </w:rPr>
            </w:pPr>
            <w:r w:rsidRPr="000B60F6">
              <w:t>P</w:t>
            </w:r>
            <w:r w:rsidR="00D2107D">
              <w:t>a</w:t>
            </w:r>
            <w:r w:rsidRPr="000B60F6">
              <w:t>ediatrics</w:t>
            </w:r>
          </w:p>
          <w:p w:rsidR="000B60F6" w:rsidRPr="000B60F6" w:rsidRDefault="000B60F6" w:rsidP="00B968EC">
            <w:pPr>
              <w:pStyle w:val="ListBullet"/>
            </w:pPr>
            <w:r w:rsidRPr="000B60F6">
              <w:t>Pregnant or Lactating Women</w:t>
            </w:r>
          </w:p>
          <w:p w:rsidR="000B60F6" w:rsidRPr="000B60F6" w:rsidRDefault="000B60F6" w:rsidP="00B968EC">
            <w:pPr>
              <w:pStyle w:val="ListBullet"/>
            </w:pPr>
            <w:r w:rsidRPr="000B60F6">
              <w:t>Severe hepatic impairment</w:t>
            </w:r>
          </w:p>
          <w:p w:rsidR="000B60F6" w:rsidRPr="000B60F6" w:rsidRDefault="000B60F6" w:rsidP="00B968EC">
            <w:pPr>
              <w:pStyle w:val="ListBullet"/>
            </w:pPr>
            <w:r w:rsidRPr="000B60F6">
              <w:t>Severe renal impairment</w:t>
            </w:r>
          </w:p>
          <w:p w:rsidR="000B60F6" w:rsidRPr="000B60F6" w:rsidRDefault="000B60F6" w:rsidP="00B968EC">
            <w:pPr>
              <w:pStyle w:val="ListBullet"/>
            </w:pPr>
            <w:r w:rsidRPr="000B60F6">
              <w:t>Black/African American Population</w:t>
            </w:r>
          </w:p>
          <w:p w:rsidR="000B60F6" w:rsidRPr="000B60F6" w:rsidRDefault="000B60F6" w:rsidP="00B968EC">
            <w:pPr>
              <w:pStyle w:val="ListBullet"/>
            </w:pPr>
            <w:r w:rsidRPr="000B60F6">
              <w:t>Hip Fracture Surgery</w:t>
            </w:r>
          </w:p>
          <w:p w:rsidR="000B60F6" w:rsidRPr="000B60F6" w:rsidRDefault="000B60F6" w:rsidP="00B968EC">
            <w:pPr>
              <w:pStyle w:val="ListBullet"/>
            </w:pPr>
            <w:r w:rsidRPr="000B60F6">
              <w:t>AF with Valvular Disease</w:t>
            </w:r>
          </w:p>
          <w:p w:rsidR="000B60F6" w:rsidRPr="000B60F6" w:rsidRDefault="000B60F6" w:rsidP="00B968EC">
            <w:pPr>
              <w:pStyle w:val="ListBullet"/>
            </w:pPr>
            <w:r w:rsidRPr="000B60F6">
              <w:t>Patients with prosthetic heart valves</w:t>
            </w:r>
          </w:p>
          <w:p w:rsidR="000B60F6" w:rsidRPr="000B60F6" w:rsidRDefault="000B60F6" w:rsidP="00B968EC">
            <w:pPr>
              <w:pStyle w:val="ListBullet"/>
              <w:rPr>
                <w:kern w:val="16"/>
              </w:rPr>
            </w:pPr>
            <w:r w:rsidRPr="000B60F6">
              <w:t>Off –label use</w:t>
            </w:r>
          </w:p>
        </w:tc>
      </w:tr>
    </w:tbl>
    <w:p w:rsidR="000B60F6" w:rsidRPr="00C56FBB" w:rsidRDefault="000B60F6" w:rsidP="002F1D65">
      <w:pPr>
        <w:pStyle w:val="TableDescription"/>
        <w:rPr>
          <w:kern w:val="16"/>
        </w:rPr>
      </w:pPr>
      <w:proofErr w:type="spellStart"/>
      <w:r w:rsidRPr="00C56FBB">
        <w:t>VTEp</w:t>
      </w:r>
      <w:proofErr w:type="spellEnd"/>
      <w:r w:rsidRPr="00C56FBB">
        <w:t>: spec</w:t>
      </w:r>
      <w:r w:rsidR="00C56FBB">
        <w:t xml:space="preserve">ific to </w:t>
      </w:r>
      <w:r w:rsidR="00457B9B">
        <w:t xml:space="preserve">the </w:t>
      </w:r>
      <w:r w:rsidR="00C56FBB">
        <w:t xml:space="preserve">VTE </w:t>
      </w:r>
      <w:r w:rsidR="00457B9B">
        <w:t xml:space="preserve">prophylaxis </w:t>
      </w:r>
      <w:r w:rsidR="00C56FBB">
        <w:t xml:space="preserve">indication. AF: </w:t>
      </w:r>
      <w:r w:rsidRPr="00C56FBB">
        <w:t>specific to proposed AF indication</w:t>
      </w:r>
    </w:p>
    <w:p w:rsidR="000B60F6" w:rsidRDefault="000B60F6" w:rsidP="002F1D65">
      <w:r w:rsidRPr="00C56FBB">
        <w:t>In the Australian Specific Annex, the Summary of Ongoing Safety Concerns specific to Australia appears to provide a list of impor</w:t>
      </w:r>
      <w:r w:rsidR="00C56FBB">
        <w:t xml:space="preserve">tant missing information only. </w:t>
      </w:r>
      <w:r w:rsidRPr="00C56FBB">
        <w:t xml:space="preserve">This includes two additional ongoing safety concerns (Table </w:t>
      </w:r>
      <w:r w:rsidR="006C05FE">
        <w:t>11</w:t>
      </w:r>
      <w:r w:rsidRPr="00C56FBB">
        <w:t xml:space="preserve">) that are not listed in the </w:t>
      </w:r>
      <w:r w:rsidR="00457B9B">
        <w:t>C</w:t>
      </w:r>
      <w:r w:rsidRPr="00C56FBB">
        <w:t xml:space="preserve">ore </w:t>
      </w:r>
      <w:r w:rsidR="00457B9B">
        <w:t>C</w:t>
      </w:r>
      <w:r w:rsidRPr="00C56FBB">
        <w:t>ompany RMP:</w:t>
      </w:r>
    </w:p>
    <w:p w:rsidR="00C56FBB" w:rsidRDefault="006C05FE" w:rsidP="002F1D65">
      <w:pPr>
        <w:pStyle w:val="TableTitle"/>
        <w:rPr>
          <w:lang w:eastAsia="en-AU"/>
        </w:rPr>
      </w:pPr>
      <w:proofErr w:type="gramStart"/>
      <w:r>
        <w:rPr>
          <w:lang w:eastAsia="en-AU"/>
        </w:rPr>
        <w:t>Table 11</w:t>
      </w:r>
      <w:r w:rsidR="00C56FBB">
        <w:rPr>
          <w:lang w:eastAsia="en-AU"/>
        </w:rPr>
        <w:t>.</w:t>
      </w:r>
      <w:proofErr w:type="gramEnd"/>
      <w:r w:rsidR="00C56FBB">
        <w:rPr>
          <w:lang w:eastAsia="en-AU"/>
        </w:rPr>
        <w:t xml:space="preserve"> Summary of Ongoing Safety Concerns </w:t>
      </w:r>
      <w:r w:rsidR="00C56FBB" w:rsidRPr="00C56FBB">
        <w:t>specific to Australia</w:t>
      </w:r>
    </w:p>
    <w:tbl>
      <w:tblPr>
        <w:tblStyle w:val="TableGrid"/>
        <w:tblW w:w="0" w:type="auto"/>
        <w:tblInd w:w="108" w:type="dxa"/>
        <w:tblLook w:val="04A0"/>
      </w:tblPr>
      <w:tblGrid>
        <w:gridCol w:w="3828"/>
        <w:gridCol w:w="4784"/>
      </w:tblGrid>
      <w:tr w:rsidR="000B60F6" w:rsidRPr="002F6EC7" w:rsidTr="00C56FBB">
        <w:tc>
          <w:tcPr>
            <w:tcW w:w="3828" w:type="dxa"/>
            <w:tcBorders>
              <w:top w:val="single" w:sz="4" w:space="0" w:color="auto"/>
              <w:left w:val="single" w:sz="4" w:space="0" w:color="auto"/>
              <w:bottom w:val="single" w:sz="4" w:space="0" w:color="auto"/>
              <w:right w:val="single" w:sz="4" w:space="0" w:color="auto"/>
            </w:tcBorders>
            <w:hideMark/>
          </w:tcPr>
          <w:p w:rsidR="000B60F6" w:rsidRPr="002F6EC7" w:rsidRDefault="000B60F6" w:rsidP="00DB315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20"/>
                <w:szCs w:val="20"/>
              </w:rPr>
            </w:pPr>
            <w:r w:rsidRPr="002F6EC7">
              <w:rPr>
                <w:b/>
                <w:sz w:val="20"/>
                <w:szCs w:val="20"/>
              </w:rPr>
              <w:t>Important Missing Information</w:t>
            </w:r>
          </w:p>
        </w:tc>
        <w:tc>
          <w:tcPr>
            <w:tcW w:w="4784" w:type="dxa"/>
            <w:tcBorders>
              <w:top w:val="single" w:sz="4" w:space="0" w:color="auto"/>
              <w:left w:val="single" w:sz="4" w:space="0" w:color="auto"/>
              <w:bottom w:val="single" w:sz="4" w:space="0" w:color="auto"/>
              <w:right w:val="single" w:sz="4" w:space="0" w:color="auto"/>
            </w:tcBorders>
            <w:hideMark/>
          </w:tcPr>
          <w:p w:rsidR="000B60F6" w:rsidRPr="002F6EC7" w:rsidRDefault="000B60F6" w:rsidP="00DB3155">
            <w:pPr>
              <w:keepNext/>
              <w:numPr>
                <w:ilvl w:val="0"/>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kern w:val="16"/>
                <w:sz w:val="20"/>
                <w:szCs w:val="20"/>
              </w:rPr>
            </w:pPr>
            <w:r w:rsidRPr="002F6EC7">
              <w:rPr>
                <w:sz w:val="20"/>
                <w:szCs w:val="20"/>
              </w:rPr>
              <w:t>Use in the very elderly (</w:t>
            </w:r>
            <w:proofErr w:type="spellStart"/>
            <w:r w:rsidRPr="002F6EC7">
              <w:rPr>
                <w:sz w:val="20"/>
                <w:szCs w:val="20"/>
              </w:rPr>
              <w:t>VTEp</w:t>
            </w:r>
            <w:proofErr w:type="spellEnd"/>
            <w:r w:rsidRPr="002F6EC7">
              <w:rPr>
                <w:sz w:val="20"/>
                <w:szCs w:val="20"/>
              </w:rPr>
              <w:t xml:space="preserve"> indication)</w:t>
            </w:r>
          </w:p>
          <w:p w:rsidR="000B60F6" w:rsidRPr="002F6EC7" w:rsidRDefault="000B60F6" w:rsidP="00DB3155">
            <w:pPr>
              <w:keepNext/>
              <w:numPr>
                <w:ilvl w:val="0"/>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kern w:val="16"/>
                <w:sz w:val="20"/>
                <w:szCs w:val="20"/>
              </w:rPr>
            </w:pPr>
            <w:r w:rsidRPr="002F6EC7">
              <w:rPr>
                <w:sz w:val="20"/>
                <w:szCs w:val="20"/>
              </w:rPr>
              <w:t>Overdose/coagulation monitoring</w:t>
            </w:r>
          </w:p>
        </w:tc>
      </w:tr>
    </w:tbl>
    <w:p w:rsidR="000B60F6" w:rsidRPr="000B60F6" w:rsidRDefault="000B60F6" w:rsidP="000B60F6">
      <w:r w:rsidRPr="000B60F6">
        <w:t>In the revised A</w:t>
      </w:r>
      <w:r w:rsidR="00C56FBB">
        <w:t xml:space="preserve">ustralian </w:t>
      </w:r>
      <w:r w:rsidRPr="000B60F6">
        <w:t>S</w:t>
      </w:r>
      <w:r w:rsidR="00C56FBB">
        <w:t xml:space="preserve">pecific </w:t>
      </w:r>
      <w:r w:rsidRPr="000B60F6">
        <w:t>A</w:t>
      </w:r>
      <w:r w:rsidR="00C56FBB">
        <w:t>nnex</w:t>
      </w:r>
      <w:r w:rsidRPr="000B60F6">
        <w:t xml:space="preserve"> </w:t>
      </w:r>
      <w:proofErr w:type="spellStart"/>
      <w:r w:rsidRPr="000B60F6">
        <w:t>Guillain-Barré</w:t>
      </w:r>
      <w:proofErr w:type="spellEnd"/>
      <w:r w:rsidRPr="000B60F6">
        <w:t xml:space="preserve"> Syndrome (GBS) was removed as an important potential risk for Australia and now is considered a</w:t>
      </w:r>
      <w:r w:rsidR="00C56FBB">
        <w:t xml:space="preserve">n “event of special interest”. </w:t>
      </w:r>
      <w:r w:rsidRPr="000B60F6">
        <w:t>Th</w:t>
      </w:r>
      <w:r w:rsidR="00D17FC6">
        <w:t xml:space="preserve">e TGA and sponsor </w:t>
      </w:r>
      <w:r w:rsidRPr="000B60F6">
        <w:t xml:space="preserve">discussed </w:t>
      </w:r>
      <w:r w:rsidR="00D17FC6">
        <w:t xml:space="preserve">this </w:t>
      </w:r>
      <w:r w:rsidRPr="000B60F6">
        <w:t>at a pre-submission meeting for this application</w:t>
      </w:r>
      <w:r w:rsidR="00D17FC6">
        <w:t>, and the s</w:t>
      </w:r>
      <w:r w:rsidRPr="000B60F6">
        <w:t xml:space="preserve">ponsor has provided further justification for this </w:t>
      </w:r>
      <w:r w:rsidR="00D17FC6">
        <w:t xml:space="preserve">change </w:t>
      </w:r>
      <w:r w:rsidRPr="000B60F6">
        <w:t>in the RMP.</w:t>
      </w:r>
    </w:p>
    <w:p w:rsidR="000B60F6" w:rsidRDefault="000B60F6" w:rsidP="002F1D65">
      <w:pPr>
        <w:pStyle w:val="Heading5"/>
      </w:pPr>
      <w:r>
        <w:t>OPR reviewer comment:</w:t>
      </w:r>
    </w:p>
    <w:p w:rsidR="000B60F6" w:rsidRPr="000B60F6" w:rsidRDefault="000B60F6" w:rsidP="000B60F6">
      <w:r w:rsidRPr="000B60F6">
        <w:t>The removal of GBS as an important potential risk was discussed with the TGA at a pre-submission</w:t>
      </w:r>
      <w:r w:rsidR="00C56FBB">
        <w:t xml:space="preserve"> meeting for this application. </w:t>
      </w:r>
      <w:r w:rsidRPr="000B60F6">
        <w:t xml:space="preserve">It was agreed that given enhanced surveillance continues there </w:t>
      </w:r>
      <w:r w:rsidR="00C56FBB">
        <w:t xml:space="preserve">was no objection in principle. </w:t>
      </w:r>
      <w:r w:rsidRPr="000B60F6">
        <w:t xml:space="preserve">The rationale provided by the sponsor in </w:t>
      </w:r>
      <w:r w:rsidR="00D85DA0">
        <w:t xml:space="preserve">the </w:t>
      </w:r>
      <w:r w:rsidRPr="000B60F6">
        <w:t>RMP is acceptable and the evaluator has no objection to how thi</w:t>
      </w:r>
      <w:r w:rsidR="00D85DA0">
        <w:t xml:space="preserve">s is currently handled given that </w:t>
      </w:r>
      <w:r w:rsidRPr="000B60F6">
        <w:t>enhanced surveillance continues.</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674ABE" w:rsidRPr="00DD7669" w:rsidRDefault="00674ABE" w:rsidP="00674ABE">
      <w:pPr>
        <w:rPr>
          <w:b/>
        </w:rPr>
      </w:pPr>
      <w:r>
        <w:t>T</w:t>
      </w:r>
      <w:r w:rsidR="00D17FC6">
        <w:t xml:space="preserve">able </w:t>
      </w:r>
      <w:r w:rsidR="006C05FE">
        <w:t>12</w:t>
      </w:r>
      <w:r w:rsidR="00D17FC6">
        <w:t xml:space="preserve"> provides </w:t>
      </w:r>
      <w:r>
        <w:t>a summary of the p</w:t>
      </w:r>
      <w:r w:rsidRPr="00E521B7">
        <w:t>roposed pharma</w:t>
      </w:r>
      <w:r>
        <w:t xml:space="preserve">covigilance </w:t>
      </w:r>
      <w:r w:rsidR="00D85DA0">
        <w:t xml:space="preserve">(PV) </w:t>
      </w:r>
      <w:r>
        <w:t xml:space="preserve">activities in the </w:t>
      </w:r>
      <w:r w:rsidR="00457B9B">
        <w:t>C</w:t>
      </w:r>
      <w:r w:rsidR="00C56FBB">
        <w:t xml:space="preserve">ore </w:t>
      </w:r>
      <w:r w:rsidR="00457B9B">
        <w:t>C</w:t>
      </w:r>
      <w:r w:rsidR="00C56FBB">
        <w:t xml:space="preserve">ompany </w:t>
      </w:r>
      <w:r w:rsidRPr="00E521B7">
        <w:t>RMP:</w:t>
      </w:r>
    </w:p>
    <w:p w:rsidR="002F1D65" w:rsidRDefault="002F1D65">
      <w:pPr>
        <w:spacing w:before="0" w:after="200" w:line="0" w:lineRule="auto"/>
        <w:rPr>
          <w:b/>
          <w:sz w:val="20"/>
        </w:rPr>
      </w:pPr>
      <w:r>
        <w:br w:type="page"/>
      </w:r>
    </w:p>
    <w:p w:rsidR="00674ABE" w:rsidRDefault="006C05FE" w:rsidP="002F1D65">
      <w:pPr>
        <w:pStyle w:val="TableTitle"/>
      </w:pPr>
      <w:proofErr w:type="gramStart"/>
      <w:r>
        <w:lastRenderedPageBreak/>
        <w:t>Table 12</w:t>
      </w:r>
      <w:r w:rsidR="00C56FBB">
        <w:t>.</w:t>
      </w:r>
      <w:proofErr w:type="gramEnd"/>
      <w:r w:rsidR="00C56FBB">
        <w:t xml:space="preserve"> P</w:t>
      </w:r>
      <w:r w:rsidR="00C56FBB" w:rsidRPr="00E521B7">
        <w:t>roposed pharma</w:t>
      </w:r>
      <w:r w:rsidR="00C56FBB">
        <w:t>covigilance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217"/>
      </w:tblGrid>
      <w:tr w:rsidR="00674ABE" w:rsidRPr="00C56FBB" w:rsidTr="007F5C84">
        <w:trPr>
          <w:cantSplit/>
        </w:trPr>
        <w:tc>
          <w:tcPr>
            <w:tcW w:w="4395" w:type="dxa"/>
          </w:tcPr>
          <w:p w:rsidR="00674ABE" w:rsidRPr="00C56FBB" w:rsidRDefault="00674ABE" w:rsidP="00A573D0">
            <w:pPr>
              <w:spacing w:before="0" w:after="0" w:line="240" w:lineRule="auto"/>
              <w:rPr>
                <w:b/>
                <w:sz w:val="20"/>
                <w:szCs w:val="20"/>
              </w:rPr>
            </w:pPr>
            <w:r w:rsidRPr="00C56FBB">
              <w:rPr>
                <w:b/>
                <w:sz w:val="20"/>
                <w:szCs w:val="20"/>
              </w:rPr>
              <w:t>Important Identified Risk:</w:t>
            </w:r>
          </w:p>
        </w:tc>
        <w:tc>
          <w:tcPr>
            <w:tcW w:w="4217" w:type="dxa"/>
          </w:tcPr>
          <w:p w:rsidR="00674ABE" w:rsidRPr="00C56FBB" w:rsidRDefault="00674ABE" w:rsidP="00A573D0">
            <w:pPr>
              <w:spacing w:before="0" w:after="0" w:line="240" w:lineRule="auto"/>
              <w:rPr>
                <w:sz w:val="20"/>
                <w:szCs w:val="20"/>
              </w:rPr>
            </w:pPr>
          </w:p>
        </w:tc>
      </w:tr>
      <w:tr w:rsidR="00674ABE" w:rsidRPr="00C56FBB" w:rsidTr="007F5C84">
        <w:trPr>
          <w:cantSplit/>
        </w:trPr>
        <w:tc>
          <w:tcPr>
            <w:tcW w:w="4395" w:type="dxa"/>
          </w:tcPr>
          <w:p w:rsidR="00674ABE" w:rsidRPr="00C56FBB" w:rsidRDefault="00674ABE" w:rsidP="00A573D0">
            <w:pPr>
              <w:spacing w:before="0" w:after="0" w:line="240" w:lineRule="auto"/>
              <w:rPr>
                <w:sz w:val="20"/>
                <w:szCs w:val="20"/>
              </w:rPr>
            </w:pPr>
            <w:r w:rsidRPr="00C56FBB">
              <w:rPr>
                <w:sz w:val="20"/>
                <w:szCs w:val="20"/>
              </w:rPr>
              <w:t>Bleeding</w:t>
            </w:r>
          </w:p>
        </w:tc>
        <w:tc>
          <w:tcPr>
            <w:tcW w:w="4217" w:type="dxa"/>
          </w:tcPr>
          <w:p w:rsidR="00674ABE" w:rsidRPr="00C56FBB" w:rsidRDefault="00D85DA0" w:rsidP="00A573D0">
            <w:pPr>
              <w:numPr>
                <w:ilvl w:val="0"/>
                <w:numId w:val="1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Pr>
                <w:sz w:val="20"/>
                <w:szCs w:val="20"/>
              </w:rPr>
              <w:t>Routine P</w:t>
            </w:r>
            <w:r w:rsidR="00674ABE" w:rsidRPr="00C56FBB">
              <w:rPr>
                <w:sz w:val="20"/>
                <w:szCs w:val="20"/>
              </w:rPr>
              <w:t xml:space="preserve">V </w:t>
            </w:r>
          </w:p>
        </w:tc>
      </w:tr>
      <w:tr w:rsidR="00674ABE" w:rsidRPr="00C56FBB" w:rsidTr="007F5C84">
        <w:trPr>
          <w:cantSplit/>
        </w:trPr>
        <w:tc>
          <w:tcPr>
            <w:tcW w:w="4395" w:type="dxa"/>
          </w:tcPr>
          <w:p w:rsidR="00674ABE" w:rsidRPr="00C56FBB" w:rsidRDefault="00674ABE" w:rsidP="00A573D0">
            <w:pPr>
              <w:spacing w:before="0" w:after="0" w:line="240" w:lineRule="auto"/>
              <w:rPr>
                <w:b/>
                <w:sz w:val="20"/>
                <w:szCs w:val="20"/>
              </w:rPr>
            </w:pPr>
            <w:r w:rsidRPr="00C56FBB">
              <w:rPr>
                <w:b/>
                <w:sz w:val="20"/>
                <w:szCs w:val="20"/>
              </w:rPr>
              <w:t>Important Potential Risks:</w:t>
            </w:r>
          </w:p>
        </w:tc>
        <w:tc>
          <w:tcPr>
            <w:tcW w:w="4217" w:type="dxa"/>
          </w:tcPr>
          <w:p w:rsidR="00674ABE" w:rsidRPr="00C56FBB" w:rsidRDefault="00674ABE" w:rsidP="00A573D0">
            <w:pPr>
              <w:spacing w:before="0" w:after="0" w:line="240" w:lineRule="auto"/>
              <w:rPr>
                <w:sz w:val="20"/>
                <w:szCs w:val="20"/>
              </w:rPr>
            </w:pPr>
          </w:p>
        </w:tc>
      </w:tr>
      <w:tr w:rsidR="00674ABE" w:rsidRPr="00C56FBB" w:rsidTr="007F5C84">
        <w:trPr>
          <w:cantSplit/>
        </w:trPr>
        <w:tc>
          <w:tcPr>
            <w:tcW w:w="4395" w:type="dxa"/>
          </w:tcPr>
          <w:p w:rsidR="00674ABE" w:rsidRPr="00C56FBB" w:rsidRDefault="00674ABE" w:rsidP="00A573D0">
            <w:pPr>
              <w:spacing w:before="0" w:after="0" w:line="240" w:lineRule="auto"/>
              <w:rPr>
                <w:sz w:val="20"/>
                <w:szCs w:val="20"/>
              </w:rPr>
            </w:pPr>
            <w:proofErr w:type="spellStart"/>
            <w:r w:rsidRPr="00C56FBB">
              <w:rPr>
                <w:sz w:val="20"/>
                <w:szCs w:val="20"/>
              </w:rPr>
              <w:t>VTEp</w:t>
            </w:r>
            <w:proofErr w:type="spellEnd"/>
            <w:r w:rsidRPr="00C56FBB">
              <w:rPr>
                <w:sz w:val="20"/>
                <w:szCs w:val="20"/>
              </w:rPr>
              <w:t>:</w:t>
            </w:r>
            <w:r w:rsidR="00071C0C">
              <w:rPr>
                <w:sz w:val="20"/>
                <w:szCs w:val="20"/>
              </w:rPr>
              <w:t xml:space="preserve"> </w:t>
            </w:r>
            <w:r w:rsidRPr="00C56FBB">
              <w:rPr>
                <w:sz w:val="20"/>
                <w:szCs w:val="20"/>
              </w:rPr>
              <w:t>Transient liver test abnormalities</w:t>
            </w:r>
          </w:p>
          <w:p w:rsidR="00674ABE" w:rsidRPr="00C56FBB" w:rsidRDefault="00674ABE" w:rsidP="00A573D0">
            <w:pPr>
              <w:spacing w:before="0" w:after="0" w:line="240" w:lineRule="auto"/>
              <w:rPr>
                <w:sz w:val="20"/>
                <w:szCs w:val="20"/>
              </w:rPr>
            </w:pPr>
            <w:r w:rsidRPr="00C56FBB">
              <w:rPr>
                <w:sz w:val="20"/>
                <w:szCs w:val="20"/>
              </w:rPr>
              <w:t>AF: Liver injury</w:t>
            </w:r>
          </w:p>
        </w:tc>
        <w:tc>
          <w:tcPr>
            <w:tcW w:w="4217" w:type="dxa"/>
          </w:tcPr>
          <w:p w:rsidR="00674ABE" w:rsidRPr="00C56FBB" w:rsidRDefault="00674ABE" w:rsidP="00A573D0">
            <w:pPr>
              <w:numPr>
                <w:ilvl w:val="0"/>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Routine PV</w:t>
            </w:r>
          </w:p>
          <w:p w:rsidR="00674ABE" w:rsidRPr="00C56FBB" w:rsidRDefault="00674ABE" w:rsidP="00A573D0">
            <w:pPr>
              <w:numPr>
                <w:ilvl w:val="0"/>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 xml:space="preserve">Blinded external liver expert review of </w:t>
            </w:r>
            <w:proofErr w:type="spellStart"/>
            <w:r w:rsidRPr="00C56FBB">
              <w:rPr>
                <w:sz w:val="20"/>
                <w:szCs w:val="20"/>
              </w:rPr>
              <w:t>prespecified</w:t>
            </w:r>
            <w:proofErr w:type="spellEnd"/>
            <w:r w:rsidRPr="00C56FBB">
              <w:rPr>
                <w:sz w:val="20"/>
                <w:szCs w:val="20"/>
              </w:rPr>
              <w:t xml:space="preserve"> liver cases</w:t>
            </w:r>
          </w:p>
          <w:p w:rsidR="00674ABE" w:rsidRPr="00C56FBB" w:rsidRDefault="00674ABE" w:rsidP="00A573D0">
            <w:pPr>
              <w:numPr>
                <w:ilvl w:val="0"/>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Comprehensive pivotal study clinical safety program for liver-related events (including supplemental case report forms)</w:t>
            </w:r>
          </w:p>
          <w:p w:rsidR="00674ABE" w:rsidRPr="00C56FBB" w:rsidRDefault="00674ABE" w:rsidP="00A573D0">
            <w:pPr>
              <w:numPr>
                <w:ilvl w:val="0"/>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Targeted questionnaires for spontaneous reports of liver events.</w:t>
            </w:r>
          </w:p>
          <w:p w:rsidR="00674ABE" w:rsidRPr="00C56FBB" w:rsidRDefault="00674ABE" w:rsidP="00A573D0">
            <w:pPr>
              <w:numPr>
                <w:ilvl w:val="0"/>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Ad hoc follow</w:t>
            </w:r>
            <w:r w:rsidR="00D85DA0">
              <w:rPr>
                <w:sz w:val="20"/>
                <w:szCs w:val="20"/>
              </w:rPr>
              <w:t xml:space="preserve"> </w:t>
            </w:r>
            <w:r w:rsidRPr="00C56FBB">
              <w:rPr>
                <w:sz w:val="20"/>
                <w:szCs w:val="20"/>
              </w:rPr>
              <w:t>up contact with reporter for specific liver events as needed.</w:t>
            </w:r>
          </w:p>
          <w:p w:rsidR="00674ABE" w:rsidRPr="00C56FBB" w:rsidRDefault="00674ABE" w:rsidP="00A573D0">
            <w:pPr>
              <w:numPr>
                <w:ilvl w:val="0"/>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Applicant commits to keep “hepatotoxicity” under close monitoring in the PSUR.</w:t>
            </w:r>
          </w:p>
        </w:tc>
      </w:tr>
      <w:tr w:rsidR="00674ABE" w:rsidRPr="00C56FBB" w:rsidTr="007F5C84">
        <w:trPr>
          <w:cantSplit/>
        </w:trPr>
        <w:tc>
          <w:tcPr>
            <w:tcW w:w="4395" w:type="dxa"/>
          </w:tcPr>
          <w:p w:rsidR="00674ABE" w:rsidRPr="00C56FBB" w:rsidRDefault="00674ABE" w:rsidP="007F5C84">
            <w:pPr>
              <w:keepNext/>
              <w:spacing w:before="0" w:after="0" w:line="240" w:lineRule="auto"/>
              <w:rPr>
                <w:b/>
                <w:sz w:val="20"/>
                <w:szCs w:val="20"/>
              </w:rPr>
            </w:pPr>
            <w:r w:rsidRPr="00C56FBB">
              <w:rPr>
                <w:b/>
                <w:sz w:val="20"/>
                <w:szCs w:val="20"/>
              </w:rPr>
              <w:t>Important missing/limited information:</w:t>
            </w:r>
          </w:p>
        </w:tc>
        <w:tc>
          <w:tcPr>
            <w:tcW w:w="4217" w:type="dxa"/>
          </w:tcPr>
          <w:p w:rsidR="00674ABE" w:rsidRPr="00C56FBB" w:rsidRDefault="00674ABE" w:rsidP="007F5C84">
            <w:pPr>
              <w:keepNext/>
              <w:spacing w:before="0" w:after="0" w:line="240" w:lineRule="auto"/>
              <w:ind w:left="360"/>
              <w:rPr>
                <w:sz w:val="20"/>
                <w:szCs w:val="20"/>
              </w:rPr>
            </w:pPr>
          </w:p>
        </w:tc>
      </w:tr>
      <w:tr w:rsidR="00674ABE" w:rsidRPr="00C56FBB" w:rsidTr="007F5C84">
        <w:trPr>
          <w:cantSplit/>
        </w:trPr>
        <w:tc>
          <w:tcPr>
            <w:tcW w:w="4395" w:type="dxa"/>
          </w:tcPr>
          <w:p w:rsidR="00674ABE" w:rsidRPr="00C56FBB" w:rsidRDefault="00674ABE" w:rsidP="007F5C84">
            <w:pPr>
              <w:keepNext/>
              <w:spacing w:before="0" w:after="0" w:line="240" w:lineRule="auto"/>
              <w:rPr>
                <w:sz w:val="20"/>
                <w:szCs w:val="20"/>
              </w:rPr>
            </w:pPr>
            <w:proofErr w:type="spellStart"/>
            <w:r w:rsidRPr="00C56FBB">
              <w:rPr>
                <w:sz w:val="20"/>
                <w:szCs w:val="20"/>
              </w:rPr>
              <w:t>Pediatric</w:t>
            </w:r>
            <w:proofErr w:type="spellEnd"/>
            <w:r w:rsidRPr="00C56FBB">
              <w:rPr>
                <w:sz w:val="20"/>
                <w:szCs w:val="20"/>
              </w:rPr>
              <w:t xml:space="preserve"> population</w:t>
            </w:r>
          </w:p>
        </w:tc>
        <w:tc>
          <w:tcPr>
            <w:tcW w:w="4217" w:type="dxa"/>
          </w:tcPr>
          <w:p w:rsidR="00674ABE" w:rsidRPr="00C56FBB" w:rsidRDefault="00D85DA0"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Pr>
                <w:sz w:val="20"/>
                <w:szCs w:val="20"/>
              </w:rPr>
              <w:t>Routine P</w:t>
            </w:r>
            <w:r w:rsidR="00674ABE" w:rsidRPr="00C56FBB">
              <w:rPr>
                <w:sz w:val="20"/>
                <w:szCs w:val="20"/>
              </w:rPr>
              <w:t>V</w:t>
            </w:r>
          </w:p>
          <w:p w:rsidR="00674ABE" w:rsidRPr="00C56FBB" w:rsidRDefault="00674ABE"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Paediatric program with oral formulation is planned and PK studies in children are ongoing.</w:t>
            </w:r>
          </w:p>
        </w:tc>
      </w:tr>
      <w:tr w:rsidR="00674ABE" w:rsidRPr="00C56FBB" w:rsidTr="007F5C84">
        <w:trPr>
          <w:cantSplit/>
        </w:trPr>
        <w:tc>
          <w:tcPr>
            <w:tcW w:w="4395" w:type="dxa"/>
          </w:tcPr>
          <w:p w:rsidR="00674ABE" w:rsidRPr="00C56FBB" w:rsidRDefault="00674ABE" w:rsidP="007F5C84">
            <w:pPr>
              <w:keepNext/>
              <w:spacing w:before="0" w:after="0" w:line="240" w:lineRule="auto"/>
              <w:rPr>
                <w:sz w:val="20"/>
                <w:szCs w:val="20"/>
              </w:rPr>
            </w:pPr>
            <w:r w:rsidRPr="00C56FBB">
              <w:rPr>
                <w:sz w:val="20"/>
                <w:szCs w:val="20"/>
              </w:rPr>
              <w:t>Pregnancy and Lactation</w:t>
            </w:r>
          </w:p>
        </w:tc>
        <w:tc>
          <w:tcPr>
            <w:tcW w:w="4217" w:type="dxa"/>
          </w:tcPr>
          <w:p w:rsidR="00674ABE" w:rsidRPr="00C56FBB" w:rsidRDefault="00674ABE"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 xml:space="preserve">Routine PV </w:t>
            </w:r>
          </w:p>
        </w:tc>
      </w:tr>
      <w:tr w:rsidR="00674ABE" w:rsidRPr="00C56FBB" w:rsidTr="007F5C84">
        <w:trPr>
          <w:cantSplit/>
        </w:trPr>
        <w:tc>
          <w:tcPr>
            <w:tcW w:w="4395" w:type="dxa"/>
          </w:tcPr>
          <w:p w:rsidR="00674ABE" w:rsidRPr="00C56FBB" w:rsidRDefault="00674ABE" w:rsidP="007F5C84">
            <w:pPr>
              <w:keepNext/>
              <w:spacing w:before="0" w:after="0" w:line="240" w:lineRule="auto"/>
              <w:rPr>
                <w:sz w:val="20"/>
                <w:szCs w:val="20"/>
              </w:rPr>
            </w:pPr>
            <w:r w:rsidRPr="00C56FBB">
              <w:rPr>
                <w:sz w:val="20"/>
                <w:szCs w:val="20"/>
              </w:rPr>
              <w:t>Severe hepatic impairment</w:t>
            </w:r>
          </w:p>
        </w:tc>
        <w:tc>
          <w:tcPr>
            <w:tcW w:w="4217" w:type="dxa"/>
          </w:tcPr>
          <w:p w:rsidR="00674ABE" w:rsidRPr="00C56FBB" w:rsidRDefault="00674ABE"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Routine PV</w:t>
            </w:r>
          </w:p>
        </w:tc>
      </w:tr>
      <w:tr w:rsidR="00674ABE" w:rsidRPr="00C56FBB" w:rsidTr="007F5C84">
        <w:trPr>
          <w:cantSplit/>
        </w:trPr>
        <w:tc>
          <w:tcPr>
            <w:tcW w:w="4395" w:type="dxa"/>
          </w:tcPr>
          <w:p w:rsidR="00674ABE" w:rsidRPr="00C56FBB" w:rsidRDefault="00674ABE" w:rsidP="007F5C84">
            <w:pPr>
              <w:keepNext/>
              <w:spacing w:before="0" w:after="0" w:line="240" w:lineRule="auto"/>
              <w:rPr>
                <w:sz w:val="20"/>
                <w:szCs w:val="20"/>
              </w:rPr>
            </w:pPr>
            <w:r w:rsidRPr="00C56FBB">
              <w:rPr>
                <w:sz w:val="20"/>
                <w:szCs w:val="20"/>
              </w:rPr>
              <w:t>Severe renal impairment</w:t>
            </w:r>
          </w:p>
        </w:tc>
        <w:tc>
          <w:tcPr>
            <w:tcW w:w="4217" w:type="dxa"/>
          </w:tcPr>
          <w:p w:rsidR="00674ABE" w:rsidRPr="00C56FBB" w:rsidRDefault="00674ABE"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Routine PV</w:t>
            </w:r>
          </w:p>
        </w:tc>
      </w:tr>
      <w:tr w:rsidR="00674ABE" w:rsidRPr="00C56FBB" w:rsidTr="007F5C84">
        <w:trPr>
          <w:cantSplit/>
        </w:trPr>
        <w:tc>
          <w:tcPr>
            <w:tcW w:w="4395" w:type="dxa"/>
          </w:tcPr>
          <w:p w:rsidR="00674ABE" w:rsidRPr="00C56FBB" w:rsidRDefault="00674ABE" w:rsidP="007F5C84">
            <w:pPr>
              <w:keepNext/>
              <w:spacing w:before="0" w:after="0" w:line="240" w:lineRule="auto"/>
              <w:rPr>
                <w:sz w:val="20"/>
                <w:szCs w:val="20"/>
              </w:rPr>
            </w:pPr>
            <w:r w:rsidRPr="00C56FBB">
              <w:rPr>
                <w:sz w:val="20"/>
                <w:szCs w:val="20"/>
              </w:rPr>
              <w:t>Hip fracture surgery</w:t>
            </w:r>
          </w:p>
        </w:tc>
        <w:tc>
          <w:tcPr>
            <w:tcW w:w="4217" w:type="dxa"/>
          </w:tcPr>
          <w:p w:rsidR="00674ABE" w:rsidRPr="00C56FBB" w:rsidRDefault="00674ABE"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Routine PV</w:t>
            </w:r>
          </w:p>
        </w:tc>
      </w:tr>
      <w:tr w:rsidR="00674ABE" w:rsidRPr="00C56FBB" w:rsidTr="007F5C84">
        <w:trPr>
          <w:cantSplit/>
        </w:trPr>
        <w:tc>
          <w:tcPr>
            <w:tcW w:w="4395" w:type="dxa"/>
          </w:tcPr>
          <w:p w:rsidR="00674ABE" w:rsidRPr="00C56FBB" w:rsidRDefault="00674ABE" w:rsidP="007F5C84">
            <w:pPr>
              <w:keepNext/>
              <w:spacing w:before="0" w:after="0" w:line="240" w:lineRule="auto"/>
              <w:rPr>
                <w:sz w:val="20"/>
                <w:szCs w:val="20"/>
              </w:rPr>
            </w:pPr>
            <w:r w:rsidRPr="00C56FBB">
              <w:rPr>
                <w:sz w:val="20"/>
                <w:szCs w:val="20"/>
              </w:rPr>
              <w:t>Black/African Americans</w:t>
            </w:r>
          </w:p>
        </w:tc>
        <w:tc>
          <w:tcPr>
            <w:tcW w:w="4217" w:type="dxa"/>
          </w:tcPr>
          <w:p w:rsidR="00674ABE" w:rsidRPr="00C56FBB" w:rsidRDefault="00674ABE"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Routine PV</w:t>
            </w:r>
          </w:p>
        </w:tc>
      </w:tr>
      <w:tr w:rsidR="00674ABE" w:rsidRPr="00C56FBB" w:rsidTr="007F5C84">
        <w:trPr>
          <w:cantSplit/>
        </w:trPr>
        <w:tc>
          <w:tcPr>
            <w:tcW w:w="4395" w:type="dxa"/>
          </w:tcPr>
          <w:p w:rsidR="00674ABE" w:rsidRPr="00C56FBB" w:rsidRDefault="00674ABE" w:rsidP="007F5C84">
            <w:pPr>
              <w:keepNext/>
              <w:spacing w:before="0" w:after="0" w:line="240" w:lineRule="auto"/>
              <w:rPr>
                <w:sz w:val="20"/>
                <w:szCs w:val="20"/>
              </w:rPr>
            </w:pPr>
            <w:r w:rsidRPr="00C56FBB">
              <w:rPr>
                <w:sz w:val="20"/>
                <w:szCs w:val="20"/>
              </w:rPr>
              <w:t>Patients with valvular disease or prosthetic heart valves</w:t>
            </w:r>
          </w:p>
        </w:tc>
        <w:tc>
          <w:tcPr>
            <w:tcW w:w="4217" w:type="dxa"/>
          </w:tcPr>
          <w:p w:rsidR="00674ABE" w:rsidRPr="00C56FBB" w:rsidRDefault="00674ABE"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Routine PV</w:t>
            </w:r>
          </w:p>
        </w:tc>
      </w:tr>
      <w:tr w:rsidR="00674ABE" w:rsidRPr="00C56FBB" w:rsidTr="007F5C84">
        <w:trPr>
          <w:cantSplit/>
        </w:trPr>
        <w:tc>
          <w:tcPr>
            <w:tcW w:w="4395" w:type="dxa"/>
          </w:tcPr>
          <w:p w:rsidR="00674ABE" w:rsidRPr="00C56FBB" w:rsidRDefault="00674ABE" w:rsidP="007F5C84">
            <w:pPr>
              <w:keepNext/>
              <w:spacing w:before="0" w:after="0" w:line="240" w:lineRule="auto"/>
              <w:rPr>
                <w:sz w:val="20"/>
                <w:szCs w:val="20"/>
              </w:rPr>
            </w:pPr>
            <w:r w:rsidRPr="00C56FBB">
              <w:rPr>
                <w:sz w:val="20"/>
                <w:szCs w:val="20"/>
              </w:rPr>
              <w:t>Off-label use</w:t>
            </w:r>
          </w:p>
        </w:tc>
        <w:tc>
          <w:tcPr>
            <w:tcW w:w="4217" w:type="dxa"/>
          </w:tcPr>
          <w:p w:rsidR="00674ABE" w:rsidRPr="00C56FBB" w:rsidRDefault="00674ABE"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Routine PV</w:t>
            </w:r>
          </w:p>
          <w:p w:rsidR="00674ABE" w:rsidRPr="00C56FBB" w:rsidRDefault="00674ABE" w:rsidP="007F5C84">
            <w:pPr>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Drug utilisation study</w:t>
            </w:r>
          </w:p>
        </w:tc>
      </w:tr>
    </w:tbl>
    <w:p w:rsidR="008E1818" w:rsidRDefault="008E1818" w:rsidP="002F1D65">
      <w:pPr>
        <w:pStyle w:val="TableDescription"/>
        <w:rPr>
          <w:kern w:val="16"/>
        </w:rPr>
      </w:pPr>
      <w:proofErr w:type="spellStart"/>
      <w:r>
        <w:t>VTEp</w:t>
      </w:r>
      <w:proofErr w:type="spellEnd"/>
      <w:r>
        <w:t xml:space="preserve">: specific to </w:t>
      </w:r>
      <w:r w:rsidR="00457B9B">
        <w:t xml:space="preserve">the </w:t>
      </w:r>
      <w:r>
        <w:t xml:space="preserve">VTE </w:t>
      </w:r>
      <w:r w:rsidR="00457B9B">
        <w:t xml:space="preserve">prophylaxis </w:t>
      </w:r>
      <w:r>
        <w:t>indication. AF: specific to proposed AF indication</w:t>
      </w:r>
    </w:p>
    <w:p w:rsidR="00674ABE" w:rsidRDefault="00D17FC6" w:rsidP="00C56FBB">
      <w:r>
        <w:t xml:space="preserve">Table </w:t>
      </w:r>
      <w:r w:rsidR="006C05FE">
        <w:t>13</w:t>
      </w:r>
      <w:r>
        <w:t xml:space="preserve"> provides </w:t>
      </w:r>
      <w:r w:rsidR="00674ABE" w:rsidRPr="00C56FBB">
        <w:t xml:space="preserve">a summary of the proposed </w:t>
      </w:r>
      <w:r w:rsidR="00D85DA0">
        <w:t xml:space="preserve">PV </w:t>
      </w:r>
      <w:r w:rsidR="00674ABE" w:rsidRPr="00C56FBB">
        <w:t>activities for the additional items of important missing information in the A</w:t>
      </w:r>
      <w:r w:rsidR="00C56FBB">
        <w:t xml:space="preserve">ustralian </w:t>
      </w:r>
      <w:r w:rsidR="00674ABE" w:rsidRPr="00C56FBB">
        <w:t>S</w:t>
      </w:r>
      <w:r w:rsidR="00C56FBB">
        <w:t xml:space="preserve">pecific </w:t>
      </w:r>
      <w:r w:rsidR="00674ABE" w:rsidRPr="00C56FBB">
        <w:t>A</w:t>
      </w:r>
      <w:r w:rsidR="00C56FBB">
        <w:t>nnex</w:t>
      </w:r>
      <w:r w:rsidR="00674ABE" w:rsidRPr="00C56FBB">
        <w:t xml:space="preserve"> as well as an additional Australian-specific activity for the important identified risk ‘bleeding’.</w:t>
      </w:r>
    </w:p>
    <w:p w:rsidR="00C56FBB" w:rsidRPr="00052EF3" w:rsidRDefault="006C05FE" w:rsidP="00B50AF7">
      <w:pPr>
        <w:pStyle w:val="TableTitle"/>
      </w:pPr>
      <w:proofErr w:type="gramStart"/>
      <w:r w:rsidRPr="00052EF3">
        <w:t>Table 13</w:t>
      </w:r>
      <w:r w:rsidR="00C56FBB" w:rsidRPr="00052EF3">
        <w:t>.</w:t>
      </w:r>
      <w:proofErr w:type="gramEnd"/>
      <w:r w:rsidR="00C56FBB" w:rsidRPr="00052EF3">
        <w:t xml:space="preserve"> Proposed pharmacovigilance activities: Australian specific</w:t>
      </w:r>
    </w:p>
    <w:tbl>
      <w:tblPr>
        <w:tblStyle w:val="TableGrid"/>
        <w:tblW w:w="0" w:type="auto"/>
        <w:tblInd w:w="108" w:type="dxa"/>
        <w:tblLook w:val="04A0"/>
      </w:tblPr>
      <w:tblGrid>
        <w:gridCol w:w="4395"/>
        <w:gridCol w:w="4217"/>
      </w:tblGrid>
      <w:tr w:rsidR="00A573D0" w:rsidRPr="00C56FBB" w:rsidTr="00A573D0">
        <w:tc>
          <w:tcPr>
            <w:tcW w:w="8612" w:type="dxa"/>
            <w:gridSpan w:val="2"/>
          </w:tcPr>
          <w:p w:rsidR="00A573D0" w:rsidRPr="00C56FBB" w:rsidRDefault="00A573D0" w:rsidP="007F5C84">
            <w:pPr>
              <w:keepNext/>
              <w:spacing w:before="0" w:after="0" w:line="240" w:lineRule="auto"/>
              <w:ind w:left="284"/>
              <w:rPr>
                <w:sz w:val="20"/>
                <w:szCs w:val="20"/>
              </w:rPr>
            </w:pPr>
            <w:r w:rsidRPr="00C56FBB">
              <w:rPr>
                <w:b/>
                <w:sz w:val="20"/>
                <w:szCs w:val="20"/>
              </w:rPr>
              <w:t>Important Identified Risk</w:t>
            </w:r>
          </w:p>
        </w:tc>
      </w:tr>
      <w:tr w:rsidR="00674ABE" w:rsidRPr="00C56FBB" w:rsidTr="007F5C84">
        <w:tc>
          <w:tcPr>
            <w:tcW w:w="4395" w:type="dxa"/>
          </w:tcPr>
          <w:p w:rsidR="00674ABE" w:rsidRPr="00C56FBB" w:rsidRDefault="00674ABE" w:rsidP="007F5C84">
            <w:pPr>
              <w:keepNext/>
              <w:spacing w:before="0" w:after="0" w:line="240" w:lineRule="auto"/>
              <w:rPr>
                <w:sz w:val="20"/>
                <w:szCs w:val="20"/>
              </w:rPr>
            </w:pPr>
            <w:r w:rsidRPr="00C56FBB">
              <w:rPr>
                <w:sz w:val="20"/>
                <w:szCs w:val="20"/>
              </w:rPr>
              <w:t>Bleeding</w:t>
            </w:r>
          </w:p>
        </w:tc>
        <w:tc>
          <w:tcPr>
            <w:tcW w:w="4217" w:type="dxa"/>
          </w:tcPr>
          <w:p w:rsidR="00674ABE" w:rsidRPr="00C56FBB" w:rsidRDefault="00674ABE" w:rsidP="007F5C84">
            <w:pPr>
              <w:keepNext/>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sidRPr="00C56FBB">
              <w:rPr>
                <w:sz w:val="20"/>
                <w:szCs w:val="20"/>
              </w:rPr>
              <w:t>Targeted questions for spontaneous bleeding reports</w:t>
            </w:r>
          </w:p>
        </w:tc>
      </w:tr>
      <w:tr w:rsidR="00A573D0" w:rsidRPr="00C56FBB" w:rsidTr="00A573D0">
        <w:tc>
          <w:tcPr>
            <w:tcW w:w="8612" w:type="dxa"/>
            <w:gridSpan w:val="2"/>
          </w:tcPr>
          <w:p w:rsidR="00A573D0" w:rsidRPr="00C56FBB" w:rsidRDefault="00A573D0" w:rsidP="007F5C84">
            <w:pPr>
              <w:keepNext/>
              <w:spacing w:before="0" w:after="0" w:line="240" w:lineRule="auto"/>
              <w:ind w:left="284"/>
              <w:rPr>
                <w:sz w:val="20"/>
                <w:szCs w:val="20"/>
              </w:rPr>
            </w:pPr>
            <w:r w:rsidRPr="00C56FBB">
              <w:rPr>
                <w:b/>
                <w:sz w:val="20"/>
                <w:szCs w:val="20"/>
              </w:rPr>
              <w:t>Important missing information</w:t>
            </w:r>
          </w:p>
        </w:tc>
      </w:tr>
      <w:tr w:rsidR="00674ABE" w:rsidRPr="00C56FBB" w:rsidTr="007F5C84">
        <w:tc>
          <w:tcPr>
            <w:tcW w:w="4395" w:type="dxa"/>
          </w:tcPr>
          <w:p w:rsidR="00674ABE" w:rsidRPr="00C56FBB" w:rsidRDefault="00674ABE" w:rsidP="007F5C84">
            <w:pPr>
              <w:keepNext/>
              <w:spacing w:before="0" w:after="0" w:line="240" w:lineRule="auto"/>
              <w:rPr>
                <w:sz w:val="20"/>
                <w:szCs w:val="20"/>
              </w:rPr>
            </w:pPr>
            <w:r w:rsidRPr="00C56FBB">
              <w:rPr>
                <w:sz w:val="20"/>
                <w:szCs w:val="20"/>
              </w:rPr>
              <w:t xml:space="preserve">Use in the very elderly (&gt;75 years) for </w:t>
            </w:r>
            <w:proofErr w:type="spellStart"/>
            <w:r w:rsidRPr="00C56FBB">
              <w:rPr>
                <w:sz w:val="20"/>
                <w:szCs w:val="20"/>
              </w:rPr>
              <w:t>VTEp</w:t>
            </w:r>
            <w:proofErr w:type="spellEnd"/>
          </w:p>
        </w:tc>
        <w:tc>
          <w:tcPr>
            <w:tcW w:w="4217" w:type="dxa"/>
          </w:tcPr>
          <w:p w:rsidR="00674ABE" w:rsidRPr="00C56FBB" w:rsidRDefault="008E1818" w:rsidP="007F5C84">
            <w:pPr>
              <w:keepNext/>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Pr>
                <w:sz w:val="20"/>
                <w:szCs w:val="20"/>
              </w:rPr>
              <w:t>Routine P</w:t>
            </w:r>
            <w:r w:rsidR="00674ABE" w:rsidRPr="00C56FBB">
              <w:rPr>
                <w:sz w:val="20"/>
                <w:szCs w:val="20"/>
              </w:rPr>
              <w:t>V</w:t>
            </w:r>
          </w:p>
        </w:tc>
      </w:tr>
      <w:tr w:rsidR="00674ABE" w:rsidRPr="00C56FBB" w:rsidTr="007F5C84">
        <w:tc>
          <w:tcPr>
            <w:tcW w:w="4395" w:type="dxa"/>
          </w:tcPr>
          <w:p w:rsidR="00674ABE" w:rsidRPr="00C56FBB" w:rsidRDefault="00674ABE" w:rsidP="007F5C84">
            <w:pPr>
              <w:keepNext/>
              <w:spacing w:before="0" w:after="0" w:line="240" w:lineRule="auto"/>
              <w:rPr>
                <w:sz w:val="20"/>
                <w:szCs w:val="20"/>
              </w:rPr>
            </w:pPr>
            <w:r w:rsidRPr="00C56FBB">
              <w:rPr>
                <w:sz w:val="20"/>
                <w:szCs w:val="20"/>
              </w:rPr>
              <w:t>Overdose/Coagulation Monitoring</w:t>
            </w:r>
          </w:p>
        </w:tc>
        <w:tc>
          <w:tcPr>
            <w:tcW w:w="4217" w:type="dxa"/>
          </w:tcPr>
          <w:p w:rsidR="00674ABE" w:rsidRPr="00C56FBB" w:rsidRDefault="008E1818" w:rsidP="007F5C84">
            <w:pPr>
              <w:keepNext/>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20"/>
                <w:szCs w:val="20"/>
              </w:rPr>
            </w:pPr>
            <w:r>
              <w:rPr>
                <w:sz w:val="20"/>
                <w:szCs w:val="20"/>
              </w:rPr>
              <w:t>Routine P</w:t>
            </w:r>
            <w:r w:rsidR="00674ABE" w:rsidRPr="00C56FBB">
              <w:rPr>
                <w:sz w:val="20"/>
                <w:szCs w:val="20"/>
              </w:rPr>
              <w:t>V</w:t>
            </w:r>
          </w:p>
        </w:tc>
      </w:tr>
    </w:tbl>
    <w:p w:rsidR="00674ABE" w:rsidRDefault="00674ABE" w:rsidP="00B50AF7">
      <w:r>
        <w:t xml:space="preserve">Apart from </w:t>
      </w:r>
      <w:r w:rsidR="00D17FC6">
        <w:t xml:space="preserve">that </w:t>
      </w:r>
      <w:r>
        <w:t xml:space="preserve">detailed above no other additional </w:t>
      </w:r>
      <w:r w:rsidR="008E1818">
        <w:t xml:space="preserve">PV </w:t>
      </w:r>
      <w:r>
        <w:t xml:space="preserve">activities are proposed by the sponsor in the RMP or the </w:t>
      </w:r>
      <w:r w:rsidR="008E1818" w:rsidRPr="00C56FBB">
        <w:t>A</w:t>
      </w:r>
      <w:r w:rsidR="008E1818">
        <w:t xml:space="preserve">ustralian </w:t>
      </w:r>
      <w:r w:rsidR="008E1818" w:rsidRPr="00C56FBB">
        <w:t>S</w:t>
      </w:r>
      <w:r w:rsidR="008E1818">
        <w:t xml:space="preserve">pecific </w:t>
      </w:r>
      <w:r w:rsidR="008E1818" w:rsidRPr="00C56FBB">
        <w:t>A</w:t>
      </w:r>
      <w:r w:rsidR="008E1818">
        <w:t>nnex</w:t>
      </w:r>
      <w:r w:rsidR="008E1818" w:rsidRPr="00C56FBB">
        <w:t xml:space="preserve"> </w:t>
      </w:r>
      <w:r>
        <w:t>for the AF indication.</w:t>
      </w:r>
    </w:p>
    <w:p w:rsidR="008E7846" w:rsidRDefault="008E7846" w:rsidP="00B50AF7">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74ABE" w:rsidRDefault="00674ABE" w:rsidP="00B50AF7">
      <w:bookmarkStart w:id="279" w:name="_Toc247691527"/>
      <w:r>
        <w:t>The sponsor proposes routine risk minimis</w:t>
      </w:r>
      <w:r w:rsidR="00C56FBB">
        <w:t xml:space="preserve">ation for all safety concerns. </w:t>
      </w:r>
      <w:r>
        <w:t>No additional risk minimisation activities are proposed.</w:t>
      </w:r>
    </w:p>
    <w:p w:rsidR="00674ABE" w:rsidRPr="00457B9B" w:rsidRDefault="00674ABE" w:rsidP="00457B9B">
      <w:r>
        <w:t>The evaluator considers th</w:t>
      </w:r>
      <w:r w:rsidR="00735E8F">
        <w:t>at routine risk minimisation (that is,</w:t>
      </w:r>
      <w:r>
        <w:t xml:space="preserve"> product labelling) is insufficient to mitigate the risks associated with apixaban for the proposed indication.</w:t>
      </w:r>
      <w:r w:rsidR="00071C0C">
        <w:t xml:space="preserve"> </w:t>
      </w:r>
      <w:r>
        <w:t>Approval of apixaban for the proposed indication is likely to result in widespread, long-</w:t>
      </w:r>
      <w:r>
        <w:lastRenderedPageBreak/>
        <w:t>term use and the evaluator considers that this requires the implementation of a dedicated risk minimisation strategy for Australia.</w:t>
      </w:r>
    </w:p>
    <w:p w:rsidR="00457B9B" w:rsidRPr="00457B9B" w:rsidRDefault="00457B9B" w:rsidP="00B50AF7">
      <w:pPr>
        <w:pStyle w:val="Heading5"/>
      </w:pPr>
      <w:bookmarkStart w:id="280" w:name="_Toc268857338"/>
      <w:bookmarkStart w:id="281" w:name="_Toc340577517"/>
      <w:r w:rsidRPr="00457B9B">
        <w:t>Potential for medication errors</w:t>
      </w:r>
      <w:bookmarkEnd w:id="280"/>
      <w:bookmarkEnd w:id="281"/>
    </w:p>
    <w:p w:rsidR="00457B9B" w:rsidRDefault="00457B9B" w:rsidP="00457B9B">
      <w:r>
        <w:t>T</w:t>
      </w:r>
      <w:r w:rsidRPr="00457B9B">
        <w:t>he RMP states</w:t>
      </w:r>
      <w:r>
        <w:t xml:space="preserve"> the following</w:t>
      </w:r>
      <w:r w:rsidRPr="00457B9B">
        <w:t>:</w:t>
      </w:r>
    </w:p>
    <w:p w:rsidR="00457B9B" w:rsidRPr="00457B9B" w:rsidRDefault="00457B9B" w:rsidP="00457B9B">
      <w:pPr>
        <w:ind w:left="720"/>
        <w:rPr>
          <w:i/>
        </w:rPr>
      </w:pPr>
      <w:r w:rsidRPr="00457B9B">
        <w:rPr>
          <w:i/>
        </w:rPr>
        <w:t>Medication errors will be closely monitored through routine surveillance.</w:t>
      </w:r>
    </w:p>
    <w:p w:rsidR="00457B9B" w:rsidRPr="00457B9B" w:rsidRDefault="00457B9B" w:rsidP="00457B9B">
      <w:pPr>
        <w:ind w:left="720"/>
        <w:rPr>
          <w:i/>
        </w:rPr>
      </w:pPr>
      <w:r w:rsidRPr="00457B9B">
        <w:rPr>
          <w:i/>
        </w:rPr>
        <w:t>Apixaban tablets will be presented in blister packs that are clearly identified. In addition, one single dosage will be available for the prevention of VTE in patients who have undergone elective hip or knee replacement surgery, lowering the potential for medication error.</w:t>
      </w:r>
    </w:p>
    <w:p w:rsidR="00457B9B" w:rsidRDefault="00457B9B" w:rsidP="00B50AF7">
      <w:pPr>
        <w:pStyle w:val="Heading5"/>
      </w:pPr>
      <w:r>
        <w:t>OPR reviewer comment:</w:t>
      </w:r>
    </w:p>
    <w:p w:rsidR="00457B9B" w:rsidRDefault="00457B9B" w:rsidP="00674ABE">
      <w:r w:rsidRPr="00457B9B">
        <w:t xml:space="preserve">This section of the RMP should include the measures in place to mitigate the risk of medication error given there will be </w:t>
      </w:r>
      <w:r>
        <w:t>two</w:t>
      </w:r>
      <w:r w:rsidRPr="00457B9B">
        <w:t xml:space="preserve"> different strengths of apixaban if the proposed indication (5</w:t>
      </w:r>
      <w:r>
        <w:t xml:space="preserve"> </w:t>
      </w:r>
      <w:r w:rsidR="00B50AF7">
        <w:t>mg) is registered.</w:t>
      </w:r>
    </w:p>
    <w:p w:rsidR="008E7846" w:rsidRDefault="008E7846" w:rsidP="00B50AF7">
      <w:pPr>
        <w:pStyle w:val="Heading4"/>
        <w:rPr>
          <w:lang w:eastAsia="en-AU"/>
        </w:rPr>
      </w:pPr>
      <w:r>
        <w:rPr>
          <w:lang w:eastAsia="en-AU"/>
        </w:rPr>
        <w:t xml:space="preserve">Summary of </w:t>
      </w:r>
      <w:r w:rsidR="003A7F6C">
        <w:rPr>
          <w:lang w:eastAsia="en-AU"/>
        </w:rPr>
        <w:t>r</w:t>
      </w:r>
      <w:r>
        <w:rPr>
          <w:lang w:eastAsia="en-AU"/>
        </w:rPr>
        <w:t>ecommendations</w:t>
      </w:r>
    </w:p>
    <w:p w:rsidR="00674ABE" w:rsidRPr="00674ABE" w:rsidRDefault="00674ABE" w:rsidP="00674ABE">
      <w:r w:rsidRPr="00674ABE">
        <w:t xml:space="preserve">The OPR provides these recommendations in the context that the submitted RMP is supportive to the application; the implementation of a RMP satisfactory to the TGA is imposed as a condition of registration; and the submitted </w:t>
      </w:r>
      <w:r w:rsidR="00457B9B">
        <w:t>C</w:t>
      </w:r>
      <w:r>
        <w:t xml:space="preserve">ore </w:t>
      </w:r>
      <w:r w:rsidR="00457B9B">
        <w:t>C</w:t>
      </w:r>
      <w:r>
        <w:t xml:space="preserve">ompany </w:t>
      </w:r>
      <w:r w:rsidRPr="00674ABE">
        <w:t>RMP (Version 1.0, Data Lock Point April 1, 2011, document date 9 September 2011) and Australian-specific Annex (version 1.0 data lock point 1 April 2011)</w:t>
      </w:r>
      <w:r>
        <w:t xml:space="preserve"> </w:t>
      </w:r>
      <w:r w:rsidRPr="00674ABE">
        <w:t>are applicable without modification in Australia except in relation to the recommendations below:</w:t>
      </w:r>
    </w:p>
    <w:p w:rsidR="00674ABE" w:rsidRPr="00674ABE" w:rsidRDefault="00674ABE" w:rsidP="00B50AF7">
      <w:pPr>
        <w:pStyle w:val="ListBullet"/>
      </w:pPr>
      <w:r w:rsidRPr="00674ABE">
        <w:t xml:space="preserve">It is drawn to the Delegate’s attention that the statement </w:t>
      </w:r>
      <w:r w:rsidRPr="00745617">
        <w:rPr>
          <w:i/>
        </w:rPr>
        <w:t>“E</w:t>
      </w:r>
      <w:r w:rsidR="00457B9B" w:rsidRPr="00745617">
        <w:rPr>
          <w:i/>
        </w:rPr>
        <w:t>liquis</w:t>
      </w:r>
      <w:r w:rsidRPr="00745617">
        <w:rPr>
          <w:i/>
        </w:rPr>
        <w:t xml:space="preserve"> also reduced the risk of major bleedings when compared to warfarin”</w:t>
      </w:r>
      <w:r w:rsidRPr="00674ABE">
        <w:t xml:space="preserve"> appears to be more of a marketing claim then a therapeutic one and consideration should be </w:t>
      </w:r>
      <w:r w:rsidR="00F971B7">
        <w:t xml:space="preserve">given to its </w:t>
      </w:r>
      <w:r w:rsidRPr="00674ABE">
        <w:t>removal from the proposed indication.</w:t>
      </w:r>
    </w:p>
    <w:p w:rsidR="00674ABE" w:rsidRPr="00674ABE" w:rsidRDefault="00674ABE" w:rsidP="00674ABE">
      <w:pPr>
        <w:pStyle w:val="ListBullet"/>
      </w:pPr>
      <w:r w:rsidRPr="00674ABE">
        <w:t xml:space="preserve">It is recommended that ‘management of severe </w:t>
      </w:r>
      <w:proofErr w:type="gramStart"/>
      <w:r w:rsidRPr="00674ABE">
        <w:t>bleeding’</w:t>
      </w:r>
      <w:proofErr w:type="gramEnd"/>
      <w:r w:rsidRPr="00674ABE">
        <w:t xml:space="preserve"> and ‘potential drug interactions’ are added as important missing information.</w:t>
      </w:r>
      <w:r w:rsidR="00071C0C">
        <w:t xml:space="preserve"> </w:t>
      </w:r>
      <w:r w:rsidRPr="00674ABE">
        <w:t xml:space="preserve">The addition of these safety concerns should include consideration </w:t>
      </w:r>
      <w:r w:rsidR="00F971B7">
        <w:t xml:space="preserve">of </w:t>
      </w:r>
      <w:r w:rsidRPr="00674ABE">
        <w:t xml:space="preserve">the </w:t>
      </w:r>
      <w:r w:rsidR="00F971B7">
        <w:t xml:space="preserve">PV </w:t>
      </w:r>
      <w:r w:rsidRPr="00674ABE">
        <w:t xml:space="preserve">and risk minimisation activities that may apply and should be detailed in an update to the RMP and/or </w:t>
      </w:r>
      <w:r w:rsidR="00457B9B">
        <w:t>Australian Specific Annex</w:t>
      </w:r>
      <w:r w:rsidRPr="00674ABE">
        <w:t>.</w:t>
      </w:r>
    </w:p>
    <w:p w:rsidR="00674ABE" w:rsidRPr="00674ABE" w:rsidRDefault="00674ABE" w:rsidP="00674ABE">
      <w:pPr>
        <w:pStyle w:val="ListBullet"/>
      </w:pPr>
      <w:r w:rsidRPr="00674ABE">
        <w:t>It is recommended that the sponsor clarify the mechanism for how the targeted questionnaires will be used in Australia and how the information obtained will be handled.</w:t>
      </w:r>
      <w:r w:rsidR="00071C0C">
        <w:t xml:space="preserve"> </w:t>
      </w:r>
      <w:r w:rsidRPr="00674ABE">
        <w:t xml:space="preserve">This should be made clear in an update to the RMP or in the </w:t>
      </w:r>
      <w:r w:rsidR="00457B9B">
        <w:t>Australian Specific Annex</w:t>
      </w:r>
      <w:r w:rsidRPr="00674ABE">
        <w:t>.</w:t>
      </w:r>
    </w:p>
    <w:p w:rsidR="00674ABE" w:rsidRPr="00674ABE" w:rsidRDefault="00674ABE" w:rsidP="00674ABE">
      <w:pPr>
        <w:pStyle w:val="ListBullet"/>
      </w:pPr>
      <w:r w:rsidRPr="00674ABE">
        <w:t xml:space="preserve">It is recommended that the overall safety profile related to bleeding events is also detailed separately in </w:t>
      </w:r>
      <w:r w:rsidR="00457B9B">
        <w:t>Periodic Safety Update Reports (</w:t>
      </w:r>
      <w:r w:rsidRPr="00674ABE">
        <w:t>PSURs</w:t>
      </w:r>
      <w:r w:rsidR="00457B9B">
        <w:t>)</w:t>
      </w:r>
      <w:r w:rsidRPr="00674ABE">
        <w:t>.</w:t>
      </w:r>
    </w:p>
    <w:p w:rsidR="00674ABE" w:rsidRPr="00674ABE" w:rsidRDefault="00674ABE" w:rsidP="00674ABE">
      <w:pPr>
        <w:pStyle w:val="ListBullet"/>
      </w:pPr>
      <w:r w:rsidRPr="00674ABE">
        <w:t xml:space="preserve">It is recommended that the sponsor should implement additional </w:t>
      </w:r>
      <w:r w:rsidR="00457B9B">
        <w:t xml:space="preserve">PV </w:t>
      </w:r>
      <w:r w:rsidRPr="00674ABE">
        <w:t>that will appropriately monitor the ongoing risks associated with apixaban in Australia.</w:t>
      </w:r>
      <w:r w:rsidR="00071C0C">
        <w:t xml:space="preserve"> </w:t>
      </w:r>
      <w:r w:rsidRPr="00674ABE">
        <w:t xml:space="preserve">The nature and extent of the associated activities should be agreed with OPR prior to supply for this indication and detailed in an update to the </w:t>
      </w:r>
      <w:r w:rsidR="00457B9B">
        <w:t xml:space="preserve">Core Company </w:t>
      </w:r>
      <w:r w:rsidRPr="00674ABE">
        <w:t>RMP/</w:t>
      </w:r>
      <w:r w:rsidR="00457B9B" w:rsidRPr="00457B9B">
        <w:t xml:space="preserve"> </w:t>
      </w:r>
      <w:r w:rsidR="00457B9B">
        <w:t xml:space="preserve">Australian Specific Annex </w:t>
      </w:r>
      <w:r w:rsidRPr="00674ABE">
        <w:t>once agreed.</w:t>
      </w:r>
    </w:p>
    <w:p w:rsidR="00674ABE" w:rsidRPr="00674ABE" w:rsidRDefault="00674ABE" w:rsidP="00674ABE">
      <w:pPr>
        <w:pStyle w:val="ListBullet"/>
      </w:pPr>
      <w:r w:rsidRPr="00674ABE">
        <w:t>It is recommended that the sponsor be directed to add ‘potential drug interactions’ as important missing information and commit to further study of potential interactions.</w:t>
      </w:r>
      <w:r w:rsidR="00071C0C">
        <w:t xml:space="preserve"> </w:t>
      </w:r>
      <w:r w:rsidRPr="00674ABE">
        <w:t xml:space="preserve">Further study of interactions should include (but not be limited to) </w:t>
      </w:r>
      <w:proofErr w:type="spellStart"/>
      <w:r w:rsidRPr="00674ABE">
        <w:t>antihypertensives</w:t>
      </w:r>
      <w:proofErr w:type="spellEnd"/>
      <w:r w:rsidRPr="00674ABE">
        <w:t xml:space="preserve">, </w:t>
      </w:r>
      <w:proofErr w:type="spellStart"/>
      <w:r w:rsidRPr="00674ABE">
        <w:t>statins</w:t>
      </w:r>
      <w:proofErr w:type="spellEnd"/>
      <w:r w:rsidRPr="00674ABE">
        <w:t xml:space="preserve">, oral </w:t>
      </w:r>
      <w:proofErr w:type="spellStart"/>
      <w:r w:rsidRPr="00674ABE">
        <w:t>antidiabetic</w:t>
      </w:r>
      <w:proofErr w:type="spellEnd"/>
      <w:r w:rsidRPr="00674ABE">
        <w:t xml:space="preserve"> agents, heart failure drugs and anti-</w:t>
      </w:r>
      <w:proofErr w:type="spellStart"/>
      <w:r w:rsidRPr="00674ABE">
        <w:t>anginals</w:t>
      </w:r>
      <w:proofErr w:type="spellEnd"/>
      <w:r w:rsidR="00F971B7">
        <w:t>,</w:t>
      </w:r>
      <w:r w:rsidRPr="00674ABE">
        <w:t xml:space="preserve"> and their effects on apixaban levels.</w:t>
      </w:r>
    </w:p>
    <w:p w:rsidR="00674ABE" w:rsidRPr="00674ABE" w:rsidRDefault="00674ABE" w:rsidP="00674ABE">
      <w:pPr>
        <w:pStyle w:val="ListBullet"/>
      </w:pPr>
      <w:r w:rsidRPr="00674ABE">
        <w:lastRenderedPageBreak/>
        <w:t>It is recommended that the sponsor consider further study in the area of coagulation monitoring and overdose treatment to improve the safety of apixaban use.</w:t>
      </w:r>
    </w:p>
    <w:p w:rsidR="00674ABE" w:rsidRPr="00674ABE" w:rsidRDefault="00674ABE" w:rsidP="00674ABE">
      <w:pPr>
        <w:pStyle w:val="ListBullet"/>
      </w:pPr>
      <w:r w:rsidRPr="00674ABE">
        <w:t>The medication error section of the RMP should include the measures in place to mitigate the risk of medica</w:t>
      </w:r>
      <w:r w:rsidR="00457B9B">
        <w:t>tion error given there will be two</w:t>
      </w:r>
      <w:r w:rsidRPr="00674ABE">
        <w:t xml:space="preserve"> different strengths of apixaban if the proposed indication (5</w:t>
      </w:r>
      <w:r w:rsidR="00071C0C">
        <w:t xml:space="preserve"> </w:t>
      </w:r>
      <w:r w:rsidRPr="00674ABE">
        <w:t>mg) is registered.</w:t>
      </w:r>
      <w:r w:rsidR="00071C0C">
        <w:t xml:space="preserve"> </w:t>
      </w:r>
      <w:r w:rsidRPr="00674ABE">
        <w:t>The sponsor should also include in this section a summary of the post-market experience of medication errors for the VTE</w:t>
      </w:r>
      <w:r w:rsidR="00457B9B">
        <w:t xml:space="preserve"> </w:t>
      </w:r>
      <w:r w:rsidRPr="00674ABE">
        <w:t>p</w:t>
      </w:r>
      <w:r w:rsidR="00457B9B">
        <w:t>rophylaxis</w:t>
      </w:r>
      <w:r w:rsidRPr="00674ABE">
        <w:t xml:space="preserve"> indication thus far.</w:t>
      </w:r>
    </w:p>
    <w:p w:rsidR="00674ABE" w:rsidRPr="00674ABE" w:rsidRDefault="00674ABE" w:rsidP="00674ABE">
      <w:pPr>
        <w:pStyle w:val="ListBullet"/>
      </w:pPr>
      <w:r w:rsidRPr="00674ABE">
        <w:t xml:space="preserve">It is recommended that the sponsor formulate and implement an Australian-specific patient and health professional education program as part of the risk minimisation plan that aims to ensure the safe use of apixaban in Australia. Specific details of the education program and associated materials should be agreed with </w:t>
      </w:r>
      <w:r w:rsidR="00F971B7">
        <w:t xml:space="preserve">the </w:t>
      </w:r>
      <w:r w:rsidRPr="00674ABE">
        <w:t>OPR prior to supply for this indication and included in an update to the RMP once agreed.</w:t>
      </w:r>
      <w:r w:rsidR="00071C0C">
        <w:t xml:space="preserve"> </w:t>
      </w:r>
      <w:r w:rsidRPr="00674ABE">
        <w:t>It is further recommended to the Delegate that the requirement for a dedicated education program is imposed as a condition of registration.</w:t>
      </w:r>
      <w:r w:rsidR="00071C0C">
        <w:t xml:space="preserve"> </w:t>
      </w:r>
    </w:p>
    <w:p w:rsidR="00674ABE" w:rsidRPr="00674ABE" w:rsidRDefault="00F971B7" w:rsidP="00B50AF7">
      <w:r>
        <w:t xml:space="preserve">Revisions to </w:t>
      </w:r>
      <w:r w:rsidR="00674ABE" w:rsidRPr="00674ABE">
        <w:t xml:space="preserve">the proposed </w:t>
      </w:r>
      <w:r>
        <w:t xml:space="preserve">PI </w:t>
      </w:r>
      <w:r w:rsidR="00674ABE" w:rsidRPr="00674ABE">
        <w:t xml:space="preserve">and consumer medicine information </w:t>
      </w:r>
      <w:r>
        <w:t xml:space="preserve">(CMI) were </w:t>
      </w:r>
      <w:r w:rsidR="00674ABE" w:rsidRPr="00674ABE">
        <w:t xml:space="preserve">also </w:t>
      </w:r>
      <w:r>
        <w:t>recommended</w:t>
      </w:r>
      <w:r w:rsidR="00674ABE" w:rsidRPr="00674ABE">
        <w:t>.</w:t>
      </w:r>
      <w:r w:rsidR="00F609B8">
        <w:t xml:space="preserve"> Details of these are beyond the scope of this AusPAR.</w:t>
      </w:r>
    </w:p>
    <w:p w:rsidR="008E7846" w:rsidRPr="00792A32" w:rsidRDefault="008E7846" w:rsidP="008E7846">
      <w:pPr>
        <w:pStyle w:val="Heading2"/>
      </w:pPr>
      <w:bookmarkStart w:id="282" w:name="_Toc314842510"/>
      <w:bookmarkStart w:id="283" w:name="_Toc36367607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201"/>
      <w:bookmarkEnd w:id="279"/>
      <w:bookmarkEnd w:id="282"/>
      <w:bookmarkEnd w:id="283"/>
    </w:p>
    <w:p w:rsidR="008E7846" w:rsidRPr="00CB0970" w:rsidRDefault="008E7846" w:rsidP="00B50AF7">
      <w:bookmarkStart w:id="284" w:name="_Toc247691528"/>
      <w:r w:rsidRPr="00CB0970">
        <w:t>The submission was summarised in the following Delegate’s overview and recommendations:</w:t>
      </w:r>
    </w:p>
    <w:p w:rsidR="008D1F76" w:rsidRPr="00CB0970" w:rsidRDefault="008D1F76" w:rsidP="00CB0970">
      <w:r w:rsidRPr="00CB0970">
        <w:t>Apixaban was first approved in Australia in July 2011 for the following indication:</w:t>
      </w:r>
    </w:p>
    <w:p w:rsidR="008D1F76" w:rsidRPr="00CB0970" w:rsidRDefault="008D1F76" w:rsidP="00CB0970">
      <w:pPr>
        <w:ind w:left="720"/>
        <w:rPr>
          <w:i/>
        </w:rPr>
      </w:pPr>
      <w:r w:rsidRPr="00CB0970">
        <w:rPr>
          <w:i/>
        </w:rPr>
        <w:t xml:space="preserve">ELIQUIS is indicated for the prevention of venous thromboembolic events (VTE) in adult patients who have undergone elective total hip or total knee replacement surgery. </w:t>
      </w:r>
    </w:p>
    <w:p w:rsidR="008D1F76" w:rsidRPr="00CB0970" w:rsidRDefault="008D1F76" w:rsidP="00CB0970">
      <w:r w:rsidRPr="00CB0970">
        <w:t xml:space="preserve">Two other drugs, </w:t>
      </w:r>
      <w:proofErr w:type="spellStart"/>
      <w:r w:rsidRPr="00CB0970">
        <w:t>rivaroxaban</w:t>
      </w:r>
      <w:proofErr w:type="spellEnd"/>
      <w:r w:rsidRPr="00CB0970">
        <w:t xml:space="preserve"> and </w:t>
      </w:r>
      <w:proofErr w:type="spellStart"/>
      <w:r w:rsidRPr="00CB0970">
        <w:t>dabigatran</w:t>
      </w:r>
      <w:proofErr w:type="spellEnd"/>
      <w:r w:rsidRPr="00CB0970">
        <w:t xml:space="preserve">, that are new oral anticoagulants, have also been approved for VTE prevention and also for the proposed indication here of stroke prevention in patients with </w:t>
      </w:r>
      <w:r w:rsidR="00071C0C">
        <w:t>AF</w:t>
      </w:r>
      <w:r w:rsidRPr="00CB0970">
        <w:t>.</w:t>
      </w:r>
      <w:r w:rsidR="00CB0970">
        <w:t xml:space="preserve"> </w:t>
      </w:r>
      <w:r w:rsidRPr="00CB0970">
        <w:t xml:space="preserve">The full indications </w:t>
      </w:r>
      <w:r w:rsidR="00CB0970">
        <w:t xml:space="preserve">approved currently </w:t>
      </w:r>
      <w:r w:rsidRPr="00CB0970">
        <w:t xml:space="preserve">for </w:t>
      </w:r>
      <w:proofErr w:type="spellStart"/>
      <w:r w:rsidRPr="00CB0970">
        <w:t>rivaroxaban</w:t>
      </w:r>
      <w:proofErr w:type="spellEnd"/>
      <w:r w:rsidRPr="00CB0970">
        <w:t xml:space="preserve"> (</w:t>
      </w:r>
      <w:proofErr w:type="gramStart"/>
      <w:r w:rsidR="00003349">
        <w:t>a</w:t>
      </w:r>
      <w:proofErr w:type="gramEnd"/>
      <w:r w:rsidR="00003349">
        <w:t xml:space="preserve"> </w:t>
      </w:r>
      <w:proofErr w:type="spellStart"/>
      <w:r w:rsidR="00003349">
        <w:t>F</w:t>
      </w:r>
      <w:r w:rsidRPr="00CB0970">
        <w:t>Xa</w:t>
      </w:r>
      <w:proofErr w:type="spellEnd"/>
      <w:r w:rsidRPr="00CB0970">
        <w:t xml:space="preserve"> inhibitor) are as follows:</w:t>
      </w:r>
    </w:p>
    <w:p w:rsidR="008D1F76" w:rsidRPr="00CB0970" w:rsidRDefault="008D1F76" w:rsidP="00CB0970">
      <w:pPr>
        <w:ind w:left="720"/>
        <w:rPr>
          <w:i/>
        </w:rPr>
      </w:pPr>
      <w:r w:rsidRPr="00CB0970">
        <w:rPr>
          <w:i/>
        </w:rPr>
        <w:t>Prevention of venous thromboembolism (VTE) in adult patients who have undergone major orthopaedic surgery of the lower limbs (elective total hip replacement, treatment for up to 5 weeks; elective total knee replacement</w:t>
      </w:r>
      <w:r w:rsidR="00B50AF7">
        <w:rPr>
          <w:i/>
        </w:rPr>
        <w:t>, treatment for up to 2 weeks).</w:t>
      </w:r>
    </w:p>
    <w:p w:rsidR="008D1F76" w:rsidRPr="00CB0970" w:rsidRDefault="008D1F76" w:rsidP="00CB0970">
      <w:pPr>
        <w:ind w:left="720"/>
        <w:rPr>
          <w:i/>
        </w:rPr>
      </w:pPr>
      <w:r w:rsidRPr="00CB0970">
        <w:rPr>
          <w:i/>
        </w:rPr>
        <w:t>Prevention of stroke and systemic embolism in patients with non-valvular atrial fibrillation and at least one additional risk factor for stroke</w:t>
      </w:r>
    </w:p>
    <w:p w:rsidR="008D1F76" w:rsidRPr="00CB0970" w:rsidRDefault="008D1F76" w:rsidP="00CB0970">
      <w:pPr>
        <w:ind w:left="720"/>
        <w:rPr>
          <w:i/>
        </w:rPr>
      </w:pPr>
      <w:proofErr w:type="gramStart"/>
      <w:r w:rsidRPr="00CB0970">
        <w:rPr>
          <w:i/>
        </w:rPr>
        <w:t>Treatment of deep vein thrombosis (DVT) and for the prevention of recurrent D</w:t>
      </w:r>
      <w:r w:rsidR="00B50AF7">
        <w:rPr>
          <w:i/>
        </w:rPr>
        <w:t>VT and pulmonary embolism (PE).</w:t>
      </w:r>
      <w:proofErr w:type="gramEnd"/>
    </w:p>
    <w:p w:rsidR="008D1F76" w:rsidRPr="008D1F76" w:rsidRDefault="008D1F76" w:rsidP="00B50AF7">
      <w:r w:rsidRPr="008D1F76">
        <w:t xml:space="preserve">The approved indications for </w:t>
      </w:r>
      <w:proofErr w:type="spellStart"/>
      <w:r w:rsidRPr="008D1F76">
        <w:t>dabigatran</w:t>
      </w:r>
      <w:proofErr w:type="spellEnd"/>
      <w:r w:rsidRPr="008D1F76">
        <w:t xml:space="preserve"> (</w:t>
      </w:r>
      <w:r w:rsidR="00FF788B">
        <w:t xml:space="preserve">a </w:t>
      </w:r>
      <w:r w:rsidR="00CB0970">
        <w:t>F</w:t>
      </w:r>
      <w:r w:rsidRPr="008D1F76">
        <w:t xml:space="preserve">actor </w:t>
      </w:r>
      <w:proofErr w:type="spellStart"/>
      <w:r w:rsidRPr="008D1F76">
        <w:t>IIa</w:t>
      </w:r>
      <w:proofErr w:type="spellEnd"/>
      <w:r w:rsidRPr="008D1F76">
        <w:t xml:space="preserve"> </w:t>
      </w:r>
      <w:r w:rsidR="00D06C58" w:rsidRPr="008D1F76">
        <w:t>(thrombin)</w:t>
      </w:r>
      <w:r w:rsidR="00D06C58">
        <w:t xml:space="preserve"> </w:t>
      </w:r>
      <w:r w:rsidRPr="008D1F76">
        <w:t>inhibitor) are as follows:</w:t>
      </w:r>
    </w:p>
    <w:p w:rsidR="008D1F76" w:rsidRPr="00CB0970" w:rsidRDefault="008D1F76" w:rsidP="00CB0970">
      <w:pPr>
        <w:ind w:left="720"/>
        <w:rPr>
          <w:i/>
        </w:rPr>
      </w:pPr>
      <w:proofErr w:type="gramStart"/>
      <w:r w:rsidRPr="00CB0970">
        <w:rPr>
          <w:i/>
        </w:rPr>
        <w:t>Prevention of venous thromboembolic events in adult patients who have undergone major orthopaedic surgery of the lower limb (elective total hip or knee replacement).</w:t>
      </w:r>
      <w:proofErr w:type="gramEnd"/>
      <w:r w:rsidRPr="00CB0970">
        <w:rPr>
          <w:i/>
        </w:rPr>
        <w:t xml:space="preserve"> (</w:t>
      </w:r>
      <w:proofErr w:type="gramStart"/>
      <w:r w:rsidRPr="00CB0970">
        <w:rPr>
          <w:i/>
        </w:rPr>
        <w:t>see</w:t>
      </w:r>
      <w:proofErr w:type="gramEnd"/>
      <w:r w:rsidRPr="00CB0970">
        <w:rPr>
          <w:i/>
        </w:rPr>
        <w:t xml:space="preserve"> Dosage and Administration section for details of treatment duration). </w:t>
      </w:r>
    </w:p>
    <w:p w:rsidR="008D1F76" w:rsidRPr="00CB0970" w:rsidRDefault="008D1F76" w:rsidP="00CB0970">
      <w:pPr>
        <w:ind w:left="720"/>
        <w:rPr>
          <w:i/>
        </w:rPr>
      </w:pPr>
      <w:r w:rsidRPr="00CB0970">
        <w:rPr>
          <w:i/>
        </w:rPr>
        <w:t>Prevention of stroke and systemic embolism in patients with non-valvular atrial fibrillation and at least one additional risk factor for stroke.</w:t>
      </w:r>
    </w:p>
    <w:p w:rsidR="008D1F76" w:rsidRPr="008D1F76" w:rsidRDefault="008D1F76" w:rsidP="00F609B8">
      <w:r w:rsidRPr="008D1F76">
        <w:t xml:space="preserve">Apixaban has been approved in the </w:t>
      </w:r>
      <w:r w:rsidR="00CB0970">
        <w:t xml:space="preserve">EU </w:t>
      </w:r>
      <w:r w:rsidRPr="008D1F76">
        <w:t>(Nov</w:t>
      </w:r>
      <w:r w:rsidR="00FE04BD">
        <w:t>ember</w:t>
      </w:r>
      <w:r w:rsidRPr="008D1F76">
        <w:t xml:space="preserve"> 2012) and Canada (Dec</w:t>
      </w:r>
      <w:r w:rsidR="00FE04BD">
        <w:t>ember</w:t>
      </w:r>
      <w:r w:rsidRPr="008D1F76">
        <w:t xml:space="preserve"> 2012) for </w:t>
      </w:r>
      <w:r w:rsidR="00FE04BD" w:rsidRPr="00FE04BD">
        <w:t>the prevention of stroke and systemic embolism in NVAF patients</w:t>
      </w:r>
      <w:r w:rsidRPr="008D1F76">
        <w:t>.</w:t>
      </w:r>
      <w:r w:rsidR="00071C0C">
        <w:t xml:space="preserve"> </w:t>
      </w:r>
      <w:r w:rsidR="00F609B8">
        <w:t xml:space="preserve">At the time </w:t>
      </w:r>
      <w:r w:rsidR="001759D0">
        <w:t xml:space="preserve">the </w:t>
      </w:r>
      <w:r w:rsidR="001759D0">
        <w:lastRenderedPageBreak/>
        <w:t>Delegate’s o</w:t>
      </w:r>
      <w:r w:rsidR="00F609B8">
        <w:t>verview was prepared, a</w:t>
      </w:r>
      <w:r w:rsidRPr="008D1F76">
        <w:t>pixaban has not been approved in the USA for</w:t>
      </w:r>
      <w:r w:rsidR="00F609B8">
        <w:t xml:space="preserve"> this indication and the FDA had</w:t>
      </w:r>
      <w:r w:rsidRPr="008D1F76">
        <w:t xml:space="preserve"> issued a CRL regarding this submission.</w:t>
      </w:r>
      <w:r w:rsidR="00735B18">
        <w:rPr>
          <w:rStyle w:val="FootnoteReference"/>
        </w:rPr>
        <w:footnoteReference w:id="20"/>
      </w:r>
    </w:p>
    <w:p w:rsidR="006C291C" w:rsidRPr="006C291C" w:rsidRDefault="006C291C" w:rsidP="00B50AF7">
      <w:pPr>
        <w:pStyle w:val="Heading5"/>
      </w:pPr>
      <w:r w:rsidRPr="006C291C">
        <w:t xml:space="preserve">FDA </w:t>
      </w:r>
      <w:r w:rsidR="008D6729">
        <w:t>questions</w:t>
      </w:r>
    </w:p>
    <w:p w:rsidR="008D1F76" w:rsidRPr="008D1F76" w:rsidRDefault="00D06C58" w:rsidP="00B50AF7">
      <w:r>
        <w:t xml:space="preserve">The </w:t>
      </w:r>
      <w:r w:rsidR="008D1F76" w:rsidRPr="008D1F76">
        <w:t xml:space="preserve">CRL discussed outstanding matters in relation to the proposed extension of indications for stroke prevention in patients with </w:t>
      </w:r>
      <w:r w:rsidR="00071C0C">
        <w:t xml:space="preserve">AF </w:t>
      </w:r>
      <w:r w:rsidR="008D1F76" w:rsidRPr="008D1F76">
        <w:t>that led the FDA to</w:t>
      </w:r>
      <w:r w:rsidR="00735B18">
        <w:t xml:space="preserve"> being unable </w:t>
      </w:r>
      <w:r w:rsidR="008D1F76" w:rsidRPr="008D1F76">
        <w:t>to approve the s</w:t>
      </w:r>
      <w:r w:rsidR="00A139DA">
        <w:t>ubmission in its present form</w:t>
      </w:r>
      <w:r w:rsidR="00735B18">
        <w:t xml:space="preserve"> at the time</w:t>
      </w:r>
      <w:r w:rsidR="00A139DA">
        <w:t xml:space="preserve">. </w:t>
      </w:r>
      <w:r w:rsidR="008D1F76" w:rsidRPr="008D1F76">
        <w:t xml:space="preserve">These issues covered dosing errors, </w:t>
      </w:r>
      <w:proofErr w:type="spellStart"/>
      <w:r w:rsidR="008D1F76" w:rsidRPr="008D1F76">
        <w:t>unblinding</w:t>
      </w:r>
      <w:proofErr w:type="spellEnd"/>
      <w:r w:rsidR="008D1F76" w:rsidRPr="008D1F76">
        <w:t xml:space="preserve"> and data management from the pivotal trial, ARISTOTLE, but did not include a request for new studies or relate directly to </w:t>
      </w:r>
      <w:proofErr w:type="gramStart"/>
      <w:r w:rsidR="008D1F76" w:rsidRPr="008D1F76">
        <w:t>identified</w:t>
      </w:r>
      <w:proofErr w:type="gramEnd"/>
      <w:r w:rsidR="008D1F76" w:rsidRPr="008D1F76">
        <w:t xml:space="preserve"> efficacy or safety concerns.</w:t>
      </w:r>
    </w:p>
    <w:p w:rsidR="00F609B8" w:rsidRDefault="008D1F76" w:rsidP="008D1F76">
      <w:r w:rsidRPr="008D1F76">
        <w:t xml:space="preserve">The ARISTOTLE </w:t>
      </w:r>
      <w:r w:rsidR="00D06C58">
        <w:t xml:space="preserve">CSR </w:t>
      </w:r>
      <w:r w:rsidRPr="008D1F76">
        <w:t>initially reported that 7.3% of apixaban subjects and 1.2% of warfarin subjects had received</w:t>
      </w:r>
      <w:r w:rsidR="00D06C58">
        <w:t>,</w:t>
      </w:r>
      <w:r w:rsidRPr="008D1F76">
        <w:t xml:space="preserve"> at some point in the study, a study medication container of the incorrect type.</w:t>
      </w:r>
      <w:r w:rsidR="00071C0C">
        <w:t xml:space="preserve"> </w:t>
      </w:r>
      <w:r w:rsidRPr="008D1F76">
        <w:t>This led the sponsor to conduct a detailed analysis of the study medication dosing records of the original labels for about 20% of the dispensations in the study.</w:t>
      </w:r>
      <w:r w:rsidR="00071C0C">
        <w:t xml:space="preserve"> </w:t>
      </w:r>
      <w:r w:rsidRPr="008D1F76">
        <w:t>This analysis showed that the estimated rate of study medication errors was actually much lower at &lt;0.1% of study medication dispensations in &lt;1% of subjects and was balanced between the apixaban and warfarin groups.</w:t>
      </w:r>
      <w:r w:rsidR="00071C0C">
        <w:t xml:space="preserve"> </w:t>
      </w:r>
      <w:r w:rsidRPr="008D1F76">
        <w:t>A sensitivity analysis on the primary e</w:t>
      </w:r>
      <w:r w:rsidR="006C291C">
        <w:t>ndpoint, major bleeding and all-</w:t>
      </w:r>
      <w:r w:rsidRPr="008D1F76">
        <w:t>cause death showed the study endpoints were not impacted by this dosing error in this small group of patients.</w:t>
      </w:r>
    </w:p>
    <w:p w:rsidR="008D1F76" w:rsidRPr="008D1F76" w:rsidRDefault="008D1F76" w:rsidP="008D1F76">
      <w:r w:rsidRPr="008D1F76">
        <w:t xml:space="preserve">The cause of the original and incorrect estimated rate of study medication errors was a higher than expected rate of data entry errors in one field of the </w:t>
      </w:r>
      <w:proofErr w:type="spellStart"/>
      <w:r w:rsidRPr="008D1F76">
        <w:t>eCRF</w:t>
      </w:r>
      <w:proofErr w:type="spellEnd"/>
      <w:r w:rsidRPr="008D1F76">
        <w:t xml:space="preserve">, namely incorrect </w:t>
      </w:r>
      <w:proofErr w:type="spellStart"/>
      <w:r w:rsidRPr="008D1F76">
        <w:t>apixaban</w:t>
      </w:r>
      <w:proofErr w:type="spellEnd"/>
      <w:r w:rsidRPr="008D1F76">
        <w:t xml:space="preserve"> and warfarin container numbers entered into the form which led to a mismatch in the number of the container dispensed to the patient and the number that was entered onto the </w:t>
      </w:r>
      <w:proofErr w:type="spellStart"/>
      <w:r w:rsidRPr="008D1F76">
        <w:t>eCRF</w:t>
      </w:r>
      <w:proofErr w:type="spellEnd"/>
      <w:r w:rsidRPr="008D1F76">
        <w:t>.</w:t>
      </w:r>
      <w:r w:rsidR="00071C0C">
        <w:t xml:space="preserve"> </w:t>
      </w:r>
      <w:r w:rsidRPr="008D1F76">
        <w:t>This apparent imbalance in the original report was caused by a definition of study medication errors which preferentially counted these data entry errors as treatment errors in the apixaban group.</w:t>
      </w:r>
      <w:r w:rsidR="00071C0C">
        <w:t xml:space="preserve"> </w:t>
      </w:r>
      <w:r w:rsidRPr="008D1F76">
        <w:t xml:space="preserve">The sponsor </w:t>
      </w:r>
      <w:r w:rsidR="00735B18">
        <w:t xml:space="preserve">reports </w:t>
      </w:r>
      <w:r w:rsidRPr="008D1F76">
        <w:t>that although this process led to an assessment that did not adequately reflect the true rate of study medication errors (but rather</w:t>
      </w:r>
      <w:r w:rsidR="00735B18">
        <w:t>,</w:t>
      </w:r>
      <w:r w:rsidRPr="008D1F76">
        <w:t xml:space="preserve"> amplified it), examination of the root cause and retrospective verification of the data confirmed that the integrity of the trial and the interpretation of the results were not affected by this GCP finding.</w:t>
      </w:r>
    </w:p>
    <w:p w:rsidR="008D1F76" w:rsidRPr="008D1F76" w:rsidRDefault="008D1F76" w:rsidP="008D1F76">
      <w:r w:rsidRPr="008D1F76">
        <w:t>The FDA requested a more detailed analysis of the data</w:t>
      </w:r>
      <w:r w:rsidR="00735B18">
        <w:t>,</w:t>
      </w:r>
      <w:r w:rsidRPr="008D1F76">
        <w:t xml:space="preserve"> which led the sponsor to conduct three independent</w:t>
      </w:r>
      <w:r w:rsidR="00F609B8">
        <w:t>,</w:t>
      </w:r>
      <w:r w:rsidRPr="008D1F76">
        <w:t xml:space="preserve"> mutually exclusive audits of random samples of tear-off dispensing labels attached to the study drug containers.</w:t>
      </w:r>
      <w:r w:rsidR="00071C0C">
        <w:t xml:space="preserve"> </w:t>
      </w:r>
      <w:r w:rsidRPr="008D1F76">
        <w:t>The first sample was of 8% of patients which was then expanded by a further 12% at the request of the EMA.</w:t>
      </w:r>
      <w:r w:rsidR="00071C0C">
        <w:t xml:space="preserve"> </w:t>
      </w:r>
      <w:r w:rsidRPr="008D1F76">
        <w:t>This 20% of the study patients showed a dispensing error rate of 0.048% for apixaban and 0.041% for warfarin. The FDA then requested a further sample of 20% taking the complete sample to 40% of all study subjects.</w:t>
      </w:r>
      <w:r w:rsidR="00071C0C">
        <w:t xml:space="preserve"> </w:t>
      </w:r>
      <w:r w:rsidRPr="008D1F76">
        <w:t>This 40% sample rate showed a doubling of the error rate to 0.1% for apixaban and 0.116% for warfarin.</w:t>
      </w:r>
      <w:r w:rsidR="00071C0C">
        <w:t xml:space="preserve"> </w:t>
      </w:r>
      <w:r w:rsidRPr="008D1F76">
        <w:t>Most errors were isolated and multiple errors did not occur in individual patients.</w:t>
      </w:r>
      <w:r w:rsidR="00071C0C">
        <w:t xml:space="preserve"> </w:t>
      </w:r>
      <w:r w:rsidRPr="008D1F76">
        <w:t>If observed errors were then combined with missing data</w:t>
      </w:r>
      <w:r w:rsidR="006C291C">
        <w:t>,</w:t>
      </w:r>
      <w:r w:rsidRPr="008D1F76">
        <w:t xml:space="preserve"> then this analysis showed a total error rate of potentially 0.47% for apixaban and 0.54% for warfarin.</w:t>
      </w:r>
      <w:r w:rsidR="00071C0C">
        <w:t xml:space="preserve"> </w:t>
      </w:r>
      <w:r w:rsidR="00735B18">
        <w:t>The Delegate considered t</w:t>
      </w:r>
      <w:r w:rsidRPr="008D1F76">
        <w:t>hese rates remain small and similar in both arms and are therefore unlikely to impact the overall results.</w:t>
      </w:r>
    </w:p>
    <w:p w:rsidR="008D1F76" w:rsidRPr="008D1F76" w:rsidRDefault="00F609B8" w:rsidP="008D1F76">
      <w:r>
        <w:t xml:space="preserve">Regarding </w:t>
      </w:r>
      <w:r w:rsidR="008D1F76" w:rsidRPr="008D1F76">
        <w:t>other issues raised by the FDA</w:t>
      </w:r>
      <w:r>
        <w:t>,</w:t>
      </w:r>
      <w:r w:rsidR="008D1F76" w:rsidRPr="008D1F76">
        <w:t xml:space="preserve"> </w:t>
      </w:r>
      <w:r w:rsidR="00735B18">
        <w:t xml:space="preserve">the Delegate </w:t>
      </w:r>
      <w:r w:rsidR="008D1F76" w:rsidRPr="008D1F76">
        <w:t>noted that the frequency of unreported blinding was very low</w:t>
      </w:r>
      <w:r w:rsidR="00735B18">
        <w:t>;</w:t>
      </w:r>
      <w:r w:rsidR="008D1F76" w:rsidRPr="008D1F76">
        <w:t xml:space="preserve"> most errors were transcriptional and not dispensing</w:t>
      </w:r>
      <w:r w:rsidR="00735B18">
        <w:t>;</w:t>
      </w:r>
      <w:r w:rsidR="008D1F76" w:rsidRPr="008D1F76">
        <w:t xml:space="preserve"> the small number of manual changes to the </w:t>
      </w:r>
      <w:r w:rsidR="008D1F76" w:rsidRPr="00F609B8">
        <w:t>automated IVRS</w:t>
      </w:r>
      <w:r w:rsidR="008D1F76" w:rsidRPr="008D1F76">
        <w:t xml:space="preserve"> was unlikely to contribute to the error rate</w:t>
      </w:r>
      <w:r w:rsidR="00735B18">
        <w:t>;</w:t>
      </w:r>
      <w:r w:rsidR="008D1F76" w:rsidRPr="008D1F76">
        <w:t xml:space="preserve"> and the updated </w:t>
      </w:r>
      <w:r w:rsidR="00735B18">
        <w:t xml:space="preserve">AE </w:t>
      </w:r>
      <w:r w:rsidR="008D1F76" w:rsidRPr="008D1F76">
        <w:t>listing was acceptable.</w:t>
      </w:r>
    </w:p>
    <w:p w:rsidR="008D1F76" w:rsidRPr="008D1F76" w:rsidRDefault="008D1F76" w:rsidP="008D1F76">
      <w:r w:rsidRPr="008D1F76">
        <w:t>The sponsor also notified regulatory authorities of a breach in G</w:t>
      </w:r>
      <w:r w:rsidR="00FE04BD">
        <w:t>C</w:t>
      </w:r>
      <w:r w:rsidR="00F609B8">
        <w:t xml:space="preserve">P </w:t>
      </w:r>
      <w:r w:rsidRPr="008D1F76">
        <w:t>requirements at a site in China.</w:t>
      </w:r>
      <w:r w:rsidR="00071C0C">
        <w:t xml:space="preserve"> </w:t>
      </w:r>
      <w:r w:rsidRPr="008D1F76">
        <w:t>This breach involved potential alteration of source documents in preparation for an upcoming inspection by the FDA.</w:t>
      </w:r>
      <w:r w:rsidR="00071C0C">
        <w:t xml:space="preserve"> </w:t>
      </w:r>
      <w:r w:rsidRPr="008D1F76">
        <w:t>A second site in China was also investigated but there was no evidence of alteration in source documentation at that site.</w:t>
      </w:r>
      <w:r w:rsidR="00071C0C">
        <w:t xml:space="preserve"> </w:t>
      </w:r>
      <w:r w:rsidRPr="008D1F76">
        <w:t xml:space="preserve">Although these are </w:t>
      </w:r>
      <w:r w:rsidRPr="008D1F76">
        <w:lastRenderedPageBreak/>
        <w:t xml:space="preserve">serious matters, the site only recruited 37 patients out of </w:t>
      </w:r>
      <w:r w:rsidR="003B5B4F">
        <w:t xml:space="preserve">approximately </w:t>
      </w:r>
      <w:r w:rsidRPr="008D1F76">
        <w:t>20,000 enrolled and the changes to the source data took place after the conclusion of the trial and after database lock.</w:t>
      </w:r>
      <w:r w:rsidR="00071C0C">
        <w:t xml:space="preserve"> </w:t>
      </w:r>
      <w:r w:rsidRPr="008D1F76">
        <w:t>The alteration of the source documents appeared to be for the purpose of improving the outcome of the FDA inspection.</w:t>
      </w:r>
      <w:r w:rsidR="00071C0C">
        <w:t xml:space="preserve"> </w:t>
      </w:r>
      <w:r w:rsidRPr="008D1F76">
        <w:t>The sponsor has undertaken action regarding training and their inspection program.</w:t>
      </w:r>
    </w:p>
    <w:p w:rsidR="00CB0970" w:rsidRDefault="00CB0970" w:rsidP="006C291C">
      <w:pPr>
        <w:pStyle w:val="Heading4"/>
      </w:pPr>
      <w:r>
        <w:t>Guidance</w:t>
      </w:r>
    </w:p>
    <w:p w:rsidR="008D1F76" w:rsidRPr="008D1F76" w:rsidRDefault="008D1F76" w:rsidP="008D1F76">
      <w:r w:rsidRPr="00CE7AF2">
        <w:t xml:space="preserve">There are no TGA adopted European guidelines specific to </w:t>
      </w:r>
      <w:r w:rsidR="006C291C" w:rsidRPr="00CE7AF2">
        <w:t xml:space="preserve">the proposed </w:t>
      </w:r>
      <w:r w:rsidRPr="00CE7AF2">
        <w:t xml:space="preserve">indication, however there are a number of general guidelines </w:t>
      </w:r>
      <w:r w:rsidR="00CE7AF2" w:rsidRPr="00CE7AF2">
        <w:t>from the EMA’s Committee of Human Medicinal Products</w:t>
      </w:r>
      <w:r w:rsidR="00CE7AF2">
        <w:t xml:space="preserve"> (CHMP) </w:t>
      </w:r>
      <w:r w:rsidR="00735B18">
        <w:t xml:space="preserve">and the ICH </w:t>
      </w:r>
      <w:r w:rsidRPr="008D1F76">
        <w:t>to consider:</w:t>
      </w:r>
    </w:p>
    <w:p w:rsidR="008D1F76" w:rsidRPr="008D1F76" w:rsidRDefault="008D1F76" w:rsidP="006C291C">
      <w:pPr>
        <w:pStyle w:val="ListBullet"/>
      </w:pPr>
      <w:r w:rsidRPr="00CE7AF2">
        <w:rPr>
          <w:i/>
        </w:rPr>
        <w:t>Clinical Investigation of Medicinal Products for Long-Term Use</w:t>
      </w:r>
      <w:r w:rsidRPr="008D1F76">
        <w:t xml:space="preserve">. </w:t>
      </w:r>
      <w:r w:rsidR="00865546">
        <w:t>(</w:t>
      </w:r>
      <w:r w:rsidR="00CE7AF2">
        <w:t xml:space="preserve">Adopted by TGA on </w:t>
      </w:r>
      <w:r w:rsidRPr="008D1F76">
        <w:t>12 February 2002</w:t>
      </w:r>
      <w:r w:rsidR="00865546">
        <w:t xml:space="preserve"> with conditions)</w:t>
      </w:r>
    </w:p>
    <w:p w:rsidR="008D1F76" w:rsidRPr="008D1F76" w:rsidRDefault="008D1F76" w:rsidP="006C291C">
      <w:pPr>
        <w:pStyle w:val="ListBullet"/>
      </w:pPr>
      <w:r w:rsidRPr="00865546">
        <w:rPr>
          <w:i/>
        </w:rPr>
        <w:t>Clinical Investigation of Medicinal Products in Geriatrics</w:t>
      </w:r>
      <w:r w:rsidRPr="008D1F76">
        <w:t xml:space="preserve">. </w:t>
      </w:r>
      <w:r w:rsidR="005B0418">
        <w:t xml:space="preserve">(previous reference </w:t>
      </w:r>
      <w:r w:rsidR="005B0418" w:rsidRPr="005B0418">
        <w:t>CPMP/ICH/379/95</w:t>
      </w:r>
      <w:r w:rsidR="005B0418">
        <w:t>, adopted by TGA 12 February 2002)</w:t>
      </w:r>
    </w:p>
    <w:p w:rsidR="008D1F76" w:rsidRPr="008D1F76" w:rsidRDefault="008D1F76" w:rsidP="006C291C">
      <w:pPr>
        <w:pStyle w:val="ListBullet"/>
      </w:pPr>
      <w:r w:rsidRPr="00EB1FDA">
        <w:rPr>
          <w:i/>
        </w:rPr>
        <w:t>Note for guidance on the evaluation of the Pharmacokinetics of medicinal products in patients with impaired renal function</w:t>
      </w:r>
      <w:r w:rsidRPr="008D1F76">
        <w:t xml:space="preserve">. </w:t>
      </w:r>
      <w:r w:rsidR="00EB1FDA" w:rsidRPr="00EB1FDA">
        <w:t>CHMP/EWP/225/02</w:t>
      </w:r>
      <w:r w:rsidR="00EB1FDA" w:rsidRPr="008D1F76">
        <w:t xml:space="preserve"> </w:t>
      </w:r>
      <w:r w:rsidRPr="008D1F76">
        <w:t xml:space="preserve">Effective: </w:t>
      </w:r>
      <w:r w:rsidR="00EB1FDA">
        <w:t xml:space="preserve">December </w:t>
      </w:r>
      <w:r w:rsidRPr="008D1F76">
        <w:t>2004</w:t>
      </w:r>
    </w:p>
    <w:p w:rsidR="008D1F76" w:rsidRPr="008D1F76" w:rsidRDefault="008D1F76" w:rsidP="006C291C">
      <w:pPr>
        <w:pStyle w:val="ListBullet"/>
      </w:pPr>
      <w:r w:rsidRPr="00EB1FDA">
        <w:rPr>
          <w:i/>
        </w:rPr>
        <w:t xml:space="preserve">Guideline on </w:t>
      </w:r>
      <w:proofErr w:type="gramStart"/>
      <w:r w:rsidRPr="00EB1FDA">
        <w:rPr>
          <w:i/>
        </w:rPr>
        <w:t>Reporting</w:t>
      </w:r>
      <w:proofErr w:type="gramEnd"/>
      <w:r w:rsidRPr="00EB1FDA">
        <w:rPr>
          <w:i/>
        </w:rPr>
        <w:t xml:space="preserve"> the results of Population Pharmacokinetic Analysis.</w:t>
      </w:r>
      <w:r w:rsidR="00071C0C">
        <w:t xml:space="preserve"> </w:t>
      </w:r>
      <w:r w:rsidR="00EB1FDA" w:rsidRPr="00865546">
        <w:t>CHMP/EWP/185990/06</w:t>
      </w:r>
      <w:r w:rsidR="00EB1FDA">
        <w:t xml:space="preserve">. </w:t>
      </w:r>
      <w:r w:rsidRPr="008D1F76">
        <w:t>Effective: 27 January 2009</w:t>
      </w:r>
    </w:p>
    <w:p w:rsidR="008D1F76" w:rsidRPr="008D1F76" w:rsidRDefault="008D1F76" w:rsidP="006C291C">
      <w:pPr>
        <w:pStyle w:val="ListBullet"/>
      </w:pPr>
      <w:r w:rsidRPr="00865546">
        <w:rPr>
          <w:i/>
        </w:rPr>
        <w:t>Guideline on the Choice of the Non-Inferiority Margin.</w:t>
      </w:r>
      <w:r w:rsidRPr="008D1F76">
        <w:t xml:space="preserve"> </w:t>
      </w:r>
      <w:r w:rsidR="00865546" w:rsidRPr="008D1F76">
        <w:t>EMEA/CPMP/EWP/2158/99</w:t>
      </w:r>
      <w:r w:rsidR="00865546">
        <w:t>.</w:t>
      </w:r>
      <w:r w:rsidR="00865546" w:rsidRPr="008D1F76">
        <w:t xml:space="preserve"> </w:t>
      </w:r>
      <w:r w:rsidRPr="008D1F76">
        <w:t>Effective: January 2006.</w:t>
      </w:r>
    </w:p>
    <w:p w:rsidR="008E7846" w:rsidRDefault="008E7846" w:rsidP="008E7846">
      <w:pPr>
        <w:pStyle w:val="Heading3"/>
      </w:pPr>
      <w:bookmarkStart w:id="285" w:name="ewp29793108"/>
      <w:bookmarkStart w:id="286" w:name="_Toc314842511"/>
      <w:bookmarkStart w:id="287" w:name="_Toc363676077"/>
      <w:bookmarkEnd w:id="285"/>
      <w:r>
        <w:t>Quality</w:t>
      </w:r>
      <w:bookmarkEnd w:id="284"/>
      <w:bookmarkEnd w:id="286"/>
      <w:bookmarkEnd w:id="287"/>
    </w:p>
    <w:p w:rsidR="008D1F76" w:rsidRPr="008D1F76" w:rsidRDefault="008D1F76" w:rsidP="008D1F76">
      <w:r w:rsidRPr="008D1F76">
        <w:t>The pharmaceutical chemistry evaluator has no objections to the registration of the new 5</w:t>
      </w:r>
      <w:r w:rsidR="006C291C">
        <w:t> </w:t>
      </w:r>
      <w:r w:rsidRPr="008D1F76">
        <w:t>mg strength tablet with regards to chemistry, manufacturing and quality control.</w:t>
      </w:r>
      <w:r w:rsidR="005E42C7">
        <w:t xml:space="preserve"> </w:t>
      </w:r>
      <w:r w:rsidRPr="008D1F76">
        <w:t>The 2.5</w:t>
      </w:r>
      <w:r w:rsidR="006C291C">
        <w:t> </w:t>
      </w:r>
      <w:r w:rsidRPr="008D1F76">
        <w:t>mg and 5</w:t>
      </w:r>
      <w:r w:rsidR="00071C0C">
        <w:t xml:space="preserve"> </w:t>
      </w:r>
      <w:r w:rsidRPr="008D1F76">
        <w:t>mg strengths are direct scales and the 5</w:t>
      </w:r>
      <w:r w:rsidR="00071C0C">
        <w:t xml:space="preserve"> </w:t>
      </w:r>
      <w:r w:rsidRPr="008D1F76">
        <w:t>mg strength is distinguished from the 2.5</w:t>
      </w:r>
      <w:r w:rsidR="00071C0C">
        <w:t xml:space="preserve"> </w:t>
      </w:r>
      <w:r w:rsidRPr="008D1F76">
        <w:t>mg strength by colour, shape and markings.</w:t>
      </w:r>
      <w:r w:rsidR="005E42C7">
        <w:t xml:space="preserve"> </w:t>
      </w:r>
      <w:r w:rsidRPr="008D1F76">
        <w:t xml:space="preserve">An oral bioavailability study of apixaban solution and apixaban </w:t>
      </w:r>
      <w:r w:rsidR="00AB60B1">
        <w:t>P</w:t>
      </w:r>
      <w:r w:rsidRPr="008D1F76">
        <w:t xml:space="preserve">hase </w:t>
      </w:r>
      <w:r w:rsidR="00AB60B1">
        <w:t>III</w:t>
      </w:r>
      <w:r w:rsidRPr="008D1F76">
        <w:t xml:space="preserve"> formulation tablets showed bioequivalence based on AUC but slightly outside the usual interval for </w:t>
      </w:r>
      <w:proofErr w:type="spellStart"/>
      <w:r w:rsidRPr="008D1F76">
        <w:t>Cmax</w:t>
      </w:r>
      <w:proofErr w:type="spellEnd"/>
      <w:r w:rsidRPr="008D1F76">
        <w:t xml:space="preserve"> (76-126%).</w:t>
      </w:r>
      <w:r w:rsidR="005E42C7">
        <w:t xml:space="preserve"> </w:t>
      </w:r>
      <w:r w:rsidRPr="008D1F76">
        <w:t>This is unlikely to be clinically significant and is not directly relevant to this submission.</w:t>
      </w:r>
      <w:r w:rsidR="005E42C7">
        <w:t xml:space="preserve"> </w:t>
      </w:r>
      <w:r w:rsidRPr="008D1F76">
        <w:t xml:space="preserve">An acceptable justification was provided for not conducting a bioequivalence study of the commercial formulation and the </w:t>
      </w:r>
      <w:r w:rsidR="00AB60B1">
        <w:t>P</w:t>
      </w:r>
      <w:r w:rsidRPr="008D1F76">
        <w:t xml:space="preserve">hase </w:t>
      </w:r>
      <w:r w:rsidR="00AB60B1">
        <w:t>III</w:t>
      </w:r>
      <w:r w:rsidRPr="008D1F76">
        <w:t xml:space="preserve"> formulation.</w:t>
      </w:r>
    </w:p>
    <w:p w:rsidR="008E7846" w:rsidRDefault="008E7846" w:rsidP="00937BDA">
      <w:pPr>
        <w:pStyle w:val="Heading3"/>
      </w:pPr>
      <w:bookmarkStart w:id="288" w:name="_Toc314842512"/>
      <w:bookmarkStart w:id="289" w:name="_Toc363676078"/>
      <w:r>
        <w:t>Nonclinical</w:t>
      </w:r>
      <w:bookmarkEnd w:id="288"/>
      <w:bookmarkEnd w:id="289"/>
    </w:p>
    <w:p w:rsidR="008E7846" w:rsidRPr="008D1F76" w:rsidRDefault="008D1F76" w:rsidP="008D1F76">
      <w:r w:rsidRPr="008D1F76">
        <w:t>The nonclinical evaluator has no objections to the registration of apixaban for the proposed indication and higher daily dose.</w:t>
      </w:r>
      <w:r w:rsidR="005E42C7">
        <w:t xml:space="preserve"> </w:t>
      </w:r>
      <w:r w:rsidRPr="008D1F76">
        <w:t>The evaluator notes that no nonclinical data were submitted to support this specific submission.</w:t>
      </w:r>
      <w:r w:rsidR="005E42C7">
        <w:t xml:space="preserve"> </w:t>
      </w:r>
      <w:r w:rsidRPr="008D1F76">
        <w:t>Studies were submitted that investigated potent</w:t>
      </w:r>
      <w:r w:rsidR="00735B18">
        <w:t>ial interactions between P-</w:t>
      </w:r>
      <w:proofErr w:type="spellStart"/>
      <w:r w:rsidR="00735B18">
        <w:t>gp</w:t>
      </w:r>
      <w:proofErr w:type="spellEnd"/>
      <w:r w:rsidRPr="008D1F76">
        <w:t xml:space="preserve"> inhibitors and </w:t>
      </w:r>
      <w:proofErr w:type="spellStart"/>
      <w:r w:rsidRPr="008D1F76">
        <w:t>digoxin</w:t>
      </w:r>
      <w:proofErr w:type="spellEnd"/>
      <w:r w:rsidRPr="008D1F76">
        <w:t xml:space="preserve"> which noted that some medicines have mild to moderate inhibitory effects on P</w:t>
      </w:r>
      <w:r w:rsidR="00735B18">
        <w:t>-</w:t>
      </w:r>
      <w:proofErr w:type="spellStart"/>
      <w:r w:rsidRPr="008D1F76">
        <w:t>g</w:t>
      </w:r>
      <w:r w:rsidR="00735B18">
        <w:t>p</w:t>
      </w:r>
      <w:proofErr w:type="spellEnd"/>
      <w:r w:rsidRPr="008D1F76">
        <w:t xml:space="preserve"> </w:t>
      </w:r>
      <w:r w:rsidRPr="006C291C">
        <w:rPr>
          <w:i/>
        </w:rPr>
        <w:t>in vitro</w:t>
      </w:r>
      <w:r w:rsidRPr="008D1F76">
        <w:t xml:space="preserve"> which may account for a modest increase in plasma AUC for apixaban observed in drug interaction trials.</w:t>
      </w:r>
      <w:r w:rsidR="005E42C7">
        <w:t xml:space="preserve"> </w:t>
      </w:r>
      <w:r w:rsidRPr="008D1F76">
        <w:t>A 3 month repeat dose toxicity study in rats did not show any toxicities of major concern.</w:t>
      </w:r>
      <w:r w:rsidR="005E42C7">
        <w:t xml:space="preserve"> </w:t>
      </w:r>
      <w:r w:rsidRPr="008D1F76">
        <w:t>No remarkable effects on male or female fertility or early embryonic development were observed.</w:t>
      </w:r>
      <w:r w:rsidR="005E42C7">
        <w:t xml:space="preserve"> </w:t>
      </w:r>
      <w:r w:rsidRPr="008D1F76">
        <w:t>Changes for the exposure margins are proposed for the PI</w:t>
      </w:r>
      <w:r w:rsidR="008E7846" w:rsidRPr="008D1F76">
        <w:t>.</w:t>
      </w:r>
    </w:p>
    <w:p w:rsidR="008E7846" w:rsidRDefault="008E7846" w:rsidP="008E7846">
      <w:pPr>
        <w:pStyle w:val="Heading3"/>
      </w:pPr>
      <w:bookmarkStart w:id="290" w:name="_Toc247691530"/>
      <w:bookmarkStart w:id="291" w:name="_Toc314842513"/>
      <w:bookmarkStart w:id="292" w:name="_Toc363676079"/>
      <w:r>
        <w:t>Clinical</w:t>
      </w:r>
      <w:bookmarkEnd w:id="290"/>
      <w:bookmarkEnd w:id="291"/>
      <w:bookmarkEnd w:id="292"/>
    </w:p>
    <w:p w:rsidR="008D1F76" w:rsidRPr="008D1F76" w:rsidRDefault="008D1F76" w:rsidP="008D1F76">
      <w:r w:rsidRPr="008D1F76">
        <w:t>The clinical evaluator has reviewed the submitted data, which included:</w:t>
      </w:r>
    </w:p>
    <w:p w:rsidR="008D1F76" w:rsidRPr="00CB0970" w:rsidRDefault="008D6729" w:rsidP="00937BDA">
      <w:pPr>
        <w:pStyle w:val="ListBullet"/>
      </w:pPr>
      <w:r>
        <w:t>Three</w:t>
      </w:r>
      <w:r w:rsidR="008D1F76" w:rsidRPr="00CB0970">
        <w:t xml:space="preserve"> new pharmacology studies.</w:t>
      </w:r>
    </w:p>
    <w:p w:rsidR="008D1F76" w:rsidRPr="00CB0970" w:rsidRDefault="008D6729" w:rsidP="00CB0970">
      <w:pPr>
        <w:pStyle w:val="ListBullet"/>
      </w:pPr>
      <w:r>
        <w:lastRenderedPageBreak/>
        <w:t>One</w:t>
      </w:r>
      <w:r w:rsidR="008D1F76" w:rsidRPr="00CB0970">
        <w:t xml:space="preserve"> </w:t>
      </w:r>
      <w:r w:rsidR="0005418A">
        <w:t xml:space="preserve">PPK </w:t>
      </w:r>
      <w:r w:rsidR="008D1F76" w:rsidRPr="00CB0970">
        <w:t>study</w:t>
      </w:r>
    </w:p>
    <w:p w:rsidR="008D1F76" w:rsidRPr="00CB0970" w:rsidRDefault="008D6729" w:rsidP="00CB0970">
      <w:pPr>
        <w:pStyle w:val="ListBullet"/>
      </w:pPr>
      <w:r>
        <w:t>Two</w:t>
      </w:r>
      <w:r w:rsidR="008D1F76" w:rsidRPr="00CB0970">
        <w:t xml:space="preserve"> </w:t>
      </w:r>
      <w:r w:rsidR="00AB60B1">
        <w:t>P</w:t>
      </w:r>
      <w:r w:rsidR="008D1F76" w:rsidRPr="00CB0970">
        <w:t>hase III pivotal studies (</w:t>
      </w:r>
      <w:r w:rsidR="00735B18">
        <w:t xml:space="preserve">Study </w:t>
      </w:r>
      <w:r w:rsidR="008D1F76" w:rsidRPr="00CB0970">
        <w:t>CV185030: ARISTOTLE</w:t>
      </w:r>
      <w:r w:rsidR="00735B18">
        <w:t>,</w:t>
      </w:r>
      <w:r w:rsidR="008D1F76" w:rsidRPr="00CB0970">
        <w:t xml:space="preserve"> and </w:t>
      </w:r>
      <w:r w:rsidR="00735B18">
        <w:t xml:space="preserve">Study </w:t>
      </w:r>
      <w:r w:rsidR="008D1F76" w:rsidRPr="00CB0970">
        <w:t>CV185048: AVERROES)</w:t>
      </w:r>
    </w:p>
    <w:p w:rsidR="008D1F76" w:rsidRPr="00CB0970" w:rsidRDefault="008D6729" w:rsidP="00CB0970">
      <w:pPr>
        <w:pStyle w:val="ListBullet"/>
      </w:pPr>
      <w:r>
        <w:t>One</w:t>
      </w:r>
      <w:r w:rsidR="00AB60B1">
        <w:t xml:space="preserve"> P</w:t>
      </w:r>
      <w:r w:rsidR="008D1F76" w:rsidRPr="00CB0970">
        <w:t>hase III supportive study (CV185036: ADOPT)</w:t>
      </w:r>
    </w:p>
    <w:p w:rsidR="008D1F76" w:rsidRPr="00CB0970" w:rsidRDefault="008D6729" w:rsidP="00CB0970">
      <w:pPr>
        <w:pStyle w:val="ListBullet"/>
      </w:pPr>
      <w:r>
        <w:t>One</w:t>
      </w:r>
      <w:r w:rsidR="00AB60B1">
        <w:t xml:space="preserve"> P</w:t>
      </w:r>
      <w:r w:rsidR="008D1F76" w:rsidRPr="00CB0970">
        <w:t xml:space="preserve">hase </w:t>
      </w:r>
      <w:proofErr w:type="spellStart"/>
      <w:r w:rsidR="00AB60B1">
        <w:t>II</w:t>
      </w:r>
      <w:r w:rsidR="008D1F76" w:rsidRPr="00CB0970">
        <w:t>b</w:t>
      </w:r>
      <w:proofErr w:type="spellEnd"/>
      <w:r w:rsidR="008D1F76" w:rsidRPr="00CB0970">
        <w:t xml:space="preserve"> supportive study (CV185067)</w:t>
      </w:r>
    </w:p>
    <w:p w:rsidR="008D1F76" w:rsidRPr="00CB0970" w:rsidRDefault="008D1F76" w:rsidP="00CB0970">
      <w:pPr>
        <w:pStyle w:val="ListBullet"/>
      </w:pPr>
      <w:r w:rsidRPr="00CB0970">
        <w:t xml:space="preserve">Erratum to </w:t>
      </w:r>
      <w:r w:rsidR="0005418A">
        <w:t>the sponsor’s s</w:t>
      </w:r>
      <w:r w:rsidRPr="00CB0970">
        <w:t xml:space="preserve">ummary of the </w:t>
      </w:r>
      <w:r w:rsidR="0005418A">
        <w:t>c</w:t>
      </w:r>
      <w:r w:rsidRPr="00CB0970">
        <w:t xml:space="preserve">linical </w:t>
      </w:r>
      <w:r w:rsidR="0005418A">
        <w:t>p</w:t>
      </w:r>
      <w:r w:rsidRPr="00CB0970">
        <w:t>harmacology</w:t>
      </w:r>
    </w:p>
    <w:p w:rsidR="008D1F76" w:rsidRPr="00CB0970" w:rsidRDefault="008D1F76" w:rsidP="00CB0970">
      <w:pPr>
        <w:pStyle w:val="ListBullet"/>
      </w:pPr>
      <w:r w:rsidRPr="00CB0970">
        <w:t>Report into suspected misconduct at a site in China for the ARISTOTLE study</w:t>
      </w:r>
    </w:p>
    <w:p w:rsidR="008D1F76" w:rsidRPr="00CB0970" w:rsidRDefault="008D1F76" w:rsidP="00CB0970">
      <w:pPr>
        <w:pStyle w:val="ListBullet"/>
      </w:pPr>
      <w:r w:rsidRPr="00CB0970">
        <w:t>C</w:t>
      </w:r>
      <w:r w:rsidR="0005418A">
        <w:t xml:space="preserve">RL </w:t>
      </w:r>
      <w:r w:rsidRPr="00CB0970">
        <w:t>from the FDA and the sponsor’s response</w:t>
      </w:r>
    </w:p>
    <w:p w:rsidR="002E6A83" w:rsidRPr="002E6A83" w:rsidRDefault="002E6A83" w:rsidP="00937BDA">
      <w:r>
        <w:t xml:space="preserve">An additional PD </w:t>
      </w:r>
      <w:r w:rsidR="00735B18">
        <w:t>s</w:t>
      </w:r>
      <w:r w:rsidRPr="002E6A83">
        <w:t xml:space="preserve">tudy </w:t>
      </w:r>
      <w:r>
        <w:t>(</w:t>
      </w:r>
      <w:r w:rsidRPr="002E6A83">
        <w:t>CV185066</w:t>
      </w:r>
      <w:r>
        <w:t>)</w:t>
      </w:r>
      <w:r w:rsidRPr="002E6A83">
        <w:t xml:space="preserve"> </w:t>
      </w:r>
      <w:r>
        <w:t xml:space="preserve">was reviewed by the evaluator after the </w:t>
      </w:r>
      <w:r w:rsidR="00ED587E">
        <w:t>clinical evaluation report (</w:t>
      </w:r>
      <w:r>
        <w:t>CER</w:t>
      </w:r>
      <w:r w:rsidR="00ED587E">
        <w:t>)</w:t>
      </w:r>
      <w:r>
        <w:t xml:space="preserve"> was finalised</w:t>
      </w:r>
      <w:r w:rsidR="00735B18">
        <w:t xml:space="preserve"> and is summarised below</w:t>
      </w:r>
      <w:r w:rsidRPr="002E6A83">
        <w:t>.</w:t>
      </w:r>
    </w:p>
    <w:p w:rsidR="008D1F76" w:rsidRPr="008D1F76" w:rsidRDefault="008D1F76" w:rsidP="00A7244B">
      <w:pPr>
        <w:pStyle w:val="Heading4"/>
      </w:pPr>
      <w:r w:rsidRPr="008D1F76">
        <w:t>Pharmacology</w:t>
      </w:r>
    </w:p>
    <w:p w:rsidR="008D1F76" w:rsidRPr="008D1F76" w:rsidRDefault="008D1F76" w:rsidP="00937BDA">
      <w:r w:rsidRPr="006C291C">
        <w:t>Three pharmacology studies were evaluated by the clinical evaluator (</w:t>
      </w:r>
      <w:r w:rsidR="006C291C" w:rsidRPr="006C291C">
        <w:t xml:space="preserve">Studies </w:t>
      </w:r>
      <w:r w:rsidRPr="006C291C">
        <w:t>CV185074, CV185029 and CV185025), one of which was a hepatic impairment study (CV185025) that had been previously evaluated in the VTE prevention submission.</w:t>
      </w:r>
      <w:r w:rsidR="005E42C7" w:rsidRPr="006C291C">
        <w:t xml:space="preserve"> </w:t>
      </w:r>
      <w:r w:rsidRPr="008D1F76">
        <w:t>Some of the findings noted by the evaluator include:</w:t>
      </w:r>
    </w:p>
    <w:p w:rsidR="008D1F76" w:rsidRPr="00937BDA" w:rsidRDefault="008D1F76" w:rsidP="00937BDA">
      <w:pPr>
        <w:pStyle w:val="ListBullet"/>
      </w:pPr>
      <w:proofErr w:type="spellStart"/>
      <w:r w:rsidRPr="008D1F76">
        <w:t>Apixaban’s</w:t>
      </w:r>
      <w:proofErr w:type="spellEnd"/>
      <w:r w:rsidRPr="008D1F76">
        <w:t xml:space="preserve"> </w:t>
      </w:r>
      <w:r w:rsidR="008D6729">
        <w:t xml:space="preserve">t½ </w:t>
      </w:r>
      <w:r w:rsidRPr="008D1F76">
        <w:t>of 8.65</w:t>
      </w:r>
      <w:r w:rsidR="008D6729">
        <w:t xml:space="preserve"> h </w:t>
      </w:r>
      <w:r w:rsidRPr="008D1F76">
        <w:t xml:space="preserve">was similar to </w:t>
      </w:r>
      <w:proofErr w:type="spellStart"/>
      <w:r w:rsidRPr="008D1F76">
        <w:t>rivaroxaban</w:t>
      </w:r>
      <w:r w:rsidR="008D6729">
        <w:t>’s</w:t>
      </w:r>
      <w:proofErr w:type="spellEnd"/>
      <w:r w:rsidRPr="008D1F76">
        <w:t xml:space="preserve"> (7.89</w:t>
      </w:r>
      <w:r w:rsidR="008D6729">
        <w:t xml:space="preserve"> h</w:t>
      </w:r>
      <w:r w:rsidRPr="008D1F76">
        <w:t xml:space="preserve">) but its twice daily dosing </w:t>
      </w:r>
      <w:r w:rsidR="008D6729">
        <w:t xml:space="preserve">regimen </w:t>
      </w:r>
      <w:r w:rsidRPr="008D1F76">
        <w:t xml:space="preserve">compared to </w:t>
      </w:r>
      <w:proofErr w:type="spellStart"/>
      <w:r w:rsidRPr="008D1F76">
        <w:t>rivaroxaban</w:t>
      </w:r>
      <w:proofErr w:type="spellEnd"/>
      <w:r w:rsidRPr="008D1F76">
        <w:t xml:space="preserve"> led to a smaller peak to trough concentration ratio (</w:t>
      </w:r>
      <w:proofErr w:type="spellStart"/>
      <w:r w:rsidRPr="008D1F76">
        <w:t>Cmax</w:t>
      </w:r>
      <w:proofErr w:type="spellEnd"/>
      <w:r w:rsidRPr="008D1F76">
        <w:t>/</w:t>
      </w:r>
      <w:proofErr w:type="spellStart"/>
      <w:r w:rsidRPr="008D1F76">
        <w:t>Cmin</w:t>
      </w:r>
      <w:proofErr w:type="spellEnd"/>
      <w:r w:rsidRPr="008D1F76">
        <w:t xml:space="preserve">) of 4.7 compared to 16.9 for </w:t>
      </w:r>
      <w:proofErr w:type="spellStart"/>
      <w:r w:rsidRPr="008D1F76">
        <w:t>rivaroxaban</w:t>
      </w:r>
      <w:proofErr w:type="spellEnd"/>
      <w:r w:rsidRPr="008D1F76">
        <w:t xml:space="preserve"> in healthy volunteers, potentially implying a more consistent exposure for apixaban over 24 h.</w:t>
      </w:r>
      <w:r w:rsidR="005E42C7">
        <w:t xml:space="preserve"> </w:t>
      </w:r>
      <w:r w:rsidRPr="008D1F76">
        <w:t>In patients with</w:t>
      </w:r>
      <w:r w:rsidRPr="00937BDA">
        <w:t xml:space="preserve"> AF, the ratio was 1.33 for the 2.5</w:t>
      </w:r>
      <w:r w:rsidR="00071C0C" w:rsidRPr="00937BDA">
        <w:t xml:space="preserve"> </w:t>
      </w:r>
      <w:r w:rsidRPr="00937BDA">
        <w:t>mg dose and 1.54 for the 5</w:t>
      </w:r>
      <w:r w:rsidR="00071C0C" w:rsidRPr="00937BDA">
        <w:t xml:space="preserve"> </w:t>
      </w:r>
      <w:r w:rsidRPr="00937BDA">
        <w:t>mg dose.</w:t>
      </w:r>
    </w:p>
    <w:p w:rsidR="008D1F76" w:rsidRPr="00937BDA" w:rsidRDefault="008D1F76" w:rsidP="00937BDA">
      <w:pPr>
        <w:pStyle w:val="ListBullet"/>
      </w:pPr>
      <w:r w:rsidRPr="00937BDA">
        <w:t xml:space="preserve">Bioavailability of an </w:t>
      </w:r>
      <w:proofErr w:type="spellStart"/>
      <w:r w:rsidRPr="00937BDA">
        <w:t>apixaban</w:t>
      </w:r>
      <w:proofErr w:type="spellEnd"/>
      <w:r w:rsidRPr="00937BDA">
        <w:t xml:space="preserve"> solution and tablets was similar.</w:t>
      </w:r>
    </w:p>
    <w:p w:rsidR="008D1F76" w:rsidRPr="00937BDA" w:rsidRDefault="008D1F76" w:rsidP="00937BDA">
      <w:pPr>
        <w:pStyle w:val="ListBullet"/>
      </w:pPr>
      <w:r w:rsidRPr="00937BDA">
        <w:t xml:space="preserve">The justification for not providing bioequivalence data between the </w:t>
      </w:r>
      <w:r w:rsidR="00AB60B1" w:rsidRPr="00937BDA">
        <w:t>P</w:t>
      </w:r>
      <w:r w:rsidRPr="00937BDA">
        <w:t xml:space="preserve">hase </w:t>
      </w:r>
      <w:r w:rsidR="00AB60B1" w:rsidRPr="00937BDA">
        <w:t>III</w:t>
      </w:r>
      <w:r w:rsidRPr="00937BDA">
        <w:t xml:space="preserve"> tablet formulation and the commercial formulation was acceptable on clinical grounds.</w:t>
      </w:r>
    </w:p>
    <w:p w:rsidR="008D1F76" w:rsidRPr="00937BDA" w:rsidRDefault="008D1F76" w:rsidP="00937BDA">
      <w:pPr>
        <w:pStyle w:val="ListBullet"/>
      </w:pPr>
      <w:r w:rsidRPr="00937BDA">
        <w:t xml:space="preserve">No </w:t>
      </w:r>
      <w:r w:rsidR="008D6729" w:rsidRPr="00937BDA">
        <w:t xml:space="preserve">bioequivalence study </w:t>
      </w:r>
      <w:r w:rsidRPr="00937BDA">
        <w:t>was provided that compares the 2.5</w:t>
      </w:r>
      <w:r w:rsidR="00071C0C" w:rsidRPr="00937BDA">
        <w:t xml:space="preserve"> </w:t>
      </w:r>
      <w:r w:rsidRPr="00937BDA">
        <w:t>mg and 5</w:t>
      </w:r>
      <w:r w:rsidR="00071C0C" w:rsidRPr="00937BDA">
        <w:t xml:space="preserve"> </w:t>
      </w:r>
      <w:r w:rsidRPr="00937BDA">
        <w:t>mg strengths.</w:t>
      </w:r>
    </w:p>
    <w:p w:rsidR="008D1F76" w:rsidRPr="008D1F76" w:rsidRDefault="008D1F76" w:rsidP="00937BDA">
      <w:pPr>
        <w:pStyle w:val="ListBullet"/>
      </w:pPr>
      <w:r w:rsidRPr="00937BDA">
        <w:t>Administration o</w:t>
      </w:r>
      <w:r w:rsidRPr="008D1F76">
        <w:t xml:space="preserve">f </w:t>
      </w:r>
      <w:proofErr w:type="spellStart"/>
      <w:r w:rsidRPr="008D1F76">
        <w:t>apixaban</w:t>
      </w:r>
      <w:proofErr w:type="spellEnd"/>
      <w:r w:rsidRPr="008D1F76">
        <w:t xml:space="preserve"> in the evening resulted in a 43% reduction in absorption rate constant compared to morning dosing.</w:t>
      </w:r>
    </w:p>
    <w:p w:rsidR="008D1F76" w:rsidRPr="00937BDA" w:rsidRDefault="008D1F76" w:rsidP="00937BDA">
      <w:pPr>
        <w:pStyle w:val="ListBullet"/>
      </w:pPr>
      <w:r w:rsidRPr="008D1F76">
        <w:t xml:space="preserve">Patients with mild and moderate hepatic impairment had similar </w:t>
      </w:r>
      <w:r w:rsidR="00E12F88">
        <w:t xml:space="preserve">PKs </w:t>
      </w:r>
      <w:r w:rsidRPr="008D1F76">
        <w:t>to healthy su</w:t>
      </w:r>
      <w:r w:rsidRPr="00937BDA">
        <w:t xml:space="preserve">bjects for </w:t>
      </w:r>
      <w:proofErr w:type="spellStart"/>
      <w:r w:rsidRPr="00937BDA">
        <w:t>apixaban</w:t>
      </w:r>
      <w:proofErr w:type="spellEnd"/>
      <w:r w:rsidRPr="00937BDA">
        <w:t xml:space="preserve"> (AUC and </w:t>
      </w:r>
      <w:proofErr w:type="spellStart"/>
      <w:r w:rsidRPr="00937BDA">
        <w:t>Cmax</w:t>
      </w:r>
      <w:proofErr w:type="spellEnd"/>
      <w:r w:rsidRPr="00937BDA">
        <w:t>).</w:t>
      </w:r>
      <w:r w:rsidR="005E42C7" w:rsidRPr="00937BDA">
        <w:t xml:space="preserve"> </w:t>
      </w:r>
      <w:r w:rsidRPr="00937BDA">
        <w:t>There were no data in severe hepatic impairment.</w:t>
      </w:r>
    </w:p>
    <w:p w:rsidR="008D1F76" w:rsidRPr="00937BDA" w:rsidRDefault="008D1F76" w:rsidP="00937BDA">
      <w:pPr>
        <w:pStyle w:val="ListBullet"/>
      </w:pPr>
      <w:r w:rsidRPr="00937BDA">
        <w:t xml:space="preserve">No studies directly compared the </w:t>
      </w:r>
      <w:r w:rsidR="00E12F88" w:rsidRPr="00937BDA">
        <w:t xml:space="preserve">PKs </w:t>
      </w:r>
      <w:r w:rsidRPr="00937BDA">
        <w:t>in AF patients and healthy subjects.</w:t>
      </w:r>
    </w:p>
    <w:p w:rsidR="008D1F76" w:rsidRPr="00937BDA" w:rsidRDefault="008D1F76" w:rsidP="00937BDA">
      <w:pPr>
        <w:pStyle w:val="ListBullet"/>
      </w:pPr>
      <w:r w:rsidRPr="00937BDA">
        <w:t xml:space="preserve">Population PK analysis indicated that age and gender were predictive covariates on apparent </w:t>
      </w:r>
      <w:r w:rsidR="00E12F88" w:rsidRPr="00937BDA">
        <w:t>CLNR</w:t>
      </w:r>
      <w:r w:rsidRPr="00937BDA">
        <w:t>.</w:t>
      </w:r>
      <w:r w:rsidR="005E42C7" w:rsidRPr="00937BDA">
        <w:t xml:space="preserve"> </w:t>
      </w:r>
      <w:r w:rsidRPr="00937BDA">
        <w:t xml:space="preserve">Body weight influenced </w:t>
      </w:r>
      <w:r w:rsidR="008D6729" w:rsidRPr="00937BDA">
        <w:t>a</w:t>
      </w:r>
      <w:r w:rsidRPr="00937BDA">
        <w:t xml:space="preserve">pparent </w:t>
      </w:r>
      <w:proofErr w:type="spellStart"/>
      <w:r w:rsidR="00E12F88" w:rsidRPr="00937BDA">
        <w:t>VDc</w:t>
      </w:r>
      <w:proofErr w:type="spellEnd"/>
      <w:r w:rsidRPr="00937BDA">
        <w:t>.</w:t>
      </w:r>
      <w:r w:rsidR="005E42C7" w:rsidRPr="00937BDA">
        <w:t xml:space="preserve"> </w:t>
      </w:r>
      <w:proofErr w:type="spellStart"/>
      <w:r w:rsidRPr="00937BDA">
        <w:t>A</w:t>
      </w:r>
      <w:r w:rsidR="002E6A83" w:rsidRPr="00937BDA">
        <w:t>trial</w:t>
      </w:r>
      <w:proofErr w:type="spellEnd"/>
      <w:r w:rsidR="002E6A83" w:rsidRPr="00937BDA">
        <w:t xml:space="preserve"> fibrillation</w:t>
      </w:r>
      <w:r w:rsidRPr="00937BDA">
        <w:t>, recent acute coronary syndrome and strong or moderate CYP3A4/P</w:t>
      </w:r>
      <w:r w:rsidR="00E12F88" w:rsidRPr="00937BDA">
        <w:t>-</w:t>
      </w:r>
      <w:proofErr w:type="spellStart"/>
      <w:r w:rsidRPr="00937BDA">
        <w:t>g</w:t>
      </w:r>
      <w:r w:rsidR="00E12F88" w:rsidRPr="00937BDA">
        <w:t>p</w:t>
      </w:r>
      <w:proofErr w:type="spellEnd"/>
      <w:r w:rsidRPr="00937BDA">
        <w:t xml:space="preserve"> inhibitors resulted in decreased </w:t>
      </w:r>
      <w:r w:rsidR="008D6729" w:rsidRPr="00937BDA">
        <w:t>clearance</w:t>
      </w:r>
      <w:r w:rsidRPr="00937BDA">
        <w:t>.</w:t>
      </w:r>
    </w:p>
    <w:p w:rsidR="008B0657" w:rsidRDefault="008D1F76" w:rsidP="00937BDA">
      <w:pPr>
        <w:pStyle w:val="ListBullet"/>
      </w:pPr>
      <w:r w:rsidRPr="00937BDA">
        <w:t xml:space="preserve">There was a linear relationship between plasma concentration and </w:t>
      </w:r>
      <w:r w:rsidR="00E12F88" w:rsidRPr="00937BDA">
        <w:t>anti-</w:t>
      </w:r>
      <w:proofErr w:type="spellStart"/>
      <w:r w:rsidR="00E12F88" w:rsidRPr="00937BDA">
        <w:t>FXa</w:t>
      </w:r>
      <w:proofErr w:type="spellEnd"/>
      <w:r w:rsidR="00E12F88" w:rsidRPr="00937BDA">
        <w:t xml:space="preserve"> activity</w:t>
      </w:r>
      <w:r w:rsidRPr="00937BDA">
        <w:t xml:space="preserve"> but this was</w:t>
      </w:r>
      <w:r w:rsidRPr="008D1F76">
        <w:t>n’t accurate at low or high concentrations to predict the effects of apixaban.</w:t>
      </w:r>
    </w:p>
    <w:p w:rsidR="008B0657" w:rsidRPr="008B0657" w:rsidRDefault="008B0657" w:rsidP="00937BDA">
      <w:r w:rsidRPr="008B0657">
        <w:t>Study CV185066 (</w:t>
      </w:r>
      <w:r>
        <w:t>submitted after the CER was finalised</w:t>
      </w:r>
      <w:r w:rsidRPr="008B0657">
        <w:t xml:space="preserve">) compared the </w:t>
      </w:r>
      <w:r w:rsidRPr="008B0657">
        <w:rPr>
          <w:i/>
        </w:rPr>
        <w:t>in vitro</w:t>
      </w:r>
      <w:r w:rsidRPr="008B0657">
        <w:t xml:space="preserve"> activity of apixaban (30 and 110 </w:t>
      </w:r>
      <w:proofErr w:type="spellStart"/>
      <w:r w:rsidRPr="008B0657">
        <w:t>ng</w:t>
      </w:r>
      <w:proofErr w:type="spellEnd"/>
      <w:r w:rsidRPr="008B0657">
        <w:t>/</w:t>
      </w:r>
      <w:proofErr w:type="spellStart"/>
      <w:r w:rsidRPr="008B0657">
        <w:t>mL</w:t>
      </w:r>
      <w:proofErr w:type="spellEnd"/>
      <w:r w:rsidRPr="008B0657">
        <w:t xml:space="preserve">) in plasma taken from 75 healthy adult and paediatric subjects of various ages. The results indicate that, on the whole, the PD activity of apixaban is similar, based on </w:t>
      </w:r>
      <w:r w:rsidR="00E12F88" w:rsidRPr="00C91B3B">
        <w:t>anti-</w:t>
      </w:r>
      <w:proofErr w:type="spellStart"/>
      <w:r w:rsidR="00E12F88">
        <w:t>F</w:t>
      </w:r>
      <w:r w:rsidR="00E12F88" w:rsidRPr="00C91B3B">
        <w:t>Xa</w:t>
      </w:r>
      <w:proofErr w:type="spellEnd"/>
      <w:r w:rsidR="00E12F88" w:rsidRPr="00C91B3B">
        <w:t xml:space="preserve"> activity</w:t>
      </w:r>
      <w:r w:rsidRPr="008B0657">
        <w:t xml:space="preserve">, endogenous factor X levels, mean </w:t>
      </w:r>
      <w:proofErr w:type="spellStart"/>
      <w:r w:rsidRPr="008B0657">
        <w:t>prothrombin</w:t>
      </w:r>
      <w:proofErr w:type="spellEnd"/>
      <w:r w:rsidRPr="008B0657">
        <w:t xml:space="preserve"> time (</w:t>
      </w:r>
      <w:proofErr w:type="spellStart"/>
      <w:r w:rsidRPr="008B0657">
        <w:t>mPT</w:t>
      </w:r>
      <w:proofErr w:type="spellEnd"/>
      <w:r w:rsidRPr="008B0657">
        <w:t xml:space="preserve">)and </w:t>
      </w:r>
      <w:proofErr w:type="spellStart"/>
      <w:r w:rsidRPr="008B0657">
        <w:t>prothrombin</w:t>
      </w:r>
      <w:proofErr w:type="spellEnd"/>
      <w:r w:rsidRPr="008B0657">
        <w:t xml:space="preserve"> time (PT), in plasma taken from adult and paediatric subjects. However, </w:t>
      </w:r>
      <w:r>
        <w:t xml:space="preserve">the clinical evaluator considered </w:t>
      </w:r>
      <w:r w:rsidRPr="008B0657">
        <w:t xml:space="preserve">this study should not be used to justify the administration of apixaban in paediatric subjects unless a full PK and safety profile for </w:t>
      </w:r>
      <w:r w:rsidRPr="008B0657">
        <w:lastRenderedPageBreak/>
        <w:t xml:space="preserve">apixaban is developed and compared in both paediatric and adult populations. As it stands it should be noted that this study was primarily conducted to compare PD activity between children and adults and that children do not form part of target population of the current submission. </w:t>
      </w:r>
    </w:p>
    <w:p w:rsidR="008D1F76" w:rsidRPr="008D1F76" w:rsidRDefault="008D1F76" w:rsidP="00A7244B">
      <w:pPr>
        <w:pStyle w:val="Heading4"/>
      </w:pPr>
      <w:r w:rsidRPr="008D1F76">
        <w:t>Efficacy</w:t>
      </w:r>
    </w:p>
    <w:p w:rsidR="008D1F76" w:rsidRPr="008D1F76" w:rsidRDefault="008D1F76" w:rsidP="008D1F76">
      <w:bookmarkStart w:id="293" w:name="OLE_LINK3"/>
      <w:bookmarkStart w:id="294" w:name="OLE_LINK4"/>
      <w:r w:rsidRPr="008D1F76">
        <w:t>The efficacy data submitted primarily focus on the large pivotal stud</w:t>
      </w:r>
      <w:r w:rsidR="00F30696">
        <w:t>ies</w:t>
      </w:r>
      <w:r w:rsidRPr="008D1F76">
        <w:t xml:space="preserve"> ARISTOTLE (CV185030) and AVERROES (CV185048).</w:t>
      </w:r>
      <w:r w:rsidR="005E42C7">
        <w:t xml:space="preserve"> </w:t>
      </w:r>
      <w:r w:rsidRPr="008D1F76">
        <w:t xml:space="preserve">Supportive information was provided by a </w:t>
      </w:r>
      <w:r w:rsidR="00AB60B1">
        <w:t>P</w:t>
      </w:r>
      <w:r w:rsidRPr="008D1F76">
        <w:t xml:space="preserve">hase </w:t>
      </w:r>
      <w:proofErr w:type="spellStart"/>
      <w:r w:rsidR="00AB60B1">
        <w:t>II</w:t>
      </w:r>
      <w:r w:rsidRPr="008D1F76">
        <w:t>b</w:t>
      </w:r>
      <w:proofErr w:type="spellEnd"/>
      <w:r w:rsidRPr="008D1F76">
        <w:t xml:space="preserve"> study (CV185067) and ADOPT (CV185036).</w:t>
      </w:r>
    </w:p>
    <w:p w:rsidR="008D1F76" w:rsidRPr="008D1F76" w:rsidRDefault="008D1F76" w:rsidP="008D1F76">
      <w:r w:rsidRPr="008D1F76">
        <w:t>A dose of 5</w:t>
      </w:r>
      <w:r w:rsidR="00071C0C">
        <w:t xml:space="preserve"> </w:t>
      </w:r>
      <w:r w:rsidRPr="008D1F76">
        <w:t xml:space="preserve">mg </w:t>
      </w:r>
      <w:r w:rsidR="00341B29">
        <w:t>bid</w:t>
      </w:r>
      <w:r w:rsidRPr="008D1F76">
        <w:t xml:space="preserve"> was selected as the optimal dose for balancing safety and efficacy of apixaban, which was based on two studies, one of which was previously evaluated in the original </w:t>
      </w:r>
      <w:r w:rsidR="00E12F88">
        <w:t xml:space="preserve">registration </w:t>
      </w:r>
      <w:r w:rsidRPr="008D1F76">
        <w:t>submission</w:t>
      </w:r>
      <w:r w:rsidR="00E12F88">
        <w:t xml:space="preserve"> for apixaban</w:t>
      </w:r>
      <w:r w:rsidRPr="008D1F76">
        <w:t>.</w:t>
      </w:r>
    </w:p>
    <w:p w:rsidR="0013497B" w:rsidRPr="00E12F88" w:rsidRDefault="00517AEC" w:rsidP="00605F9B">
      <w:pPr>
        <w:pStyle w:val="Heading6"/>
      </w:pPr>
      <w:r>
        <w:t xml:space="preserve">Summary of </w:t>
      </w:r>
      <w:r w:rsidR="008D1F76" w:rsidRPr="00E12F88">
        <w:t>ARISTOTLE (</w:t>
      </w:r>
      <w:r w:rsidR="0013497B" w:rsidRPr="00E12F88">
        <w:t xml:space="preserve">Study </w:t>
      </w:r>
      <w:r w:rsidR="00937BDA">
        <w:t>CV185030)</w:t>
      </w:r>
    </w:p>
    <w:p w:rsidR="00F30696" w:rsidRDefault="008D1F76" w:rsidP="008D1F76">
      <w:r w:rsidRPr="008D1F76">
        <w:t>This was a pivotal</w:t>
      </w:r>
      <w:r w:rsidR="00E12F88">
        <w:t>,</w:t>
      </w:r>
      <w:r w:rsidRPr="008D1F76">
        <w:t xml:space="preserve"> </w:t>
      </w:r>
      <w:r w:rsidR="00AB60B1">
        <w:t>P</w:t>
      </w:r>
      <w:r w:rsidRPr="008D1F76">
        <w:t>hase III, multinational, multicentre, randomised, double blind, double dummy, parallel design, non-inferiority and superiority trial comparing apixaban 5</w:t>
      </w:r>
      <w:r w:rsidR="00071C0C">
        <w:t xml:space="preserve"> </w:t>
      </w:r>
      <w:r w:rsidRPr="008D1F76">
        <w:t xml:space="preserve">mg </w:t>
      </w:r>
      <w:r w:rsidR="00341B29">
        <w:t>bid</w:t>
      </w:r>
      <w:r w:rsidRPr="008D1F76">
        <w:t xml:space="preserve"> (2.5</w:t>
      </w:r>
      <w:r w:rsidR="00071C0C">
        <w:t xml:space="preserve"> </w:t>
      </w:r>
      <w:r w:rsidRPr="008D1F76">
        <w:t xml:space="preserve">mg </w:t>
      </w:r>
      <w:r w:rsidR="00341B29">
        <w:t xml:space="preserve">bid </w:t>
      </w:r>
      <w:r w:rsidRPr="008D1F76">
        <w:t xml:space="preserve">if </w:t>
      </w:r>
      <w:r w:rsidR="005824CB">
        <w:t xml:space="preserve">at least </w:t>
      </w:r>
      <w:r w:rsidRPr="008D1F76">
        <w:t>two of the following criteria applied at baseli</w:t>
      </w:r>
      <w:r w:rsidR="00052EF3">
        <w:t>ne: age ≥80 years, body weight ≤60 kg or serum creatinine ≥</w:t>
      </w:r>
      <w:r w:rsidRPr="008D1F76">
        <w:t xml:space="preserve">133 µmol/L) and warfarin (INR 2-3, central monitoring, 43% warfarin </w:t>
      </w:r>
      <w:r w:rsidR="00F30696">
        <w:t xml:space="preserve">naïve </w:t>
      </w:r>
      <w:r w:rsidRPr="008D1F76">
        <w:t xml:space="preserve">and 57% warfarin experienced, 60.5% median </w:t>
      </w:r>
      <w:r w:rsidR="00DB06A5">
        <w:t xml:space="preserve">time in therapeutic range (TTR; </w:t>
      </w:r>
      <w:r w:rsidRPr="008D1F76">
        <w:t>66% if exclude first 7 days of titration and warfarin interruptions)) in 18,201 patients with AF (ECG documented AF or atrial flutter not due to a reversible cause, 15% paroxysmal, 85% persistent or permanent) and one additional risk factor for stroke (67% had ≥2 risk factors: hypertension 87%, symptomatic CHF 35%, age ≥75 years 31%, diabetes mellitus 25%, prior stroke/TIA/SE 19%, mean CHADS</w:t>
      </w:r>
      <w:r w:rsidRPr="00F41964">
        <w:rPr>
          <w:vertAlign w:val="subscript"/>
        </w:rPr>
        <w:t>2</w:t>
      </w:r>
      <w:r w:rsidRPr="008D1F76">
        <w:t xml:space="preserve"> score of 2.1) for a mean 1.7 years of treatment.</w:t>
      </w:r>
    </w:p>
    <w:p w:rsidR="00F30696" w:rsidRDefault="008D1F76" w:rsidP="008D1F76">
      <w:r w:rsidRPr="008D1F76">
        <w:t>There was a screening period of up to 14 days or until INR was stabilised.</w:t>
      </w:r>
      <w:r w:rsidR="005E42C7">
        <w:t xml:space="preserve"> </w:t>
      </w:r>
      <w:r w:rsidRPr="008D1F76">
        <w:t>I</w:t>
      </w:r>
      <w:r w:rsidR="00E12F88">
        <w:t xml:space="preserve">nternational normalised ratio </w:t>
      </w:r>
      <w:r w:rsidRPr="008D1F76">
        <w:t>measurements were conducted by a central laboratory using encrypted point of care devices and INR was measured monthly once it was stabilised.</w:t>
      </w:r>
      <w:r w:rsidR="005E42C7">
        <w:t xml:space="preserve"> </w:t>
      </w:r>
      <w:r w:rsidRPr="008D1F76">
        <w:t>The primary analysis included all INRs irrespective of the titration period or warfarin interruption.</w:t>
      </w:r>
      <w:r w:rsidR="005E42C7">
        <w:t xml:space="preserve"> </w:t>
      </w:r>
      <w:r w:rsidRPr="008D1F76">
        <w:t>Key exclusion criteria were: AF due to reversible causes; clinically sign</w:t>
      </w:r>
      <w:r w:rsidR="00E12F88">
        <w:t xml:space="preserve">ificant mitral </w:t>
      </w:r>
      <w:proofErr w:type="spellStart"/>
      <w:r w:rsidR="00E12F88">
        <w:t>stenosis</w:t>
      </w:r>
      <w:proofErr w:type="spellEnd"/>
      <w:r w:rsidR="00E12F88">
        <w:t>; contra</w:t>
      </w:r>
      <w:r w:rsidRPr="008D1F76">
        <w:t xml:space="preserve">indication to anticoagulation; </w:t>
      </w:r>
      <w:proofErr w:type="spellStart"/>
      <w:r w:rsidR="00F30696">
        <w:t>alanine</w:t>
      </w:r>
      <w:proofErr w:type="spellEnd"/>
      <w:r w:rsidR="00F30696">
        <w:t xml:space="preserve"> </w:t>
      </w:r>
      <w:proofErr w:type="spellStart"/>
      <w:r w:rsidR="00F30696">
        <w:t>aminotransferase</w:t>
      </w:r>
      <w:proofErr w:type="spellEnd"/>
      <w:r w:rsidR="00F30696">
        <w:t xml:space="preserve"> </w:t>
      </w:r>
      <w:r w:rsidR="00E12F88">
        <w:t xml:space="preserve">(ALT) </w:t>
      </w:r>
      <w:r w:rsidR="00F30696">
        <w:t xml:space="preserve">or </w:t>
      </w:r>
      <w:proofErr w:type="spellStart"/>
      <w:r w:rsidR="00F30696">
        <w:t>aspartate</w:t>
      </w:r>
      <w:proofErr w:type="spellEnd"/>
      <w:r w:rsidR="00F30696">
        <w:t xml:space="preserve"> </w:t>
      </w:r>
      <w:proofErr w:type="spellStart"/>
      <w:r w:rsidR="00F30696" w:rsidRPr="00F30696">
        <w:t>aminotransferase</w:t>
      </w:r>
      <w:proofErr w:type="spellEnd"/>
      <w:r w:rsidR="00F30696">
        <w:t xml:space="preserve"> (</w:t>
      </w:r>
      <w:r w:rsidRPr="008D1F76">
        <w:t>AST</w:t>
      </w:r>
      <w:r w:rsidR="00F30696">
        <w:t>)</w:t>
      </w:r>
      <w:r w:rsidRPr="008D1F76">
        <w:t xml:space="preserve"> &gt;2</w:t>
      </w:r>
      <w:r w:rsidR="00F30696">
        <w:t xml:space="preserve"> times the upper limit of normal (</w:t>
      </w:r>
      <w:r w:rsidRPr="008D1F76">
        <w:t>ULN</w:t>
      </w:r>
      <w:r w:rsidR="00F30696">
        <w:t>)</w:t>
      </w:r>
      <w:r w:rsidRPr="008D1F76">
        <w:t xml:space="preserve"> or total bilirubin &gt;1.5</w:t>
      </w:r>
      <w:r w:rsidR="00F30696">
        <w:t xml:space="preserve"> times</w:t>
      </w:r>
      <w:r w:rsidR="00E12F88">
        <w:t xml:space="preserve"> ULN</w:t>
      </w:r>
      <w:r w:rsidR="00F30696">
        <w:t>; creatinine clearance &lt;25 mL</w:t>
      </w:r>
      <w:r w:rsidRPr="008D1F76">
        <w:t xml:space="preserve">/min; platelet count &lt;100,000; persistent, uncontrolled hypertension; infective </w:t>
      </w:r>
      <w:proofErr w:type="spellStart"/>
      <w:r w:rsidRPr="008D1F76">
        <w:t>endocarditis</w:t>
      </w:r>
      <w:proofErr w:type="spellEnd"/>
      <w:r w:rsidRPr="008D1F76">
        <w:t xml:space="preserve">; planned major surgery; </w:t>
      </w:r>
      <w:r w:rsidR="00E12F88">
        <w:t xml:space="preserve">or </w:t>
      </w:r>
      <w:r w:rsidRPr="008D1F76">
        <w:t>planned AF or flutter ablation surgery.</w:t>
      </w:r>
    </w:p>
    <w:p w:rsidR="00F30696" w:rsidRDefault="008D1F76" w:rsidP="008D1F76">
      <w:r w:rsidRPr="008D1F76">
        <w:t>Baseline characteristics were similar between the groups (mean age 69 years, 65% male, 83% White, 41% normal renal function, 42% mild renal impairment, 15% moderate renal impairment and 1.5% severe renal impairment).</w:t>
      </w:r>
      <w:r w:rsidR="005E42C7">
        <w:t xml:space="preserve"> </w:t>
      </w:r>
      <w:r w:rsidRPr="008D1F76">
        <w:t xml:space="preserve">Concomitant medications included </w:t>
      </w:r>
      <w:proofErr w:type="spellStart"/>
      <w:r w:rsidR="00E12F88">
        <w:t>angiotensin</w:t>
      </w:r>
      <w:proofErr w:type="spellEnd"/>
      <w:r w:rsidR="00E12F88">
        <w:t xml:space="preserve"> converting enzyme (</w:t>
      </w:r>
      <w:r w:rsidRPr="008D1F76">
        <w:t>ACE</w:t>
      </w:r>
      <w:r w:rsidR="00E12F88">
        <w:t>)</w:t>
      </w:r>
      <w:r w:rsidRPr="008D1F76">
        <w:t xml:space="preserve"> inhibitor 71%, beta blocker 64%, aspirin 31%, </w:t>
      </w:r>
      <w:proofErr w:type="spellStart"/>
      <w:r w:rsidRPr="008D1F76">
        <w:t>clopidogrel</w:t>
      </w:r>
      <w:proofErr w:type="spellEnd"/>
      <w:r w:rsidRPr="008D1F76">
        <w:t xml:space="preserve"> 1.9%, </w:t>
      </w:r>
      <w:proofErr w:type="spellStart"/>
      <w:r w:rsidRPr="008D1F76">
        <w:t>digoxin</w:t>
      </w:r>
      <w:proofErr w:type="spellEnd"/>
      <w:r w:rsidRPr="008D1F76">
        <w:t xml:space="preserve"> 32%, calcium channel blocker 30%, </w:t>
      </w:r>
      <w:r w:rsidR="00E12F88">
        <w:t xml:space="preserve">and </w:t>
      </w:r>
      <w:proofErr w:type="spellStart"/>
      <w:r w:rsidRPr="008D1F76">
        <w:t>statin</w:t>
      </w:r>
      <w:proofErr w:type="spellEnd"/>
      <w:r w:rsidRPr="008D1F76">
        <w:t xml:space="preserve"> 45%.</w:t>
      </w:r>
    </w:p>
    <w:p w:rsidR="00F30696" w:rsidRDefault="008D1F76" w:rsidP="008D1F76">
      <w:r w:rsidRPr="008D1F76">
        <w:t xml:space="preserve">Study discontinuation was 25% on apixaban and 28% on warfarin with similar reasons for both groups (7-8% due to </w:t>
      </w:r>
      <w:r w:rsidR="00F30696">
        <w:t>AEs</w:t>
      </w:r>
      <w:r w:rsidRPr="008D1F76">
        <w:t>).</w:t>
      </w:r>
      <w:r w:rsidR="005E42C7">
        <w:t xml:space="preserve"> </w:t>
      </w:r>
      <w:r w:rsidRPr="008D1F76">
        <w:t xml:space="preserve">Protocol deviations were slightly higher on apixaban (25% </w:t>
      </w:r>
      <w:r w:rsidR="00071C0C">
        <w:t>versus</w:t>
      </w:r>
      <w:r w:rsidR="00E12F88">
        <w:t xml:space="preserve"> 19%) with these</w:t>
      </w:r>
      <w:r w:rsidRPr="008D1F76">
        <w:t xml:space="preserve"> mainly being due to use of </w:t>
      </w:r>
      <w:proofErr w:type="spellStart"/>
      <w:r w:rsidRPr="008D1F76">
        <w:t>antithrombotics</w:t>
      </w:r>
      <w:proofErr w:type="spellEnd"/>
      <w:r w:rsidRPr="008D1F76">
        <w:t xml:space="preserve"> (7.0% </w:t>
      </w:r>
      <w:proofErr w:type="spellStart"/>
      <w:r w:rsidRPr="008D1F76">
        <w:t>apixaban</w:t>
      </w:r>
      <w:proofErr w:type="spellEnd"/>
      <w:r w:rsidRPr="008D1F76">
        <w:t xml:space="preserve"> </w:t>
      </w:r>
      <w:r w:rsidR="00071C0C">
        <w:t>versus</w:t>
      </w:r>
      <w:r w:rsidR="009650BD">
        <w:t xml:space="preserve"> 7.6%</w:t>
      </w:r>
      <w:r w:rsidRPr="008D1F76">
        <w:t xml:space="preserve"> warfarin</w:t>
      </w:r>
      <w:r w:rsidR="009650BD">
        <w:t>)</w:t>
      </w:r>
      <w:r w:rsidRPr="008D1F76">
        <w:t>.</w:t>
      </w:r>
      <w:r w:rsidR="005E42C7">
        <w:t xml:space="preserve"> </w:t>
      </w:r>
      <w:r w:rsidRPr="008D1F76">
        <w:t xml:space="preserve">Protocol deviations likely to </w:t>
      </w:r>
      <w:proofErr w:type="gramStart"/>
      <w:r w:rsidRPr="008D1F76">
        <w:t>effect</w:t>
      </w:r>
      <w:proofErr w:type="gramEnd"/>
      <w:r w:rsidRPr="008D1F76">
        <w:t xml:space="preserve"> the primary endpoint were pre-specified and occurred slightly higher on apixaban </w:t>
      </w:r>
      <w:r w:rsidR="009650BD">
        <w:t xml:space="preserve">than on warfarin </w:t>
      </w:r>
      <w:r w:rsidRPr="008D1F76">
        <w:t xml:space="preserve">(13.6% </w:t>
      </w:r>
      <w:r w:rsidR="00071C0C">
        <w:t>versus</w:t>
      </w:r>
      <w:r w:rsidRPr="008D1F76">
        <w:t xml:space="preserve"> 7.8%) but a sensitivity analysis showed that they did not impact on the primary study results.</w:t>
      </w:r>
      <w:r w:rsidR="005E42C7">
        <w:t xml:space="preserve"> </w:t>
      </w:r>
      <w:r w:rsidRPr="008D1F76">
        <w:t>Completion for the intended treatment period was 86-87%.</w:t>
      </w:r>
    </w:p>
    <w:p w:rsidR="008D1F76" w:rsidRPr="008D1F76" w:rsidRDefault="008D1F76" w:rsidP="00605F9B">
      <w:r w:rsidRPr="008D1F76">
        <w:t xml:space="preserve">Apixaban was considered non-inferior to warfarin if the upper bound of the 95% CI for the </w:t>
      </w:r>
      <w:r w:rsidR="00A868A3">
        <w:t xml:space="preserve">HR </w:t>
      </w:r>
      <w:r w:rsidRPr="008D1F76">
        <w:t>was less than the non-inferiority margin of 1.44 (based on 50% preservation of warfarin effect).</w:t>
      </w:r>
      <w:r w:rsidR="005E42C7">
        <w:t xml:space="preserve"> </w:t>
      </w:r>
      <w:r w:rsidRPr="008D1F76">
        <w:t>The study had 90% power to establish non-inferiority of apixaban to warfarin using either the upper boundary of the 99%</w:t>
      </w:r>
      <w:r w:rsidR="009650BD">
        <w:t xml:space="preserve"> </w:t>
      </w:r>
      <w:r w:rsidRPr="008D1F76">
        <w:t xml:space="preserve">CI for the relative risk </w:t>
      </w:r>
      <w:r w:rsidR="009650BD">
        <w:t>(RR</w:t>
      </w:r>
      <w:proofErr w:type="gramStart"/>
      <w:r w:rsidR="009650BD">
        <w:t xml:space="preserve">) </w:t>
      </w:r>
      <w:r w:rsidRPr="008D1F76">
        <w:t>being</w:t>
      </w:r>
      <w:proofErr w:type="gramEnd"/>
      <w:r w:rsidRPr="008D1F76">
        <w:t xml:space="preserve"> </w:t>
      </w:r>
      <w:r w:rsidRPr="008D1F76">
        <w:lastRenderedPageBreak/>
        <w:t>less than 1.44 or the upper boundary of the 95%</w:t>
      </w:r>
      <w:r w:rsidR="009650BD">
        <w:t xml:space="preserve"> </w:t>
      </w:r>
      <w:r w:rsidRPr="008D1F76">
        <w:t xml:space="preserve">CI for the </w:t>
      </w:r>
      <w:r w:rsidR="009650BD">
        <w:t xml:space="preserve">RR </w:t>
      </w:r>
      <w:r w:rsidRPr="008D1F76">
        <w:t>being less than 1.38.</w:t>
      </w:r>
      <w:r w:rsidR="005E42C7">
        <w:t xml:space="preserve"> </w:t>
      </w:r>
      <w:r w:rsidRPr="008D1F76">
        <w:t xml:space="preserve">The protocol allowed for testing of superiority of apixaban </w:t>
      </w:r>
      <w:r w:rsidR="00071C0C">
        <w:t>versus</w:t>
      </w:r>
      <w:r w:rsidRPr="008D1F76">
        <w:t xml:space="preserve"> warfarin if non-inferiority was first attained and then if that was obtained it allowed for superiority testing for the primary safety endpoint of major bleeding</w:t>
      </w:r>
      <w:r w:rsidR="009650BD">
        <w:t>,</w:t>
      </w:r>
      <w:r w:rsidRPr="008D1F76">
        <w:t xml:space="preserve"> and then if that was obtained it allowed for superiority testing for all cause mortality.</w:t>
      </w:r>
    </w:p>
    <w:p w:rsidR="00F30696" w:rsidRDefault="008D1F76" w:rsidP="00605F9B">
      <w:r w:rsidRPr="008D1F76">
        <w:t xml:space="preserve">The primary efficacy endpoint, which was to determine if apixaban was non-inferior to warfarin for the composite of time to first occurrence of stroke or </w:t>
      </w:r>
      <w:r w:rsidR="0031039E">
        <w:t xml:space="preserve">SE </w:t>
      </w:r>
      <w:r w:rsidRPr="008D1F76">
        <w:t xml:space="preserve">in AF patients with at least one additional risk factor, showed apixaban was </w:t>
      </w:r>
      <w:r w:rsidR="009650BD">
        <w:t xml:space="preserve">statistically significantly </w:t>
      </w:r>
      <w:proofErr w:type="spellStart"/>
      <w:r w:rsidR="009650BD">
        <w:t>non</w:t>
      </w:r>
      <w:r w:rsidR="009650BD">
        <w:noBreakHyphen/>
      </w:r>
      <w:r w:rsidRPr="008D1F76">
        <w:t>inferior</w:t>
      </w:r>
      <w:proofErr w:type="spellEnd"/>
      <w:r w:rsidRPr="008D1F76">
        <w:t xml:space="preserve"> to </w:t>
      </w:r>
      <w:proofErr w:type="spellStart"/>
      <w:r w:rsidRPr="008D1F76">
        <w:t>warfarin</w:t>
      </w:r>
      <w:proofErr w:type="spellEnd"/>
      <w:r w:rsidR="009650BD">
        <w:t>,</w:t>
      </w:r>
      <w:r w:rsidRPr="008D1F76">
        <w:t xml:space="preserve"> with HR=0.79 (95%</w:t>
      </w:r>
      <w:r w:rsidR="009650BD">
        <w:t xml:space="preserve"> </w:t>
      </w:r>
      <w:r w:rsidRPr="008D1F76">
        <w:t xml:space="preserve">CI 0.66-0.95, p&lt;0.0001 for non-inferiority, </w:t>
      </w:r>
      <w:r w:rsidR="00F30696">
        <w:t>intention to treat (</w:t>
      </w:r>
      <w:r w:rsidRPr="008D1F76">
        <w:t>ITT</w:t>
      </w:r>
      <w:r w:rsidR="00F30696">
        <w:t>) population</w:t>
      </w:r>
      <w:r w:rsidRPr="008D1F76">
        <w:t xml:space="preserve">), </w:t>
      </w:r>
      <w:r w:rsidR="00F30696">
        <w:t>numbers needed to treat (</w:t>
      </w:r>
      <w:r w:rsidRPr="008D1F76">
        <w:t>NNT</w:t>
      </w:r>
      <w:proofErr w:type="gramStart"/>
      <w:r w:rsidR="00F30696">
        <w:t>)</w:t>
      </w:r>
      <w:r w:rsidRPr="008D1F76">
        <w:t>=</w:t>
      </w:r>
      <w:proofErr w:type="gramEnd"/>
      <w:r w:rsidRPr="008D1F76">
        <w:t>167.</w:t>
      </w:r>
    </w:p>
    <w:p w:rsidR="008D1F76" w:rsidRPr="008D1F76" w:rsidRDefault="008D1F76" w:rsidP="00605F9B">
      <w:r w:rsidRPr="008D1F76">
        <w:t xml:space="preserve">The yearly event rate for stroke/SE was 1.27% </w:t>
      </w:r>
      <w:r w:rsidR="009650BD" w:rsidRPr="008D1F76">
        <w:t xml:space="preserve">for apixaban </w:t>
      </w:r>
      <w:r w:rsidR="00071C0C">
        <w:t>versus</w:t>
      </w:r>
      <w:r w:rsidRPr="008D1F76">
        <w:t xml:space="preserve"> 1.60% for warfarin</w:t>
      </w:r>
      <w:r w:rsidR="00052EF3">
        <w:t>,</w:t>
      </w:r>
      <w:r w:rsidRPr="008D1F76">
        <w:t xml:space="preserve"> which was primarily driven by the number of ischaemic strokes.</w:t>
      </w:r>
      <w:r w:rsidR="005E42C7">
        <w:t xml:space="preserve"> </w:t>
      </w:r>
      <w:r w:rsidRPr="008D1F76">
        <w:t xml:space="preserve">Haemorrhagic stroke was lower on apixaban </w:t>
      </w:r>
      <w:r w:rsidR="009650BD">
        <w:t xml:space="preserve">than on warfarin </w:t>
      </w:r>
      <w:r w:rsidRPr="008D1F76">
        <w:t xml:space="preserve">(0.44 </w:t>
      </w:r>
      <w:r w:rsidR="00071C0C">
        <w:t>versus</w:t>
      </w:r>
      <w:r w:rsidR="003B5B4F">
        <w:t xml:space="preserve"> 0.86%, HR 0.51, 95%CI 0.35-</w:t>
      </w:r>
      <w:r w:rsidRPr="008D1F76">
        <w:t>0.75).</w:t>
      </w:r>
      <w:r w:rsidR="005E42C7">
        <w:t xml:space="preserve"> </w:t>
      </w:r>
      <w:r w:rsidRPr="008D1F76">
        <w:t xml:space="preserve">The number of </w:t>
      </w:r>
      <w:r w:rsidR="0031039E">
        <w:t xml:space="preserve">SE </w:t>
      </w:r>
      <w:r w:rsidRPr="008D1F76">
        <w:t xml:space="preserve">events alone was low at 0.16% on apixaban </w:t>
      </w:r>
      <w:r w:rsidR="00071C0C">
        <w:t>versus</w:t>
      </w:r>
      <w:r w:rsidRPr="008D1F76">
        <w:t xml:space="preserve"> 0.18% on warfarin.</w:t>
      </w:r>
      <w:r w:rsidR="005E42C7">
        <w:t xml:space="preserve"> </w:t>
      </w:r>
      <w:r w:rsidRPr="008D1F76">
        <w:t>Fatal or disabling strokes were less on apixaban (0.50%/y</w:t>
      </w:r>
      <w:r w:rsidR="00F30696">
        <w:t>ea</w:t>
      </w:r>
      <w:r w:rsidRPr="008D1F76">
        <w:t xml:space="preserve">r </w:t>
      </w:r>
      <w:r w:rsidR="00071C0C">
        <w:t>versus</w:t>
      </w:r>
      <w:r w:rsidRPr="008D1F76">
        <w:t xml:space="preserve"> 0.71%/y</w:t>
      </w:r>
      <w:r w:rsidR="00F30696">
        <w:t>ea</w:t>
      </w:r>
      <w:r w:rsidRPr="008D1F76">
        <w:t>r, HR=0.71, 95%CI 0.54-0.94).</w:t>
      </w:r>
      <w:r w:rsidR="009650BD">
        <w:t xml:space="preserve"> These data are summarised in Table </w:t>
      </w:r>
      <w:r w:rsidR="006C05FE">
        <w:t>14</w:t>
      </w:r>
      <w:r w:rsidR="009650BD">
        <w:t>.</w:t>
      </w:r>
    </w:p>
    <w:p w:rsidR="008D1F76" w:rsidRPr="008D1F76" w:rsidRDefault="006C05FE" w:rsidP="00605F9B">
      <w:pPr>
        <w:pStyle w:val="TableTitle"/>
      </w:pPr>
      <w:proofErr w:type="gramStart"/>
      <w:r>
        <w:t>Table 14</w:t>
      </w:r>
      <w:r w:rsidR="00F30696">
        <w:t>.</w:t>
      </w:r>
      <w:proofErr w:type="gramEnd"/>
      <w:r w:rsidR="00F30696">
        <w:t xml:space="preserve"> </w:t>
      </w:r>
      <w:r w:rsidR="008D1F76" w:rsidRPr="008D1F76">
        <w:t>ARISTOTLE: Summary of adjudicated stroke or systemic embolism during the intended treatmen</w:t>
      </w:r>
      <w:r w:rsidR="00A7244B">
        <w:t>t period – randomised subjects</w:t>
      </w:r>
    </w:p>
    <w:p w:rsidR="008D1F76" w:rsidRPr="008D1F76" w:rsidRDefault="008D1F76" w:rsidP="00297F63">
      <w:r w:rsidRPr="008D1F76">
        <w:rPr>
          <w:noProof/>
          <w:lang w:eastAsia="en-AU"/>
        </w:rPr>
        <w:drawing>
          <wp:inline distT="0" distB="0" distL="0" distR="0">
            <wp:extent cx="5924550" cy="4067175"/>
            <wp:effectExtent l="19050" t="0" r="0" b="0"/>
            <wp:docPr id="4" name="Picture 1" descr="Table 14. ARISTOTLE: Summary of adjudicated stroke or systemic embolism during the intended treatment period – randomised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t="19737"/>
                    <a:stretch>
                      <a:fillRect/>
                    </a:stretch>
                  </pic:blipFill>
                  <pic:spPr bwMode="auto">
                    <a:xfrm>
                      <a:off x="0" y="0"/>
                      <a:ext cx="5924550" cy="4067175"/>
                    </a:xfrm>
                    <a:prstGeom prst="rect">
                      <a:avLst/>
                    </a:prstGeom>
                    <a:noFill/>
                    <a:ln w="9525">
                      <a:noFill/>
                      <a:miter lim="800000"/>
                      <a:headEnd/>
                      <a:tailEnd/>
                    </a:ln>
                  </pic:spPr>
                </pic:pic>
              </a:graphicData>
            </a:graphic>
          </wp:inline>
        </w:drawing>
      </w:r>
    </w:p>
    <w:p w:rsidR="00F30696" w:rsidRDefault="008D1F76" w:rsidP="00297F63">
      <w:r w:rsidRPr="008D1F76">
        <w:t>For the secondary endpoints, the superiority of apixaban was assessed compared with warfarin</w:t>
      </w:r>
      <w:r w:rsidR="00F30696">
        <w:t>,</w:t>
      </w:r>
      <w:r w:rsidRPr="008D1F76">
        <w:t xml:space="preserve"> which demonstrated a significant benefit for the reduction in stroke (ischaemic, haemorrhagic and unspecified) and </w:t>
      </w:r>
      <w:r w:rsidR="0031039E">
        <w:t xml:space="preserve">SE </w:t>
      </w:r>
      <w:r w:rsidRPr="008D1F76">
        <w:t>combined (p=0.0114 for superiority).</w:t>
      </w:r>
      <w:r w:rsidR="005E42C7">
        <w:t xml:space="preserve"> </w:t>
      </w:r>
      <w:r w:rsidR="00F30696">
        <w:t xml:space="preserve">In the response to </w:t>
      </w:r>
      <w:r w:rsidR="001759D0">
        <w:t xml:space="preserve">the Delegate’s </w:t>
      </w:r>
      <w:r w:rsidR="00F30696">
        <w:t xml:space="preserve">overview, the </w:t>
      </w:r>
      <w:r w:rsidRPr="008D1F76">
        <w:t xml:space="preserve">sponsor </w:t>
      </w:r>
      <w:r w:rsidR="00F30696">
        <w:t xml:space="preserve">is </w:t>
      </w:r>
      <w:r w:rsidRPr="008D1F76">
        <w:t>asked to comment on the “statistical significance” of this result given the alpha for this comparison was set at 0.005.</w:t>
      </w:r>
    </w:p>
    <w:p w:rsidR="009650BD" w:rsidRDefault="008D1F76" w:rsidP="00297F63">
      <w:r w:rsidRPr="008D1F76">
        <w:t>For first events, the frequencies for apixaban were slightly less than warfarin for ischaemic or unspecified stroke, clearly less for haemorrhagic stroke</w:t>
      </w:r>
      <w:r w:rsidR="009650BD">
        <w:t>,</w:t>
      </w:r>
      <w:r w:rsidRPr="008D1F76">
        <w:t xml:space="preserve"> and about the same for </w:t>
      </w:r>
      <w:r w:rsidR="0031039E">
        <w:t>SE</w:t>
      </w:r>
      <w:r w:rsidRPr="008D1F76">
        <w:t>.</w:t>
      </w:r>
      <w:r w:rsidR="005E42C7">
        <w:t xml:space="preserve"> </w:t>
      </w:r>
      <w:r w:rsidRPr="008D1F76">
        <w:t>Overall numbers of strokes were less on apixaban (2.18</w:t>
      </w:r>
      <w:r w:rsidR="009650BD">
        <w:t>%</w:t>
      </w:r>
      <w:r w:rsidRPr="008D1F76">
        <w:t xml:space="preserve"> </w:t>
      </w:r>
      <w:r w:rsidR="00071C0C">
        <w:t>versus</w:t>
      </w:r>
      <w:r w:rsidRPr="008D1F76">
        <w:t xml:space="preserve"> 2.75%), however of these, ischaemic strokes, which were the majority of the strokes, were about the same </w:t>
      </w:r>
      <w:r w:rsidRPr="008D1F76">
        <w:lastRenderedPageBreak/>
        <w:t>on both treatments (1.54</w:t>
      </w:r>
      <w:r w:rsidR="009650BD">
        <w:t>%</w:t>
      </w:r>
      <w:r w:rsidRPr="008D1F76">
        <w:t xml:space="preserve"> </w:t>
      </w:r>
      <w:r w:rsidR="00071C0C">
        <w:t>versus</w:t>
      </w:r>
      <w:r w:rsidRPr="008D1F76">
        <w:t xml:space="preserve"> 1.50%), compared to a reduction in haemorrhagic stroke on </w:t>
      </w:r>
      <w:proofErr w:type="spellStart"/>
      <w:r w:rsidRPr="008D1F76">
        <w:t>apixaban</w:t>
      </w:r>
      <w:proofErr w:type="spellEnd"/>
      <w:r w:rsidRPr="008D1F76">
        <w:t xml:space="preserve"> (0.44</w:t>
      </w:r>
      <w:r w:rsidR="009650BD">
        <w:t>%</w:t>
      </w:r>
      <w:r w:rsidRPr="008D1F76">
        <w:t xml:space="preserve"> </w:t>
      </w:r>
      <w:r w:rsidR="00071C0C">
        <w:t>versus</w:t>
      </w:r>
      <w:r w:rsidRPr="008D1F76">
        <w:t xml:space="preserve"> 0.86%).</w:t>
      </w:r>
    </w:p>
    <w:p w:rsidR="00F30696" w:rsidRDefault="008D1F76" w:rsidP="00297F63">
      <w:r w:rsidRPr="008D1F76">
        <w:t xml:space="preserve">Subgroup analysis showed that the HR results were &lt;1 in all apixaban subgroups (including warfarin </w:t>
      </w:r>
      <w:r w:rsidR="009650BD">
        <w:t xml:space="preserve">naïve </w:t>
      </w:r>
      <w:r w:rsidRPr="008D1F76">
        <w:t>and experienced, 2.5 and 5</w:t>
      </w:r>
      <w:r w:rsidR="00071C0C">
        <w:t xml:space="preserve"> </w:t>
      </w:r>
      <w:r w:rsidRPr="008D1F76">
        <w:t xml:space="preserve">mg </w:t>
      </w:r>
      <w:r w:rsidR="00341B29">
        <w:t>bid</w:t>
      </w:r>
      <w:r w:rsidRPr="008D1F76">
        <w:t xml:space="preserve"> groups, age &gt;75 years, ≤1 or ≥2 risk factors, CHADS</w:t>
      </w:r>
      <w:r w:rsidRPr="00F41964">
        <w:rPr>
          <w:vertAlign w:val="subscript"/>
        </w:rPr>
        <w:t>2</w:t>
      </w:r>
      <w:r w:rsidRPr="008D1F76">
        <w:t xml:space="preserve"> scores and stroke risk factors) exc</w:t>
      </w:r>
      <w:r w:rsidR="009650BD">
        <w:t>ept for those whose age was &lt;65 </w:t>
      </w:r>
      <w:r w:rsidRPr="008D1F76">
        <w:t>years.</w:t>
      </w:r>
    </w:p>
    <w:p w:rsidR="008D1F76" w:rsidRPr="008D1F76" w:rsidRDefault="008D1F76" w:rsidP="00297F63">
      <w:r w:rsidRPr="008D1F76">
        <w:t>Analysis of the primary endpoint by CHADS</w:t>
      </w:r>
      <w:r w:rsidRPr="00F41964">
        <w:rPr>
          <w:vertAlign w:val="subscript"/>
        </w:rPr>
        <w:t>2</w:t>
      </w:r>
      <w:r w:rsidRPr="008D1F76">
        <w:t xml:space="preserve"> score showed </w:t>
      </w:r>
      <w:r w:rsidR="00A868A3">
        <w:t>HR</w:t>
      </w:r>
      <w:r w:rsidRPr="008D1F76">
        <w:t xml:space="preserve">s all </w:t>
      </w:r>
      <w:r w:rsidR="009650BD">
        <w:t>&lt;1</w:t>
      </w:r>
      <w:r w:rsidRPr="008D1F76">
        <w:t>, but the 95%</w:t>
      </w:r>
      <w:r w:rsidR="009650BD">
        <w:t xml:space="preserve"> </w:t>
      </w:r>
      <w:r w:rsidRPr="008D1F76">
        <w:t xml:space="preserve">CI crossing </w:t>
      </w:r>
      <w:r w:rsidR="009650BD">
        <w:t xml:space="preserve">1 </w:t>
      </w:r>
      <w:r w:rsidRPr="008D1F76">
        <w:t>for the two lowest groups (score ≤1: HR=0.85, 95%</w:t>
      </w:r>
      <w:r w:rsidR="009650BD">
        <w:t xml:space="preserve"> </w:t>
      </w:r>
      <w:r w:rsidRPr="008D1F76">
        <w:t>CI 0.57-1.27, score=2: HR=0.90, 95%</w:t>
      </w:r>
      <w:r w:rsidR="009650BD">
        <w:t xml:space="preserve"> </w:t>
      </w:r>
      <w:r w:rsidRPr="008D1F76">
        <w:t>CI 0.66-1.23, score</w:t>
      </w:r>
      <w:r w:rsidR="009650BD">
        <w:t xml:space="preserve"> </w:t>
      </w:r>
      <w:r w:rsidRPr="008D1F76">
        <w:t>≥3: HR=0.70, 95%</w:t>
      </w:r>
      <w:r w:rsidR="008A0F85">
        <w:t xml:space="preserve"> </w:t>
      </w:r>
      <w:r w:rsidRPr="008D1F76">
        <w:t>CI 0.54-0.91).</w:t>
      </w:r>
      <w:r w:rsidR="005E42C7">
        <w:t xml:space="preserve"> </w:t>
      </w:r>
      <w:r w:rsidRPr="008D1F76">
        <w:t>Some groups also had the 95%</w:t>
      </w:r>
      <w:r w:rsidR="009650BD">
        <w:t xml:space="preserve"> </w:t>
      </w:r>
      <w:r w:rsidRPr="008D1F76">
        <w:t xml:space="preserve">CI for the HR to be </w:t>
      </w:r>
      <w:r w:rsidR="009650BD">
        <w:t>&lt;1</w:t>
      </w:r>
      <w:r w:rsidRPr="008D1F76">
        <w:t>, but this should not be interpreted as being superior due to the multiple comparisons.</w:t>
      </w:r>
    </w:p>
    <w:p w:rsidR="0013497B" w:rsidRDefault="009650BD" w:rsidP="00297F63">
      <w:r>
        <w:t>The secondary endpoint of all-</w:t>
      </w:r>
      <w:r w:rsidR="008D1F76" w:rsidRPr="008D1F76">
        <w:t>cause death was less on apixaban than warfarin (6.61</w:t>
      </w:r>
      <w:r>
        <w:t>%</w:t>
      </w:r>
      <w:r w:rsidR="008D1F76" w:rsidRPr="008D1F76">
        <w:t xml:space="preserve"> </w:t>
      </w:r>
      <w:r w:rsidR="00071C0C">
        <w:t>versus</w:t>
      </w:r>
      <w:r w:rsidR="008D1F76" w:rsidRPr="008D1F76">
        <w:t xml:space="preserve"> 7.37%, HR 0.89, 95%</w:t>
      </w:r>
      <w:r>
        <w:t xml:space="preserve"> </w:t>
      </w:r>
      <w:r w:rsidR="008D1F76" w:rsidRPr="008D1F76">
        <w:t xml:space="preserve">CI 0.80-1.0, p=0.0465) and the </w:t>
      </w:r>
      <w:r w:rsidR="0013497B">
        <w:t xml:space="preserve">clinical </w:t>
      </w:r>
      <w:r w:rsidR="008D1F76" w:rsidRPr="008D1F76">
        <w:t>evaluator has commented on this as being of borderline significance.</w:t>
      </w:r>
      <w:r w:rsidR="005E42C7">
        <w:t xml:space="preserve"> </w:t>
      </w:r>
      <w:r w:rsidR="0013497B">
        <w:t xml:space="preserve">In the response to </w:t>
      </w:r>
      <w:r w:rsidR="001759D0">
        <w:t xml:space="preserve">the Delegate’s </w:t>
      </w:r>
      <w:r w:rsidR="0013497B">
        <w:t>overview,</w:t>
      </w:r>
      <w:r w:rsidR="0013497B" w:rsidRPr="008D1F76">
        <w:t xml:space="preserve"> </w:t>
      </w:r>
      <w:r w:rsidR="0013497B">
        <w:t>t</w:t>
      </w:r>
      <w:r w:rsidR="008D1F76" w:rsidRPr="008D1F76">
        <w:t xml:space="preserve">he sponsor </w:t>
      </w:r>
      <w:r w:rsidR="0013497B">
        <w:t xml:space="preserve">is </w:t>
      </w:r>
      <w:r w:rsidR="008D1F76" w:rsidRPr="008D1F76">
        <w:t>asked to comment on this “statistical significance” given the alpha for this comparison was set at 0.005.</w:t>
      </w:r>
    </w:p>
    <w:p w:rsidR="008D1F76" w:rsidRPr="008D1F76" w:rsidRDefault="008D1F76" w:rsidP="00297F63">
      <w:r w:rsidRPr="008D1F76">
        <w:t>Cardiovascular death rate was similar on both drugs (3.38</w:t>
      </w:r>
      <w:r w:rsidR="009650BD">
        <w:t>%</w:t>
      </w:r>
      <w:r w:rsidRPr="008D1F76">
        <w:t xml:space="preserve"> </w:t>
      </w:r>
      <w:r w:rsidR="00071C0C">
        <w:t>versus</w:t>
      </w:r>
      <w:r w:rsidRPr="008D1F76">
        <w:t xml:space="preserve"> 3.79%), with the majority being sudden death (1.38</w:t>
      </w:r>
      <w:r w:rsidR="00EF459E">
        <w:t>%</w:t>
      </w:r>
      <w:r w:rsidRPr="008D1F76">
        <w:t xml:space="preserve"> </w:t>
      </w:r>
      <w:r w:rsidR="00071C0C">
        <w:t>versus</w:t>
      </w:r>
      <w:r w:rsidRPr="008D1F76">
        <w:t xml:space="preserve"> 1.42%) and noting that fatal stroke was less on apixaban (0.42</w:t>
      </w:r>
      <w:r w:rsidR="00EF459E">
        <w:t>%</w:t>
      </w:r>
      <w:r w:rsidRPr="008D1F76">
        <w:t xml:space="preserve"> </w:t>
      </w:r>
      <w:r w:rsidR="00071C0C">
        <w:t>versus</w:t>
      </w:r>
      <w:r w:rsidRPr="008D1F76">
        <w:t xml:space="preserve"> 0.72%). Non-cardiovascular death was also similar </w:t>
      </w:r>
      <w:r w:rsidR="001576B1">
        <w:t xml:space="preserve">between the two groups </w:t>
      </w:r>
      <w:r w:rsidRPr="008D1F76">
        <w:t>(2.15</w:t>
      </w:r>
      <w:r w:rsidR="00EF459E">
        <w:t>%</w:t>
      </w:r>
      <w:r w:rsidRPr="008D1F76">
        <w:t xml:space="preserve"> </w:t>
      </w:r>
      <w:r w:rsidR="00071C0C">
        <w:t>versus</w:t>
      </w:r>
      <w:r w:rsidRPr="008D1F76">
        <w:t xml:space="preserve"> 2.29%) with bleeding being a similar cause (0.16</w:t>
      </w:r>
      <w:r w:rsidR="00EF459E">
        <w:t>%</w:t>
      </w:r>
      <w:r w:rsidRPr="008D1F76">
        <w:t xml:space="preserve"> </w:t>
      </w:r>
      <w:r w:rsidR="00071C0C">
        <w:t>versus</w:t>
      </w:r>
      <w:r w:rsidRPr="008D1F76">
        <w:t xml:space="preserve"> 0.19%).</w:t>
      </w:r>
    </w:p>
    <w:p w:rsidR="008D1F76" w:rsidRPr="008D1F76" w:rsidRDefault="008D1F76" w:rsidP="00297F63">
      <w:r w:rsidRPr="008D1F76">
        <w:t>The data were analysed by median warfarin INR values</w:t>
      </w:r>
      <w:r w:rsidR="00517AEC">
        <w:t xml:space="preserve">, which </w:t>
      </w:r>
      <w:r w:rsidRPr="008D1F76">
        <w:t xml:space="preserve">showed the primary endpoint result was similar for study sites with INR control below and above the median </w:t>
      </w:r>
      <w:r w:rsidR="00DB06A5">
        <w:t>TTR</w:t>
      </w:r>
      <w:r w:rsidRPr="008D1F76">
        <w:t>.</w:t>
      </w:r>
      <w:r w:rsidR="005E42C7">
        <w:t xml:space="preserve"> </w:t>
      </w:r>
      <w:r w:rsidRPr="008D1F76">
        <w:t>The evaluator has indicated this shows there was an efficacy benefit even in subjects with the best INR control.</w:t>
      </w:r>
    </w:p>
    <w:p w:rsidR="008D1F76" w:rsidRPr="008D1F76" w:rsidRDefault="008D1F76" w:rsidP="00297F63">
      <w:r w:rsidRPr="008D1F76">
        <w:t xml:space="preserve">During the 30 day follow-up period at the end of treatment, there were </w:t>
      </w:r>
      <w:proofErr w:type="gramStart"/>
      <w:r w:rsidRPr="008D1F76">
        <w:t>27 strokes/</w:t>
      </w:r>
      <w:r w:rsidR="0013497B">
        <w:t xml:space="preserve">SEs </w:t>
      </w:r>
      <w:r w:rsidRPr="008D1F76">
        <w:t>in the apixaban group compared with 10 events in the warfarin group</w:t>
      </w:r>
      <w:proofErr w:type="gramEnd"/>
      <w:r w:rsidRPr="008D1F76">
        <w:t>.</w:t>
      </w:r>
      <w:r w:rsidR="005E42C7">
        <w:t xml:space="preserve"> </w:t>
      </w:r>
      <w:r w:rsidRPr="008D1F76">
        <w:t xml:space="preserve">The majority of these patients (23 </w:t>
      </w:r>
      <w:r w:rsidR="00071C0C">
        <w:t>versus</w:t>
      </w:r>
      <w:r w:rsidRPr="008D1F76">
        <w:t xml:space="preserve"> 7) were not on apixaban or warfarin at the time.</w:t>
      </w:r>
      <w:r w:rsidR="005E42C7">
        <w:t xml:space="preserve"> </w:t>
      </w:r>
      <w:r w:rsidRPr="008D1F76">
        <w:t xml:space="preserve">The majority of the strokes occurred in patients who had moved from apixaban to a </w:t>
      </w:r>
      <w:r w:rsidR="00C219F6">
        <w:t xml:space="preserve">VKA </w:t>
      </w:r>
      <w:r w:rsidRPr="008D1F76">
        <w:t>(n=16 strokes).</w:t>
      </w:r>
    </w:p>
    <w:p w:rsidR="0013497B" w:rsidRPr="00517AEC" w:rsidRDefault="00517AEC" w:rsidP="00605F9B">
      <w:pPr>
        <w:pStyle w:val="Heading6"/>
      </w:pPr>
      <w:r>
        <w:t xml:space="preserve">Summary of </w:t>
      </w:r>
      <w:r w:rsidR="008D1F76" w:rsidRPr="00517AEC">
        <w:t>AVERROES (</w:t>
      </w:r>
      <w:r w:rsidR="0013497B" w:rsidRPr="00517AEC">
        <w:t xml:space="preserve">Study </w:t>
      </w:r>
      <w:r w:rsidR="008D1F76" w:rsidRPr="00517AEC">
        <w:t>CV185048)</w:t>
      </w:r>
    </w:p>
    <w:p w:rsidR="00A7244B" w:rsidRDefault="008D1F76" w:rsidP="008D1F76">
      <w:r w:rsidRPr="008D1F76">
        <w:t>This was a pivotal</w:t>
      </w:r>
      <w:r w:rsidR="00517AEC">
        <w:t>,</w:t>
      </w:r>
      <w:r w:rsidRPr="008D1F76">
        <w:t xml:space="preserve"> </w:t>
      </w:r>
      <w:r w:rsidR="00AB60B1">
        <w:t>P</w:t>
      </w:r>
      <w:r w:rsidRPr="008D1F76">
        <w:t>hase III, multinational, multicentre, randomised, double blind, double dummy, parallel design, superiority trial comparing apixaban 5</w:t>
      </w:r>
      <w:r w:rsidR="00071C0C">
        <w:t xml:space="preserve"> </w:t>
      </w:r>
      <w:r w:rsidRPr="008D1F76">
        <w:t xml:space="preserve">mg </w:t>
      </w:r>
      <w:r w:rsidR="00341B29">
        <w:t>bid</w:t>
      </w:r>
      <w:r w:rsidRPr="008D1F76">
        <w:t xml:space="preserve"> (2.5</w:t>
      </w:r>
      <w:r w:rsidR="00071C0C">
        <w:t xml:space="preserve"> </w:t>
      </w:r>
      <w:r w:rsidRPr="008D1F76">
        <w:t xml:space="preserve">mg </w:t>
      </w:r>
      <w:r w:rsidR="00341B29">
        <w:t>bid</w:t>
      </w:r>
      <w:r w:rsidRPr="008D1F76">
        <w:t xml:space="preserve"> for 6.4% of subjects at increased risk of bleeding; namely </w:t>
      </w:r>
      <w:r w:rsidR="001576B1">
        <w:t xml:space="preserve">those with at least two of the following criteria: </w:t>
      </w:r>
      <w:r w:rsidRPr="008D1F76">
        <w:t>age &gt;80 years, body weight ≤</w:t>
      </w:r>
      <w:r w:rsidR="008A0F85">
        <w:t>60 kg or serum creatinine ≥</w:t>
      </w:r>
      <w:r w:rsidRPr="008D1F76">
        <w:t>133 µmol/L) and ASA 81-324</w:t>
      </w:r>
      <w:r w:rsidR="00517AEC">
        <w:t xml:space="preserve"> </w:t>
      </w:r>
      <w:r w:rsidRPr="008D1F76">
        <w:t>mg once daily (dose at discretion of the investigator, 64% on 81</w:t>
      </w:r>
      <w:r w:rsidR="00517AEC">
        <w:t xml:space="preserve"> </w:t>
      </w:r>
      <w:r w:rsidRPr="008D1F76">
        <w:t>mg, 27% on 162</w:t>
      </w:r>
      <w:r w:rsidR="00517AEC">
        <w:t xml:space="preserve"> </w:t>
      </w:r>
      <w:r w:rsidRPr="008D1F76">
        <w:t>mg) in 5</w:t>
      </w:r>
      <w:r w:rsidR="00517AEC">
        <w:t>,</w:t>
      </w:r>
      <w:r w:rsidRPr="008D1F76">
        <w:t xml:space="preserve">598 patients with AF (documented permanent, paroxysmal or persistent AF; not currently receiving warfarin therapy) and one additional risk factor for stroke (61% had ≥2 risk factors: hypertension 86%, heart failure or </w:t>
      </w:r>
      <w:r w:rsidR="00517AEC" w:rsidRPr="008D1F76">
        <w:t xml:space="preserve">≤35% </w:t>
      </w:r>
      <w:r w:rsidR="0013497B" w:rsidRPr="0013497B">
        <w:t xml:space="preserve">left ventricular ejection fraction </w:t>
      </w:r>
      <w:r w:rsidR="0013497B">
        <w:t>(</w:t>
      </w:r>
      <w:r w:rsidRPr="008D1F76">
        <w:t>LVEF</w:t>
      </w:r>
      <w:r w:rsidR="0013497B">
        <w:t>)</w:t>
      </w:r>
      <w:r w:rsidRPr="008D1F76">
        <w:t xml:space="preserve"> 34%, age ≥75 years 34%, diabetes mellitus 20%, prior stroke/TIA 14%, mean CHADS</w:t>
      </w:r>
      <w:r w:rsidR="00F41964" w:rsidRPr="00F41964">
        <w:rPr>
          <w:vertAlign w:val="subscript"/>
        </w:rPr>
        <w:t>2</w:t>
      </w:r>
      <w:r w:rsidRPr="008D1F76">
        <w:t xml:space="preserve"> score of 2.0) for a mean 1.1 years of follow up for the prevention of stroke or </w:t>
      </w:r>
      <w:r w:rsidR="0031039E">
        <w:t xml:space="preserve">SE </w:t>
      </w:r>
      <w:r w:rsidRPr="008D1F76">
        <w:t xml:space="preserve">in AF patients who have failed or are unsuitable for warfarin treatment (40% had previously used </w:t>
      </w:r>
      <w:proofErr w:type="spellStart"/>
      <w:r w:rsidRPr="008D1F76">
        <w:t>warfarin</w:t>
      </w:r>
      <w:proofErr w:type="spellEnd"/>
      <w:r w:rsidRPr="008D1F76">
        <w:t>).</w:t>
      </w:r>
    </w:p>
    <w:p w:rsidR="00A7244B" w:rsidRDefault="008D1F76" w:rsidP="008D1F76">
      <w:r w:rsidRPr="008D1F76">
        <w:t>Key exclusion criteria were: AF due to reversible causes; valvular disease requiring surgery; ALT/AST &gt;2</w:t>
      </w:r>
      <w:r w:rsidR="00517AEC">
        <w:t xml:space="preserve"> times </w:t>
      </w:r>
      <w:r w:rsidRPr="008D1F76">
        <w:t>ULN or bilirubin &gt;1.5</w:t>
      </w:r>
      <w:r w:rsidR="00517AEC">
        <w:t xml:space="preserve"> times </w:t>
      </w:r>
      <w:r w:rsidR="00DD46B0">
        <w:t>ULN; creatinin</w:t>
      </w:r>
      <w:r w:rsidR="00517AEC">
        <w:t>e clearance &lt;25 </w:t>
      </w:r>
      <w:r w:rsidR="00DD46B0">
        <w:t>mL</w:t>
      </w:r>
      <w:r w:rsidRPr="008D1F76">
        <w:t xml:space="preserve">/min; platelet count &lt;100,000; </w:t>
      </w:r>
      <w:r w:rsidR="00517AEC">
        <w:t xml:space="preserve">and </w:t>
      </w:r>
      <w:r w:rsidRPr="008D1F76">
        <w:t>planned AF ab</w:t>
      </w:r>
      <w:r w:rsidR="00517AEC">
        <w:t>lation to be performed within 3 </w:t>
      </w:r>
      <w:r w:rsidRPr="008D1F76">
        <w:t>months.</w:t>
      </w:r>
    </w:p>
    <w:p w:rsidR="00A7244B" w:rsidRDefault="008D1F76" w:rsidP="008D1F76">
      <w:r w:rsidRPr="008D1F76">
        <w:t>Baseline characteristics were similar between the groups (mean age 70 years, 59% male, 79% White, 34% normal renal function, 38% mild renal impairment, 17% moderate renal impairment and 2.1% severe renal impairment).</w:t>
      </w:r>
      <w:r w:rsidR="005E42C7">
        <w:t xml:space="preserve"> </w:t>
      </w:r>
      <w:r w:rsidRPr="008D1F76">
        <w:t>Concomitant medications were similar in both groups.</w:t>
      </w:r>
    </w:p>
    <w:p w:rsidR="00A7244B" w:rsidRDefault="008D1F76" w:rsidP="008D1F76">
      <w:r w:rsidRPr="008D1F76">
        <w:lastRenderedPageBreak/>
        <w:t xml:space="preserve">Study discontinuation was 20% on apixaban and 23% on ASA with similar reasons for both groups (6.2-9.3% due to </w:t>
      </w:r>
      <w:r w:rsidR="00517AEC">
        <w:t>AEs</w:t>
      </w:r>
      <w:r w:rsidRPr="008D1F76">
        <w:t>).</w:t>
      </w:r>
      <w:r w:rsidR="005E42C7">
        <w:t xml:space="preserve"> </w:t>
      </w:r>
      <w:r w:rsidRPr="008D1F76">
        <w:t xml:space="preserve">Protocol deviations were small, similar (5.9% </w:t>
      </w:r>
      <w:r w:rsidR="00071C0C">
        <w:t>versus</w:t>
      </w:r>
      <w:r w:rsidRPr="008D1F76">
        <w:t xml:space="preserve"> 6%) and balanced between the groups.</w:t>
      </w:r>
    </w:p>
    <w:p w:rsidR="008D1F76" w:rsidRPr="008D1F76" w:rsidRDefault="008D1F76" w:rsidP="008D1F76">
      <w:r w:rsidRPr="008D1F76">
        <w:t xml:space="preserve">The study had 90% power to detect a 35% relative risk reduction </w:t>
      </w:r>
      <w:r w:rsidR="00517AEC">
        <w:t xml:space="preserve">(RRR) </w:t>
      </w:r>
      <w:r w:rsidRPr="008D1F76">
        <w:t xml:space="preserve">of apixaban </w:t>
      </w:r>
      <w:r w:rsidR="00071C0C">
        <w:t>versus</w:t>
      </w:r>
      <w:r w:rsidRPr="008D1F76">
        <w:t xml:space="preserve"> ASA for the primary endpoint.</w:t>
      </w:r>
      <w:r w:rsidR="005E42C7">
        <w:t xml:space="preserve"> </w:t>
      </w:r>
      <w:r w:rsidRPr="008D1F76">
        <w:t>The study was terminated early following a planned interim analysis because of superior efficacy in the apixaban group.</w:t>
      </w:r>
    </w:p>
    <w:p w:rsidR="00A7244B" w:rsidRDefault="008D1F76" w:rsidP="008D1F76">
      <w:r w:rsidRPr="008D1F76">
        <w:t xml:space="preserve">The primary efficacy endpoint of prevention of the composite of stroke or </w:t>
      </w:r>
      <w:r w:rsidR="0031039E">
        <w:t xml:space="preserve">SE </w:t>
      </w:r>
      <w:r w:rsidRPr="008D1F76">
        <w:t>in AF patients with at least one additional risk factor for stroke and who failed or were unsuitable for warfarin therapy showed apixaban was significantly superior to ASA (HR 0.45, 95%</w:t>
      </w:r>
      <w:r w:rsidR="00517AEC">
        <w:t xml:space="preserve"> </w:t>
      </w:r>
      <w:r w:rsidRPr="008D1F76">
        <w:t>CI 0.32-0.62, p&lt;0.00001), NNT=45.</w:t>
      </w:r>
    </w:p>
    <w:p w:rsidR="008D1F76" w:rsidRPr="008D1F76" w:rsidRDefault="008D1F76" w:rsidP="008D1F76">
      <w:r w:rsidRPr="008D1F76">
        <w:t>The unadjusted 95%</w:t>
      </w:r>
      <w:r w:rsidR="00517AEC">
        <w:t xml:space="preserve"> </w:t>
      </w:r>
      <w:r w:rsidRPr="008D1F76">
        <w:t>CI is 0.</w:t>
      </w:r>
      <w:r w:rsidR="001576B1">
        <w:t>3</w:t>
      </w:r>
      <w:r w:rsidRPr="008D1F76">
        <w:t>2-0.</w:t>
      </w:r>
      <w:r w:rsidR="00483910">
        <w:t>62</w:t>
      </w:r>
      <w:r w:rsidRPr="008D1F76">
        <w:t>.</w:t>
      </w:r>
      <w:r w:rsidR="005E42C7">
        <w:t xml:space="preserve"> </w:t>
      </w:r>
      <w:r w:rsidRPr="008D1F76">
        <w:t xml:space="preserve">The yearly event rate for stroke/SE for apixaban was 1.62% </w:t>
      </w:r>
      <w:r w:rsidR="00071C0C">
        <w:t>versus</w:t>
      </w:r>
      <w:r w:rsidRPr="008D1F76">
        <w:t xml:space="preserve"> 3.63% </w:t>
      </w:r>
      <w:r w:rsidR="00517AEC" w:rsidRPr="008D1F76">
        <w:t xml:space="preserve">for ASA </w:t>
      </w:r>
      <w:r w:rsidRPr="008D1F76">
        <w:t>which was primarily driven by the number of ischaemic strokes.</w:t>
      </w:r>
      <w:r w:rsidR="005E42C7">
        <w:t xml:space="preserve"> </w:t>
      </w:r>
      <w:r w:rsidRPr="008D1F76">
        <w:t>Haemorrhagic strokes were similar (0.21</w:t>
      </w:r>
      <w:r w:rsidR="00517AEC">
        <w:t>%</w:t>
      </w:r>
      <w:r w:rsidRPr="008D1F76">
        <w:t xml:space="preserve"> </w:t>
      </w:r>
      <w:r w:rsidR="00071C0C">
        <w:t>versus</w:t>
      </w:r>
      <w:r w:rsidRPr="008D1F76">
        <w:t xml:space="preserve"> 0.32%) but </w:t>
      </w:r>
      <w:r w:rsidR="0031039E">
        <w:t>SE</w:t>
      </w:r>
      <w:r w:rsidRPr="008D1F76">
        <w:t xml:space="preserve">s were less on apixaban (n=2 </w:t>
      </w:r>
      <w:r w:rsidR="00071C0C">
        <w:t>versus</w:t>
      </w:r>
      <w:r w:rsidRPr="008D1F76">
        <w:t xml:space="preserve"> n=13).</w:t>
      </w:r>
      <w:r w:rsidR="00517AEC">
        <w:t xml:space="preserve"> These data are summarised in Table </w:t>
      </w:r>
      <w:r w:rsidR="006C05FE">
        <w:t>15</w:t>
      </w:r>
      <w:r w:rsidR="00517AEC">
        <w:t>.</w:t>
      </w:r>
    </w:p>
    <w:p w:rsidR="008D1F76" w:rsidRPr="008D1F76" w:rsidRDefault="006C05FE" w:rsidP="00366CE1">
      <w:pPr>
        <w:pStyle w:val="TableTitle"/>
      </w:pPr>
      <w:proofErr w:type="gramStart"/>
      <w:r>
        <w:t>Table 15</w:t>
      </w:r>
      <w:r w:rsidR="00A7244B">
        <w:t>.</w:t>
      </w:r>
      <w:proofErr w:type="gramEnd"/>
      <w:r w:rsidR="00A7244B">
        <w:t xml:space="preserve"> </w:t>
      </w:r>
      <w:r w:rsidR="008D1F76" w:rsidRPr="008D1F76">
        <w:t>AVERROES: Summary of adjudicated stroke or systemic embolism during the intended treatme</w:t>
      </w:r>
      <w:r w:rsidR="00A7244B">
        <w:t>nt period – randomised subjects</w:t>
      </w:r>
      <w:r w:rsidR="008D1F76" w:rsidRPr="008D1F76">
        <w:t xml:space="preserve"> </w:t>
      </w:r>
    </w:p>
    <w:p w:rsidR="008D1F76" w:rsidRPr="008D1F76" w:rsidRDefault="008D1F76" w:rsidP="00366CE1">
      <w:r w:rsidRPr="008D1F76">
        <w:rPr>
          <w:noProof/>
          <w:lang w:eastAsia="en-AU"/>
        </w:rPr>
        <w:drawing>
          <wp:inline distT="0" distB="0" distL="0" distR="0">
            <wp:extent cx="5324475" cy="2484755"/>
            <wp:effectExtent l="19050" t="0" r="9525" b="0"/>
            <wp:docPr id="5" name="Picture 2" descr="Table 15. AVERROES: Summary of adjudicated stroke or systemic embolism during the intended treatment period – randomised subje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l="7642" t="26752" r="10631"/>
                    <a:stretch>
                      <a:fillRect/>
                    </a:stretch>
                  </pic:blipFill>
                  <pic:spPr bwMode="auto">
                    <a:xfrm>
                      <a:off x="0" y="0"/>
                      <a:ext cx="5324475" cy="2484755"/>
                    </a:xfrm>
                    <a:prstGeom prst="rect">
                      <a:avLst/>
                    </a:prstGeom>
                    <a:noFill/>
                    <a:ln w="9525">
                      <a:noFill/>
                      <a:miter lim="800000"/>
                      <a:headEnd/>
                      <a:tailEnd/>
                    </a:ln>
                  </pic:spPr>
                </pic:pic>
              </a:graphicData>
            </a:graphic>
          </wp:inline>
        </w:drawing>
      </w:r>
    </w:p>
    <w:p w:rsidR="008D1F76" w:rsidRPr="008D1F76" w:rsidRDefault="008D1F76" w:rsidP="008D1F76">
      <w:r w:rsidRPr="008D1F76">
        <w:t>Subgroup analysis showed that the HR results were &lt;1 in all apixaban subgroups and that the majority of subgroups had a 95%</w:t>
      </w:r>
      <w:r w:rsidR="00517AEC">
        <w:t xml:space="preserve"> </w:t>
      </w:r>
      <w:r w:rsidRPr="008D1F76">
        <w:t>CI also below a HR of 1</w:t>
      </w:r>
      <w:r w:rsidR="00517AEC">
        <w:t>,</w:t>
      </w:r>
      <w:r w:rsidRPr="008D1F76">
        <w:t xml:space="preserve"> suggesting a benefit for apixaban in these groups over ASA.</w:t>
      </w:r>
      <w:r w:rsidR="005E42C7">
        <w:t xml:space="preserve"> </w:t>
      </w:r>
      <w:r w:rsidRPr="008D1F76">
        <w:t>Analysis of the primary endpoint by CHADS</w:t>
      </w:r>
      <w:r w:rsidRPr="00F41964">
        <w:rPr>
          <w:vertAlign w:val="subscript"/>
        </w:rPr>
        <w:t>2</w:t>
      </w:r>
      <w:r w:rsidRPr="008D1F76">
        <w:t xml:space="preserve"> score showed </w:t>
      </w:r>
      <w:r w:rsidR="00A868A3">
        <w:t>HR</w:t>
      </w:r>
      <w:r w:rsidRPr="008D1F76">
        <w:t xml:space="preserve">s all </w:t>
      </w:r>
      <w:r w:rsidR="00517AEC">
        <w:t>&lt;1</w:t>
      </w:r>
      <w:r w:rsidRPr="008D1F76">
        <w:t>, but the 95%</w:t>
      </w:r>
      <w:r w:rsidR="00517AEC">
        <w:t xml:space="preserve"> </w:t>
      </w:r>
      <w:r w:rsidRPr="008D1F76">
        <w:t xml:space="preserve">CI crossing </w:t>
      </w:r>
      <w:r w:rsidR="00517AEC">
        <w:t xml:space="preserve">1 </w:t>
      </w:r>
      <w:r w:rsidRPr="008D1F76">
        <w:t>for t</w:t>
      </w:r>
      <w:r w:rsidR="00210662">
        <w:t xml:space="preserve">he lowest group (score </w:t>
      </w:r>
      <w:r w:rsidRPr="008D1F76">
        <w:t>≤1: HR=0.63, 95%</w:t>
      </w:r>
      <w:r w:rsidR="00210662">
        <w:t xml:space="preserve"> </w:t>
      </w:r>
      <w:r w:rsidRPr="008D1F76">
        <w:t>CI 0.31-1.30, score=2: HR=0.49, 95%</w:t>
      </w:r>
      <w:r w:rsidR="00210662">
        <w:t xml:space="preserve"> </w:t>
      </w:r>
      <w:r w:rsidRPr="008D1F76">
        <w:t>CI 0.29-0.81, score</w:t>
      </w:r>
      <w:r w:rsidR="00210662">
        <w:t xml:space="preserve"> </w:t>
      </w:r>
      <w:r w:rsidRPr="008D1F76">
        <w:t>≥3: HR=0.35, 95%</w:t>
      </w:r>
      <w:r w:rsidR="008A0F85">
        <w:t xml:space="preserve"> </w:t>
      </w:r>
      <w:r w:rsidRPr="008D1F76">
        <w:t>CI 0.20</w:t>
      </w:r>
      <w:r w:rsidR="00517AEC">
        <w:noBreakHyphen/>
      </w:r>
      <w:r w:rsidRPr="008D1F76">
        <w:t>0.61).</w:t>
      </w:r>
      <w:r w:rsidR="005E42C7">
        <w:t xml:space="preserve"> </w:t>
      </w:r>
      <w:r w:rsidRPr="008D1F76">
        <w:t>For the secondary endpoints the following were seen:</w:t>
      </w:r>
    </w:p>
    <w:p w:rsidR="008D1F76" w:rsidRPr="008D1F76" w:rsidRDefault="008D1F76" w:rsidP="00095694">
      <w:pPr>
        <w:pStyle w:val="ListBullet"/>
      </w:pPr>
      <w:r w:rsidRPr="008D1F76">
        <w:t>Reduction in major vascular events (stroke, SE, MI, vascular death): HR=0.66, 95%</w:t>
      </w:r>
      <w:r w:rsidR="00865981">
        <w:t xml:space="preserve"> </w:t>
      </w:r>
      <w:r w:rsidRPr="008D1F76">
        <w:t>CI 0.53-0.83, p=0.00026.</w:t>
      </w:r>
    </w:p>
    <w:p w:rsidR="008D1F76" w:rsidRPr="008D1F76" w:rsidRDefault="00517AEC" w:rsidP="00095694">
      <w:pPr>
        <w:pStyle w:val="ListBullet"/>
      </w:pPr>
      <w:r>
        <w:t>All-</w:t>
      </w:r>
      <w:r w:rsidR="008D1F76" w:rsidRPr="008D1F76">
        <w:t>cause death: HR=0.79, 95%</w:t>
      </w:r>
      <w:r w:rsidR="00865981">
        <w:t xml:space="preserve"> </w:t>
      </w:r>
      <w:r w:rsidR="008D1F76" w:rsidRPr="008D1F76">
        <w:t>CI 0.62-1.02, p=0.068</w:t>
      </w:r>
    </w:p>
    <w:p w:rsidR="008D1F76" w:rsidRPr="008D1F76" w:rsidRDefault="008D1F76" w:rsidP="00095694">
      <w:pPr>
        <w:pStyle w:val="ListBullet"/>
      </w:pPr>
      <w:r w:rsidRPr="008D1F76">
        <w:t>Net clinical benefit (stroke, SE, MI, vascular death and major bleeding): HR=0.73, 95%</w:t>
      </w:r>
      <w:r w:rsidR="00865981">
        <w:t xml:space="preserve"> </w:t>
      </w:r>
      <w:r w:rsidRPr="008D1F76">
        <w:t xml:space="preserve">CI 0.60-0.90, p=0.0028, yearly event rate 5.23% </w:t>
      </w:r>
      <w:r w:rsidR="00071C0C">
        <w:t>versus</w:t>
      </w:r>
      <w:r w:rsidRPr="008D1F76">
        <w:t xml:space="preserve"> 7.13%.</w:t>
      </w:r>
    </w:p>
    <w:p w:rsidR="00A7244B" w:rsidRPr="00517AEC" w:rsidRDefault="00517AEC" w:rsidP="00366CE1">
      <w:pPr>
        <w:pStyle w:val="Heading6"/>
      </w:pPr>
      <w:r w:rsidRPr="00517AEC">
        <w:t xml:space="preserve">Summary of </w:t>
      </w:r>
      <w:r w:rsidR="00A7244B" w:rsidRPr="00517AEC">
        <w:t xml:space="preserve">Study </w:t>
      </w:r>
      <w:r w:rsidR="008D1F76" w:rsidRPr="00517AEC">
        <w:t>CV185067</w:t>
      </w:r>
    </w:p>
    <w:p w:rsidR="008D1F76" w:rsidRPr="008D1F76" w:rsidRDefault="008D1F76" w:rsidP="008D1F76">
      <w:r w:rsidRPr="008D1F76">
        <w:t xml:space="preserve">This </w:t>
      </w:r>
      <w:r w:rsidR="00AB60B1">
        <w:t>Phase</w:t>
      </w:r>
      <w:r w:rsidR="00A7244B">
        <w:t xml:space="preserve"> </w:t>
      </w:r>
      <w:proofErr w:type="spellStart"/>
      <w:r w:rsidR="00AB60B1">
        <w:t>II</w:t>
      </w:r>
      <w:r w:rsidRPr="008D1F76">
        <w:t>b</w:t>
      </w:r>
      <w:proofErr w:type="spellEnd"/>
      <w:r w:rsidRPr="008D1F76">
        <w:t xml:space="preserve"> supportive study was randomised, partially blinded (double blind apixaban and open label warfarin), active controlled of apixaban (2.5</w:t>
      </w:r>
      <w:r w:rsidR="00071C0C">
        <w:t xml:space="preserve"> </w:t>
      </w:r>
      <w:r w:rsidRPr="008D1F76">
        <w:t xml:space="preserve">mg </w:t>
      </w:r>
      <w:r w:rsidR="00341B29">
        <w:t>bid</w:t>
      </w:r>
      <w:r w:rsidRPr="008D1F76">
        <w:t xml:space="preserve"> and 5</w:t>
      </w:r>
      <w:r w:rsidR="00071C0C">
        <w:t xml:space="preserve"> </w:t>
      </w:r>
      <w:r w:rsidRPr="008D1F76">
        <w:t xml:space="preserve">mg </w:t>
      </w:r>
      <w:r w:rsidR="00341B29">
        <w:t>bid</w:t>
      </w:r>
      <w:r w:rsidRPr="008D1F76">
        <w:t xml:space="preserve">) </w:t>
      </w:r>
      <w:r w:rsidR="00071C0C">
        <w:t>versus</w:t>
      </w:r>
      <w:r w:rsidRPr="008D1F76">
        <w:t xml:space="preserve"> warfarin (INR 2-3) for 12 weeks in 222 Japanese subjects with non-valvular AF.</w:t>
      </w:r>
      <w:r w:rsidR="005E42C7">
        <w:t xml:space="preserve"> </w:t>
      </w:r>
      <w:r w:rsidRPr="008D1F76">
        <w:t xml:space="preserve">The primary endpoint was safety but efficacy was a secondary endpoint and showed 3 subjects with stroke on warfarin </w:t>
      </w:r>
      <w:r w:rsidR="00071C0C">
        <w:t>versus</w:t>
      </w:r>
      <w:r w:rsidRPr="008D1F76">
        <w:t xml:space="preserve"> no subjects on apixaban.</w:t>
      </w:r>
    </w:p>
    <w:p w:rsidR="00A7244B" w:rsidRPr="00517AEC" w:rsidRDefault="00517AEC" w:rsidP="00366CE1">
      <w:pPr>
        <w:pStyle w:val="Heading6"/>
      </w:pPr>
      <w:r w:rsidRPr="00517AEC">
        <w:lastRenderedPageBreak/>
        <w:t xml:space="preserve">Summary of </w:t>
      </w:r>
      <w:r w:rsidR="008D1F76" w:rsidRPr="00517AEC">
        <w:t>ADOPT (</w:t>
      </w:r>
      <w:r w:rsidR="00A7244B" w:rsidRPr="00517AEC">
        <w:t>Study CV185036)</w:t>
      </w:r>
    </w:p>
    <w:p w:rsidR="00517AEC" w:rsidRDefault="008D1F76" w:rsidP="008D1F76">
      <w:r w:rsidRPr="008D1F76">
        <w:t>During the course of evaluation, the sponsor submitte</w:t>
      </w:r>
      <w:r w:rsidR="00517AEC">
        <w:t>d a study report for the ADOPT S</w:t>
      </w:r>
      <w:r w:rsidRPr="008D1F76">
        <w:t xml:space="preserve">tudy, which was a </w:t>
      </w:r>
      <w:r w:rsidR="00AB60B1">
        <w:t>P</w:t>
      </w:r>
      <w:r w:rsidRPr="008D1F76">
        <w:t xml:space="preserve">hase </w:t>
      </w:r>
      <w:r w:rsidR="00AB60B1">
        <w:t>III</w:t>
      </w:r>
      <w:r w:rsidRPr="008D1F76">
        <w:t>, randomised, double blind</w:t>
      </w:r>
      <w:r w:rsidR="00517AEC">
        <w:t>,</w:t>
      </w:r>
      <w:r w:rsidRPr="008D1F76">
        <w:t xml:space="preserve"> active controlled trial of 2.5</w:t>
      </w:r>
      <w:r w:rsidR="00071C0C">
        <w:t xml:space="preserve"> </w:t>
      </w:r>
      <w:r w:rsidRPr="008D1F76">
        <w:t xml:space="preserve">mg </w:t>
      </w:r>
      <w:r w:rsidR="00517AEC">
        <w:t xml:space="preserve">bid </w:t>
      </w:r>
      <w:r w:rsidRPr="008D1F76">
        <w:t>apixaban compared with 40</w:t>
      </w:r>
      <w:r w:rsidR="00A7244B">
        <w:t xml:space="preserve"> </w:t>
      </w:r>
      <w:r w:rsidRPr="008D1F76">
        <w:t xml:space="preserve">mg </w:t>
      </w:r>
      <w:proofErr w:type="spellStart"/>
      <w:r w:rsidRPr="008D1F76">
        <w:t>enoxaparin</w:t>
      </w:r>
      <w:proofErr w:type="spellEnd"/>
      <w:r w:rsidRPr="008D1F76">
        <w:t xml:space="preserve"> once daily for the prophylaxis of </w:t>
      </w:r>
      <w:r w:rsidR="00517AEC">
        <w:t xml:space="preserve">VTE </w:t>
      </w:r>
      <w:r w:rsidRPr="008D1F76">
        <w:t>in 6</w:t>
      </w:r>
      <w:r w:rsidR="00A7244B">
        <w:t>,</w:t>
      </w:r>
      <w:r w:rsidRPr="008D1F76">
        <w:t>758 acutely ill medical patients.</w:t>
      </w:r>
      <w:r w:rsidR="005E42C7">
        <w:t xml:space="preserve"> </w:t>
      </w:r>
      <w:r w:rsidRPr="008D1F76">
        <w:t xml:space="preserve">Apixaban did not show superiority to </w:t>
      </w:r>
      <w:proofErr w:type="spellStart"/>
      <w:r w:rsidRPr="008D1F76">
        <w:t>enoxaparin</w:t>
      </w:r>
      <w:proofErr w:type="spellEnd"/>
      <w:r w:rsidRPr="008D1F76">
        <w:t xml:space="preserve"> for the primary efficac</w:t>
      </w:r>
      <w:r w:rsidR="00517AEC">
        <w:t>y endpoint of total VTE and VTE-</w:t>
      </w:r>
      <w:r w:rsidRPr="008D1F76">
        <w:t>related death but was numerically lower.</w:t>
      </w:r>
      <w:r w:rsidR="005E42C7">
        <w:t xml:space="preserve"> </w:t>
      </w:r>
      <w:r w:rsidRPr="008D1F76">
        <w:t>However major bleeding was higher</w:t>
      </w:r>
      <w:r w:rsidR="00517AEC">
        <w:t>,</w:t>
      </w:r>
      <w:r w:rsidRPr="008D1F76">
        <w:t xml:space="preserve"> at 0.47% </w:t>
      </w:r>
      <w:r w:rsidR="00071C0C">
        <w:t>versus</w:t>
      </w:r>
      <w:r w:rsidRPr="008D1F76">
        <w:t xml:space="preserve"> 0.19% on </w:t>
      </w:r>
      <w:proofErr w:type="spellStart"/>
      <w:r w:rsidRPr="008D1F76">
        <w:t>enoxaparin</w:t>
      </w:r>
      <w:proofErr w:type="spellEnd"/>
      <w:r w:rsidRPr="008D1F76">
        <w:t>.</w:t>
      </w:r>
    </w:p>
    <w:p w:rsidR="008D1F76" w:rsidRPr="008D1F76" w:rsidRDefault="008D1F76" w:rsidP="008D1F76">
      <w:r w:rsidRPr="008D1F76">
        <w:t xml:space="preserve">This study was in a different population and apixaban was used for approximately 30 days compared with 7 days for </w:t>
      </w:r>
      <w:proofErr w:type="spellStart"/>
      <w:r w:rsidRPr="008D1F76">
        <w:t>enoxaparin</w:t>
      </w:r>
      <w:proofErr w:type="spellEnd"/>
      <w:r w:rsidRPr="008D1F76">
        <w:t>.</w:t>
      </w:r>
      <w:r w:rsidR="005E42C7">
        <w:t xml:space="preserve"> </w:t>
      </w:r>
      <w:r w:rsidRPr="008D1F76">
        <w:t xml:space="preserve">However the clinical evaluator has indicated that the overall frequency of bleeding, bleeding related AEs, </w:t>
      </w:r>
      <w:r w:rsidR="00517AEC">
        <w:t>S</w:t>
      </w:r>
      <w:r w:rsidRPr="008D1F76">
        <w:t>AEs, deaths, marked laboratory abnormalities and hepatic events were low and comparable in the apixaban groups in all studies and that no safety signals in this study impact on the safety</w:t>
      </w:r>
      <w:r w:rsidR="005E42C7">
        <w:t xml:space="preserve"> </w:t>
      </w:r>
      <w:r w:rsidRPr="008D1F76">
        <w:t>conclusions from the ARISTOTLE trial.</w:t>
      </w:r>
    </w:p>
    <w:bookmarkEnd w:id="293"/>
    <w:bookmarkEnd w:id="294"/>
    <w:p w:rsidR="008D1F76" w:rsidRPr="008D1F76" w:rsidRDefault="008D1F76" w:rsidP="00A573D0">
      <w:pPr>
        <w:pStyle w:val="Heading4"/>
        <w:keepNext/>
      </w:pPr>
      <w:r w:rsidRPr="008D1F76">
        <w:t>Safety</w:t>
      </w:r>
    </w:p>
    <w:p w:rsidR="00DD5C59" w:rsidRDefault="00483910" w:rsidP="00366CE1">
      <w:r>
        <w:t>According to the clinical evaluator, o</w:t>
      </w:r>
      <w:r w:rsidR="008D1F76" w:rsidRPr="008D1F76">
        <w:t>verall patient exposure was up to 2.1 years from the pivotal studies</w:t>
      </w:r>
      <w:r w:rsidR="00DD5C59">
        <w:t>,</w:t>
      </w:r>
      <w:r w:rsidR="008D1F76" w:rsidRPr="008D1F76">
        <w:t xml:space="preserve"> with 15</w:t>
      </w:r>
      <w:r w:rsidR="00A7244B">
        <w:t>,</w:t>
      </w:r>
      <w:r w:rsidR="00DD5C59">
        <w:t xml:space="preserve">534 </w:t>
      </w:r>
      <w:proofErr w:type="spellStart"/>
      <w:r w:rsidR="00DD5C59">
        <w:t>patient</w:t>
      </w:r>
      <w:r w:rsidR="00DD5C59">
        <w:noBreakHyphen/>
      </w:r>
      <w:r w:rsidR="008D1F76" w:rsidRPr="008D1F76">
        <w:t>years</w:t>
      </w:r>
      <w:proofErr w:type="spellEnd"/>
      <w:r w:rsidR="008D1F76" w:rsidRPr="008D1F76">
        <w:t xml:space="preserve"> of exposure for apixaban for an average exposure of 1.7 years in the ARISTOTLE study and 3</w:t>
      </w:r>
      <w:r w:rsidR="00A7244B">
        <w:t>,</w:t>
      </w:r>
      <w:r w:rsidR="008D1F76" w:rsidRPr="008D1F76">
        <w:t>193 patient-years of apixaban exposure for an average exposure of 1.1 years in the AVERROES study.</w:t>
      </w:r>
    </w:p>
    <w:p w:rsidR="008D1F76" w:rsidRPr="008D1F76" w:rsidRDefault="008D1F76" w:rsidP="008D1F76">
      <w:r w:rsidRPr="008D1F76">
        <w:t>Adverse events were mostly mild to moderate across the two pivotal studies.</w:t>
      </w:r>
      <w:r w:rsidR="005E42C7">
        <w:t xml:space="preserve"> </w:t>
      </w:r>
      <w:r w:rsidRPr="008D1F76">
        <w:t>In ARISTOTLE, AEs occurred in 82% of both apixaban and warfarin groups with similar distribution of events (infections and infestations 38</w:t>
      </w:r>
      <w:r w:rsidR="00DD5C59">
        <w:t>%</w:t>
      </w:r>
      <w:r w:rsidRPr="008D1F76">
        <w:t xml:space="preserve"> v</w:t>
      </w:r>
      <w:r w:rsidR="00A7244B">
        <w:t>ersu</w:t>
      </w:r>
      <w:r w:rsidRPr="008D1F76">
        <w:t>s</w:t>
      </w:r>
      <w:r w:rsidR="00A7244B">
        <w:t xml:space="preserve"> </w:t>
      </w:r>
      <w:r w:rsidRPr="008D1F76">
        <w:t>39%, gastrointestinal disorders 27</w:t>
      </w:r>
      <w:r w:rsidR="00DD5C59">
        <w:t>%</w:t>
      </w:r>
      <w:r w:rsidRPr="008D1F76">
        <w:t xml:space="preserve"> </w:t>
      </w:r>
      <w:r w:rsidR="00071C0C">
        <w:t>versus</w:t>
      </w:r>
      <w:r w:rsidRPr="008D1F76">
        <w:t xml:space="preserve"> 29%, respiratory 23</w:t>
      </w:r>
      <w:r w:rsidR="00DD5C59">
        <w:t>%</w:t>
      </w:r>
      <w:r w:rsidRPr="008D1F76">
        <w:t xml:space="preserve"> </w:t>
      </w:r>
      <w:r w:rsidR="00071C0C">
        <w:t>versus</w:t>
      </w:r>
      <w:r w:rsidRPr="008D1F76">
        <w:t xml:space="preserve"> 25%, cardiac 23</w:t>
      </w:r>
      <w:r w:rsidR="00DD5C59">
        <w:t>%</w:t>
      </w:r>
      <w:r w:rsidRPr="008D1F76">
        <w:t xml:space="preserve"> </w:t>
      </w:r>
      <w:r w:rsidR="00071C0C">
        <w:t>versus</w:t>
      </w:r>
      <w:r w:rsidRPr="008D1F76">
        <w:t xml:space="preserve"> 22%, musculoskeletal 22</w:t>
      </w:r>
      <w:r w:rsidR="00DD5C59">
        <w:t>%</w:t>
      </w:r>
      <w:r w:rsidRPr="008D1F76">
        <w:t xml:space="preserve"> </w:t>
      </w:r>
      <w:r w:rsidR="00071C0C">
        <w:t>versus</w:t>
      </w:r>
      <w:r w:rsidRPr="008D1F76">
        <w:t xml:space="preserve"> 23%, neurological 22</w:t>
      </w:r>
      <w:r w:rsidR="00DD5C59">
        <w:t>%</w:t>
      </w:r>
      <w:r w:rsidRPr="008D1F76">
        <w:t xml:space="preserve"> </w:t>
      </w:r>
      <w:r w:rsidR="00071C0C">
        <w:t>versus</w:t>
      </w:r>
      <w:r w:rsidRPr="008D1F76">
        <w:t xml:space="preserve"> 23%, general and administration site 21</w:t>
      </w:r>
      <w:r w:rsidR="00DD5C59">
        <w:t>%</w:t>
      </w:r>
      <w:r w:rsidRPr="008D1F76">
        <w:t xml:space="preserve"> </w:t>
      </w:r>
      <w:r w:rsidR="00071C0C">
        <w:t>versus</w:t>
      </w:r>
      <w:r w:rsidRPr="008D1F76">
        <w:t xml:space="preserve"> 21%</w:t>
      </w:r>
      <w:r w:rsidR="00A7244B">
        <w:t>,</w:t>
      </w:r>
      <w:r w:rsidRPr="008D1F76">
        <w:t xml:space="preserve"> and injury, poisoning and procedural 17</w:t>
      </w:r>
      <w:r w:rsidR="00DD5C59">
        <w:t>%</w:t>
      </w:r>
      <w:r w:rsidRPr="008D1F76">
        <w:t xml:space="preserve"> </w:t>
      </w:r>
      <w:r w:rsidR="00071C0C">
        <w:t>versus</w:t>
      </w:r>
      <w:r w:rsidRPr="008D1F76">
        <w:t xml:space="preserve"> 20%).</w:t>
      </w:r>
      <w:r w:rsidR="005E42C7">
        <w:t xml:space="preserve"> </w:t>
      </w:r>
      <w:r w:rsidRPr="008D1F76">
        <w:t xml:space="preserve">Of these, the most common were </w:t>
      </w:r>
      <w:proofErr w:type="spellStart"/>
      <w:r w:rsidRPr="008D1F76">
        <w:t>nasopharyngitis</w:t>
      </w:r>
      <w:proofErr w:type="spellEnd"/>
      <w:r w:rsidRPr="008D1F76">
        <w:t xml:space="preserve">, dizziness, dyspnoea, peripheral oedema, diarrhoea and </w:t>
      </w:r>
      <w:proofErr w:type="spellStart"/>
      <w:r w:rsidRPr="008D1F76">
        <w:t>epistaxis</w:t>
      </w:r>
      <w:proofErr w:type="spellEnd"/>
      <w:r w:rsidRPr="008D1F76">
        <w:t>.</w:t>
      </w:r>
      <w:r w:rsidR="005E42C7">
        <w:t xml:space="preserve"> </w:t>
      </w:r>
      <w:r w:rsidRPr="008D1F76">
        <w:t>In AVERROES, the frequency of AEs was also similar at 66</w:t>
      </w:r>
      <w:r w:rsidR="00DD5C59">
        <w:t>%</w:t>
      </w:r>
      <w:r w:rsidRPr="008D1F76">
        <w:t xml:space="preserve"> </w:t>
      </w:r>
      <w:r w:rsidR="00071C0C">
        <w:t>versus</w:t>
      </w:r>
      <w:r w:rsidRPr="008D1F76">
        <w:t xml:space="preserve"> 69%</w:t>
      </w:r>
      <w:r w:rsidR="00DD5C59">
        <w:t>,</w:t>
      </w:r>
      <w:r w:rsidRPr="008D1F76">
        <w:t xml:space="preserve"> with the most common being dizziness and dyspnoea and the distribution similar between apixaban and warfarin.</w:t>
      </w:r>
      <w:r w:rsidR="005E42C7">
        <w:t xml:space="preserve"> </w:t>
      </w:r>
      <w:r w:rsidRPr="008D1F76">
        <w:t>There were no cases of amyotrophic lateral sclerosis or G</w:t>
      </w:r>
      <w:r w:rsidR="00A7244B">
        <w:t>BS</w:t>
      </w:r>
      <w:r w:rsidRPr="008D1F76">
        <w:t>.</w:t>
      </w:r>
      <w:r w:rsidR="005E42C7">
        <w:t xml:space="preserve"> </w:t>
      </w:r>
      <w:r w:rsidRPr="008D1F76">
        <w:t>In the Japanese study, AEs were higher on apixaban at 59% for 5</w:t>
      </w:r>
      <w:r w:rsidR="00DD5C59">
        <w:t> </w:t>
      </w:r>
      <w:r w:rsidRPr="008D1F76">
        <w:t xml:space="preserve">mg </w:t>
      </w:r>
      <w:r w:rsidR="00341B29">
        <w:t>bid</w:t>
      </w:r>
      <w:r w:rsidRPr="008D1F76">
        <w:t xml:space="preserve"> </w:t>
      </w:r>
      <w:r w:rsidR="00071C0C">
        <w:t>versus</w:t>
      </w:r>
      <w:r w:rsidRPr="008D1F76">
        <w:t xml:space="preserve"> 47% for warfarin.</w:t>
      </w:r>
    </w:p>
    <w:p w:rsidR="008D1F76" w:rsidRPr="008D1F76" w:rsidRDefault="008D1F76" w:rsidP="008D1F76">
      <w:r w:rsidRPr="008D1F76">
        <w:t xml:space="preserve">Major bleeding was defined based on an adaptation from the </w:t>
      </w:r>
      <w:r w:rsidR="00DD5C59">
        <w:t xml:space="preserve">ISTH </w:t>
      </w:r>
      <w:r w:rsidRPr="008D1F76">
        <w:t>as clinically overt bleeding with one of the following: a decrease in haemoglobin of 2</w:t>
      </w:r>
      <w:r w:rsidR="0061635C">
        <w:t xml:space="preserve"> </w:t>
      </w:r>
      <w:r w:rsidRPr="008D1F76">
        <w:t>g/</w:t>
      </w:r>
      <w:proofErr w:type="spellStart"/>
      <w:r w:rsidRPr="008D1F76">
        <w:t>dL</w:t>
      </w:r>
      <w:proofErr w:type="spellEnd"/>
      <w:r w:rsidRPr="008D1F76">
        <w:t xml:space="preserve"> or more over 24 h, a two unit or more transfusion of packed red blood cells, bleeding into at least one critical site</w:t>
      </w:r>
      <w:r w:rsidR="00DD5C59">
        <w:t>,</w:t>
      </w:r>
      <w:r w:rsidRPr="008D1F76">
        <w:t xml:space="preserve"> or fatal bleeding.</w:t>
      </w:r>
      <w:r w:rsidR="005E42C7">
        <w:t xml:space="preserve"> </w:t>
      </w:r>
      <w:r w:rsidRPr="008D1F76">
        <w:t>Clinically relevant non major bleeding was defined as acute clinically overt bleeding that is not major bleeding and with one of the following: hospital admission for bleeding, medical or surgical treatment for bleeding</w:t>
      </w:r>
      <w:r w:rsidR="00DD5C59">
        <w:t>,</w:t>
      </w:r>
      <w:r w:rsidRPr="008D1F76">
        <w:t xml:space="preserve"> or change in anticoagulant or </w:t>
      </w:r>
      <w:proofErr w:type="spellStart"/>
      <w:r w:rsidRPr="008D1F76">
        <w:t>antiplatelet</w:t>
      </w:r>
      <w:proofErr w:type="spellEnd"/>
      <w:r w:rsidRPr="008D1F76">
        <w:t xml:space="preserve"> therapy.</w:t>
      </w:r>
      <w:r w:rsidR="005E42C7">
        <w:t xml:space="preserve"> </w:t>
      </w:r>
      <w:r w:rsidRPr="008D1F76">
        <w:t>The results for the two pivotal studies showed:</w:t>
      </w:r>
    </w:p>
    <w:p w:rsidR="008D1F76" w:rsidRPr="008D1F76" w:rsidRDefault="008D1F76" w:rsidP="00095694">
      <w:pPr>
        <w:pStyle w:val="ListBullet"/>
      </w:pPr>
      <w:r w:rsidRPr="008D1F76">
        <w:t>ARISTOTLE showed major bleeding, CRNM</w:t>
      </w:r>
      <w:r w:rsidR="0061635C">
        <w:t xml:space="preserve"> bleeding</w:t>
      </w:r>
      <w:r w:rsidR="00DD5C59">
        <w:t>, all-</w:t>
      </w:r>
      <w:r w:rsidRPr="008D1F76">
        <w:t>bleeding and intracranial bleeding were significantly less on apixaban than warfarin and the evaluator has commented that this was also demonstrated for GUSTO and TIMI criteria:</w:t>
      </w:r>
    </w:p>
    <w:p w:rsidR="008D1F76" w:rsidRPr="008D1F76" w:rsidRDefault="008D1F76" w:rsidP="00095694">
      <w:pPr>
        <w:pStyle w:val="ListBullet2"/>
      </w:pPr>
      <w:r w:rsidRPr="008D1F76">
        <w:t xml:space="preserve">Adjudicated ISTH major bleeding: 3.6% on apixaban </w:t>
      </w:r>
      <w:r w:rsidR="00071C0C">
        <w:t>versus</w:t>
      </w:r>
      <w:r w:rsidRPr="008D1F76">
        <w:t xml:space="preserve"> 5.1% on warfarin (HR 0.69, 95</w:t>
      </w:r>
      <w:r w:rsidR="00DD5C59">
        <w:t xml:space="preserve"> </w:t>
      </w:r>
      <w:r w:rsidRPr="008D1F76">
        <w:t>%CI 0.60-0.80, p&lt;0.0001).</w:t>
      </w:r>
      <w:r w:rsidR="005E42C7">
        <w:t xml:space="preserve"> </w:t>
      </w:r>
      <w:r w:rsidRPr="008D1F76">
        <w:t>NNT=67.</w:t>
      </w:r>
      <w:r w:rsidR="005E42C7">
        <w:t xml:space="preserve"> </w:t>
      </w:r>
      <w:r w:rsidRPr="008D1F76">
        <w:t xml:space="preserve">Similar results seen for sites with INR control below and above the median </w:t>
      </w:r>
      <w:r w:rsidR="00DD5C59">
        <w:t>TTR</w:t>
      </w:r>
      <w:r w:rsidRPr="008D1F76">
        <w:t>.</w:t>
      </w:r>
    </w:p>
    <w:p w:rsidR="008D1F76" w:rsidRPr="008D1F76" w:rsidRDefault="008D1F76" w:rsidP="00095694">
      <w:pPr>
        <w:pStyle w:val="ListBullet3"/>
      </w:pPr>
      <w:r w:rsidRPr="008D1F76">
        <w:t>Fatal haemorrhage: 0.11</w:t>
      </w:r>
      <w:r w:rsidR="00DD5C59">
        <w:t>%</w:t>
      </w:r>
      <w:r w:rsidRPr="008D1F76">
        <w:t xml:space="preserve"> </w:t>
      </w:r>
      <w:r w:rsidR="00071C0C">
        <w:t>versus</w:t>
      </w:r>
      <w:r w:rsidRPr="008D1F76">
        <w:t xml:space="preserve"> 0.41%</w:t>
      </w:r>
    </w:p>
    <w:p w:rsidR="008D1F76" w:rsidRPr="008D1F76" w:rsidRDefault="008D1F76" w:rsidP="00095694">
      <w:pPr>
        <w:pStyle w:val="ListBullet3"/>
      </w:pPr>
      <w:r w:rsidRPr="008D1F76">
        <w:t>Gastrointestinal haemorrhage: 1.3</w:t>
      </w:r>
      <w:r w:rsidR="00DD5C59">
        <w:t>%</w:t>
      </w:r>
      <w:r w:rsidRPr="008D1F76">
        <w:t xml:space="preserve"> </w:t>
      </w:r>
      <w:r w:rsidR="00071C0C">
        <w:t>versus</w:t>
      </w:r>
      <w:r w:rsidRPr="008D1F76">
        <w:t xml:space="preserve"> 1.44%</w:t>
      </w:r>
    </w:p>
    <w:p w:rsidR="008D1F76" w:rsidRPr="008D1F76" w:rsidRDefault="008D1F76" w:rsidP="00095694">
      <w:pPr>
        <w:pStyle w:val="ListBullet3"/>
      </w:pPr>
      <w:r w:rsidRPr="008D1F76">
        <w:t>Bleeding into a critical site: 1</w:t>
      </w:r>
      <w:r w:rsidR="00DD5C59">
        <w:t>%</w:t>
      </w:r>
      <w:r w:rsidRPr="008D1F76">
        <w:t xml:space="preserve"> </w:t>
      </w:r>
      <w:r w:rsidR="00071C0C">
        <w:t>versus</w:t>
      </w:r>
      <w:r w:rsidRPr="008D1F76">
        <w:t xml:space="preserve"> 1.75% (all sites less or similar on apixaban except for serious intraocular bleeds (28 </w:t>
      </w:r>
      <w:r w:rsidR="00071C0C">
        <w:t>versus</w:t>
      </w:r>
      <w:r w:rsidRPr="008D1F76">
        <w:t xml:space="preserve"> 19 events)</w:t>
      </w:r>
      <w:r w:rsidR="00DD5C59">
        <w:t>,</w:t>
      </w:r>
      <w:r w:rsidRPr="008D1F76">
        <w:t xml:space="preserve"> which the evaluator has noted from a post hoc analysis occurred in those with risk </w:t>
      </w:r>
      <w:r w:rsidRPr="008D1F76">
        <w:lastRenderedPageBreak/>
        <w:t>factors).</w:t>
      </w:r>
      <w:r w:rsidR="005E42C7">
        <w:t xml:space="preserve"> </w:t>
      </w:r>
      <w:r w:rsidRPr="008D1F76">
        <w:t xml:space="preserve">Minor intraocular bleeds were lower on apixaban (20 </w:t>
      </w:r>
      <w:r w:rsidR="00071C0C">
        <w:t>versus</w:t>
      </w:r>
      <w:r w:rsidRPr="008D1F76">
        <w:t xml:space="preserve"> 40 events).</w:t>
      </w:r>
    </w:p>
    <w:p w:rsidR="008D1F76" w:rsidRPr="008D1F76" w:rsidRDefault="008D1F76" w:rsidP="00095694">
      <w:pPr>
        <w:pStyle w:val="ListBullet3"/>
      </w:pPr>
      <w:r w:rsidRPr="008D1F76">
        <w:t>Decrease in haemoglobin of ≥2g/</w:t>
      </w:r>
      <w:proofErr w:type="spellStart"/>
      <w:r w:rsidRPr="008D1F76">
        <w:t>dL</w:t>
      </w:r>
      <w:proofErr w:type="spellEnd"/>
      <w:r w:rsidRPr="008D1F76">
        <w:t xml:space="preserve"> over 24 h: 1.82</w:t>
      </w:r>
      <w:r w:rsidR="00DD5C59">
        <w:t>%</w:t>
      </w:r>
      <w:r w:rsidRPr="008D1F76">
        <w:t xml:space="preserve"> </w:t>
      </w:r>
      <w:r w:rsidR="00071C0C">
        <w:t>versus</w:t>
      </w:r>
      <w:r w:rsidRPr="008D1F76">
        <w:t xml:space="preserve"> 2.45%</w:t>
      </w:r>
    </w:p>
    <w:p w:rsidR="008D1F76" w:rsidRPr="008D1F76" w:rsidRDefault="008D1F76" w:rsidP="00095694">
      <w:pPr>
        <w:pStyle w:val="ListBullet3"/>
      </w:pPr>
      <w:r w:rsidRPr="008D1F76">
        <w:t>Transfusion of ≥2 units of packed red blood cells: 0.77</w:t>
      </w:r>
      <w:r w:rsidR="00DD5C59">
        <w:t>%</w:t>
      </w:r>
      <w:r w:rsidRPr="008D1F76">
        <w:t xml:space="preserve"> </w:t>
      </w:r>
      <w:r w:rsidR="00071C0C">
        <w:t>versus</w:t>
      </w:r>
      <w:r w:rsidRPr="008D1F76">
        <w:t xml:space="preserve"> 1.12%</w:t>
      </w:r>
    </w:p>
    <w:p w:rsidR="008D1F76" w:rsidRPr="008D1F76" w:rsidRDefault="008D1F76" w:rsidP="00095694">
      <w:pPr>
        <w:pStyle w:val="ListBullet2"/>
      </w:pPr>
      <w:r w:rsidRPr="008D1F76">
        <w:t>Intracranial bleeding: 0.57</w:t>
      </w:r>
      <w:r w:rsidR="00DD5C59">
        <w:t>%</w:t>
      </w:r>
      <w:r w:rsidRPr="008D1F76">
        <w:t xml:space="preserve"> </w:t>
      </w:r>
      <w:r w:rsidR="00071C0C">
        <w:t>versus</w:t>
      </w:r>
      <w:r w:rsidRPr="008D1F76">
        <w:t xml:space="preserve"> 1.35%, HR 0.42, 95%</w:t>
      </w:r>
      <w:r w:rsidR="00DD46B0">
        <w:t xml:space="preserve"> </w:t>
      </w:r>
      <w:r w:rsidR="00DD5C59">
        <w:t>CI 0.30</w:t>
      </w:r>
      <w:r w:rsidRPr="008D1F76">
        <w:t>-0.58, p&lt;0.0001.</w:t>
      </w:r>
    </w:p>
    <w:p w:rsidR="008D1F76" w:rsidRPr="008D1F76" w:rsidRDefault="008D1F76" w:rsidP="00095694">
      <w:pPr>
        <w:pStyle w:val="ListBullet2"/>
      </w:pPr>
      <w:r w:rsidRPr="008D1F76">
        <w:t xml:space="preserve">Major or CRNM bleeding: 6.75% on apixaban </w:t>
      </w:r>
      <w:r w:rsidR="00071C0C">
        <w:t>versus</w:t>
      </w:r>
      <w:r w:rsidRPr="008D1F76">
        <w:t xml:space="preserve"> 9.69% on warfarin (HR 0.68, 95%</w:t>
      </w:r>
      <w:r w:rsidR="00DD46B0">
        <w:t xml:space="preserve"> </w:t>
      </w:r>
      <w:r w:rsidRPr="008D1F76">
        <w:t>CI 0.61-0.75, p&lt;0.0001)</w:t>
      </w:r>
    </w:p>
    <w:p w:rsidR="008D1F76" w:rsidRPr="008D1F76" w:rsidRDefault="008D1F76" w:rsidP="00095694">
      <w:pPr>
        <w:pStyle w:val="ListBullet2"/>
      </w:pPr>
      <w:r w:rsidRPr="008D1F76">
        <w:t xml:space="preserve">All bleeding: 25.92% on apixaban </w:t>
      </w:r>
      <w:r w:rsidR="00071C0C">
        <w:t>versus</w:t>
      </w:r>
      <w:r w:rsidRPr="008D1F76">
        <w:t xml:space="preserve"> 33.8% on warfarin (HR 0.71, 95%</w:t>
      </w:r>
      <w:r w:rsidR="00DD46B0">
        <w:t xml:space="preserve"> </w:t>
      </w:r>
      <w:r w:rsidRPr="008D1F76">
        <w:t>CI 0.68-0.75, p&lt;0.0001)</w:t>
      </w:r>
    </w:p>
    <w:p w:rsidR="008D1F76" w:rsidRPr="008D1F76" w:rsidRDefault="008D1F76" w:rsidP="00095694">
      <w:pPr>
        <w:pStyle w:val="ListBullet"/>
      </w:pPr>
      <w:r w:rsidRPr="008D1F76">
        <w:t>AVERROES showed bleeding was higher on apixaban than ASA and significantly for</w:t>
      </w:r>
      <w:r w:rsidR="00DD5C59">
        <w:t xml:space="preserve"> major or CRNM bleeding and all-</w:t>
      </w:r>
      <w:r w:rsidRPr="008D1F76">
        <w:t>bleeding:</w:t>
      </w:r>
    </w:p>
    <w:p w:rsidR="008D1F76" w:rsidRPr="008D1F76" w:rsidRDefault="008D1F76" w:rsidP="00095694">
      <w:pPr>
        <w:pStyle w:val="ListBullet2"/>
      </w:pPr>
      <w:r w:rsidRPr="008D1F76">
        <w:t xml:space="preserve">Major bleeding was higher on apixaban: 1.61% on apixaban </w:t>
      </w:r>
      <w:r w:rsidR="00071C0C">
        <w:t>versus</w:t>
      </w:r>
      <w:r w:rsidRPr="008D1F76">
        <w:t xml:space="preserve"> 1.04% on ASA, HR=1.54, 95%</w:t>
      </w:r>
      <w:r w:rsidR="00DD5C59">
        <w:t xml:space="preserve"> </w:t>
      </w:r>
      <w:r w:rsidRPr="008D1F76">
        <w:t>CI 0.96-2.45, p=0.07, NNT</w:t>
      </w:r>
      <w:r w:rsidR="00E64405">
        <w:t xml:space="preserve"> </w:t>
      </w:r>
      <w:r w:rsidRPr="008D1F76">
        <w:t>(</w:t>
      </w:r>
      <w:r w:rsidR="00E64405">
        <w:t xml:space="preserve">or harm, </w:t>
      </w:r>
      <w:r w:rsidRPr="008D1F76">
        <w:t>H)=175</w:t>
      </w:r>
    </w:p>
    <w:p w:rsidR="008D1F76" w:rsidRPr="008D1F76" w:rsidRDefault="008D1F76" w:rsidP="00095694">
      <w:pPr>
        <w:pStyle w:val="ListBullet3"/>
      </w:pPr>
      <w:r w:rsidRPr="008D1F76">
        <w:t>Fatal bleeding: 0.18</w:t>
      </w:r>
      <w:r w:rsidR="00E64405">
        <w:t>%</w:t>
      </w:r>
      <w:r w:rsidRPr="008D1F76">
        <w:t xml:space="preserve"> </w:t>
      </w:r>
      <w:r w:rsidR="00071C0C">
        <w:t>versus</w:t>
      </w:r>
      <w:r w:rsidRPr="008D1F76">
        <w:t xml:space="preserve"> 0.18%</w:t>
      </w:r>
    </w:p>
    <w:p w:rsidR="008D1F76" w:rsidRPr="008D1F76" w:rsidRDefault="008D1F76" w:rsidP="00095694">
      <w:pPr>
        <w:pStyle w:val="ListBullet3"/>
      </w:pPr>
      <w:r w:rsidRPr="008D1F76">
        <w:t>Bleeding into a critical site: 0.79</w:t>
      </w:r>
      <w:r w:rsidR="00E64405">
        <w:t>%</w:t>
      </w:r>
      <w:r w:rsidRPr="008D1F76">
        <w:t xml:space="preserve"> </w:t>
      </w:r>
      <w:r w:rsidR="00071C0C">
        <w:t>versus</w:t>
      </w:r>
      <w:r w:rsidRPr="008D1F76">
        <w:t xml:space="preserve"> 0.43%</w:t>
      </w:r>
    </w:p>
    <w:p w:rsidR="008D1F76" w:rsidRPr="008D1F76" w:rsidRDefault="008D1F76" w:rsidP="004137CE">
      <w:pPr>
        <w:pStyle w:val="ListBullet2"/>
      </w:pPr>
      <w:r w:rsidRPr="008D1F76">
        <w:t xml:space="preserve">Major or CRNM bleeding was higher on apixaban: 5.00% on apixaban </w:t>
      </w:r>
      <w:r w:rsidR="00071C0C">
        <w:t>versus</w:t>
      </w:r>
      <w:r w:rsidRPr="008D1F76">
        <w:t xml:space="preserve"> 3.63% on ASA (HR 1.38, 95%</w:t>
      </w:r>
      <w:r w:rsidR="00E64405">
        <w:t xml:space="preserve"> </w:t>
      </w:r>
      <w:r w:rsidRPr="008D1F76">
        <w:t>CI 1.07-1.78, p=0.0144)</w:t>
      </w:r>
    </w:p>
    <w:p w:rsidR="008D1F76" w:rsidRPr="008D1F76" w:rsidRDefault="00E64405" w:rsidP="004137CE">
      <w:pPr>
        <w:pStyle w:val="ListBullet2"/>
      </w:pPr>
      <w:r>
        <w:t>All-</w:t>
      </w:r>
      <w:r w:rsidR="008D1F76" w:rsidRPr="008D1F76">
        <w:t xml:space="preserve">bleeding was higher on apixaban: 11.62% on apixaban </w:t>
      </w:r>
      <w:r w:rsidR="00071C0C">
        <w:t>versus</w:t>
      </w:r>
      <w:r w:rsidR="008D1F76" w:rsidRPr="008D1F76">
        <w:t xml:space="preserve"> 8.99% on ASA (HR 1.30, 95%</w:t>
      </w:r>
      <w:r>
        <w:t xml:space="preserve"> </w:t>
      </w:r>
      <w:r w:rsidR="008D1F76" w:rsidRPr="008D1F76">
        <w:t>CI 1.10-1.53, p=0.0017)</w:t>
      </w:r>
    </w:p>
    <w:p w:rsidR="008D1F76" w:rsidRPr="008D1F76" w:rsidRDefault="008D1F76" w:rsidP="008D1F76">
      <w:r w:rsidRPr="008D1F76">
        <w:t xml:space="preserve">In the Japanese </w:t>
      </w:r>
      <w:r w:rsidR="00052EF3">
        <w:t>s</w:t>
      </w:r>
      <w:r w:rsidRPr="008D1F76">
        <w:t>tudy, major or CRNM bleeding was 1.4% on apixaban 2.5</w:t>
      </w:r>
      <w:r w:rsidR="00071C0C">
        <w:t xml:space="preserve"> </w:t>
      </w:r>
      <w:r w:rsidRPr="008D1F76">
        <w:t>mg or 5</w:t>
      </w:r>
      <w:r w:rsidR="00071C0C">
        <w:t xml:space="preserve"> </w:t>
      </w:r>
      <w:r w:rsidRPr="008D1F76">
        <w:t xml:space="preserve">mg </w:t>
      </w:r>
      <w:r w:rsidR="00341B29">
        <w:t>bid</w:t>
      </w:r>
      <w:r w:rsidRPr="008D1F76">
        <w:t xml:space="preserve"> compared with 5.3% on warfarin.</w:t>
      </w:r>
    </w:p>
    <w:p w:rsidR="00E64405" w:rsidRDefault="008D1F76" w:rsidP="008E7846">
      <w:r w:rsidRPr="008D1F76">
        <w:t>Deaths were less on apixaba</w:t>
      </w:r>
      <w:r w:rsidR="00E64405">
        <w:t>n in ARISTOTLE (</w:t>
      </w:r>
      <w:r w:rsidR="00D67FAF">
        <w:t xml:space="preserve">% of AEs that resulted in death </w:t>
      </w:r>
      <w:r w:rsidRPr="008D1F76">
        <w:t xml:space="preserve">4.7% </w:t>
      </w:r>
      <w:r w:rsidR="00071C0C">
        <w:t>versus</w:t>
      </w:r>
      <w:r w:rsidRPr="008D1F76">
        <w:t xml:space="preserve"> 5.2% on warfarin</w:t>
      </w:r>
      <w:r w:rsidR="00D67FAF">
        <w:t xml:space="preserve">; </w:t>
      </w:r>
      <w:r w:rsidR="00D67FAF" w:rsidRPr="00D67FAF">
        <w:t>adjudicated all-cause</w:t>
      </w:r>
      <w:r w:rsidR="00D67FAF">
        <w:t xml:space="preserve"> deaths 6.6% versus 7.4%</w:t>
      </w:r>
      <w:r w:rsidRPr="008D1F76">
        <w:t>)</w:t>
      </w:r>
      <w:r w:rsidR="008E6353">
        <w:t xml:space="preserve">. The </w:t>
      </w:r>
      <w:r w:rsidRPr="008D1F76">
        <w:t xml:space="preserve">most </w:t>
      </w:r>
      <w:r w:rsidR="00D67FAF">
        <w:t xml:space="preserve">common </w:t>
      </w:r>
      <w:r w:rsidR="008E6353">
        <w:t xml:space="preserve">Serious AEs resulting in death for </w:t>
      </w:r>
      <w:r w:rsidR="00D67FAF">
        <w:t xml:space="preserve">apixaban </w:t>
      </w:r>
      <w:r w:rsidR="008E6353">
        <w:t>subjects were</w:t>
      </w:r>
      <w:r w:rsidR="00925BCB">
        <w:t>:</w:t>
      </w:r>
      <w:r w:rsidR="008E6353">
        <w:t xml:space="preserve"> </w:t>
      </w:r>
      <w:r w:rsidRPr="008D1F76">
        <w:t>sudden death</w:t>
      </w:r>
      <w:r w:rsidR="00891C38">
        <w:t xml:space="preserve"> (0.6%)</w:t>
      </w:r>
      <w:r w:rsidRPr="008D1F76">
        <w:t xml:space="preserve">, then cardiac failure, </w:t>
      </w:r>
      <w:r w:rsidR="00E64405">
        <w:t>MI</w:t>
      </w:r>
      <w:r w:rsidRPr="008D1F76">
        <w:t xml:space="preserve">, sudden cardiac death, cardiac arrest, pneumonia, </w:t>
      </w:r>
      <w:proofErr w:type="gramStart"/>
      <w:r w:rsidRPr="008D1F76">
        <w:t>death</w:t>
      </w:r>
      <w:proofErr w:type="gramEnd"/>
      <w:r w:rsidRPr="008D1F76">
        <w:t xml:space="preserve"> and ischaemic stroke.</w:t>
      </w:r>
      <w:r w:rsidR="005E42C7">
        <w:t xml:space="preserve"> </w:t>
      </w:r>
      <w:r w:rsidRPr="008D1F76">
        <w:t>Death was also less on apixab</w:t>
      </w:r>
      <w:r w:rsidR="00E64405">
        <w:t>an in AVERROES (adjudicated all-</w:t>
      </w:r>
      <w:r w:rsidRPr="008D1F76">
        <w:t xml:space="preserve">cause 3.3% </w:t>
      </w:r>
      <w:r w:rsidR="00071C0C">
        <w:t>versus</w:t>
      </w:r>
      <w:r w:rsidRPr="008D1F76">
        <w:t xml:space="preserve"> 4.1%).</w:t>
      </w:r>
      <w:r w:rsidR="005E42C7">
        <w:t xml:space="preserve"> </w:t>
      </w:r>
      <w:r w:rsidRPr="008D1F76">
        <w:t>Serious AEs were similar in frequency in ARISTOTLE (35</w:t>
      </w:r>
      <w:r w:rsidR="00E64405">
        <w:t>%</w:t>
      </w:r>
      <w:r w:rsidRPr="008D1F76">
        <w:t xml:space="preserve"> </w:t>
      </w:r>
      <w:r w:rsidR="00071C0C">
        <w:t>versus</w:t>
      </w:r>
      <w:r w:rsidRPr="008D1F76">
        <w:t xml:space="preserve"> 36.5%, mostly cardiac, infections and nervous system) and less in AVERROES for </w:t>
      </w:r>
      <w:proofErr w:type="spellStart"/>
      <w:r w:rsidRPr="008D1F76">
        <w:t>apixaban</w:t>
      </w:r>
      <w:proofErr w:type="spellEnd"/>
      <w:r w:rsidRPr="008D1F76">
        <w:t xml:space="preserve"> (23.5</w:t>
      </w:r>
      <w:r w:rsidR="00E64405">
        <w:t>%</w:t>
      </w:r>
      <w:r w:rsidRPr="008D1F76">
        <w:t xml:space="preserve"> </w:t>
      </w:r>
      <w:r w:rsidR="00071C0C">
        <w:t>versus</w:t>
      </w:r>
      <w:r w:rsidRPr="008D1F76">
        <w:t xml:space="preserve"> 28.9%).</w:t>
      </w:r>
    </w:p>
    <w:p w:rsidR="008E7846" w:rsidRDefault="008D1F76" w:rsidP="008E7846">
      <w:r w:rsidRPr="008D1F76">
        <w:t>A</w:t>
      </w:r>
      <w:r w:rsidR="00E64405">
        <w:t>dverse event</w:t>
      </w:r>
      <w:r w:rsidRPr="008D1F76">
        <w:t>s leading to discontinuation were lower on apixaban in ARISTOTLE (7.6</w:t>
      </w:r>
      <w:r w:rsidR="00E64405">
        <w:t>%</w:t>
      </w:r>
      <w:r w:rsidRPr="008D1F76">
        <w:t xml:space="preserve"> </w:t>
      </w:r>
      <w:r w:rsidR="00071C0C">
        <w:t>versus</w:t>
      </w:r>
      <w:r w:rsidRPr="008D1F76">
        <w:t xml:space="preserve"> 8.4%) and in AVERROES (</w:t>
      </w:r>
      <w:r w:rsidR="00792921">
        <w:t>9</w:t>
      </w:r>
      <w:r w:rsidRPr="008D1F76">
        <w:t>.5</w:t>
      </w:r>
      <w:r w:rsidR="00E64405">
        <w:t>%</w:t>
      </w:r>
      <w:r w:rsidRPr="008D1F76">
        <w:t xml:space="preserve"> </w:t>
      </w:r>
      <w:r w:rsidR="00071C0C">
        <w:t>versus</w:t>
      </w:r>
      <w:r w:rsidRPr="008D1F76">
        <w:t xml:space="preserve"> 13%).</w:t>
      </w:r>
      <w:r w:rsidR="005E42C7">
        <w:t xml:space="preserve"> </w:t>
      </w:r>
      <w:r w:rsidR="00792921">
        <w:t>In Study CV185030, l</w:t>
      </w:r>
      <w:r w:rsidRPr="008D1F76">
        <w:t>ive</w:t>
      </w:r>
      <w:r w:rsidR="00792921">
        <w:t>r</w:t>
      </w:r>
      <w:r w:rsidRPr="008D1F76">
        <w:t xml:space="preserve"> function test elevations were low and similar on apixaban and warfarin (ALT</w:t>
      </w:r>
      <w:r w:rsidR="00E64405">
        <w:t xml:space="preserve"> </w:t>
      </w:r>
      <w:r w:rsidRPr="008D1F76">
        <w:t>&gt;3</w:t>
      </w:r>
      <w:r w:rsidR="00E64405">
        <w:t xml:space="preserve"> times </w:t>
      </w:r>
      <w:r w:rsidRPr="008D1F76">
        <w:t xml:space="preserve">ULN and </w:t>
      </w:r>
      <w:r w:rsidR="00E64405">
        <w:t>t</w:t>
      </w:r>
      <w:r w:rsidRPr="008D1F76">
        <w:t xml:space="preserve">otal </w:t>
      </w:r>
      <w:r w:rsidR="00E64405">
        <w:t>b</w:t>
      </w:r>
      <w:r w:rsidRPr="008D1F76">
        <w:t>ilirubin &gt;2</w:t>
      </w:r>
      <w:r w:rsidR="00E64405">
        <w:t xml:space="preserve"> times </w:t>
      </w:r>
      <w:r w:rsidRPr="008D1F76">
        <w:t xml:space="preserve">ULN was 0.3% on both </w:t>
      </w:r>
      <w:proofErr w:type="gramStart"/>
      <w:r w:rsidRPr="008D1F76">
        <w:t>drugs</w:t>
      </w:r>
      <w:r w:rsidR="00E64405">
        <w:t>(</w:t>
      </w:r>
      <w:proofErr w:type="gramEnd"/>
      <w:r w:rsidRPr="008D1F76">
        <w:t>of these with &lt;2</w:t>
      </w:r>
      <w:r w:rsidR="00DD46B0">
        <w:t xml:space="preserve"> times </w:t>
      </w:r>
      <w:r w:rsidRPr="008D1F76">
        <w:t xml:space="preserve">ULN for </w:t>
      </w:r>
      <w:r w:rsidR="00E64405">
        <w:t xml:space="preserve">alkaline phosphatise </w:t>
      </w:r>
      <w:r w:rsidRPr="008D1F76">
        <w:t>with a possible relationship to study drug was 1 event on apixaban</w:t>
      </w:r>
      <w:r w:rsidR="00E64405">
        <w:t>,</w:t>
      </w:r>
      <w:r w:rsidRPr="008D1F76">
        <w:t xml:space="preserve"> </w:t>
      </w:r>
      <w:r w:rsidR="00071C0C">
        <w:t>versus</w:t>
      </w:r>
      <w:r w:rsidRPr="008D1F76">
        <w:t xml:space="preserve"> 3 events on warfarin).</w:t>
      </w:r>
      <w:r w:rsidR="005E42C7">
        <w:t xml:space="preserve"> </w:t>
      </w:r>
      <w:r w:rsidR="00792921">
        <w:t>In the pooled pivotal studies, l</w:t>
      </w:r>
      <w:r w:rsidRPr="008D1F76">
        <w:t xml:space="preserve">iver related deaths occurred in 7 patients on apixaban </w:t>
      </w:r>
      <w:r w:rsidR="00071C0C">
        <w:t>versus</w:t>
      </w:r>
      <w:r w:rsidRPr="008D1F76">
        <w:t xml:space="preserve"> 6 patients on warfarin</w:t>
      </w:r>
      <w:r w:rsidR="00792921">
        <w:t>/aspirin</w:t>
      </w:r>
      <w:r w:rsidRPr="008D1F76">
        <w:t>.</w:t>
      </w:r>
      <w:r w:rsidR="005E42C7">
        <w:t xml:space="preserve"> </w:t>
      </w:r>
      <w:r w:rsidR="00792921">
        <w:t>In Study CV185030, m</w:t>
      </w:r>
      <w:r w:rsidRPr="008D1F76">
        <w:t xml:space="preserve">arked elevation in renal function were low and similar in both groups with significant elevations in serum creatinine </w:t>
      </w:r>
      <w:r w:rsidR="00ED3D9B">
        <w:t xml:space="preserve">(6.1% on </w:t>
      </w:r>
      <w:r w:rsidRPr="008D1F76">
        <w:t xml:space="preserve">apixaban </w:t>
      </w:r>
      <w:r w:rsidR="00071C0C">
        <w:t>versus</w:t>
      </w:r>
      <w:r w:rsidRPr="008D1F76">
        <w:t xml:space="preserve"> </w:t>
      </w:r>
      <w:r w:rsidR="00ED3D9B">
        <w:t>6.3</w:t>
      </w:r>
      <w:r w:rsidRPr="008D1F76">
        <w:t>% on warfarin</w:t>
      </w:r>
      <w:r w:rsidR="00ED3D9B">
        <w:rPr>
          <w:rStyle w:val="FootnoteReference"/>
        </w:rPr>
        <w:footnoteReference w:id="21"/>
      </w:r>
      <w:r w:rsidR="00ED3D9B">
        <w:t>)</w:t>
      </w:r>
      <w:r w:rsidRPr="008D1F76">
        <w:t>.</w:t>
      </w:r>
      <w:r w:rsidR="005E42C7">
        <w:t xml:space="preserve"> </w:t>
      </w:r>
      <w:r w:rsidRPr="008D1F76">
        <w:t>Laboratory abnormalities were infrequent and similar in both groups and haematology parameters were also similar in both groups.</w:t>
      </w:r>
      <w:r w:rsidR="005E42C7">
        <w:t xml:space="preserve"> </w:t>
      </w:r>
      <w:r w:rsidRPr="008D1F76">
        <w:t>No significant differ</w:t>
      </w:r>
      <w:r w:rsidR="00E64405">
        <w:t>ences were seen in ECG findings or</w:t>
      </w:r>
      <w:r w:rsidRPr="008D1F76">
        <w:t xml:space="preserve"> vital signs</w:t>
      </w:r>
      <w:r>
        <w:t>.</w:t>
      </w:r>
    </w:p>
    <w:p w:rsidR="002E6A83" w:rsidRDefault="002E6A83" w:rsidP="007176F0">
      <w:pPr>
        <w:pStyle w:val="Heading4"/>
      </w:pPr>
      <w:r>
        <w:t>Clinical evaluator’s recommendation</w:t>
      </w:r>
    </w:p>
    <w:p w:rsidR="007176F0" w:rsidRDefault="002E6A83" w:rsidP="007176F0">
      <w:r w:rsidRPr="008D1F76">
        <w:t>The clinical evaluator recommended approval</w:t>
      </w:r>
      <w:r w:rsidR="007176F0">
        <w:t xml:space="preserve"> of apixaban 2.5 mg bid or 5 mg bid for the proposed addi</w:t>
      </w:r>
      <w:r w:rsidR="00366CE1">
        <w:t>tional indication:</w:t>
      </w:r>
    </w:p>
    <w:p w:rsidR="002E6A83" w:rsidRPr="008D1F76" w:rsidRDefault="007176F0" w:rsidP="007176F0">
      <w:pPr>
        <w:ind w:left="720"/>
      </w:pPr>
      <w:proofErr w:type="gramStart"/>
      <w:r>
        <w:rPr>
          <w:i/>
        </w:rPr>
        <w:lastRenderedPageBreak/>
        <w:t>to</w:t>
      </w:r>
      <w:proofErr w:type="gramEnd"/>
      <w:r>
        <w:rPr>
          <w:i/>
        </w:rPr>
        <w:t xml:space="preserve"> reduce the risk of stroke, systemic embolism and death in patients with non-valvular AF with at least one additional risk factor for stroke.</w:t>
      </w:r>
    </w:p>
    <w:p w:rsidR="008E7846" w:rsidRDefault="00386150" w:rsidP="008E7846">
      <w:pPr>
        <w:pStyle w:val="Heading3"/>
        <w:rPr>
          <w:lang w:eastAsia="en-AU"/>
        </w:rPr>
      </w:pPr>
      <w:bookmarkStart w:id="295" w:name="_Toc314842514"/>
      <w:bookmarkStart w:id="296" w:name="_Toc363676080"/>
      <w:r>
        <w:rPr>
          <w:lang w:eastAsia="en-AU"/>
        </w:rPr>
        <w:t>Risk m</w:t>
      </w:r>
      <w:r w:rsidR="008E7846">
        <w:rPr>
          <w:lang w:eastAsia="en-AU"/>
        </w:rPr>
        <w:t xml:space="preserve">anagement </w:t>
      </w:r>
      <w:r>
        <w:rPr>
          <w:lang w:eastAsia="en-AU"/>
        </w:rPr>
        <w:t>p</w:t>
      </w:r>
      <w:r w:rsidR="008E7846">
        <w:rPr>
          <w:lang w:eastAsia="en-AU"/>
        </w:rPr>
        <w:t>lan</w:t>
      </w:r>
      <w:bookmarkEnd w:id="295"/>
      <w:bookmarkEnd w:id="296"/>
    </w:p>
    <w:p w:rsidR="00A242DE" w:rsidRPr="00A242DE" w:rsidRDefault="008D1F76" w:rsidP="00A242DE">
      <w:r w:rsidRPr="00A242DE">
        <w:t xml:space="preserve">The </w:t>
      </w:r>
      <w:r w:rsidR="007176F0" w:rsidRPr="00A242DE">
        <w:t xml:space="preserve">TGA’s </w:t>
      </w:r>
      <w:r w:rsidRPr="00A242DE">
        <w:t>OPR</w:t>
      </w:r>
      <w:r w:rsidR="007176F0" w:rsidRPr="00A242DE">
        <w:t xml:space="preserve"> </w:t>
      </w:r>
      <w:r w:rsidRPr="00A242DE">
        <w:t xml:space="preserve">has accepted the Apixaban RMP, Version 1 (Data Lock Point 1 April, 2011, Document date 9 September 2011) plus the Australian specific Annex (Version 1, Data lock Point 1 April 2011) and recommended further changes as outlined </w:t>
      </w:r>
      <w:r w:rsidR="007176F0" w:rsidRPr="00A242DE">
        <w:t xml:space="preserve">above under Section V </w:t>
      </w:r>
      <w:r w:rsidR="007176F0" w:rsidRPr="00A242DE">
        <w:rPr>
          <w:i/>
        </w:rPr>
        <w:t>Pharmacovigilance findings</w:t>
      </w:r>
      <w:r w:rsidR="00A242DE" w:rsidRPr="00A242DE">
        <w:t xml:space="preserve">, </w:t>
      </w:r>
      <w:r w:rsidR="00A242DE" w:rsidRPr="00A242DE">
        <w:rPr>
          <w:i/>
        </w:rPr>
        <w:t>Summary of recommendations</w:t>
      </w:r>
      <w:r w:rsidR="00366CE1">
        <w:rPr>
          <w:i/>
        </w:rPr>
        <w:t>.</w:t>
      </w:r>
    </w:p>
    <w:p w:rsidR="008D1F76" w:rsidRPr="008D1F76" w:rsidRDefault="008D1F76" w:rsidP="008D1F76">
      <w:r w:rsidRPr="008D1F76">
        <w:t xml:space="preserve">The </w:t>
      </w:r>
      <w:r w:rsidR="00E64405">
        <w:t xml:space="preserve">Delegate requested the </w:t>
      </w:r>
      <w:r w:rsidRPr="008D1F76">
        <w:t>sponsor</w:t>
      </w:r>
      <w:r w:rsidR="00E64405">
        <w:t>,</w:t>
      </w:r>
      <w:r w:rsidRPr="008D1F76">
        <w:t xml:space="preserve"> </w:t>
      </w:r>
      <w:r w:rsidR="00E64405" w:rsidRPr="008D1F76">
        <w:t xml:space="preserve">in the </w:t>
      </w:r>
      <w:r w:rsidR="00E64405">
        <w:t>r</w:t>
      </w:r>
      <w:r w:rsidR="00E64405" w:rsidRPr="008D1F76">
        <w:t xml:space="preserve">esponse </w:t>
      </w:r>
      <w:r w:rsidR="00E64405">
        <w:t xml:space="preserve">to </w:t>
      </w:r>
      <w:r w:rsidR="00052EF3">
        <w:t xml:space="preserve">this </w:t>
      </w:r>
      <w:r w:rsidR="001759D0">
        <w:t>o</w:t>
      </w:r>
      <w:r w:rsidR="00E64405">
        <w:t xml:space="preserve">verview, </w:t>
      </w:r>
      <w:r w:rsidRPr="008D1F76">
        <w:t xml:space="preserve">address matters </w:t>
      </w:r>
      <w:r w:rsidR="00E64405">
        <w:t xml:space="preserve">raised by the OPR </w:t>
      </w:r>
      <w:r w:rsidRPr="008D1F76">
        <w:t xml:space="preserve">and follow up where appropriate with the </w:t>
      </w:r>
      <w:r w:rsidR="00A242DE">
        <w:t>OPR</w:t>
      </w:r>
      <w:r w:rsidRPr="008D1F76">
        <w:t>.</w:t>
      </w:r>
    </w:p>
    <w:p w:rsidR="008E7846" w:rsidRDefault="00AA0ED0" w:rsidP="00A573D0">
      <w:pPr>
        <w:pStyle w:val="Heading3"/>
      </w:pPr>
      <w:bookmarkStart w:id="297" w:name="_Toc247691531"/>
      <w:bookmarkStart w:id="298" w:name="_Toc314842515"/>
      <w:bookmarkStart w:id="299" w:name="_Toc363676081"/>
      <w:bookmarkStart w:id="300" w:name="_Toc196046505"/>
      <w:bookmarkStart w:id="301" w:name="_Toc196046949"/>
      <w:r>
        <w:t>Risk-benefit a</w:t>
      </w:r>
      <w:r w:rsidR="008E7846">
        <w:t>nalysis</w:t>
      </w:r>
      <w:bookmarkEnd w:id="297"/>
      <w:bookmarkEnd w:id="298"/>
      <w:bookmarkEnd w:id="299"/>
    </w:p>
    <w:p w:rsidR="008E7846" w:rsidRDefault="008E7846" w:rsidP="00A573D0">
      <w:pPr>
        <w:pStyle w:val="Heading4"/>
        <w:keepNext/>
      </w:pPr>
      <w:r>
        <w:t xml:space="preserve">Delegate </w:t>
      </w:r>
      <w:r w:rsidR="00ED3CAD">
        <w:t>c</w:t>
      </w:r>
      <w:r>
        <w:t>onsiderations</w:t>
      </w:r>
    </w:p>
    <w:p w:rsidR="00BB21C2" w:rsidRDefault="008D1F76" w:rsidP="00366CE1">
      <w:r w:rsidRPr="00B02983">
        <w:rPr>
          <w:b/>
        </w:rPr>
        <w:t>Efficacy</w:t>
      </w:r>
      <w:r w:rsidR="00C8640B">
        <w:rPr>
          <w:b/>
        </w:rPr>
        <w:t>:</w:t>
      </w:r>
      <w:r w:rsidRPr="008D1F76">
        <w:t xml:space="preserve"> Apixaban has demonstrated superiority to ASA and non-inferiority to warfarin in two large</w:t>
      </w:r>
      <w:r w:rsidR="00BB21C2">
        <w:t>,</w:t>
      </w:r>
      <w:r w:rsidRPr="008D1F76">
        <w:t xml:space="preserve"> well designed</w:t>
      </w:r>
      <w:r w:rsidR="00ED12FC">
        <w:t>,</w:t>
      </w:r>
      <w:r w:rsidRPr="008D1F76">
        <w:t xml:space="preserve"> </w:t>
      </w:r>
      <w:r w:rsidR="00AB60B1">
        <w:t>P</w:t>
      </w:r>
      <w:r w:rsidRPr="008D1F76">
        <w:t xml:space="preserve">hase III trials in patients with </w:t>
      </w:r>
      <w:r w:rsidR="00071C0C">
        <w:t xml:space="preserve">AF </w:t>
      </w:r>
      <w:r w:rsidRPr="008D1F76">
        <w:t xml:space="preserve">and at least one additional risk factor for stroke for the reduction of stroke or </w:t>
      </w:r>
      <w:r w:rsidR="00A242DE">
        <w:t>SE</w:t>
      </w:r>
      <w:r w:rsidRPr="008D1F76">
        <w:t>.</w:t>
      </w:r>
      <w:r w:rsidR="005E42C7">
        <w:t xml:space="preserve"> </w:t>
      </w:r>
      <w:r w:rsidR="00BB21C2">
        <w:t>This benefit was almost all in</w:t>
      </w:r>
      <w:r w:rsidRPr="008D1F76">
        <w:t xml:space="preserve"> reduction in stroke with little events of </w:t>
      </w:r>
      <w:r w:rsidR="00A242DE">
        <w:t>SE</w:t>
      </w:r>
      <w:r w:rsidR="00BB21C2">
        <w:t>,</w:t>
      </w:r>
      <w:r w:rsidR="00A242DE">
        <w:t xml:space="preserve"> </w:t>
      </w:r>
      <w:r w:rsidRPr="008D1F76">
        <w:t>however this is not unexpected.</w:t>
      </w:r>
      <w:r w:rsidR="005E42C7">
        <w:t xml:space="preserve"> </w:t>
      </w:r>
      <w:r w:rsidRPr="008D1F76">
        <w:t xml:space="preserve">The total number of strokes or </w:t>
      </w:r>
      <w:r w:rsidR="00A242DE">
        <w:t xml:space="preserve">SE </w:t>
      </w:r>
      <w:r w:rsidRPr="008D1F76">
        <w:t>was 2.32% on apixaban compared with 2.92% on warfarin in ARISTOTLE (</w:t>
      </w:r>
      <w:r w:rsidR="00A242DE">
        <w:t xml:space="preserve">absolute </w:t>
      </w:r>
      <w:r w:rsidR="00A242DE" w:rsidRPr="00A242DE">
        <w:t>risk reduction</w:t>
      </w:r>
      <w:r w:rsidR="00A242DE">
        <w:t xml:space="preserve"> (</w:t>
      </w:r>
      <w:r w:rsidRPr="008D1F76">
        <w:t>ARR</w:t>
      </w:r>
      <w:proofErr w:type="gramStart"/>
      <w:r w:rsidR="00A242DE">
        <w:t>)</w:t>
      </w:r>
      <w:r w:rsidRPr="008D1F76">
        <w:t>=</w:t>
      </w:r>
      <w:proofErr w:type="gramEnd"/>
      <w:r w:rsidRPr="008D1F76">
        <w:t xml:space="preserve">0.60%, </w:t>
      </w:r>
      <w:r w:rsidR="00A242DE" w:rsidRPr="00A242DE">
        <w:t>relative risk reduction</w:t>
      </w:r>
      <w:r w:rsidR="00A242DE">
        <w:t xml:space="preserve"> (</w:t>
      </w:r>
      <w:r w:rsidRPr="008D1F76">
        <w:t>RRR</w:t>
      </w:r>
      <w:r w:rsidR="00ED12FC">
        <w:t>)</w:t>
      </w:r>
      <w:r w:rsidRPr="008D1F76">
        <w:t>=21%)</w:t>
      </w:r>
      <w:r w:rsidR="00BB21C2">
        <w:t xml:space="preserve">, compared </w:t>
      </w:r>
      <w:r w:rsidRPr="008D1F76">
        <w:t>with 1.82% on apixaban and 4.05% on ASA in AVERROES (ARR=2.23%, RRR=55%).</w:t>
      </w:r>
      <w:r w:rsidR="005E42C7">
        <w:t xml:space="preserve"> </w:t>
      </w:r>
      <w:r w:rsidRPr="008D1F76">
        <w:t xml:space="preserve">The yearly event rate for stroke or </w:t>
      </w:r>
      <w:r w:rsidR="0031039E">
        <w:t xml:space="preserve">SE </w:t>
      </w:r>
      <w:r w:rsidRPr="008D1F76">
        <w:t xml:space="preserve">in ARISTOTLE was 1.27% on apixaban </w:t>
      </w:r>
      <w:r w:rsidR="00071C0C">
        <w:t>versus</w:t>
      </w:r>
      <w:r w:rsidRPr="008D1F76">
        <w:t xml:space="preserve"> 1.60% on warfarin</w:t>
      </w:r>
      <w:r w:rsidR="00BB21C2">
        <w:t>,</w:t>
      </w:r>
      <w:r w:rsidRPr="008D1F76">
        <w:t xml:space="preserve"> compared with the yearly event rate in AVERROES of 1.62% on apixaban </w:t>
      </w:r>
      <w:r w:rsidR="00071C0C">
        <w:t>versus</w:t>
      </w:r>
      <w:r w:rsidRPr="008D1F76">
        <w:t xml:space="preserve"> 3.63% on ASA (although the early termination of the AVERROES trial may have inflated the primary endpoint result).</w:t>
      </w:r>
    </w:p>
    <w:p w:rsidR="00BB21C2" w:rsidRDefault="008D1F76" w:rsidP="008D1F76">
      <w:r w:rsidRPr="008D1F76">
        <w:t>In ARISTOTLE, apixaban appeared to be superior to warfarin for the primary efficacy endpoint and of borderline superiority for all</w:t>
      </w:r>
      <w:r w:rsidR="00BB21C2">
        <w:t>-</w:t>
      </w:r>
      <w:r w:rsidRPr="008D1F76">
        <w:t>cause death</w:t>
      </w:r>
      <w:r w:rsidR="00BB21C2">
        <w:t>,</w:t>
      </w:r>
      <w:r w:rsidRPr="008D1F76">
        <w:t xml:space="preserve"> however the sponsor</w:t>
      </w:r>
      <w:r w:rsidR="00BB21C2">
        <w:t xml:space="preserve">, in the response to </w:t>
      </w:r>
      <w:r w:rsidR="001759D0">
        <w:t>the Delegate’s o</w:t>
      </w:r>
      <w:r w:rsidR="00BB21C2">
        <w:t>verview,</w:t>
      </w:r>
      <w:r w:rsidRPr="008D1F76">
        <w:t xml:space="preserve"> is requested to comment on the “statistical significance” of the results given the alpha value set for these endpoints was a one sided 0.005.</w:t>
      </w:r>
    </w:p>
    <w:p w:rsidR="00A242DE" w:rsidRDefault="00BB21C2" w:rsidP="008D1F76">
      <w:r>
        <w:t>All-</w:t>
      </w:r>
      <w:r w:rsidR="008D1F76" w:rsidRPr="008D1F76">
        <w:t>cause death was non-significantly less on apixaban compared to ASA.</w:t>
      </w:r>
      <w:r w:rsidR="005E42C7">
        <w:t xml:space="preserve"> </w:t>
      </w:r>
      <w:r w:rsidR="004E1ED9" w:rsidRPr="004E1ED9">
        <w:t>The main type of stroke contributing to the primary endpoint was ischaemic stroke which occurred in almost the same number of people on both</w:t>
      </w:r>
      <w:r w:rsidR="004E1ED9">
        <w:t xml:space="preserve"> apixaban and warfarin (1.54% versus</w:t>
      </w:r>
      <w:r w:rsidR="004E1ED9" w:rsidRPr="004E1ED9">
        <w:t xml:space="preserve"> 1.5%), however the reduction in the primary endpoint for apixaban was mainly driven by a reduction in haemorrhagic stroke, which was reduced by 49% in ARISTOTLE compared w</w:t>
      </w:r>
      <w:r w:rsidR="004E1ED9">
        <w:t xml:space="preserve">ith warfarin (0.44% versus 0.86%). </w:t>
      </w:r>
      <w:r w:rsidR="008D1F76" w:rsidRPr="008D1F76">
        <w:t xml:space="preserve">The results were closer in AVERROES (6 </w:t>
      </w:r>
      <w:r w:rsidR="00071C0C">
        <w:t>versus</w:t>
      </w:r>
      <w:r w:rsidR="008D1F76" w:rsidRPr="008D1F76">
        <w:t xml:space="preserve"> 9 events).</w:t>
      </w:r>
      <w:r w:rsidR="005E42C7">
        <w:t xml:space="preserve"> </w:t>
      </w:r>
      <w:r w:rsidR="008D1F76" w:rsidRPr="008D1F76">
        <w:t>Fatal or disabling strokes were reduced by 29% in ARISTOTLE.</w:t>
      </w:r>
      <w:r w:rsidR="005E42C7">
        <w:t xml:space="preserve"> </w:t>
      </w:r>
      <w:r w:rsidR="008D1F76" w:rsidRPr="008D1F76">
        <w:t>Subgroup analysis showed a consistent benefit in most groups</w:t>
      </w:r>
      <w:r w:rsidR="00DB06A5">
        <w:t>,</w:t>
      </w:r>
      <w:r w:rsidR="008D1F76" w:rsidRPr="008D1F76">
        <w:t xml:space="preserve"> although the lack of power and multiple comparisons for individual groups means this cannot be conclusively stated.</w:t>
      </w:r>
    </w:p>
    <w:p w:rsidR="008D1F76" w:rsidRPr="008D1F76" w:rsidRDefault="008D1F76" w:rsidP="008D1F76">
      <w:r w:rsidRPr="008D1F76">
        <w:t xml:space="preserve">To calculate an </w:t>
      </w:r>
      <w:r w:rsidR="00071C0C">
        <w:t xml:space="preserve">AF </w:t>
      </w:r>
      <w:r w:rsidRPr="008D1F76">
        <w:t>patient’s risk of stroke and bleeding, risk scores have been developed with the most common being the CHADS</w:t>
      </w:r>
      <w:r w:rsidRPr="00F41964">
        <w:rPr>
          <w:vertAlign w:val="subscript"/>
        </w:rPr>
        <w:t>2</w:t>
      </w:r>
      <w:r w:rsidRPr="008D1F76">
        <w:t xml:space="preserve"> score.</w:t>
      </w:r>
      <w:r w:rsidR="005E42C7">
        <w:t xml:space="preserve"> </w:t>
      </w:r>
      <w:r w:rsidRPr="008D1F76">
        <w:t>Analysis by CHADS</w:t>
      </w:r>
      <w:r w:rsidRPr="00F41964">
        <w:rPr>
          <w:vertAlign w:val="subscript"/>
        </w:rPr>
        <w:t>2</w:t>
      </w:r>
      <w:r w:rsidRPr="008D1F76">
        <w:t xml:space="preserve"> score for stroke risk (less sensitive for low risk patients) showed </w:t>
      </w:r>
      <w:r w:rsidR="00A868A3">
        <w:t>HR</w:t>
      </w:r>
      <w:r w:rsidRPr="008D1F76">
        <w:t xml:space="preserve">s all </w:t>
      </w:r>
      <w:r w:rsidR="00DB06A5">
        <w:t xml:space="preserve">&lt;1 </w:t>
      </w:r>
      <w:r w:rsidRPr="008D1F76">
        <w:t xml:space="preserve">in both pivotal studies but </w:t>
      </w:r>
      <w:r w:rsidR="00DB06A5">
        <w:t xml:space="preserve">CIs </w:t>
      </w:r>
      <w:r w:rsidRPr="008D1F76">
        <w:t>crossing unity for some groups.</w:t>
      </w:r>
      <w:r w:rsidR="005E42C7">
        <w:t xml:space="preserve"> </w:t>
      </w:r>
      <w:r w:rsidRPr="008D1F76">
        <w:t xml:space="preserve">A recent publication by Lopes </w:t>
      </w:r>
      <w:r w:rsidRPr="00A242DE">
        <w:rPr>
          <w:i/>
        </w:rPr>
        <w:t>et al</w:t>
      </w:r>
      <w:r w:rsidR="00A242DE" w:rsidRPr="00A242DE">
        <w:t>.</w:t>
      </w:r>
      <w:r w:rsidRPr="00A242DE">
        <w:rPr>
          <w:vertAlign w:val="superscript"/>
        </w:rPr>
        <w:footnoteReference w:id="22"/>
      </w:r>
      <w:r w:rsidRPr="00A242DE">
        <w:rPr>
          <w:vertAlign w:val="superscript"/>
        </w:rPr>
        <w:t xml:space="preserve"> </w:t>
      </w:r>
      <w:r w:rsidRPr="008D1F76">
        <w:t>examined the primary endpoint by CHADS</w:t>
      </w:r>
      <w:r w:rsidRPr="00F41964">
        <w:rPr>
          <w:vertAlign w:val="subscript"/>
        </w:rPr>
        <w:t>2</w:t>
      </w:r>
      <w:r w:rsidRPr="008D1F76">
        <w:t xml:space="preserve"> score, CHA</w:t>
      </w:r>
      <w:r w:rsidRPr="00F41964">
        <w:rPr>
          <w:vertAlign w:val="subscript"/>
        </w:rPr>
        <w:t>2</w:t>
      </w:r>
      <w:r w:rsidRPr="008D1F76">
        <w:t>DS</w:t>
      </w:r>
      <w:r w:rsidRPr="00F41964">
        <w:rPr>
          <w:vertAlign w:val="subscript"/>
        </w:rPr>
        <w:t>2</w:t>
      </w:r>
      <w:r w:rsidRPr="008D1F76">
        <w:t xml:space="preserve">VASc score </w:t>
      </w:r>
      <w:r w:rsidRPr="003332A7">
        <w:t xml:space="preserve">(a newer and more sensitive </w:t>
      </w:r>
      <w:r w:rsidRPr="003332A7">
        <w:lastRenderedPageBreak/>
        <w:t xml:space="preserve">score for stroke risk, especially </w:t>
      </w:r>
      <w:r w:rsidR="00F41964" w:rsidRPr="003332A7">
        <w:t xml:space="preserve">in </w:t>
      </w:r>
      <w:r w:rsidRPr="003332A7">
        <w:t>low risk patients</w:t>
      </w:r>
      <w:r w:rsidR="003332A7">
        <w:rPr>
          <w:rStyle w:val="FootnoteReference"/>
        </w:rPr>
        <w:footnoteReference w:id="23"/>
      </w:r>
      <w:r w:rsidRPr="003332A7">
        <w:t xml:space="preserve">) and HAS-BLED </w:t>
      </w:r>
      <w:r w:rsidR="00DB06A5">
        <w:t xml:space="preserve">score </w:t>
      </w:r>
      <w:r w:rsidRPr="003332A7">
        <w:t>(</w:t>
      </w:r>
      <w:r w:rsidR="00DB06A5">
        <w:t xml:space="preserve">which estimates the </w:t>
      </w:r>
      <w:r w:rsidRPr="003332A7">
        <w:t>risk of bleeding</w:t>
      </w:r>
      <w:r w:rsidR="00DB06A5">
        <w:t xml:space="preserve"> for patients on anticoagulants</w:t>
      </w:r>
      <w:r w:rsidRPr="003332A7">
        <w:t>) and found no significant difference by stroke risk or bleeding risk</w:t>
      </w:r>
      <w:r w:rsidRPr="008D1F76">
        <w:t xml:space="preserve">, although some </w:t>
      </w:r>
      <w:r w:rsidR="00A242DE">
        <w:t xml:space="preserve">CIs </w:t>
      </w:r>
      <w:r w:rsidRPr="008D1F76">
        <w:t xml:space="preserve">were broad and had </w:t>
      </w:r>
      <w:r w:rsidR="00A868A3">
        <w:t>HR</w:t>
      </w:r>
      <w:r w:rsidRPr="008D1F76">
        <w:t>s &gt;1.</w:t>
      </w:r>
      <w:r w:rsidR="005E42C7">
        <w:t xml:space="preserve"> </w:t>
      </w:r>
      <w:r w:rsidRPr="008D1F76">
        <w:t xml:space="preserve">The benefit of apixaban also appeared to be seen in different INR control groups based on their </w:t>
      </w:r>
      <w:r w:rsidR="00DB06A5">
        <w:t>TTR</w:t>
      </w:r>
      <w:r w:rsidRPr="008D1F76">
        <w:t>.</w:t>
      </w:r>
      <w:r w:rsidR="005E42C7">
        <w:t xml:space="preserve"> </w:t>
      </w:r>
      <w:r w:rsidRPr="008D1F76">
        <w:t xml:space="preserve">In summary, the </w:t>
      </w:r>
      <w:r w:rsidR="00DB06A5">
        <w:t xml:space="preserve">NNT </w:t>
      </w:r>
      <w:r w:rsidRPr="008D1F76">
        <w:t>to prevent a stroke compared to warfarin was 167 in ARISTOTLE over an average 1.7 years</w:t>
      </w:r>
      <w:r w:rsidR="00DB06A5">
        <w:t>,</w:t>
      </w:r>
      <w:r w:rsidRPr="008D1F76">
        <w:t xml:space="preserve"> and compared to aspirin </w:t>
      </w:r>
      <w:r w:rsidR="00DB06A5">
        <w:t xml:space="preserve">the NNT </w:t>
      </w:r>
      <w:r w:rsidRPr="008D1F76">
        <w:t>was 45 in AVERROES for an average 1.1 years.</w:t>
      </w:r>
    </w:p>
    <w:p w:rsidR="00F30696" w:rsidRDefault="008D1F76" w:rsidP="008D1F76">
      <w:r w:rsidRPr="00B02983">
        <w:rPr>
          <w:b/>
        </w:rPr>
        <w:t>Safety and RMP</w:t>
      </w:r>
      <w:r w:rsidR="00C8640B">
        <w:rPr>
          <w:b/>
        </w:rPr>
        <w:t>:</w:t>
      </w:r>
      <w:r w:rsidR="005E42C7">
        <w:t xml:space="preserve"> </w:t>
      </w:r>
      <w:r w:rsidRPr="008D1F76">
        <w:t>The safety profile of apixaban appears similar to warfarin for the majority of safety signals identified in ARISTOTLE.</w:t>
      </w:r>
      <w:r w:rsidR="005E42C7">
        <w:t xml:space="preserve"> </w:t>
      </w:r>
      <w:r w:rsidRPr="008D1F76">
        <w:t>Exposure was for a reasonable period (mean 1.7 years) and the number of subjects exposed was large</w:t>
      </w:r>
      <w:r w:rsidR="0023030D">
        <w:t>,</w:t>
      </w:r>
      <w:r w:rsidRPr="008D1F76">
        <w:t xml:space="preserve"> as expected for this type of indication and duration of use.</w:t>
      </w:r>
      <w:r w:rsidR="005E42C7">
        <w:t xml:space="preserve"> </w:t>
      </w:r>
      <w:r w:rsidRPr="008D1F76">
        <w:t>Bleeding is the main safety signal of interest for an anticoagulant and ARISTOTLE showed that this was significantly less on apixaban than warfarin for major bleeding (3.6</w:t>
      </w:r>
      <w:r w:rsidR="0023030D">
        <w:t>%</w:t>
      </w:r>
      <w:r w:rsidRPr="008D1F76">
        <w:t xml:space="preserve"> </w:t>
      </w:r>
      <w:r w:rsidR="00071C0C">
        <w:t>versus</w:t>
      </w:r>
      <w:r w:rsidRPr="008D1F76">
        <w:t xml:space="preserve"> 5.1%, ARR=1.5%, RRR=31%), CRNM</w:t>
      </w:r>
      <w:r w:rsidR="00A242DE">
        <w:t xml:space="preserve"> bleeding</w:t>
      </w:r>
      <w:r w:rsidR="0023030D">
        <w:t>, all-</w:t>
      </w:r>
      <w:r w:rsidRPr="008D1F76">
        <w:t>bleeding and intracranial bleeding.</w:t>
      </w:r>
      <w:r w:rsidR="005E42C7">
        <w:t xml:space="preserve"> </w:t>
      </w:r>
      <w:r w:rsidRPr="008D1F76">
        <w:t>Fatal haemorrhage was less on apixaban than warfarin and gastrointestinal haemorrhage was similar to warfarin.</w:t>
      </w:r>
      <w:r w:rsidR="005E42C7">
        <w:t xml:space="preserve"> </w:t>
      </w:r>
      <w:r w:rsidRPr="008D1F76">
        <w:t>However</w:t>
      </w:r>
      <w:r w:rsidR="0023030D">
        <w:t>,</w:t>
      </w:r>
      <w:r w:rsidRPr="008D1F76">
        <w:t xml:space="preserve"> when compared with ASA in AVERROES, bleeding was higher on apixaban and significantly so for major or</w:t>
      </w:r>
      <w:r w:rsidR="0023030D">
        <w:t xml:space="preserve"> CRNM bleeding combined and all-</w:t>
      </w:r>
      <w:r w:rsidRPr="008D1F76">
        <w:t>bleeding</w:t>
      </w:r>
      <w:r w:rsidR="0023030D">
        <w:t>,</w:t>
      </w:r>
      <w:r w:rsidRPr="008D1F76">
        <w:t xml:space="preserve"> but not </w:t>
      </w:r>
      <w:r w:rsidR="0023030D">
        <w:t xml:space="preserve">for </w:t>
      </w:r>
      <w:r w:rsidRPr="008D1F76">
        <w:t>major bleeding alone (1.61</w:t>
      </w:r>
      <w:r w:rsidR="0023030D">
        <w:t>%</w:t>
      </w:r>
      <w:r w:rsidRPr="008D1F76">
        <w:t xml:space="preserve"> </w:t>
      </w:r>
      <w:r w:rsidR="00071C0C">
        <w:t>versus</w:t>
      </w:r>
      <w:r w:rsidRPr="008D1F76">
        <w:t xml:space="preserve"> 1.04%, absolute risk increase=0.5</w:t>
      </w:r>
      <w:r w:rsidR="00A242DE">
        <w:t>7%, relative risk increase=54%).</w:t>
      </w:r>
      <w:r w:rsidRPr="008D1F76">
        <w:t xml:space="preserve"> </w:t>
      </w:r>
      <w:r w:rsidR="00A242DE">
        <w:t>H</w:t>
      </w:r>
      <w:r w:rsidRPr="008D1F76">
        <w:t>owever</w:t>
      </w:r>
      <w:r w:rsidR="00A242DE">
        <w:t>,</w:t>
      </w:r>
      <w:r w:rsidRPr="008D1F76">
        <w:t xml:space="preserve"> given the pharmacology of the drug, this may not be unexpected.</w:t>
      </w:r>
      <w:r w:rsidR="005E42C7">
        <w:t xml:space="preserve"> </w:t>
      </w:r>
      <w:r w:rsidRPr="008D1F76">
        <w:t xml:space="preserve">Bleeding into a critical site was less on apixaban than warfarin except possibly for serious intraocular bleeding, but higher on apixaban than ASA. Fatal bleeding was similar on </w:t>
      </w:r>
      <w:proofErr w:type="spellStart"/>
      <w:r w:rsidRPr="008D1F76">
        <w:t>apixaban</w:t>
      </w:r>
      <w:proofErr w:type="spellEnd"/>
      <w:r w:rsidRPr="008D1F76">
        <w:t xml:space="preserve"> and ASA.</w:t>
      </w:r>
    </w:p>
    <w:p w:rsidR="0023030D" w:rsidRDefault="008D1F76" w:rsidP="008D1F76">
      <w:proofErr w:type="spellStart"/>
      <w:r w:rsidRPr="008D1F76">
        <w:t>Apixaban’s</w:t>
      </w:r>
      <w:proofErr w:type="spellEnd"/>
      <w:r w:rsidRPr="008D1F76">
        <w:t xml:space="preserve"> safety profile was similar in subgroups and there was no increased risk of </w:t>
      </w:r>
      <w:r w:rsidR="0023030D">
        <w:t xml:space="preserve">MI </w:t>
      </w:r>
      <w:r w:rsidRPr="008D1F76">
        <w:t>in either pivotal study.</w:t>
      </w:r>
      <w:r w:rsidR="005E42C7">
        <w:t xml:space="preserve"> </w:t>
      </w:r>
      <w:r w:rsidRPr="008D1F76">
        <w:t xml:space="preserve">The recent publication by Lopes RD </w:t>
      </w:r>
      <w:r w:rsidRPr="00F30696">
        <w:rPr>
          <w:i/>
        </w:rPr>
        <w:t>et al</w:t>
      </w:r>
      <w:r w:rsidRPr="008D1F76">
        <w:t>, examined major bleeding by CHADS</w:t>
      </w:r>
      <w:r w:rsidRPr="00F41964">
        <w:rPr>
          <w:vertAlign w:val="subscript"/>
        </w:rPr>
        <w:t>2</w:t>
      </w:r>
      <w:r w:rsidRPr="008D1F76">
        <w:t xml:space="preserve"> score, CHA</w:t>
      </w:r>
      <w:r w:rsidRPr="00F41964">
        <w:rPr>
          <w:vertAlign w:val="subscript"/>
        </w:rPr>
        <w:t>2</w:t>
      </w:r>
      <w:r w:rsidRPr="008D1F76">
        <w:t>DS</w:t>
      </w:r>
      <w:r w:rsidRPr="00F41964">
        <w:rPr>
          <w:vertAlign w:val="subscript"/>
        </w:rPr>
        <w:t>2</w:t>
      </w:r>
      <w:r w:rsidRPr="008D1F76">
        <w:t>VASc score and HAS-BLED score and found no significant difference by stroke risk or bleeding risk</w:t>
      </w:r>
      <w:r w:rsidR="0023030D">
        <w:t>,</w:t>
      </w:r>
      <w:r w:rsidRPr="008D1F76">
        <w:t xml:space="preserve"> with all </w:t>
      </w:r>
      <w:r w:rsidR="00A868A3">
        <w:t>HR</w:t>
      </w:r>
      <w:r w:rsidRPr="008D1F76">
        <w:t xml:space="preserve">s </w:t>
      </w:r>
      <w:r w:rsidR="0023030D">
        <w:t>&lt;1</w:t>
      </w:r>
      <w:r w:rsidRPr="008D1F76">
        <w:t xml:space="preserve">, including most </w:t>
      </w:r>
      <w:r w:rsidR="0023030D">
        <w:t>CIs</w:t>
      </w:r>
      <w:r w:rsidRPr="008D1F76">
        <w:t>.</w:t>
      </w:r>
    </w:p>
    <w:p w:rsidR="008D1F76" w:rsidRPr="008D1F76" w:rsidRDefault="008D1F76" w:rsidP="008D1F76">
      <w:r w:rsidRPr="008D1F76">
        <w:t>The RMP has outlined a number of matters that require further consideration by the sponsor as outlined above, especially an Australian-specific patient and health professional education program.</w:t>
      </w:r>
      <w:r w:rsidR="005E42C7">
        <w:t xml:space="preserve"> </w:t>
      </w:r>
      <w:r w:rsidRPr="008D1F76">
        <w:t>In summary, the number needed to treat to prevent a major bleed compared to warfarin was 67 in ARISTOTLE for an average 1.7 years and compared to aspirin was a number needed to treat to harm of 175 in AVERROES for an average 1.1 years.</w:t>
      </w:r>
    </w:p>
    <w:p w:rsidR="00C8640B" w:rsidRDefault="008D1F76" w:rsidP="008D1F76">
      <w:r w:rsidRPr="00B02983">
        <w:rPr>
          <w:b/>
        </w:rPr>
        <w:t>Indication</w:t>
      </w:r>
      <w:r w:rsidR="008B0657">
        <w:rPr>
          <w:b/>
        </w:rPr>
        <w:t>:</w:t>
      </w:r>
      <w:r w:rsidRPr="008D1F76">
        <w:t xml:space="preserve"> </w:t>
      </w:r>
      <w:r w:rsidR="00C8640B">
        <w:t>The indication proposed by the sponsor is:</w:t>
      </w:r>
    </w:p>
    <w:p w:rsidR="00C8640B" w:rsidRPr="00C8640B" w:rsidRDefault="00C8640B" w:rsidP="00C8640B">
      <w:pPr>
        <w:ind w:left="720"/>
        <w:rPr>
          <w:i/>
        </w:rPr>
      </w:pPr>
      <w:proofErr w:type="gramStart"/>
      <w:r w:rsidRPr="00C8640B">
        <w:rPr>
          <w:i/>
        </w:rPr>
        <w:t>Eliquis is indicated to reduce the risk of stroke, systemic embolism, and death in patients with non-valvular atrial fibrillation with at least one additional risk factor for stroke.</w:t>
      </w:r>
      <w:proofErr w:type="gramEnd"/>
    </w:p>
    <w:p w:rsidR="00C8640B" w:rsidRPr="00C8640B" w:rsidRDefault="00C8640B" w:rsidP="00C8640B">
      <w:pPr>
        <w:ind w:left="720"/>
        <w:rPr>
          <w:i/>
        </w:rPr>
      </w:pPr>
      <w:r w:rsidRPr="00C8640B">
        <w:rPr>
          <w:i/>
        </w:rPr>
        <w:t>Eliquis also reduced the risk of major bleedings when compared to warfarin (see Clinical Trials).</w:t>
      </w:r>
    </w:p>
    <w:p w:rsidR="008D1F76" w:rsidRPr="008D1F76" w:rsidRDefault="008D1F76" w:rsidP="008D1F76">
      <w:r w:rsidRPr="008D1F76">
        <w:t>The inclusion of death in the indication is not supported as it is a secondary endpoint in the pivotal study and of questionable significance.</w:t>
      </w:r>
      <w:r w:rsidR="005E42C7">
        <w:t xml:space="preserve"> </w:t>
      </w:r>
      <w:r w:rsidRPr="008D1F76">
        <w:t>The indication should be focussed on the primary endpoint.</w:t>
      </w:r>
      <w:r w:rsidR="005E42C7">
        <w:t xml:space="preserve"> </w:t>
      </w:r>
      <w:r w:rsidRPr="008D1F76">
        <w:t xml:space="preserve">This information would be better placed in the </w:t>
      </w:r>
      <w:r w:rsidRPr="008B0657">
        <w:rPr>
          <w:i/>
        </w:rPr>
        <w:t>Clinical Trials</w:t>
      </w:r>
      <w:r w:rsidRPr="008D1F76">
        <w:t xml:space="preserve"> section of the PI.</w:t>
      </w:r>
      <w:r w:rsidR="005E42C7">
        <w:t xml:space="preserve"> </w:t>
      </w:r>
      <w:r w:rsidRPr="008D1F76">
        <w:t xml:space="preserve">The second statement regarding </w:t>
      </w:r>
      <w:r w:rsidR="008B0657">
        <w:rPr>
          <w:i/>
        </w:rPr>
        <w:t>‘</w:t>
      </w:r>
      <w:r w:rsidRPr="008B0657">
        <w:rPr>
          <w:i/>
        </w:rPr>
        <w:t>Eliquis also reduced the risk of major bleedings when compared to warfarin (see Clinical Trials)</w:t>
      </w:r>
      <w:r w:rsidR="008B0657">
        <w:rPr>
          <w:i/>
        </w:rPr>
        <w:t>’</w:t>
      </w:r>
      <w:r w:rsidRPr="008D1F76">
        <w:t xml:space="preserve"> is also not supported in the Indications as it is also a secondary endpoint from the study, makes a comparative claim and</w:t>
      </w:r>
      <w:r w:rsidR="00C8640B">
        <w:t>,</w:t>
      </w:r>
      <w:r w:rsidRPr="008D1F76">
        <w:t xml:space="preserve"> as noted by the RMP evaluator</w:t>
      </w:r>
      <w:r w:rsidR="00C8640B">
        <w:t>,</w:t>
      </w:r>
      <w:r w:rsidRPr="008D1F76">
        <w:t xml:space="preserve"> appears to be more of a marketing claim for the product.</w:t>
      </w:r>
      <w:r w:rsidR="005E42C7">
        <w:t xml:space="preserve"> </w:t>
      </w:r>
      <w:r w:rsidRPr="008D1F76">
        <w:t xml:space="preserve">Given the indication is aimed at adults and the clinical evaluator’s comment regarding use in children (see </w:t>
      </w:r>
      <w:r w:rsidR="00C8640B">
        <w:t xml:space="preserve">above discussion of </w:t>
      </w:r>
      <w:r w:rsidR="00C8640B" w:rsidRPr="00C8640B">
        <w:t>Study CV185066</w:t>
      </w:r>
      <w:r w:rsidRPr="008D1F76">
        <w:t>), then it should be considered whether the indication be restricted to adults only.</w:t>
      </w:r>
    </w:p>
    <w:p w:rsidR="008D1F76" w:rsidRPr="008D1F76" w:rsidRDefault="008D1F76" w:rsidP="008D1F76">
      <w:r w:rsidRPr="00B02983">
        <w:rPr>
          <w:b/>
        </w:rPr>
        <w:lastRenderedPageBreak/>
        <w:t>Dispensing errors</w:t>
      </w:r>
      <w:r w:rsidR="008B0657">
        <w:rPr>
          <w:b/>
        </w:rPr>
        <w:t>:</w:t>
      </w:r>
      <w:r w:rsidRPr="008D1F76">
        <w:t xml:space="preserve"> The dispensing errors which were initially thought to be much higher on apixaban than warfarin were subsequently found in a sample of 40% of subjects checked to be much lower at &lt;0.1% of study medication dispensations in &lt;1% of subjects</w:t>
      </w:r>
      <w:r w:rsidR="00C8640B">
        <w:t>,</w:t>
      </w:r>
      <w:r w:rsidRPr="008D1F76">
        <w:t xml:space="preserve"> and was balanced between the apixaban and warfarin groups.</w:t>
      </w:r>
      <w:r w:rsidR="005E42C7">
        <w:t xml:space="preserve"> </w:t>
      </w:r>
      <w:r w:rsidRPr="008D1F76">
        <w:t>Given the small number of errors reported, the similar rate of error on apixaban and warfarin, the sensitivity analysis conducted by the sponsor to demonstrate that these errors did not impact the primary efficacy en</w:t>
      </w:r>
      <w:r w:rsidR="00C8640B">
        <w:t>dpoint or major bleeding or all-</w:t>
      </w:r>
      <w:r w:rsidRPr="008D1F76">
        <w:t>cause death</w:t>
      </w:r>
      <w:r w:rsidR="00C8640B">
        <w:t>,</w:t>
      </w:r>
      <w:r w:rsidRPr="008D1F76">
        <w:t xml:space="preserve"> and the subsequent checking of 40% of the dispensations, then the results from the ARISTOTLE study should still be valid.</w:t>
      </w:r>
    </w:p>
    <w:p w:rsidR="008D1F76" w:rsidRPr="008D1F76" w:rsidRDefault="008D1F76" w:rsidP="008D1F76">
      <w:r w:rsidRPr="00B02983">
        <w:rPr>
          <w:b/>
        </w:rPr>
        <w:t>Warfarin dosing</w:t>
      </w:r>
      <w:r w:rsidR="008B0657">
        <w:rPr>
          <w:b/>
        </w:rPr>
        <w:t>:</w:t>
      </w:r>
      <w:r w:rsidRPr="008D1F76">
        <w:t xml:space="preserve"> The </w:t>
      </w:r>
      <w:r w:rsidR="00C8640B">
        <w:t xml:space="preserve">clinical </w:t>
      </w:r>
      <w:r w:rsidRPr="008D1F76">
        <w:t xml:space="preserve">evaluator has commented that warfarin provides effective protection against stroke but is not prescribed in up to 50% of AF patients due mainly to bleeding concerns, low risk of embolus, </w:t>
      </w:r>
      <w:proofErr w:type="gramStart"/>
      <w:r w:rsidRPr="008D1F76">
        <w:t>difficulty</w:t>
      </w:r>
      <w:proofErr w:type="gramEnd"/>
      <w:r w:rsidRPr="008D1F76">
        <w:t xml:space="preserve"> of use or patient refusal.</w:t>
      </w:r>
      <w:r w:rsidR="005E42C7">
        <w:t xml:space="preserve"> </w:t>
      </w:r>
      <w:r w:rsidRPr="008D1F76">
        <w:t>The evaluator notes that INRs are only in the therapeutic range for approximately 60% of the time during chronic warfarin therapy.</w:t>
      </w:r>
      <w:r w:rsidR="005E42C7">
        <w:t xml:space="preserve"> </w:t>
      </w:r>
      <w:r w:rsidRPr="008D1F76">
        <w:t xml:space="preserve">The recent </w:t>
      </w:r>
      <w:r w:rsidRPr="00C8640B">
        <w:rPr>
          <w:i/>
        </w:rPr>
        <w:t>Review of Anticoagulation Therapies in Atrial Fibrillation</w:t>
      </w:r>
      <w:r w:rsidRPr="00C62B13">
        <w:rPr>
          <w:vertAlign w:val="superscript"/>
        </w:rPr>
        <w:footnoteReference w:id="24"/>
      </w:r>
      <w:r w:rsidRPr="008D1F76">
        <w:t xml:space="preserve"> notes that in Australia, the </w:t>
      </w:r>
      <w:r w:rsidR="00DB06A5">
        <w:t xml:space="preserve">TTR </w:t>
      </w:r>
      <w:r w:rsidRPr="008D1F76">
        <w:t>varies significantly amongst individuals with estimates of 50-68% in Australian community practice.</w:t>
      </w:r>
      <w:r w:rsidR="005E42C7">
        <w:t xml:space="preserve"> </w:t>
      </w:r>
      <w:r w:rsidRPr="008D1F76">
        <w:t xml:space="preserve">In the ARISTOTLE trial, the </w:t>
      </w:r>
      <w:r w:rsidR="00DB06A5">
        <w:t xml:space="preserve">TTR </w:t>
      </w:r>
      <w:r w:rsidRPr="008D1F76">
        <w:t>was 60.5% median time (66% if exclude first 7 days of titration and warfarin interruptions) which is consistent with the Australian community practice figures cited in the Review.</w:t>
      </w:r>
      <w:r w:rsidR="005E42C7">
        <w:t xml:space="preserve"> </w:t>
      </w:r>
      <w:r w:rsidRPr="008D1F76">
        <w:t xml:space="preserve">The Review also notes that the average </w:t>
      </w:r>
      <w:r w:rsidR="00DB06A5">
        <w:t xml:space="preserve">TTR </w:t>
      </w:r>
      <w:r w:rsidRPr="008D1F76">
        <w:t xml:space="preserve">in the warfarin arms for the pivotal </w:t>
      </w:r>
      <w:proofErr w:type="spellStart"/>
      <w:r w:rsidRPr="008D1F76">
        <w:t>dabigatran</w:t>
      </w:r>
      <w:proofErr w:type="spellEnd"/>
      <w:r w:rsidRPr="008D1F76">
        <w:t xml:space="preserve"> trial </w:t>
      </w:r>
      <w:r w:rsidR="00816BFD">
        <w:t xml:space="preserve">(see PI for </w:t>
      </w:r>
      <w:proofErr w:type="spellStart"/>
      <w:r w:rsidR="00816BFD">
        <w:t>Pradaxa</w:t>
      </w:r>
      <w:proofErr w:type="spellEnd"/>
      <w:r w:rsidR="00816BFD">
        <w:t xml:space="preserve">) </w:t>
      </w:r>
      <w:r w:rsidRPr="008D1F76">
        <w:t xml:space="preserve">was 64%, for </w:t>
      </w:r>
      <w:proofErr w:type="spellStart"/>
      <w:r w:rsidRPr="008D1F76">
        <w:t>rivaroxaban</w:t>
      </w:r>
      <w:proofErr w:type="spellEnd"/>
      <w:r w:rsidRPr="008D1F76">
        <w:t xml:space="preserve"> </w:t>
      </w:r>
      <w:r w:rsidR="00C8640B">
        <w:t xml:space="preserve">it </w:t>
      </w:r>
      <w:r w:rsidRPr="008D1F76">
        <w:t xml:space="preserve">was 55% (noting that </w:t>
      </w:r>
      <w:proofErr w:type="spellStart"/>
      <w:r w:rsidRPr="008D1F76">
        <w:t>rivaroxaban</w:t>
      </w:r>
      <w:proofErr w:type="spellEnd"/>
      <w:r w:rsidRPr="008D1F76">
        <w:t xml:space="preserve"> recruited higher risk stroke patients) and for apixaban </w:t>
      </w:r>
      <w:r w:rsidR="00C8640B">
        <w:t xml:space="preserve">it </w:t>
      </w:r>
      <w:r w:rsidRPr="008D1F76">
        <w:t>was 62.2%.</w:t>
      </w:r>
      <w:r w:rsidR="005E42C7">
        <w:t xml:space="preserve"> </w:t>
      </w:r>
      <w:r w:rsidRPr="008D1F76">
        <w:t xml:space="preserve">Patients in the </w:t>
      </w:r>
      <w:proofErr w:type="spellStart"/>
      <w:r w:rsidRPr="008D1F76">
        <w:t>dabigatran</w:t>
      </w:r>
      <w:proofErr w:type="spellEnd"/>
      <w:r w:rsidRPr="008D1F76">
        <w:t xml:space="preserve"> pivotal trial, </w:t>
      </w:r>
      <w:r w:rsidR="00816BFD">
        <w:t>Randomised Evaluation of Long-term anticoagulant therapy (</w:t>
      </w:r>
      <w:r w:rsidRPr="008D1F76">
        <w:t>RELY</w:t>
      </w:r>
      <w:r w:rsidR="00816BFD">
        <w:t>)</w:t>
      </w:r>
      <w:r w:rsidRPr="008D1F76">
        <w:t>, had a mean CHADS</w:t>
      </w:r>
      <w:r w:rsidRPr="00F41964">
        <w:rPr>
          <w:vertAlign w:val="subscript"/>
        </w:rPr>
        <w:t>2</w:t>
      </w:r>
      <w:r w:rsidRPr="008D1F76">
        <w:t xml:space="preserve"> score of 2.1, which is the same as the CHADS</w:t>
      </w:r>
      <w:r w:rsidRPr="00F41964">
        <w:rPr>
          <w:vertAlign w:val="subscript"/>
        </w:rPr>
        <w:t>2</w:t>
      </w:r>
      <w:r w:rsidRPr="008D1F76">
        <w:t xml:space="preserve"> score in this trial for apixaban of a mean 2.1.</w:t>
      </w:r>
      <w:r w:rsidR="005E42C7">
        <w:t xml:space="preserve"> </w:t>
      </w:r>
      <w:r w:rsidRPr="008D1F76">
        <w:t xml:space="preserve">Therefore the </w:t>
      </w:r>
      <w:r w:rsidR="00DB06A5">
        <w:t xml:space="preserve">TTR </w:t>
      </w:r>
      <w:r w:rsidRPr="008D1F76">
        <w:t>seen for apixaban in the pivotal ARISTOTLE trial is within the range seen in the Australian community.</w:t>
      </w:r>
      <w:r w:rsidR="005E42C7">
        <w:t xml:space="preserve"> </w:t>
      </w:r>
      <w:r w:rsidRPr="008D1F76">
        <w:t xml:space="preserve">The data from ARISTOTLE were also analysed by median warfarin INR values which showed the primary endpoint result was similar for study sites with INR control below and above the median </w:t>
      </w:r>
      <w:r w:rsidR="00DB06A5">
        <w:t>TTR</w:t>
      </w:r>
      <w:r w:rsidRPr="008D1F76">
        <w:t>, suggesting an efficacy benefit even in subjects with the better INR control.</w:t>
      </w:r>
    </w:p>
    <w:p w:rsidR="008D1F76" w:rsidRPr="008D1F76" w:rsidRDefault="008D1F76" w:rsidP="008D1F76">
      <w:r w:rsidRPr="00B02983">
        <w:rPr>
          <w:b/>
        </w:rPr>
        <w:t>End of treatment strokes:</w:t>
      </w:r>
      <w:r w:rsidRPr="008D1F76">
        <w:t xml:space="preserve"> It is noted that during the follow up period for the trial there were 27 strokes in the apixaban group </w:t>
      </w:r>
      <w:r w:rsidR="00071C0C">
        <w:t>versus</w:t>
      </w:r>
      <w:r w:rsidRPr="008D1F76">
        <w:t xml:space="preserve"> 10 in the warfarin group.</w:t>
      </w:r>
      <w:r w:rsidR="005E42C7">
        <w:t xml:space="preserve"> </w:t>
      </w:r>
      <w:r w:rsidRPr="008D1F76">
        <w:t>Of these, 23 original apixaban patients were not on apixaban and had either transitioned to other drugs or no drug.</w:t>
      </w:r>
      <w:r w:rsidR="005E42C7">
        <w:t xml:space="preserve"> </w:t>
      </w:r>
      <w:r w:rsidRPr="008D1F76">
        <w:t xml:space="preserve">Of these, 16 strokes occurred in patients who had transitioned from apixaban to a </w:t>
      </w:r>
      <w:r w:rsidR="00C219F6">
        <w:t>VKA</w:t>
      </w:r>
      <w:r w:rsidRPr="008D1F76">
        <w:t>.</w:t>
      </w:r>
      <w:r w:rsidR="005E42C7">
        <w:t xml:space="preserve"> </w:t>
      </w:r>
      <w:r w:rsidRPr="008D1F76">
        <w:t xml:space="preserve">This is </w:t>
      </w:r>
      <w:r w:rsidR="00816BFD">
        <w:t xml:space="preserve">a </w:t>
      </w:r>
      <w:r w:rsidRPr="008D1F76">
        <w:t xml:space="preserve">concerning finding and </w:t>
      </w:r>
      <w:r w:rsidR="00816BFD">
        <w:t xml:space="preserve">it is </w:t>
      </w:r>
      <w:r w:rsidRPr="008D1F76">
        <w:t>unclear whether this represents a problem with apixaban in terms of rebound or a delayed effect of the drug once ceased</w:t>
      </w:r>
      <w:r w:rsidR="00816BFD">
        <w:t>,</w:t>
      </w:r>
      <w:r w:rsidRPr="008D1F76">
        <w:t xml:space="preserve"> or whether this represents a problem with maintaining anticoagulation when transferring patients.</w:t>
      </w:r>
      <w:r w:rsidR="005E42C7">
        <w:t xml:space="preserve"> </w:t>
      </w:r>
      <w:r w:rsidRPr="008D1F76">
        <w:t>Patients will for various reasons and at various times need to cease medication and transfer to alternative medication.</w:t>
      </w:r>
      <w:r w:rsidR="005E42C7">
        <w:t xml:space="preserve"> </w:t>
      </w:r>
      <w:r w:rsidRPr="008D1F76">
        <w:t>If these strokes are predominantly due to a transition problem then the sponsor will need to ensure that this is completely addressed in the PI.</w:t>
      </w:r>
      <w:r w:rsidR="005E42C7">
        <w:t xml:space="preserve"> </w:t>
      </w:r>
      <w:r w:rsidRPr="008D1F76">
        <w:t>This matter will need a robust education program and clear guidance to health professionals on the importance of maintaining adequate anticoagulation.</w:t>
      </w:r>
      <w:r w:rsidR="005E42C7">
        <w:t xml:space="preserve"> </w:t>
      </w:r>
      <w:r w:rsidRPr="008D1F76">
        <w:t>This should also be included in the RMP.</w:t>
      </w:r>
      <w:r w:rsidR="005E42C7">
        <w:t xml:space="preserve"> </w:t>
      </w:r>
      <w:r w:rsidRPr="008D1F76">
        <w:t xml:space="preserve">The sponsor must address this issue in their </w:t>
      </w:r>
      <w:r w:rsidR="00816BFD">
        <w:t xml:space="preserve">response to this </w:t>
      </w:r>
      <w:r w:rsidR="001759D0">
        <w:t>o</w:t>
      </w:r>
      <w:r w:rsidR="00816BFD">
        <w:t>verview</w:t>
      </w:r>
      <w:r w:rsidRPr="008D1F76">
        <w:t>.</w:t>
      </w:r>
      <w:r w:rsidR="005E42C7">
        <w:t xml:space="preserve"> </w:t>
      </w:r>
      <w:r w:rsidRPr="008D1F76">
        <w:t>However if this is due to a rebound phenomenon or some delayed effect of the drug, then the mechanism to address the matter is unclear and raises doubts on the safe use of apixaban.</w:t>
      </w:r>
    </w:p>
    <w:p w:rsidR="00681E3F" w:rsidRDefault="008D1F76" w:rsidP="008D1F76">
      <w:r w:rsidRPr="00B02983">
        <w:rPr>
          <w:b/>
        </w:rPr>
        <w:t>Data deficiencies:</w:t>
      </w:r>
      <w:r w:rsidRPr="008D1F76">
        <w:t xml:space="preserve"> The breach of GCP in China is a concern which the sponsor has responded to</w:t>
      </w:r>
      <w:r w:rsidR="00816BFD">
        <w:t>,</w:t>
      </w:r>
      <w:r w:rsidRPr="008D1F76">
        <w:t xml:space="preserve"> but the potential effect would only have been up to 37 patients out of the total ARISTOTLE trial of nearly 20,000.</w:t>
      </w:r>
      <w:r w:rsidR="005E42C7">
        <w:t xml:space="preserve"> </w:t>
      </w:r>
      <w:r w:rsidRPr="008D1F76">
        <w:t>Therefore this breach of GCP is unlikely to affect the results.</w:t>
      </w:r>
      <w:r w:rsidR="005E42C7">
        <w:t xml:space="preserve"> </w:t>
      </w:r>
      <w:r w:rsidRPr="008D1F76">
        <w:t>However</w:t>
      </w:r>
      <w:r w:rsidR="00816BFD">
        <w:t>,</w:t>
      </w:r>
      <w:r w:rsidRPr="008D1F76">
        <w:t xml:space="preserve"> it is not clear whether other sites were audited to determine that this was not a more widespread occurrence.</w:t>
      </w:r>
    </w:p>
    <w:p w:rsidR="008D1F76" w:rsidRPr="008D1F76" w:rsidRDefault="008D1F76" w:rsidP="00366CE1">
      <w:r w:rsidRPr="008D1F76">
        <w:lastRenderedPageBreak/>
        <w:t>Data is lacking in severe renal impairment.</w:t>
      </w:r>
    </w:p>
    <w:p w:rsidR="008D1F76" w:rsidRPr="008D1F76" w:rsidRDefault="008D1F76" w:rsidP="008D1F76">
      <w:r w:rsidRPr="00B02983">
        <w:rPr>
          <w:b/>
        </w:rPr>
        <w:t>Summary:</w:t>
      </w:r>
      <w:r w:rsidRPr="008D1F76">
        <w:t xml:space="preserve"> Overall at present the submission appears approvable</w:t>
      </w:r>
      <w:r w:rsidR="00816BFD">
        <w:t>,</w:t>
      </w:r>
      <w:r w:rsidRPr="008D1F76">
        <w:t xml:space="preserve"> with demonstrated efficacy and an acceptable safety profile.</w:t>
      </w:r>
    </w:p>
    <w:p w:rsidR="008D1F76" w:rsidRPr="008D1F76" w:rsidRDefault="00B02983" w:rsidP="00816BFD">
      <w:pPr>
        <w:pStyle w:val="Heading4"/>
      </w:pPr>
      <w:r>
        <w:t>Proposed action</w:t>
      </w:r>
    </w:p>
    <w:p w:rsidR="008D1F76" w:rsidRPr="008D1F76" w:rsidRDefault="006B7BF2" w:rsidP="008D1F76">
      <w:r>
        <w:t xml:space="preserve">The Delegate </w:t>
      </w:r>
      <w:r w:rsidR="008D1F76" w:rsidRPr="008D1F76">
        <w:t>propose</w:t>
      </w:r>
      <w:r>
        <w:t>d</w:t>
      </w:r>
      <w:r w:rsidR="008D1F76" w:rsidRPr="008D1F76">
        <w:t xml:space="preserve"> to approve </w:t>
      </w:r>
      <w:r w:rsidR="00816BFD">
        <w:t xml:space="preserve">the registration of </w:t>
      </w:r>
      <w:r w:rsidR="008D1F76" w:rsidRPr="008D1F76">
        <w:t>Eliquis (apixaban) 5</w:t>
      </w:r>
      <w:r w:rsidR="00071C0C">
        <w:t xml:space="preserve"> </w:t>
      </w:r>
      <w:r w:rsidR="008D1F76" w:rsidRPr="008D1F76">
        <w:t>mg tablet and to register a new indication</w:t>
      </w:r>
      <w:r>
        <w:t>,</w:t>
      </w:r>
      <w:r w:rsidR="008D1F76" w:rsidRPr="008D1F76">
        <w:t xml:space="preserve"> below</w:t>
      </w:r>
      <w:r>
        <w:t>,</w:t>
      </w:r>
      <w:r w:rsidR="008D1F76" w:rsidRPr="008D1F76">
        <w:t xml:space="preserve"> based on the quality, safety and efficacy of the product being satisfactorily established for the indication </w:t>
      </w:r>
      <w:r w:rsidR="00816BFD">
        <w:t>(</w:t>
      </w:r>
      <w:r w:rsidR="008D1F76" w:rsidRPr="008D1F76">
        <w:t>below</w:t>
      </w:r>
      <w:r w:rsidR="00816BFD">
        <w:t>)</w:t>
      </w:r>
      <w:r w:rsidR="008D1F76" w:rsidRPr="008D1F76">
        <w:t xml:space="preserve"> and for the reasons stated ab</w:t>
      </w:r>
      <w:r>
        <w:t xml:space="preserve">ove in the </w:t>
      </w:r>
      <w:r w:rsidRPr="006B7BF2">
        <w:rPr>
          <w:i/>
        </w:rPr>
        <w:t>Risk</w:t>
      </w:r>
      <w:r w:rsidR="008D1F76" w:rsidRPr="006B7BF2">
        <w:rPr>
          <w:i/>
        </w:rPr>
        <w:t>/Benefit Discussion</w:t>
      </w:r>
      <w:r w:rsidR="008D1F76" w:rsidRPr="008D1F76">
        <w:t>:</w:t>
      </w:r>
    </w:p>
    <w:p w:rsidR="008D1F76" w:rsidRPr="00B02983" w:rsidRDefault="008D1F76" w:rsidP="00B02983">
      <w:pPr>
        <w:ind w:left="720"/>
        <w:rPr>
          <w:i/>
        </w:rPr>
      </w:pPr>
      <w:r w:rsidRPr="00B02983">
        <w:rPr>
          <w:i/>
        </w:rPr>
        <w:t>Eliquis is indicated to reduce the risk of stroke and systemic embolism in patients with non-valvular atrial fibrillation and at least one additional risk factor for stroke.</w:t>
      </w:r>
    </w:p>
    <w:p w:rsidR="008D1F76" w:rsidRPr="008D1F76" w:rsidRDefault="00816BFD" w:rsidP="008D1F76">
      <w:r>
        <w:t xml:space="preserve">In its response to </w:t>
      </w:r>
      <w:r w:rsidR="001759D0">
        <w:t>the Delegate’s o</w:t>
      </w:r>
      <w:r>
        <w:t xml:space="preserve">verview, the </w:t>
      </w:r>
      <w:r w:rsidR="008D1F76" w:rsidRPr="008D1F76">
        <w:t xml:space="preserve">sponsor </w:t>
      </w:r>
      <w:r w:rsidR="006B7BF2">
        <w:t xml:space="preserve">was requested to </w:t>
      </w:r>
      <w:r w:rsidR="008D1F76" w:rsidRPr="008D1F76">
        <w:t>address the following</w:t>
      </w:r>
      <w:r w:rsidR="001759D0">
        <w:t xml:space="preserve"> issues in particular</w:t>
      </w:r>
      <w:r w:rsidR="0005675D">
        <w:t>:</w:t>
      </w:r>
    </w:p>
    <w:p w:rsidR="008D1F76" w:rsidRPr="008D1F76" w:rsidRDefault="008D1F76" w:rsidP="00CD2499">
      <w:pPr>
        <w:pStyle w:val="Numberbullet2"/>
      </w:pPr>
      <w:r w:rsidRPr="008D1F76">
        <w:t>Given that the dosing instructions allow for a 2.5</w:t>
      </w:r>
      <w:r w:rsidR="00071C0C">
        <w:t xml:space="preserve"> </w:t>
      </w:r>
      <w:r w:rsidRPr="008D1F76">
        <w:t xml:space="preserve">mg dose, please provide a </w:t>
      </w:r>
      <w:proofErr w:type="spellStart"/>
      <w:r w:rsidRPr="008D1F76">
        <w:t>biowaiver</w:t>
      </w:r>
      <w:proofErr w:type="spellEnd"/>
      <w:r w:rsidRPr="008D1F76">
        <w:t xml:space="preserve"> justification that compares the 5</w:t>
      </w:r>
      <w:r w:rsidR="00071C0C">
        <w:t xml:space="preserve"> </w:t>
      </w:r>
      <w:r w:rsidRPr="008D1F76">
        <w:t>mg strength with the 2.5</w:t>
      </w:r>
      <w:r w:rsidR="00071C0C">
        <w:t xml:space="preserve"> </w:t>
      </w:r>
      <w:r w:rsidRPr="008D1F76">
        <w:t>mg strength.</w:t>
      </w:r>
    </w:p>
    <w:p w:rsidR="008D1F76" w:rsidRPr="008D1F76" w:rsidRDefault="008D1F76" w:rsidP="00CD2499">
      <w:pPr>
        <w:pStyle w:val="Numberbullet2"/>
      </w:pPr>
      <w:r w:rsidRPr="008D1F76">
        <w:t>Given the GCP concerns at two sites in China, have further audits been conducted of the other sites to determine that this was not a more widespread matter?</w:t>
      </w:r>
    </w:p>
    <w:p w:rsidR="008D1F76" w:rsidRPr="008D1F76" w:rsidRDefault="008D1F76" w:rsidP="00CD2499">
      <w:pPr>
        <w:pStyle w:val="Numberbullet2"/>
      </w:pPr>
      <w:r w:rsidRPr="008D1F76">
        <w:t xml:space="preserve">The outstanding matters raised by the RMP evaluator, as detailed above in the </w:t>
      </w:r>
      <w:r w:rsidR="00816BFD">
        <w:t xml:space="preserve">PV </w:t>
      </w:r>
      <w:r w:rsidRPr="008D1F76">
        <w:t>section of this document</w:t>
      </w:r>
      <w:r w:rsidR="00AC2270">
        <w:t>, should be addressed</w:t>
      </w:r>
      <w:r w:rsidRPr="008D1F76">
        <w:t>.</w:t>
      </w:r>
    </w:p>
    <w:p w:rsidR="008D1F76" w:rsidRPr="008D1F76" w:rsidRDefault="008D1F76" w:rsidP="00CD2499">
      <w:pPr>
        <w:pStyle w:val="Numberbullet2"/>
      </w:pPr>
      <w:r w:rsidRPr="008D1F76">
        <w:t>The two-sided p-value for superiority in the ARISTOTLE trial was 0.0114 however the statistical plan indicates that the one sided alpha value was set at 0.005 for superiority.</w:t>
      </w:r>
      <w:r w:rsidR="005E42C7">
        <w:t xml:space="preserve"> </w:t>
      </w:r>
      <w:r w:rsidR="00E4410D">
        <w:t>Please p</w:t>
      </w:r>
      <w:r w:rsidR="0005675D">
        <w:t xml:space="preserve">rovide </w:t>
      </w:r>
      <w:r w:rsidRPr="008D1F76">
        <w:t>comment on whether the p-value of 0.0114 is therefore strictly above the threshold for statistical significance and that apixaban is not superior to warfarin.</w:t>
      </w:r>
    </w:p>
    <w:p w:rsidR="008D1F76" w:rsidRPr="008D1F76" w:rsidRDefault="008D1F76" w:rsidP="00CD2499">
      <w:pPr>
        <w:pStyle w:val="Numberbullet2"/>
      </w:pPr>
      <w:r w:rsidRPr="008D1F76">
        <w:t>Similarly, in the ARISTOTLE trial, the one sided alpha value was set at 0.005 for all cause death however the p-value for the result was 0.0465.</w:t>
      </w:r>
      <w:r w:rsidR="005E42C7">
        <w:t xml:space="preserve"> </w:t>
      </w:r>
      <w:r w:rsidR="00E4410D">
        <w:t>Please p</w:t>
      </w:r>
      <w:r w:rsidR="0005675D">
        <w:t xml:space="preserve">rovide </w:t>
      </w:r>
      <w:r w:rsidRPr="008D1F76">
        <w:t>comment on the statistical significance of this result and whether it is considered that apixaban is superior to warfarin for this endpoint.</w:t>
      </w:r>
    </w:p>
    <w:p w:rsidR="008D1F76" w:rsidRPr="008D1F76" w:rsidRDefault="008D1F76" w:rsidP="00CD2499">
      <w:pPr>
        <w:pStyle w:val="Numberbullet2"/>
      </w:pPr>
      <w:r w:rsidRPr="008D1F76">
        <w:t>What is the likely explanation for the increased number of strokes seen in patients who had changed therapy at the end of the study from apixaban to warfarin</w:t>
      </w:r>
      <w:r w:rsidR="00816BFD">
        <w:t>,</w:t>
      </w:r>
      <w:r w:rsidRPr="008D1F76">
        <w:t xml:space="preserve"> and how will this be addressed in the PI, RMP and education to healthcare professionals?</w:t>
      </w:r>
      <w:r w:rsidR="005E42C7">
        <w:t xml:space="preserve"> </w:t>
      </w:r>
      <w:r w:rsidRPr="008D1F76">
        <w:t xml:space="preserve">How can </w:t>
      </w:r>
      <w:r w:rsidR="0005675D">
        <w:t xml:space="preserve">it be assured that </w:t>
      </w:r>
      <w:r w:rsidRPr="008D1F76">
        <w:t>that this is not a rebound phenomenon or other delayed effect of the drug and</w:t>
      </w:r>
      <w:r w:rsidR="0005675D">
        <w:t>,</w:t>
      </w:r>
      <w:r w:rsidRPr="008D1F76">
        <w:t xml:space="preserve"> if </w:t>
      </w:r>
      <w:r w:rsidR="0005675D">
        <w:t xml:space="preserve">this is the case, how can </w:t>
      </w:r>
      <w:r w:rsidRPr="008D1F76">
        <w:t xml:space="preserve">this risk </w:t>
      </w:r>
      <w:proofErr w:type="gramStart"/>
      <w:r w:rsidRPr="008D1F76">
        <w:t>be</w:t>
      </w:r>
      <w:proofErr w:type="gramEnd"/>
      <w:r w:rsidRPr="008D1F76">
        <w:t xml:space="preserve"> mitigated?</w:t>
      </w:r>
    </w:p>
    <w:p w:rsidR="008D1F76" w:rsidRPr="008D1F76" w:rsidRDefault="008D1F76" w:rsidP="00CD2499">
      <w:pPr>
        <w:pStyle w:val="Numberbullet2"/>
      </w:pPr>
      <w:r w:rsidRPr="008D1F76">
        <w:t>Were patient’s risk of stroke calculated using the CHA</w:t>
      </w:r>
      <w:r w:rsidRPr="00816BFD">
        <w:rPr>
          <w:vertAlign w:val="subscript"/>
        </w:rPr>
        <w:t>2</w:t>
      </w:r>
      <w:r w:rsidRPr="008D1F76">
        <w:t>DS</w:t>
      </w:r>
      <w:r w:rsidRPr="00816BFD">
        <w:rPr>
          <w:vertAlign w:val="subscript"/>
        </w:rPr>
        <w:t>2</w:t>
      </w:r>
      <w:r w:rsidRPr="008D1F76">
        <w:t xml:space="preserve">VASc </w:t>
      </w:r>
      <w:r w:rsidR="00816BFD">
        <w:t>score</w:t>
      </w:r>
      <w:r w:rsidR="0005675D">
        <w:t>?</w:t>
      </w:r>
      <w:r w:rsidR="00816BFD">
        <w:t xml:space="preserve"> </w:t>
      </w:r>
      <w:r w:rsidR="0005675D">
        <w:t>I</w:t>
      </w:r>
      <w:r w:rsidRPr="008D1F76">
        <w:t>f so, please provide these scores for patients in this trial using a median and mean approach and a distribution for each score level.</w:t>
      </w:r>
    </w:p>
    <w:p w:rsidR="008D1F76" w:rsidRPr="008D1F76" w:rsidRDefault="008D1F76" w:rsidP="00CD2499">
      <w:pPr>
        <w:pStyle w:val="Numberbullet2"/>
      </w:pPr>
      <w:r w:rsidRPr="008D1F76">
        <w:t xml:space="preserve">Confirm the unadjusted and adjusted </w:t>
      </w:r>
      <w:r w:rsidR="00A868A3">
        <w:t xml:space="preserve">HR </w:t>
      </w:r>
      <w:r w:rsidRPr="008D1F76">
        <w:t>and 95%</w:t>
      </w:r>
      <w:r w:rsidR="00A868A3">
        <w:t xml:space="preserve"> </w:t>
      </w:r>
      <w:r w:rsidRPr="008D1F76">
        <w:t>CI for the primary endpoint in the AVERROES study.</w:t>
      </w:r>
    </w:p>
    <w:p w:rsidR="008D1F76" w:rsidRPr="008D1F76" w:rsidRDefault="008D1F76" w:rsidP="00CD2499">
      <w:pPr>
        <w:pStyle w:val="Numberbullet2"/>
      </w:pPr>
      <w:r w:rsidRPr="008D1F76">
        <w:t xml:space="preserve">Comment on whether there were any cases of liver dysfunction that met the definition for </w:t>
      </w:r>
      <w:proofErr w:type="spellStart"/>
      <w:r w:rsidRPr="008D1F76">
        <w:t>Hy’s</w:t>
      </w:r>
      <w:proofErr w:type="spellEnd"/>
      <w:r w:rsidRPr="008D1F76">
        <w:t xml:space="preserve"> law in the ARISTOTLE or AVERROES studies.</w:t>
      </w:r>
    </w:p>
    <w:p w:rsidR="008D1F76" w:rsidRPr="008D1F76" w:rsidRDefault="008D1F76" w:rsidP="00CD2499">
      <w:pPr>
        <w:pStyle w:val="Numberbullet2"/>
      </w:pPr>
      <w:r w:rsidRPr="008D1F76">
        <w:t>Discuss the rationale for why the lower dose of 2.5</w:t>
      </w:r>
      <w:r w:rsidR="00071C0C">
        <w:t xml:space="preserve"> </w:t>
      </w:r>
      <w:r w:rsidRPr="008D1F76">
        <w:t xml:space="preserve">mg </w:t>
      </w:r>
      <w:r w:rsidR="00341B29">
        <w:t>bid</w:t>
      </w:r>
      <w:r w:rsidRPr="008D1F76">
        <w:t xml:space="preserve"> was chosen as the appropriate dose for patients with </w:t>
      </w:r>
      <w:r w:rsidR="00AC2270">
        <w:t>two</w:t>
      </w:r>
      <w:r w:rsidRPr="008D1F76">
        <w:t xml:space="preserve"> of the fol</w:t>
      </w:r>
      <w:r w:rsidR="00AC2270">
        <w:t>lowing characteristics: age ≥80 </w:t>
      </w:r>
      <w:r w:rsidRPr="008D1F76">
        <w:t>years, body weight ≤60kg or serum creatinine ≥133</w:t>
      </w:r>
      <w:r w:rsidR="008A0F85">
        <w:t xml:space="preserve"> µ</w:t>
      </w:r>
      <w:r w:rsidRPr="008D1F76">
        <w:t>mol/L.</w:t>
      </w:r>
    </w:p>
    <w:p w:rsidR="008D1F76" w:rsidRPr="008D1F76" w:rsidRDefault="008D1F76" w:rsidP="00CD2499">
      <w:pPr>
        <w:pStyle w:val="Numberbullet2"/>
      </w:pPr>
      <w:r w:rsidRPr="008D1F76">
        <w:t>Provide a table comparing the primary endpo</w:t>
      </w:r>
      <w:r w:rsidR="00AC2270">
        <w:t xml:space="preserve">int result, major bleeding, </w:t>
      </w:r>
      <w:proofErr w:type="spellStart"/>
      <w:r w:rsidR="00AC2270">
        <w:t>all</w:t>
      </w:r>
      <w:r w:rsidR="00AC2270">
        <w:noBreakHyphen/>
      </w:r>
      <w:r w:rsidRPr="008D1F76">
        <w:t>bleeding</w:t>
      </w:r>
      <w:proofErr w:type="spellEnd"/>
      <w:r w:rsidRPr="008D1F76">
        <w:t xml:space="preserve"> and CRNM bleeding in patients aged &lt;75 years and ≥75 years and comment on any differences.</w:t>
      </w:r>
    </w:p>
    <w:p w:rsidR="008D1F76" w:rsidRPr="008D1F76" w:rsidRDefault="008D1F76" w:rsidP="00CD2499">
      <w:pPr>
        <w:pStyle w:val="Numberbullet2"/>
      </w:pPr>
      <w:r w:rsidRPr="008D1F76">
        <w:lastRenderedPageBreak/>
        <w:t xml:space="preserve">Discuss </w:t>
      </w:r>
      <w:r w:rsidR="0005675D">
        <w:t xml:space="preserve">any </w:t>
      </w:r>
      <w:r w:rsidRPr="008D1F76">
        <w:t>plans for development of an antidote to apixaban and of any assays for monitoring the level of anticoagulation of the patient.</w:t>
      </w:r>
    </w:p>
    <w:p w:rsidR="008D1F76" w:rsidRDefault="008D1F76" w:rsidP="00CD2499">
      <w:pPr>
        <w:pStyle w:val="Numberbullet2"/>
      </w:pPr>
      <w:r w:rsidRPr="008D1F76">
        <w:t>Provide an analysis of major bleeding events by concomita</w:t>
      </w:r>
      <w:r w:rsidR="00366CE1">
        <w:t>nt medication use in ARISTOTLE.</w:t>
      </w:r>
    </w:p>
    <w:p w:rsidR="00FA09EC" w:rsidRPr="00366CE1" w:rsidRDefault="00FA09EC" w:rsidP="00366CE1">
      <w:pPr>
        <w:pStyle w:val="Heading5"/>
      </w:pPr>
      <w:r w:rsidRPr="00366CE1">
        <w:t>Conditions of Registratio</w:t>
      </w:r>
      <w:r w:rsidR="00366CE1" w:rsidRPr="00366CE1">
        <w:t>n:</w:t>
      </w:r>
    </w:p>
    <w:p w:rsidR="00FA09EC" w:rsidRPr="00FA09EC" w:rsidRDefault="00FA09EC" w:rsidP="00FA09EC">
      <w:r w:rsidRPr="00FA09EC">
        <w:t xml:space="preserve">The </w:t>
      </w:r>
      <w:r w:rsidR="0005675D">
        <w:t xml:space="preserve">Delegate </w:t>
      </w:r>
      <w:r w:rsidRPr="00FA09EC">
        <w:t xml:space="preserve">proposed </w:t>
      </w:r>
      <w:r w:rsidR="0005675D">
        <w:t xml:space="preserve">the following </w:t>
      </w:r>
      <w:r w:rsidRPr="00FA09EC">
        <w:t>as conditions of registration:</w:t>
      </w:r>
    </w:p>
    <w:p w:rsidR="00FA09EC" w:rsidRPr="00FA09EC" w:rsidRDefault="00FA09EC" w:rsidP="0005675D">
      <w:pPr>
        <w:pStyle w:val="ListBullet"/>
      </w:pPr>
      <w:r w:rsidRPr="00FA09EC">
        <w:t xml:space="preserve">The implementation in Australia of the apixaban RMP version 1, (Data Lock Point 1 April, 2011, Document date 9 September 2011) plus the Australian specific Annex (Version 1, Data lock Point 1 April 2011), and the changes agreed to in the sponsor's </w:t>
      </w:r>
      <w:r w:rsidR="0005675D">
        <w:t>correspondence to the TGA</w:t>
      </w:r>
      <w:r w:rsidRPr="00FA09EC">
        <w:t>, included with submission PM-2011-03165-3-3, and any subsequent revisions, as agreed with the TGA.</w:t>
      </w:r>
    </w:p>
    <w:p w:rsidR="00FA09EC" w:rsidRPr="00FA09EC" w:rsidRDefault="00FA09EC" w:rsidP="0005675D">
      <w:pPr>
        <w:pStyle w:val="ListBullet"/>
      </w:pPr>
      <w:r w:rsidRPr="00FA09EC">
        <w:t xml:space="preserve">The </w:t>
      </w:r>
      <w:r w:rsidR="008D5CF7">
        <w:t xml:space="preserve">development </w:t>
      </w:r>
      <w:r w:rsidRPr="00FA09EC">
        <w:t>and implement</w:t>
      </w:r>
      <w:r w:rsidR="008D5CF7">
        <w:t>ation of</w:t>
      </w:r>
      <w:r w:rsidRPr="00FA09EC">
        <w:t xml:space="preserve"> an Australian-specific patient and health professional education program as part of the risk minimisation plan that aims to ensure the safe use of apixaban in Australia. Specific details of the education program and associated materials should be agreed with OPR prior to supply.</w:t>
      </w:r>
    </w:p>
    <w:p w:rsidR="00FA09EC" w:rsidRDefault="00FA09EC" w:rsidP="00FA09EC">
      <w:pPr>
        <w:pStyle w:val="Heading5"/>
      </w:pPr>
      <w:r>
        <w:t>Advice</w:t>
      </w:r>
      <w:r w:rsidR="00366CE1">
        <w:t xml:space="preserve"> requested from ACPM</w:t>
      </w:r>
    </w:p>
    <w:p w:rsidR="008D1F76" w:rsidRPr="008D1F76" w:rsidRDefault="00FA09EC" w:rsidP="00B02983">
      <w:r>
        <w:t xml:space="preserve">The Delegate sought general advice on this application from the ACPM, and requested the committee address </w:t>
      </w:r>
      <w:r w:rsidR="008D1F76" w:rsidRPr="008D1F76">
        <w:t>the following issues</w:t>
      </w:r>
      <w:r w:rsidR="008D5CF7">
        <w:t xml:space="preserve"> in particular</w:t>
      </w:r>
      <w:r w:rsidR="008D1F76" w:rsidRPr="008D1F76">
        <w:t>:</w:t>
      </w:r>
    </w:p>
    <w:p w:rsidR="008D1F76" w:rsidRPr="008D1F76" w:rsidRDefault="008D1F76" w:rsidP="006B7BF2">
      <w:pPr>
        <w:pStyle w:val="Numberbullet0"/>
        <w:numPr>
          <w:ilvl w:val="0"/>
          <w:numId w:val="18"/>
        </w:numPr>
      </w:pPr>
      <w:r w:rsidRPr="008D1F76">
        <w:t>Should the indication be modified to</w:t>
      </w:r>
      <w:r w:rsidR="008D5CF7">
        <w:t>:</w:t>
      </w:r>
      <w:r w:rsidRPr="008D1F76">
        <w:t xml:space="preserve"> remove reference to a reduction in death</w:t>
      </w:r>
      <w:r w:rsidR="008D5CF7">
        <w:t>;</w:t>
      </w:r>
      <w:r w:rsidRPr="008D1F76">
        <w:t xml:space="preserve"> remove the claim of a reduction in risk of major bleeding</w:t>
      </w:r>
      <w:r w:rsidR="008D5CF7">
        <w:t>;</w:t>
      </w:r>
      <w:r w:rsidRPr="008D1F76">
        <w:t xml:space="preserve"> and to add “adults” to the indication?</w:t>
      </w:r>
    </w:p>
    <w:p w:rsidR="008D1F76" w:rsidRPr="008D1F76" w:rsidRDefault="008D1F76" w:rsidP="006B7BF2">
      <w:pPr>
        <w:pStyle w:val="Numberbullet0"/>
        <w:numPr>
          <w:ilvl w:val="0"/>
          <w:numId w:val="18"/>
        </w:numPr>
      </w:pPr>
      <w:r w:rsidRPr="008D1F76">
        <w:t xml:space="preserve">Does the ACPM </w:t>
      </w:r>
      <w:r w:rsidR="008D5CF7">
        <w:t xml:space="preserve">consider </w:t>
      </w:r>
      <w:r w:rsidRPr="008D1F76">
        <w:t xml:space="preserve">that the data integrity issues are unlikely to </w:t>
      </w:r>
      <w:proofErr w:type="gramStart"/>
      <w:r w:rsidRPr="008D1F76">
        <w:t>effect</w:t>
      </w:r>
      <w:proofErr w:type="gramEnd"/>
      <w:r w:rsidRPr="008D1F76">
        <w:t xml:space="preserve"> the overall results and that the investigations by the sponsor into this matter are satisfactory?</w:t>
      </w:r>
    </w:p>
    <w:p w:rsidR="008E7846" w:rsidRPr="008D1F76" w:rsidRDefault="008D1F76" w:rsidP="006B7BF2">
      <w:pPr>
        <w:pStyle w:val="Numberbullet0"/>
        <w:numPr>
          <w:ilvl w:val="0"/>
          <w:numId w:val="18"/>
        </w:numPr>
      </w:pPr>
      <w:r w:rsidRPr="008D1F76">
        <w:t>Is the increase in strokes seen following cessation of apixaban of concern and has this been adequately addressed by the sponsor?</w:t>
      </w:r>
    </w:p>
    <w:p w:rsidR="008E7846" w:rsidRDefault="008E7846" w:rsidP="008E7846">
      <w:pPr>
        <w:pStyle w:val="Heading4"/>
      </w:pPr>
      <w:r>
        <w:t xml:space="preserve">Response from </w:t>
      </w:r>
      <w:r w:rsidR="001759D0">
        <w:t xml:space="preserve">the </w:t>
      </w:r>
      <w:r>
        <w:t>Sponsor</w:t>
      </w:r>
    </w:p>
    <w:p w:rsidR="00DE4B57" w:rsidRPr="0010294A" w:rsidRDefault="00366CE1" w:rsidP="006A265E">
      <w:pPr>
        <w:rPr>
          <w:b/>
          <w:i/>
        </w:rPr>
      </w:pPr>
      <w:r>
        <w:rPr>
          <w:b/>
          <w:i/>
        </w:rPr>
        <w:t>Executive Summary</w:t>
      </w:r>
    </w:p>
    <w:p w:rsidR="00DE4B57" w:rsidRDefault="0010294A" w:rsidP="0010294A">
      <w:pPr>
        <w:pStyle w:val="ListBullet"/>
      </w:pPr>
      <w:r w:rsidRPr="0010294A">
        <w:rPr>
          <w:b/>
        </w:rPr>
        <w:t>Indication:</w:t>
      </w:r>
      <w:r>
        <w:t xml:space="preserve"> </w:t>
      </w:r>
      <w:r w:rsidR="006B7BF2">
        <w:t>The sponsor proposes a</w:t>
      </w:r>
      <w:r w:rsidR="006A265E">
        <w:t xml:space="preserve"> revised </w:t>
      </w:r>
      <w:r w:rsidR="006B7BF2">
        <w:t>i</w:t>
      </w:r>
      <w:r w:rsidR="006A265E">
        <w:t xml:space="preserve">ndication </w:t>
      </w:r>
      <w:r w:rsidR="00AF4AEA">
        <w:t>(see below)</w:t>
      </w:r>
      <w:r w:rsidR="00645851">
        <w:t xml:space="preserve">, consistent with </w:t>
      </w:r>
      <w:r w:rsidR="006B7BF2">
        <w:t xml:space="preserve">the </w:t>
      </w:r>
      <w:r w:rsidR="00645851">
        <w:t>Delegate’</w:t>
      </w:r>
      <w:r w:rsidR="00CE7AF2">
        <w:t>s proposed indication. The s</w:t>
      </w:r>
      <w:r w:rsidR="006A265E">
        <w:t xml:space="preserve">ponsor maintains that the secondary outcome of all-cause death is statistically significant, clinically relevant and hence provides </w:t>
      </w:r>
      <w:r w:rsidR="00CE7AF2">
        <w:t>Health Care Providers (</w:t>
      </w:r>
      <w:r w:rsidR="006A265E">
        <w:t>HCPs</w:t>
      </w:r>
      <w:r w:rsidR="00CE7AF2">
        <w:t>)</w:t>
      </w:r>
      <w:r w:rsidR="006A265E">
        <w:t xml:space="preserve"> with important information when prescribing apixab</w:t>
      </w:r>
      <w:r w:rsidR="00645851">
        <w:t xml:space="preserve">an. </w:t>
      </w:r>
      <w:r w:rsidR="00CE7AF2">
        <w:t xml:space="preserve">The sponsor </w:t>
      </w:r>
      <w:r w:rsidR="00645851">
        <w:t>acknowledge</w:t>
      </w:r>
      <w:r w:rsidR="00CE7AF2">
        <w:t>s</w:t>
      </w:r>
      <w:r w:rsidR="00645851">
        <w:t xml:space="preserve"> the Delegate’</w:t>
      </w:r>
      <w:r w:rsidR="006A265E">
        <w:t>s view that a secondary endpoint cannot be included as an indication, and maintain</w:t>
      </w:r>
      <w:r w:rsidR="00CE7AF2">
        <w:t>s</w:t>
      </w:r>
      <w:r w:rsidR="006A265E">
        <w:t xml:space="preserve"> </w:t>
      </w:r>
      <w:r w:rsidR="00CE7AF2">
        <w:t xml:space="preserve">that </w:t>
      </w:r>
      <w:r w:rsidR="006A265E">
        <w:t xml:space="preserve">given the clinical trial findings, the data on all-cause death should be included in the </w:t>
      </w:r>
      <w:r w:rsidR="006A265E" w:rsidRPr="00645851">
        <w:rPr>
          <w:i/>
        </w:rPr>
        <w:t xml:space="preserve">Clinical Trials </w:t>
      </w:r>
      <w:r w:rsidR="006A265E">
        <w:t>section of the PI</w:t>
      </w:r>
      <w:r w:rsidR="00D84F89">
        <w:t>.</w:t>
      </w:r>
    </w:p>
    <w:p w:rsidR="00DE4B57" w:rsidRDefault="006A265E" w:rsidP="0010294A">
      <w:pPr>
        <w:pStyle w:val="ListBullet"/>
      </w:pPr>
      <w:r w:rsidRPr="0010294A">
        <w:rPr>
          <w:b/>
        </w:rPr>
        <w:t>Data Integrity:</w:t>
      </w:r>
      <w:r w:rsidR="000631CF">
        <w:t xml:space="preserve"> The s</w:t>
      </w:r>
      <w:r>
        <w:t>ponsor maintains that the data integrity issues identified during the evaluation do not a</w:t>
      </w:r>
      <w:r w:rsidR="00CE7AF2">
        <w:t>ffect the overall results. The s</w:t>
      </w:r>
      <w:r>
        <w:t xml:space="preserve">ponsor has kept the TGA updated on the investigations and outcomes. These conclusions have also been accepted by the Delegate </w:t>
      </w:r>
      <w:r w:rsidR="001759D0">
        <w:t>(</w:t>
      </w:r>
      <w:r>
        <w:t xml:space="preserve">in the </w:t>
      </w:r>
      <w:r w:rsidR="001759D0">
        <w:t>o</w:t>
      </w:r>
      <w:r>
        <w:t>verview</w:t>
      </w:r>
      <w:r w:rsidR="001759D0">
        <w:t>)</w:t>
      </w:r>
      <w:r w:rsidR="00D84F89">
        <w:t>.</w:t>
      </w:r>
    </w:p>
    <w:p w:rsidR="006A265E" w:rsidRDefault="006A265E" w:rsidP="0010294A">
      <w:pPr>
        <w:pStyle w:val="ListBullet"/>
      </w:pPr>
      <w:r w:rsidRPr="0010294A">
        <w:rPr>
          <w:b/>
        </w:rPr>
        <w:t>Post Treatment Events:</w:t>
      </w:r>
      <w:r>
        <w:t xml:space="preserve"> A careful analysis of events that occurred following cessation of apixaban therapy in ARISTOTLE suggest that there was an excess of thromboembolic and bleeding events in this treatment arm at end of the trial. These excess events in the apixaban arm were associated with the new initiation of a VKA rather than the discontinuation of apixaban treatment. This highlights the importance of monitoring anticoagulation status during initial titration of warfarin therapy to reduce the risk of strok</w:t>
      </w:r>
      <w:r w:rsidR="00CE7AF2">
        <w:t>e and bleeding. Therefore, the s</w:t>
      </w:r>
      <w:r>
        <w:t>ponsor has updated the PI on the need for INR monitoring when switching therapy.</w:t>
      </w:r>
    </w:p>
    <w:p w:rsidR="00DE4B57" w:rsidRDefault="006A265E" w:rsidP="006A265E">
      <w:r>
        <w:lastRenderedPageBreak/>
        <w:t xml:space="preserve">Recommendations from the RMP evaluations are addressed in </w:t>
      </w:r>
      <w:r w:rsidR="0010294A">
        <w:t xml:space="preserve">a separate document (details of this are beyond the scope of this AusPAR). </w:t>
      </w:r>
      <w:r w:rsidR="00645851">
        <w:t>Of note, the s</w:t>
      </w:r>
      <w:r w:rsidR="00D84F89">
        <w:t>ponsor has committed to:</w:t>
      </w:r>
    </w:p>
    <w:p w:rsidR="00DE4B57" w:rsidRDefault="006A265E" w:rsidP="0010294A">
      <w:pPr>
        <w:pStyle w:val="ListBullet"/>
      </w:pPr>
      <w:r>
        <w:t>ensuring appropriate safety-related information is incorporated in the planned Eliquis educational program, which focuses on the identified and potential risks and appropriate prescribin</w:t>
      </w:r>
      <w:r w:rsidR="00D84F89">
        <w:t xml:space="preserve">g of </w:t>
      </w:r>
      <w:proofErr w:type="spellStart"/>
      <w:r w:rsidR="00D84F89">
        <w:t>Eliquis</w:t>
      </w:r>
      <w:proofErr w:type="spellEnd"/>
    </w:p>
    <w:p w:rsidR="00DE4B57" w:rsidRDefault="006A265E" w:rsidP="0010294A">
      <w:pPr>
        <w:pStyle w:val="ListBullet"/>
      </w:pPr>
      <w:r>
        <w:t xml:space="preserve">including </w:t>
      </w:r>
      <w:r w:rsidR="00CE7AF2">
        <w:t>“</w:t>
      </w:r>
      <w:r>
        <w:t>management of severe bleeding</w:t>
      </w:r>
      <w:r w:rsidR="00CE7AF2">
        <w:t>”</w:t>
      </w:r>
      <w:r>
        <w:t xml:space="preserve"> as important missing information i</w:t>
      </w:r>
      <w:r w:rsidR="00D84F89">
        <w:t>n the Australian Specific Annex</w:t>
      </w:r>
    </w:p>
    <w:p w:rsidR="006A265E" w:rsidRDefault="006A265E" w:rsidP="0010294A">
      <w:pPr>
        <w:pStyle w:val="ListBullet"/>
      </w:pPr>
      <w:proofErr w:type="gramStart"/>
      <w:r>
        <w:t>an</w:t>
      </w:r>
      <w:proofErr w:type="gramEnd"/>
      <w:r>
        <w:t xml:space="preserve"> additional PV activity, a targeted questionnaire for severe bleeding.</w:t>
      </w:r>
    </w:p>
    <w:p w:rsidR="006A265E" w:rsidRDefault="00A7549E" w:rsidP="006A265E">
      <w:r>
        <w:t>The s</w:t>
      </w:r>
      <w:r w:rsidR="006A265E">
        <w:t xml:space="preserve">ponsor provided a copy of these responses to the OPR and will work with OPR to finalise these before approval. An updated apixaban Core Company RMP plus the Australian Specific Appendix will be provided to the TGA following confirmation of </w:t>
      </w:r>
      <w:r w:rsidR="008A32E8">
        <w:t xml:space="preserve">the </w:t>
      </w:r>
      <w:r w:rsidR="006A265E">
        <w:t xml:space="preserve">acceptability of the above </w:t>
      </w:r>
      <w:r w:rsidR="008A32E8">
        <w:t xml:space="preserve">following the </w:t>
      </w:r>
      <w:r w:rsidR="00CE7AF2">
        <w:t>ACPM meeting and the s</w:t>
      </w:r>
      <w:r w:rsidR="0010294A">
        <w:t>ponsor’</w:t>
      </w:r>
      <w:r w:rsidR="006A265E">
        <w:t>s discussion with OPR.</w:t>
      </w:r>
    </w:p>
    <w:p w:rsidR="006A265E" w:rsidRDefault="006A265E" w:rsidP="006A265E">
      <w:r>
        <w:t>Changes have been made to the PI in res</w:t>
      </w:r>
      <w:r w:rsidR="00645851">
        <w:t>ponse to requests from various e</w:t>
      </w:r>
      <w:r>
        <w:t xml:space="preserve">valuators and the Delegate. Details </w:t>
      </w:r>
      <w:r w:rsidR="00645851">
        <w:t>of these are beyond the scope of this AusPAR</w:t>
      </w:r>
      <w:r>
        <w:t>. A corresponding CMI document is also provided.</w:t>
      </w:r>
    </w:p>
    <w:p w:rsidR="006A265E" w:rsidRPr="001759D0" w:rsidRDefault="001759D0" w:rsidP="007F3D33">
      <w:pPr>
        <w:pStyle w:val="Heading5"/>
      </w:pPr>
      <w:r w:rsidRPr="001759D0">
        <w:t>S</w:t>
      </w:r>
      <w:r w:rsidR="00E4410D" w:rsidRPr="001759D0">
        <w:t xml:space="preserve">ponsor’s comments </w:t>
      </w:r>
      <w:r w:rsidRPr="001759D0">
        <w:t xml:space="preserve">on </w:t>
      </w:r>
      <w:r w:rsidR="00E4410D" w:rsidRPr="001759D0">
        <w:t xml:space="preserve">the Delegate’s </w:t>
      </w:r>
      <w:r w:rsidRPr="001759D0">
        <w:t>request</w:t>
      </w:r>
      <w:r w:rsidR="00E4410D" w:rsidRPr="001759D0">
        <w:t xml:space="preserve"> for ACMP</w:t>
      </w:r>
      <w:r>
        <w:t xml:space="preserve"> advice</w:t>
      </w:r>
    </w:p>
    <w:p w:rsidR="006A265E" w:rsidRPr="00AF4AEA" w:rsidRDefault="006B7BF2" w:rsidP="007F3D33">
      <w:pPr>
        <w:pStyle w:val="Heading6"/>
      </w:pPr>
      <w:r>
        <w:t>1</w:t>
      </w:r>
      <w:r w:rsidR="006A265E" w:rsidRPr="00AF4AEA">
        <w:t>) Should the indication be modified to remove reference to a reduction in death, remove the claim of a reduction in risk of major bleeding and to add “adults” to the indication?</w:t>
      </w:r>
    </w:p>
    <w:p w:rsidR="006A265E" w:rsidRDefault="006A265E" w:rsidP="006A265E">
      <w:r>
        <w:t xml:space="preserve">The </w:t>
      </w:r>
      <w:r w:rsidR="00A7549E">
        <w:t>s</w:t>
      </w:r>
      <w:r>
        <w:t>ponsor accepts the recommendation to remove the comparison to warfarin and to remove reference to death.</w:t>
      </w:r>
      <w:r w:rsidR="008A32E8">
        <w:t xml:space="preserve"> </w:t>
      </w:r>
      <w:r>
        <w:t xml:space="preserve">With the removal of reference to death, the </w:t>
      </w:r>
      <w:r w:rsidR="00A7549E">
        <w:t>s</w:t>
      </w:r>
      <w:r>
        <w:t xml:space="preserve">ponsor proposes to change the associated text “reduce the risk” to “prevention of”, which is supported by the findings from the pivotal clinical trials. This wording is in harmony with the current </w:t>
      </w:r>
      <w:proofErr w:type="spellStart"/>
      <w:r>
        <w:t>Xarelto</w:t>
      </w:r>
      <w:proofErr w:type="spellEnd"/>
      <w:r>
        <w:t xml:space="preserve"> </w:t>
      </w:r>
      <w:r w:rsidR="00AF4AEA">
        <w:t>(</w:t>
      </w:r>
      <w:proofErr w:type="spellStart"/>
      <w:r w:rsidR="00AF4AEA">
        <w:t>rivaroxaban</w:t>
      </w:r>
      <w:proofErr w:type="spellEnd"/>
      <w:r w:rsidR="00AF4AEA">
        <w:t xml:space="preserve">) </w:t>
      </w:r>
      <w:r>
        <w:t xml:space="preserve">and </w:t>
      </w:r>
      <w:proofErr w:type="spellStart"/>
      <w:r>
        <w:t>Pradaxa</w:t>
      </w:r>
      <w:proofErr w:type="spellEnd"/>
      <w:r>
        <w:t xml:space="preserve"> </w:t>
      </w:r>
      <w:r w:rsidR="00AF4AEA">
        <w:t>(</w:t>
      </w:r>
      <w:proofErr w:type="spellStart"/>
      <w:r w:rsidR="00AF4AEA">
        <w:t>dabigatran</w:t>
      </w:r>
      <w:proofErr w:type="spellEnd"/>
      <w:r w:rsidR="00AF4AEA">
        <w:t xml:space="preserve">) </w:t>
      </w:r>
      <w:r>
        <w:t>PI</w:t>
      </w:r>
      <w:r w:rsidR="008A32E8">
        <w:t xml:space="preserve"> document</w:t>
      </w:r>
      <w:r>
        <w:t>s.</w:t>
      </w:r>
    </w:p>
    <w:p w:rsidR="006A265E" w:rsidRDefault="006A265E" w:rsidP="006A265E">
      <w:r>
        <w:t xml:space="preserve">The </w:t>
      </w:r>
      <w:r w:rsidR="00A7549E">
        <w:t>s</w:t>
      </w:r>
      <w:r>
        <w:t xml:space="preserve">ponsor has not added reference to adults because the lack of data in paediatric patients is appropriately and adequately described under the </w:t>
      </w:r>
      <w:r w:rsidRPr="00A7549E">
        <w:rPr>
          <w:i/>
        </w:rPr>
        <w:t>Precautions</w:t>
      </w:r>
      <w:r>
        <w:t xml:space="preserve"> section in the PI.</w:t>
      </w:r>
    </w:p>
    <w:p w:rsidR="006A265E" w:rsidRDefault="006A265E" w:rsidP="006A265E">
      <w:r>
        <w:t xml:space="preserve">Therefore, the proposed </w:t>
      </w:r>
      <w:r w:rsidR="008A32E8">
        <w:t xml:space="preserve">revised </w:t>
      </w:r>
      <w:r>
        <w:t xml:space="preserve">wording for the </w:t>
      </w:r>
      <w:r w:rsidR="00AF4AEA">
        <w:t>i</w:t>
      </w:r>
      <w:r>
        <w:t>ndication is as follows:</w:t>
      </w:r>
    </w:p>
    <w:p w:rsidR="006A265E" w:rsidRPr="0010294A" w:rsidRDefault="006A265E" w:rsidP="0010294A">
      <w:pPr>
        <w:ind w:left="720"/>
        <w:rPr>
          <w:i/>
        </w:rPr>
      </w:pPr>
      <w:r w:rsidRPr="0010294A">
        <w:rPr>
          <w:i/>
        </w:rPr>
        <w:t>E</w:t>
      </w:r>
      <w:r w:rsidR="00A7549E" w:rsidRPr="0010294A">
        <w:rPr>
          <w:i/>
        </w:rPr>
        <w:t>liquis</w:t>
      </w:r>
      <w:r w:rsidRPr="0010294A">
        <w:rPr>
          <w:i/>
        </w:rPr>
        <w:t xml:space="preserve"> is indicated for the prevention of stroke and systemic embolism in patients with non-valvular atrial fibrillation with at least one additional risk factor for stroke.</w:t>
      </w:r>
    </w:p>
    <w:p w:rsidR="00A7549E" w:rsidRPr="00AF4AEA" w:rsidRDefault="006B7BF2" w:rsidP="007F3D33">
      <w:pPr>
        <w:pStyle w:val="Heading6"/>
      </w:pPr>
      <w:r>
        <w:t>2</w:t>
      </w:r>
      <w:r w:rsidR="006A265E" w:rsidRPr="00AF4AEA">
        <w:t xml:space="preserve">) Does the ACPM </w:t>
      </w:r>
      <w:r w:rsidR="008A32E8">
        <w:t xml:space="preserve">consider </w:t>
      </w:r>
      <w:r w:rsidR="006A265E" w:rsidRPr="00AF4AEA">
        <w:t xml:space="preserve">that the data integrity issues are unlikely to </w:t>
      </w:r>
      <w:proofErr w:type="gramStart"/>
      <w:r w:rsidR="006A265E" w:rsidRPr="00AF4AEA">
        <w:t>effect</w:t>
      </w:r>
      <w:proofErr w:type="gramEnd"/>
      <w:r w:rsidR="006A265E" w:rsidRPr="00AF4AEA">
        <w:t xml:space="preserve"> the overall results and that the investigations by the sponsor int</w:t>
      </w:r>
      <w:r w:rsidR="007F3D33">
        <w:t>o this matter are satisfactory?</w:t>
      </w:r>
    </w:p>
    <w:p w:rsidR="006A265E" w:rsidRDefault="006A265E" w:rsidP="006A265E">
      <w:r w:rsidRPr="00A7549E">
        <w:t>The Sponsor does not believe that the data integrity issues have affected the overall results.</w:t>
      </w:r>
      <w:r w:rsidR="008A32E8">
        <w:t xml:space="preserve"> </w:t>
      </w:r>
      <w:r w:rsidRPr="00A7549E">
        <w:t>The TGA was provided with an identical copy of the co</w:t>
      </w:r>
      <w:r w:rsidR="00A7549E">
        <w:t>mprehensive response to the FDA’</w:t>
      </w:r>
      <w:r w:rsidRPr="00A7549E">
        <w:t>s CRL, which concluded from an extensive audit of the data that the analysis of the Combined Random Sample provided a robust and reliable assessment of the rate of medication errors in the ARISTOTLE study. Three sets of analyses were performed on various samples collected at different points in time in response to the FDA and EMA requests. While the methodologies have become more rigorous with each analysis, the results remain highly consistent. The FDA-requested analysis addressed all known sources of uncertainty to estimate the dispensing error so as to maximise the count</w:t>
      </w:r>
      <w:r>
        <w:t xml:space="preserve"> of incorrect dispensations. An alternative analysis used other reliable sources of information to obtain a more likely, and perhaps more reliable estimate. Sensitivity analyses confirmed that the finding of superiority of apixaban over warfarin was preserved over this range of dispensation error estimates, hence the results remain valid. This response has since been deemed acceptable by the FDA and approval was granted for Eliquis on 28 December 2012.</w:t>
      </w:r>
    </w:p>
    <w:p w:rsidR="0010294A" w:rsidRDefault="006A265E" w:rsidP="006A265E">
      <w:r w:rsidRPr="001759D0">
        <w:lastRenderedPageBreak/>
        <w:t xml:space="preserve">The GCP issues in China have also been addressed satisfactorily for both the FDA and EMA and further details of the isolated incident can be found </w:t>
      </w:r>
      <w:r w:rsidR="008A32E8" w:rsidRPr="001759D0">
        <w:t xml:space="preserve">against </w:t>
      </w:r>
      <w:r w:rsidRPr="001759D0">
        <w:t xml:space="preserve">point b) below </w:t>
      </w:r>
      <w:r w:rsidR="001759D0" w:rsidRPr="001759D0">
        <w:t xml:space="preserve">where specific </w:t>
      </w:r>
      <w:r w:rsidR="009D118C" w:rsidRPr="001759D0">
        <w:t>i</w:t>
      </w:r>
      <w:r w:rsidR="0010294A" w:rsidRPr="001759D0">
        <w:t xml:space="preserve">ssues raised </w:t>
      </w:r>
      <w:r w:rsidR="008A32E8" w:rsidRPr="001759D0">
        <w:t xml:space="preserve">in </w:t>
      </w:r>
      <w:r w:rsidR="0010294A" w:rsidRPr="001759D0">
        <w:t>the Delegate’</w:t>
      </w:r>
      <w:r w:rsidRPr="001759D0">
        <w:t xml:space="preserve">s </w:t>
      </w:r>
      <w:r w:rsidR="001759D0" w:rsidRPr="001759D0">
        <w:t>o</w:t>
      </w:r>
      <w:r w:rsidRPr="001759D0">
        <w:t>verview</w:t>
      </w:r>
      <w:r w:rsidR="001759D0" w:rsidRPr="001759D0">
        <w:t xml:space="preserve"> are addressed</w:t>
      </w:r>
      <w:r w:rsidRPr="0010294A">
        <w:rPr>
          <w:i/>
        </w:rPr>
        <w:t>.</w:t>
      </w:r>
    </w:p>
    <w:p w:rsidR="006A265E" w:rsidRPr="00AF4AEA" w:rsidRDefault="006B7BF2" w:rsidP="003C421F">
      <w:pPr>
        <w:pStyle w:val="Heading6"/>
      </w:pPr>
      <w:r>
        <w:t>3</w:t>
      </w:r>
      <w:r w:rsidR="006A265E" w:rsidRPr="00AF4AEA">
        <w:t>) Is the increase in strokes seen following cessation of apixaban of concern and has this been adequately addressed by the sponsor?</w:t>
      </w:r>
    </w:p>
    <w:p w:rsidR="0010294A" w:rsidRDefault="006A265E" w:rsidP="006A265E">
      <w:r w:rsidRPr="0010294A">
        <w:rPr>
          <w:i/>
        </w:rPr>
        <w:t>End of Treatment Events in ARISTOTLE</w:t>
      </w:r>
      <w:r w:rsidR="00AF4AEA">
        <w:rPr>
          <w:i/>
        </w:rPr>
        <w:t xml:space="preserve">: </w:t>
      </w:r>
      <w:r>
        <w:t xml:space="preserve">Concerns regarding the switching and discontinuation of anticoagulant therapy </w:t>
      </w:r>
      <w:proofErr w:type="spellStart"/>
      <w:r>
        <w:t>center</w:t>
      </w:r>
      <w:proofErr w:type="spellEnd"/>
      <w:r>
        <w:t xml:space="preserve"> around the safety of interrupting treatment, the possibility of over- or under-anticoagulation as treatments are changed (</w:t>
      </w:r>
      <w:r w:rsidR="001528E2">
        <w:t>for example,</w:t>
      </w:r>
      <w:r>
        <w:t xml:space="preserve"> from warfarin to apixaban or from apixaban to </w:t>
      </w:r>
      <w:r w:rsidR="00AF4AEA">
        <w:t>low molecular weight heparin (</w:t>
      </w:r>
      <w:r>
        <w:t>LMWH</w:t>
      </w:r>
      <w:r w:rsidR="00AF4AEA">
        <w:t>)</w:t>
      </w:r>
      <w:r>
        <w:t xml:space="preserve">), and the possibility of a rebound or </w:t>
      </w:r>
      <w:proofErr w:type="spellStart"/>
      <w:r>
        <w:t>hypercoagulable</w:t>
      </w:r>
      <w:proofErr w:type="spellEnd"/>
      <w:r>
        <w:t xml:space="preserve"> state following discontinuation of therapy. The </w:t>
      </w:r>
      <w:r w:rsidR="008A32E8">
        <w:t>s</w:t>
      </w:r>
      <w:r>
        <w:t>ponsor has done a careful analysis of events that occurred after switching from double blind therapy in ARISTOTLE. The results of this analysis have been presented publically (</w:t>
      </w:r>
      <w:r w:rsidR="00AF4AEA" w:rsidRPr="00AF4AEA">
        <w:t xml:space="preserve">European Society of </w:t>
      </w:r>
      <w:r w:rsidR="00AF4AEA">
        <w:t>C</w:t>
      </w:r>
      <w:r w:rsidR="00AF4AEA" w:rsidRPr="00AF4AEA">
        <w:t>ardiology</w:t>
      </w:r>
      <w:r w:rsidR="005A775D">
        <w:t xml:space="preserve"> meeting</w:t>
      </w:r>
      <w:r>
        <w:t>, 2012) and a manuscript is in preparation. The findings of this anal</w:t>
      </w:r>
      <w:r w:rsidR="003C421F">
        <w:t>ysis (presented below) suggest:</w:t>
      </w:r>
    </w:p>
    <w:p w:rsidR="0010294A" w:rsidRDefault="006A265E" w:rsidP="0010294A">
      <w:pPr>
        <w:pStyle w:val="ListBullet"/>
      </w:pPr>
      <w:r>
        <w:t>There was an excess of both thromboembolic and bleeding events in the apixaban arm upon disc</w:t>
      </w:r>
      <w:r w:rsidR="003C421F">
        <w:t>ontinuation at end of the trial</w:t>
      </w:r>
    </w:p>
    <w:p w:rsidR="0010294A" w:rsidRDefault="006A265E" w:rsidP="0010294A">
      <w:pPr>
        <w:pStyle w:val="ListBullet"/>
      </w:pPr>
      <w:r>
        <w:t>The benefit of apixaban over warfarin following discontinuation of blinded study drug during the trial was preserved, as evidenced by s</w:t>
      </w:r>
      <w:r w:rsidR="003C421F">
        <w:t>ensitivity analysis</w:t>
      </w:r>
    </w:p>
    <w:p w:rsidR="006A265E" w:rsidRDefault="006A265E" w:rsidP="0010294A">
      <w:pPr>
        <w:pStyle w:val="ListBullet"/>
      </w:pPr>
      <w:r>
        <w:t>Excess events in the apixaban arm were likely due to an increased risk associated with the new initiation of a VKA, and not a liability of the discontinuation of apixaban treatment:</w:t>
      </w:r>
    </w:p>
    <w:p w:rsidR="006A265E" w:rsidRDefault="006A265E" w:rsidP="00CD2499">
      <w:pPr>
        <w:pStyle w:val="ListBullet2"/>
      </w:pPr>
      <w:r>
        <w:t xml:space="preserve">The majority of excess events occur more than one week after discontinuation, which makes a </w:t>
      </w:r>
      <w:proofErr w:type="spellStart"/>
      <w:r>
        <w:t>hypercoagulable</w:t>
      </w:r>
      <w:proofErr w:type="spellEnd"/>
      <w:r>
        <w:t xml:space="preserve"> state an unlikely explanation</w:t>
      </w:r>
    </w:p>
    <w:p w:rsidR="006A265E" w:rsidRDefault="006A265E" w:rsidP="00CD2499">
      <w:pPr>
        <w:pStyle w:val="ListBullet2"/>
      </w:pPr>
      <w:r>
        <w:t>Increased events were noted in both stroke/SE and in major bleeding outcomes (the latter could not be explained by apixaban discontinuation)</w:t>
      </w:r>
    </w:p>
    <w:p w:rsidR="006A265E" w:rsidRDefault="006A265E" w:rsidP="00CD2499">
      <w:pPr>
        <w:pStyle w:val="ListBullet2"/>
      </w:pPr>
      <w:r>
        <w:t>A similar pattern of excess events was noted in warfarin-</w:t>
      </w:r>
      <w:r w:rsidR="005A775D">
        <w:t xml:space="preserve">naïve </w:t>
      </w:r>
      <w:r>
        <w:t>patients with warfarin initiation at the time of randomisation. This is consistent with that described in studies of warfarin initiation in the clinic.</w:t>
      </w:r>
    </w:p>
    <w:p w:rsidR="006A265E" w:rsidRDefault="006A265E" w:rsidP="006A265E">
      <w:r>
        <w:t xml:space="preserve">Proper interpretation of events occurring after the efficacy cut-off date requires an understanding of how patients were switched to open label therapy and of end of trial conduct. The end of the trial involved switching patients from blinded apixaban to open label warfarin, or from blinded warfarin to open label warfarin (few patients received </w:t>
      </w:r>
      <w:proofErr w:type="spellStart"/>
      <w:proofErr w:type="gramStart"/>
      <w:r>
        <w:t>dabigatran</w:t>
      </w:r>
      <w:proofErr w:type="spellEnd"/>
      <w:r>
        <w:t>,</w:t>
      </w:r>
      <w:proofErr w:type="gramEnd"/>
      <w:r>
        <w:t xml:space="preserve"> some did not receive open label therapy). Since this was a “one way switch” (apixaban to warfarin, but not warfarin to apixaban), patients in the warfarin treatment group would have demonstrated an ability to tolerate titration and long term treatment</w:t>
      </w:r>
      <w:r w:rsidR="008A32E8">
        <w:t xml:space="preserve"> with a VKA;</w:t>
      </w:r>
      <w:r>
        <w:t xml:space="preserve"> those on apixaban would not, especially if they entered the trial as warfarin naïve. Warfarin assigned patients would likely have warfarin dosing continued at the same initial strength, without the need for titration, but</w:t>
      </w:r>
      <w:r w:rsidRPr="006A265E">
        <w:t xml:space="preserve"> </w:t>
      </w:r>
      <w:r>
        <w:t>with additional INR monitoring following the switch. Moreover, additional complexity was incurred by the need to preserve the double blind while switching (which would not be an issue in clinical practice), and by the fact that many patients were also switching treatment physicians</w:t>
      </w:r>
      <w:r w:rsidR="005A775D">
        <w:t xml:space="preserve"> </w:t>
      </w:r>
      <w:r>
        <w:t>- for example, returning to their primary care physician from the investigation site for management of their antithrombotic therapy.</w:t>
      </w:r>
    </w:p>
    <w:p w:rsidR="00560655" w:rsidRDefault="005A775D" w:rsidP="003C421F">
      <w:pPr>
        <w:pStyle w:val="TableTitle"/>
      </w:pPr>
      <w:proofErr w:type="gramStart"/>
      <w:r>
        <w:lastRenderedPageBreak/>
        <w:t xml:space="preserve">Table </w:t>
      </w:r>
      <w:r w:rsidR="006C05FE">
        <w:t>16</w:t>
      </w:r>
      <w:r>
        <w:t>.</w:t>
      </w:r>
      <w:proofErr w:type="gramEnd"/>
      <w:r>
        <w:t xml:space="preserve"> </w:t>
      </w:r>
      <w:r w:rsidR="006A265E">
        <w:t>Sensitivity analyses for stroke/SE, first dose through 2, 7, 30 days after last dose of blinded study drug</w:t>
      </w:r>
      <w:r w:rsidR="005E42C7">
        <w:t xml:space="preserve"> </w:t>
      </w:r>
      <w:r w:rsidR="00560655">
        <w:t>(evaluable subjects)</w:t>
      </w:r>
    </w:p>
    <w:p w:rsidR="00560655" w:rsidRDefault="00560655" w:rsidP="003C421F">
      <w:r>
        <w:rPr>
          <w:noProof/>
          <w:lang w:eastAsia="en-AU"/>
        </w:rPr>
        <w:drawing>
          <wp:inline distT="0" distB="0" distL="0" distR="0">
            <wp:extent cx="5400040" cy="1168217"/>
            <wp:effectExtent l="19050" t="0" r="0" b="0"/>
            <wp:docPr id="13" name="Picture 13" descr="Table 16. Sensitivity analyses for stroke/SE, first dose through 2, 7, 30 days after last dose of blinded study drug (evaluable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5400040" cy="1168217"/>
                    </a:xfrm>
                    <a:prstGeom prst="rect">
                      <a:avLst/>
                    </a:prstGeom>
                    <a:noFill/>
                    <a:ln w="9525">
                      <a:noFill/>
                      <a:miter lim="800000"/>
                      <a:headEnd/>
                      <a:tailEnd/>
                    </a:ln>
                  </pic:spPr>
                </pic:pic>
              </a:graphicData>
            </a:graphic>
          </wp:inline>
        </w:drawing>
      </w:r>
    </w:p>
    <w:p w:rsidR="006A265E" w:rsidRDefault="006A265E" w:rsidP="006A265E">
      <w:r w:rsidRPr="006A265E">
        <w:t>Discontinuation events on apixaban were not an issue during the trial (</w:t>
      </w:r>
      <w:r w:rsidR="001528E2">
        <w:t>that is,</w:t>
      </w:r>
      <w:r w:rsidRPr="006A265E">
        <w:t xml:space="preserve"> prior to the efficacy </w:t>
      </w:r>
      <w:r>
        <w:t>cut</w:t>
      </w:r>
      <w:r w:rsidR="005A775D">
        <w:t xml:space="preserve"> </w:t>
      </w:r>
      <w:r>
        <w:t>off date), as sensitivity analyses at 2, 7, and 30 days following discontinuation of apixaban</w:t>
      </w:r>
      <w:r w:rsidR="00560655">
        <w:t xml:space="preserve"> </w:t>
      </w:r>
      <w:r>
        <w:t>blinded therapy confirm the robust reduction in stroke and SE persists across these time</w:t>
      </w:r>
      <w:r w:rsidR="00560655">
        <w:t xml:space="preserve"> </w:t>
      </w:r>
      <w:r>
        <w:t>periods</w:t>
      </w:r>
      <w:r w:rsidR="005A775D">
        <w:t>,</w:t>
      </w:r>
      <w:r>
        <w:t xml:space="preserve"> with highly significant reductions in hazard from 23% to</w:t>
      </w:r>
      <w:r w:rsidR="00560655">
        <w:t xml:space="preserve"> </w:t>
      </w:r>
      <w:r>
        <w:t>31%.</w:t>
      </w:r>
    </w:p>
    <w:p w:rsidR="009D118C" w:rsidRDefault="006A265E" w:rsidP="006A265E">
      <w:r>
        <w:t>During the period from the end of intended treatment period (</w:t>
      </w:r>
      <w:r w:rsidR="001528E2">
        <w:t>that is,</w:t>
      </w:r>
      <w:r w:rsidR="005A775D">
        <w:t xml:space="preserve"> after the efficacy cut </w:t>
      </w:r>
      <w:r>
        <w:t>off date</w:t>
      </w:r>
      <w:r w:rsidR="00560655">
        <w:t xml:space="preserve"> </w:t>
      </w:r>
      <w:r>
        <w:t>of 31 Jan</w:t>
      </w:r>
      <w:r w:rsidR="005A775D">
        <w:t>uary</w:t>
      </w:r>
      <w:r>
        <w:t xml:space="preserve"> 2011) up to 30 days after the last dose of study medication, a total of 27 stroke/SE</w:t>
      </w:r>
      <w:r w:rsidR="00560655">
        <w:t xml:space="preserve"> </w:t>
      </w:r>
      <w:r>
        <w:t>events in the apixaban group and 10 events in the warfarin group occurred. A small and</w:t>
      </w:r>
      <w:r w:rsidR="00560655">
        <w:t xml:space="preserve"> </w:t>
      </w:r>
      <w:r>
        <w:t>similar number of these events occurred in subjects remaining on apixaban or warfarin at the</w:t>
      </w:r>
      <w:r w:rsidR="00560655">
        <w:t xml:space="preserve"> </w:t>
      </w:r>
      <w:r>
        <w:t xml:space="preserve">time of the event (4 </w:t>
      </w:r>
      <w:r w:rsidR="00071C0C">
        <w:t>versus</w:t>
      </w:r>
      <w:r>
        <w:t xml:space="preserve"> 3 events, respectively). A majority of apixaban (23) and warfarin (7)</w:t>
      </w:r>
      <w:r w:rsidR="00560655">
        <w:t xml:space="preserve"> </w:t>
      </w:r>
      <w:r>
        <w:t>subjects had started other therapies. Of these subjects, 7 of the apixaban but only 2 of the</w:t>
      </w:r>
      <w:r w:rsidR="00560655">
        <w:t xml:space="preserve"> </w:t>
      </w:r>
      <w:r>
        <w:t xml:space="preserve">warfarin-treated were not switched to either a VKA or </w:t>
      </w:r>
      <w:proofErr w:type="spellStart"/>
      <w:r>
        <w:t>dabigatran</w:t>
      </w:r>
      <w:proofErr w:type="spellEnd"/>
      <w:r>
        <w:t xml:space="preserve"> as their open-label stroke</w:t>
      </w:r>
      <w:r w:rsidR="00560655">
        <w:t xml:space="preserve"> </w:t>
      </w:r>
      <w:r>
        <w:t>prevention treatment; they were therefore receiving either less effective treatment (</w:t>
      </w:r>
      <w:proofErr w:type="spellStart"/>
      <w:r>
        <w:t>antiplatelet</w:t>
      </w:r>
      <w:proofErr w:type="spellEnd"/>
      <w:r w:rsidR="00560655">
        <w:t xml:space="preserve"> </w:t>
      </w:r>
      <w:r>
        <w:t>agents) or no therapy. Of the remaining 16 apixaban subjects who received warfarin or a VKA</w:t>
      </w:r>
      <w:r w:rsidR="00560655">
        <w:t xml:space="preserve"> </w:t>
      </w:r>
      <w:r>
        <w:t>as their open-label therapy, 4 had events within 10 days of switching, compared with 2 from</w:t>
      </w:r>
      <w:r w:rsidR="00560655">
        <w:t xml:space="preserve"> </w:t>
      </w:r>
      <w:r>
        <w:t>the warfarin treatment group. The remaining 12 subjects in the apixaban group had their</w:t>
      </w:r>
      <w:r w:rsidR="00560655">
        <w:t xml:space="preserve"> </w:t>
      </w:r>
      <w:r>
        <w:t>events late- from</w:t>
      </w:r>
      <w:r w:rsidR="003C421F">
        <w:t xml:space="preserve"> 18 to 29 days after switching.</w:t>
      </w:r>
    </w:p>
    <w:p w:rsidR="006A265E" w:rsidRDefault="006A265E" w:rsidP="006A265E">
      <w:r>
        <w:t xml:space="preserve">A </w:t>
      </w:r>
      <w:proofErr w:type="spellStart"/>
      <w:r>
        <w:t>hypercoagulable</w:t>
      </w:r>
      <w:proofErr w:type="spellEnd"/>
      <w:r>
        <w:t xml:space="preserve"> state has not been</w:t>
      </w:r>
      <w:r w:rsidR="00560655">
        <w:t xml:space="preserve"> </w:t>
      </w:r>
      <w:r>
        <w:t xml:space="preserve">described often with </w:t>
      </w:r>
      <w:proofErr w:type="spellStart"/>
      <w:r>
        <w:t>FXa</w:t>
      </w:r>
      <w:proofErr w:type="spellEnd"/>
      <w:r>
        <w:t xml:space="preserve"> inhibitors. In situations where it has been described, it tends to</w:t>
      </w:r>
      <w:r w:rsidR="00560655">
        <w:t xml:space="preserve"> </w:t>
      </w:r>
      <w:r>
        <w:t>occur early</w:t>
      </w:r>
      <w:r w:rsidR="005A775D">
        <w:t xml:space="preserve"> </w:t>
      </w:r>
      <w:r>
        <w:t>- within 7 days of therapy. That the majority of apixaban treated patients in</w:t>
      </w:r>
      <w:r w:rsidR="00560655">
        <w:t xml:space="preserve"> </w:t>
      </w:r>
      <w:r>
        <w:t>ARISTOTLE who had events after the efficacy cut</w:t>
      </w:r>
      <w:r w:rsidR="005A775D">
        <w:t xml:space="preserve"> </w:t>
      </w:r>
      <w:r w:rsidR="009D118C">
        <w:t>off date</w:t>
      </w:r>
      <w:r>
        <w:t xml:space="preserve"> had occurrences 18 or more days</w:t>
      </w:r>
      <w:r w:rsidR="00560655">
        <w:t xml:space="preserve"> </w:t>
      </w:r>
      <w:r>
        <w:t xml:space="preserve">after switching is strongly against </w:t>
      </w:r>
      <w:proofErr w:type="spellStart"/>
      <w:r>
        <w:t>hypercoagulability</w:t>
      </w:r>
      <w:proofErr w:type="spellEnd"/>
      <w:r>
        <w:t xml:space="preserve"> as a cause. It also suggests that further</w:t>
      </w:r>
      <w:r w:rsidR="00560655">
        <w:t xml:space="preserve"> </w:t>
      </w:r>
      <w:r>
        <w:t>bridging (up to 7-10 days) is unlikely to address the issue.</w:t>
      </w:r>
    </w:p>
    <w:p w:rsidR="006A265E" w:rsidRDefault="006A265E" w:rsidP="006A265E">
      <w:r>
        <w:t>A further analysis of events reveals a similar pattern of increased major bleeding in apixaban</w:t>
      </w:r>
      <w:r w:rsidR="00560655">
        <w:t xml:space="preserve"> </w:t>
      </w:r>
      <w:r>
        <w:t>treated patients after switching following t</w:t>
      </w:r>
      <w:r w:rsidR="005A775D">
        <w:t xml:space="preserve">he efficacy cut off date (Table </w:t>
      </w:r>
      <w:r w:rsidR="006C05FE">
        <w:t>17</w:t>
      </w:r>
      <w:r>
        <w:t>).</w:t>
      </w:r>
    </w:p>
    <w:p w:rsidR="00560655" w:rsidRDefault="006A265E" w:rsidP="003C421F">
      <w:pPr>
        <w:pStyle w:val="TableTitle"/>
      </w:pPr>
      <w:proofErr w:type="gramStart"/>
      <w:r>
        <w:t xml:space="preserve">Table </w:t>
      </w:r>
      <w:r w:rsidR="006C05FE">
        <w:t>17</w:t>
      </w:r>
      <w:r w:rsidR="005A775D">
        <w:t>.</w:t>
      </w:r>
      <w:proofErr w:type="gramEnd"/>
      <w:r>
        <w:t xml:space="preserve"> </w:t>
      </w:r>
      <w:r w:rsidR="005A775D" w:rsidRPr="005A775D">
        <w:t>International Society on Thrombosis and Haemostasis</w:t>
      </w:r>
      <w:r w:rsidR="005A775D">
        <w:t xml:space="preserve"> </w:t>
      </w:r>
      <w:r>
        <w:t>major bleeding events in patients who completed treatment in ARISTOTLE, at time periods after last</w:t>
      </w:r>
      <w:r w:rsidR="005E42C7">
        <w:t xml:space="preserve"> </w:t>
      </w:r>
      <w:r w:rsidR="00560655">
        <w:t>dose</w:t>
      </w:r>
    </w:p>
    <w:p w:rsidR="00560655" w:rsidRDefault="00560655" w:rsidP="003C421F">
      <w:r>
        <w:rPr>
          <w:noProof/>
          <w:lang w:eastAsia="en-AU"/>
        </w:rPr>
        <w:drawing>
          <wp:inline distT="0" distB="0" distL="0" distR="0">
            <wp:extent cx="3914775" cy="1581315"/>
            <wp:effectExtent l="19050" t="0" r="9525" b="0"/>
            <wp:docPr id="14" name="Picture 14" descr="Table 17. International Society on Thrombosis and Haemostasis major bleeding events in patients who completed treatment in ARISTOTLE, at time periods after last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3914201" cy="1581083"/>
                    </a:xfrm>
                    <a:prstGeom prst="rect">
                      <a:avLst/>
                    </a:prstGeom>
                    <a:noFill/>
                    <a:ln w="9525">
                      <a:noFill/>
                      <a:miter lim="800000"/>
                      <a:headEnd/>
                      <a:tailEnd/>
                    </a:ln>
                  </pic:spPr>
                </pic:pic>
              </a:graphicData>
            </a:graphic>
          </wp:inline>
        </w:drawing>
      </w:r>
    </w:p>
    <w:p w:rsidR="006A265E" w:rsidRDefault="006A265E" w:rsidP="006A265E">
      <w:r>
        <w:t>Patients were significantly more likely to bleed after discontinuation of apixaban during titration</w:t>
      </w:r>
      <w:r w:rsidR="00560655">
        <w:t xml:space="preserve"> </w:t>
      </w:r>
      <w:r>
        <w:t>of warfarin/VKA therapy, with the majority of events (25/26) occurring 8 or more days after the</w:t>
      </w:r>
      <w:r w:rsidR="00560655">
        <w:t xml:space="preserve"> </w:t>
      </w:r>
      <w:r>
        <w:t xml:space="preserve">last dose of apixaban (&gt;16 half-lives </w:t>
      </w:r>
      <w:r w:rsidR="005A775D">
        <w:t xml:space="preserve">(t½) </w:t>
      </w:r>
      <w:r>
        <w:t>later). This pattern, that mirrors that of the stroke/SE in</w:t>
      </w:r>
      <w:r w:rsidR="00560655">
        <w:t xml:space="preserve"> </w:t>
      </w:r>
      <w:r>
        <w:t>the same period, strongly suggests that the liability that accompanies switching is related to</w:t>
      </w:r>
      <w:r w:rsidR="00560655">
        <w:t xml:space="preserve"> </w:t>
      </w:r>
      <w:r>
        <w:t xml:space="preserve">initiation of VKA, not to apixaban. Again, this goes </w:t>
      </w:r>
      <w:r>
        <w:lastRenderedPageBreak/>
        <w:t xml:space="preserve">against the presence of a </w:t>
      </w:r>
      <w:proofErr w:type="spellStart"/>
      <w:r>
        <w:t>hypercoagulable</w:t>
      </w:r>
      <w:proofErr w:type="spellEnd"/>
      <w:r w:rsidR="00560655">
        <w:t xml:space="preserve"> </w:t>
      </w:r>
      <w:r>
        <w:t>state as such a scenario would not account for increased bleeding occurring weeks after drug</w:t>
      </w:r>
      <w:r w:rsidR="00560655">
        <w:t xml:space="preserve"> </w:t>
      </w:r>
      <w:r>
        <w:t>discontinuation.</w:t>
      </w:r>
    </w:p>
    <w:p w:rsidR="006A265E" w:rsidRDefault="006A265E" w:rsidP="006A265E">
      <w:r>
        <w:t>The first 30 days following initiation of warfarin therapy is known to be a time of particular</w:t>
      </w:r>
      <w:r w:rsidR="00071C0C">
        <w:t xml:space="preserve"> </w:t>
      </w:r>
      <w:r>
        <w:t>concern for both stroke and bleeding, especially in warfarin naïve patients. To further</w:t>
      </w:r>
      <w:r w:rsidR="00560655">
        <w:t xml:space="preserve"> </w:t>
      </w:r>
      <w:r>
        <w:t xml:space="preserve">understand the nature of this issue in ARISTOTLE, </w:t>
      </w:r>
      <w:r w:rsidR="005A775D">
        <w:t xml:space="preserve">the sponsor </w:t>
      </w:r>
      <w:r>
        <w:t>examined the occurrence of stroke/SE</w:t>
      </w:r>
      <w:r w:rsidR="00560655">
        <w:t xml:space="preserve"> </w:t>
      </w:r>
      <w:r>
        <w:t xml:space="preserve">following the initiation of study drug in the first 30 days after randomisation into the trial. </w:t>
      </w:r>
      <w:r w:rsidR="005A775D">
        <w:t>T</w:t>
      </w:r>
      <w:r>
        <w:t xml:space="preserve">he </w:t>
      </w:r>
      <w:r w:rsidR="005A775D">
        <w:t>behaviour</w:t>
      </w:r>
      <w:r>
        <w:t xml:space="preserve"> of warfarin (oral anticoagulation) naïve patients</w:t>
      </w:r>
      <w:r w:rsidR="005A775D">
        <w:t xml:space="preserve"> was of particular interest</w:t>
      </w:r>
      <w:r>
        <w:t>, so</w:t>
      </w:r>
      <w:r w:rsidRPr="006A265E">
        <w:t xml:space="preserve"> </w:t>
      </w:r>
      <w:r w:rsidR="005A775D">
        <w:t>a comparison was performed of</w:t>
      </w:r>
      <w:r>
        <w:t xml:space="preserve"> the rates of stroke/SE in this group by treatment assignment</w:t>
      </w:r>
      <w:r w:rsidR="005A775D">
        <w:t>.</w:t>
      </w:r>
      <w:r>
        <w:t xml:space="preserve"> </w:t>
      </w:r>
      <w:r w:rsidR="005A775D">
        <w:t>T</w:t>
      </w:r>
      <w:r>
        <w:t>hese finding are</w:t>
      </w:r>
      <w:r w:rsidR="00560655">
        <w:t xml:space="preserve"> </w:t>
      </w:r>
      <w:r>
        <w:t xml:space="preserve">shown in Figure </w:t>
      </w:r>
      <w:r w:rsidR="00E11B1F">
        <w:t>2</w:t>
      </w:r>
      <w:r w:rsidR="005A775D">
        <w:t xml:space="preserve">, which shows that </w:t>
      </w:r>
      <w:r>
        <w:t>the two groups behave quite differently.</w:t>
      </w:r>
    </w:p>
    <w:p w:rsidR="008E7846" w:rsidRDefault="00E11B1F" w:rsidP="00D20423">
      <w:pPr>
        <w:pStyle w:val="FigureTitle"/>
        <w:keepNext/>
      </w:pPr>
      <w:proofErr w:type="gramStart"/>
      <w:r>
        <w:t>Figure 2</w:t>
      </w:r>
      <w:r w:rsidR="00D20423">
        <w:t>.</w:t>
      </w:r>
      <w:proofErr w:type="gramEnd"/>
      <w:r w:rsidR="006A265E">
        <w:t xml:space="preserve"> Stroke/SE events in warfarin naïve patients entering ARISTOTLE, from randomisation to day 30</w:t>
      </w:r>
    </w:p>
    <w:p w:rsidR="00D20423" w:rsidRDefault="006A265E" w:rsidP="003C421F">
      <w:r>
        <w:rPr>
          <w:noProof/>
          <w:lang w:eastAsia="en-AU"/>
        </w:rPr>
        <w:drawing>
          <wp:inline distT="0" distB="0" distL="0" distR="0">
            <wp:extent cx="4303521" cy="2601438"/>
            <wp:effectExtent l="19050" t="0" r="1779" b="0"/>
            <wp:docPr id="10" name="Picture 10" descr="Figure 2. Stroke/SE events in warfarin naïve patients entering ARISTOTLE, from randomisation to day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srcRect/>
                    <a:stretch>
                      <a:fillRect/>
                    </a:stretch>
                  </pic:blipFill>
                  <pic:spPr bwMode="auto">
                    <a:xfrm>
                      <a:off x="0" y="0"/>
                      <a:ext cx="4305297" cy="2602512"/>
                    </a:xfrm>
                    <a:prstGeom prst="rect">
                      <a:avLst/>
                    </a:prstGeom>
                    <a:noFill/>
                    <a:ln w="9525">
                      <a:noFill/>
                      <a:miter lim="800000"/>
                      <a:headEnd/>
                      <a:tailEnd/>
                    </a:ln>
                  </pic:spPr>
                </pic:pic>
              </a:graphicData>
            </a:graphic>
          </wp:inline>
        </w:drawing>
      </w:r>
    </w:p>
    <w:p w:rsidR="006A265E" w:rsidRDefault="006A265E" w:rsidP="006A265E">
      <w:r>
        <w:t>The rate of stroke/SE for warfarin naïve patients randomised to apixaban is quite low in the</w:t>
      </w:r>
      <w:r w:rsidR="00560655">
        <w:t xml:space="preserve"> </w:t>
      </w:r>
      <w:r>
        <w:t xml:space="preserve">30 days following randomisation, and does not look much different from their </w:t>
      </w:r>
      <w:r w:rsidR="00D20423">
        <w:t>behaviour</w:t>
      </w:r>
      <w:r>
        <w:t xml:space="preserve"> at other</w:t>
      </w:r>
      <w:r w:rsidR="00560655">
        <w:t xml:space="preserve"> </w:t>
      </w:r>
      <w:r>
        <w:t>time points during the trial, nor does it differ much from warfarin experienced patients entering</w:t>
      </w:r>
      <w:r w:rsidR="00560655">
        <w:t xml:space="preserve"> </w:t>
      </w:r>
      <w:r>
        <w:t>the trial (</w:t>
      </w:r>
      <w:r w:rsidR="009D118C">
        <w:t xml:space="preserve">data </w:t>
      </w:r>
      <w:r>
        <w:t>not shown). The behavio</w:t>
      </w:r>
      <w:r w:rsidR="00D20423">
        <w:t>u</w:t>
      </w:r>
      <w:r>
        <w:t>r of warfarin naïve patients randomised to warfarin looks</w:t>
      </w:r>
      <w:r w:rsidR="00560655">
        <w:t xml:space="preserve"> </w:t>
      </w:r>
      <w:r>
        <w:t xml:space="preserve">quite different, with a steep increase in events in the first 30 days, </w:t>
      </w:r>
      <w:r w:rsidR="00D20423">
        <w:t>behaviour</w:t>
      </w:r>
      <w:r>
        <w:t xml:space="preserve"> that has been</w:t>
      </w:r>
      <w:r w:rsidR="00560655">
        <w:t xml:space="preserve"> </w:t>
      </w:r>
      <w:r>
        <w:t xml:space="preserve">described in </w:t>
      </w:r>
      <w:r w:rsidR="00D20423">
        <w:t xml:space="preserve">other </w:t>
      </w:r>
      <w:r>
        <w:t>studies of warfarin initiation in the clinic and is very similar to the event pattern seen after switching</w:t>
      </w:r>
      <w:r w:rsidR="00560655">
        <w:t xml:space="preserve"> </w:t>
      </w:r>
      <w:r>
        <w:t>from apixaban to open label warfarin at the end of the trial. Hence, such patients randomised</w:t>
      </w:r>
      <w:r w:rsidR="00560655">
        <w:t xml:space="preserve"> </w:t>
      </w:r>
      <w:r>
        <w:t>to apixaban do not show this increase in events in the 30 days following initiation of study</w:t>
      </w:r>
      <w:r w:rsidR="00560655">
        <w:t xml:space="preserve"> </w:t>
      </w:r>
      <w:r>
        <w:t>drug, but they can be at risk for these events when switched to (or initially started upon)</w:t>
      </w:r>
      <w:r w:rsidR="00560655">
        <w:t xml:space="preserve"> </w:t>
      </w:r>
      <w:r>
        <w:t xml:space="preserve">warfarin. </w:t>
      </w:r>
      <w:r w:rsidR="00D20423">
        <w:t xml:space="preserve">A previous study (not shown here) </w:t>
      </w:r>
      <w:r>
        <w:t>indicates</w:t>
      </w:r>
      <w:r w:rsidR="00D20423">
        <w:t xml:space="preserve"> that </w:t>
      </w:r>
      <w:r>
        <w:t>warfarin naïve patients who are begun on warfarin or other VKA should</w:t>
      </w:r>
      <w:r w:rsidR="00560655">
        <w:t xml:space="preserve"> </w:t>
      </w:r>
      <w:r>
        <w:t>be considered at risk during the first 30 days of titration, whether in the setting of a new</w:t>
      </w:r>
      <w:r w:rsidR="00560655">
        <w:t xml:space="preserve"> </w:t>
      </w:r>
      <w:r>
        <w:t>warfarin start (from no previous therapy) or when switching from apixaban (or another novel</w:t>
      </w:r>
      <w:r w:rsidR="00560655">
        <w:t xml:space="preserve"> </w:t>
      </w:r>
      <w:r>
        <w:t xml:space="preserve">oral anticoagulant such as </w:t>
      </w:r>
      <w:proofErr w:type="spellStart"/>
      <w:r>
        <w:t>rivaroxaban</w:t>
      </w:r>
      <w:proofErr w:type="spellEnd"/>
      <w:r>
        <w:t>). The liability is associated with warfarin/VKA</w:t>
      </w:r>
      <w:r w:rsidR="00560655">
        <w:t xml:space="preserve"> </w:t>
      </w:r>
      <w:r>
        <w:t>initiation,</w:t>
      </w:r>
      <w:r w:rsidR="00560655">
        <w:t xml:space="preserve"> </w:t>
      </w:r>
      <w:r>
        <w:t>not with apixaban.</w:t>
      </w:r>
    </w:p>
    <w:p w:rsidR="006A265E" w:rsidRPr="009D118C" w:rsidRDefault="009D118C" w:rsidP="009D118C">
      <w:r>
        <w:t>Based on the above analyses</w:t>
      </w:r>
      <w:r w:rsidR="006A265E">
        <w:t xml:space="preserve"> and consistent with what has been described in studies of</w:t>
      </w:r>
      <w:r w:rsidR="00560655">
        <w:t xml:space="preserve"> </w:t>
      </w:r>
      <w:r w:rsidR="006A265E">
        <w:t>warfarin</w:t>
      </w:r>
      <w:r w:rsidR="00D20423">
        <w:t xml:space="preserve"> initiation in the clinic, the s</w:t>
      </w:r>
      <w:r w:rsidR="006A265E">
        <w:t>ponsor concludes that there is an increased risk of</w:t>
      </w:r>
      <w:r w:rsidR="00560655">
        <w:t xml:space="preserve"> </w:t>
      </w:r>
      <w:r w:rsidR="006A265E">
        <w:t>stroke/SE and of bleeding when switching from apixaban to warfarin/VKA. This risk is</w:t>
      </w:r>
      <w:r w:rsidR="00560655">
        <w:t xml:space="preserve"> </w:t>
      </w:r>
      <w:r w:rsidR="006A265E">
        <w:t>associated with the initiation of warfarin, not the discontinuation of apixaban. Events tend to</w:t>
      </w:r>
      <w:r w:rsidR="00560655">
        <w:t xml:space="preserve"> </w:t>
      </w:r>
      <w:r w:rsidR="006A265E">
        <w:t xml:space="preserve">cluster late (&gt;1 week after discontinuation), which makes a </w:t>
      </w:r>
      <w:proofErr w:type="spellStart"/>
      <w:r w:rsidR="006A265E">
        <w:t>hypercoagulable</w:t>
      </w:r>
      <w:proofErr w:type="spellEnd"/>
      <w:r w:rsidR="006A265E">
        <w:t xml:space="preserve"> state unlikely,</w:t>
      </w:r>
      <w:r w:rsidR="00560655">
        <w:t xml:space="preserve"> </w:t>
      </w:r>
      <w:r w:rsidR="006A265E">
        <w:t>and suggests that early bridging will be of little utility in reducing this risk. Prescribers should</w:t>
      </w:r>
      <w:r w:rsidR="00560655">
        <w:t xml:space="preserve"> </w:t>
      </w:r>
      <w:r w:rsidR="006A265E">
        <w:t>appreciate this early risk of warfarin treatment when selecting therapy, and should increase the</w:t>
      </w:r>
      <w:r w:rsidR="00560655">
        <w:t xml:space="preserve"> </w:t>
      </w:r>
      <w:r w:rsidR="006A265E">
        <w:t xml:space="preserve">role of INR monitoring during titration to reduce the risk </w:t>
      </w:r>
      <w:r w:rsidR="006A265E">
        <w:lastRenderedPageBreak/>
        <w:t>of stroke and bleeding, especially in</w:t>
      </w:r>
      <w:r w:rsidR="00560655">
        <w:t xml:space="preserve"> </w:t>
      </w:r>
      <w:r w:rsidR="006A265E">
        <w:t>patients at higher risk of stroke such as those with multiple CHADS</w:t>
      </w:r>
      <w:r w:rsidR="00D20423" w:rsidRPr="00F41964">
        <w:rPr>
          <w:vertAlign w:val="subscript"/>
        </w:rPr>
        <w:t>2</w:t>
      </w:r>
      <w:r w:rsidR="006A265E">
        <w:t xml:space="preserve"> risk factors.</w:t>
      </w:r>
    </w:p>
    <w:p w:rsidR="009D118C" w:rsidRPr="009D118C" w:rsidRDefault="006A265E" w:rsidP="009D118C">
      <w:r w:rsidRPr="009D118C">
        <w:t>To ensure HCPs continue to monitor coagulation status during the switching period, the</w:t>
      </w:r>
      <w:r w:rsidR="00560655" w:rsidRPr="009D118C">
        <w:t xml:space="preserve"> </w:t>
      </w:r>
      <w:r w:rsidR="00D20423" w:rsidRPr="009D118C">
        <w:t>s</w:t>
      </w:r>
      <w:r w:rsidRPr="009D118C">
        <w:t xml:space="preserve">ponsor has updated the </w:t>
      </w:r>
      <w:r w:rsidR="00D20423" w:rsidRPr="009D118C">
        <w:rPr>
          <w:i/>
        </w:rPr>
        <w:t>Dosage and Administration</w:t>
      </w:r>
      <w:r w:rsidR="00D20423" w:rsidRPr="009D118C">
        <w:t xml:space="preserve"> </w:t>
      </w:r>
      <w:r w:rsidRPr="009D118C">
        <w:t>section of the PI with advice on</w:t>
      </w:r>
      <w:r w:rsidR="00560655" w:rsidRPr="009D118C">
        <w:t xml:space="preserve"> </w:t>
      </w:r>
      <w:r w:rsidRPr="009D118C">
        <w:t>INR monitoring when switching therapy</w:t>
      </w:r>
      <w:r w:rsidR="00D20423" w:rsidRPr="009D118C">
        <w:t xml:space="preserve">; and the </w:t>
      </w:r>
      <w:r w:rsidRPr="009D118C">
        <w:rPr>
          <w:i/>
        </w:rPr>
        <w:t>P</w:t>
      </w:r>
      <w:r w:rsidR="00D20423" w:rsidRPr="009D118C">
        <w:rPr>
          <w:i/>
        </w:rPr>
        <w:t>recaution</w:t>
      </w:r>
      <w:r w:rsidR="00D20423" w:rsidRPr="009D118C">
        <w:t xml:space="preserve"> </w:t>
      </w:r>
      <w:r w:rsidRPr="009D118C">
        <w:t xml:space="preserve">section has </w:t>
      </w:r>
      <w:r w:rsidR="00D20423" w:rsidRPr="009D118C">
        <w:t xml:space="preserve">also </w:t>
      </w:r>
      <w:r w:rsidRPr="009D118C">
        <w:t xml:space="preserve">been updated </w:t>
      </w:r>
      <w:r w:rsidR="00D20423" w:rsidRPr="009D118C">
        <w:t>in this regard.</w:t>
      </w:r>
      <w:r w:rsidR="009D118C" w:rsidRPr="009D118C">
        <w:t xml:space="preserve"> </w:t>
      </w:r>
      <w:r w:rsidR="009D118C">
        <w:t xml:space="preserve">Details of proposed revisions of </w:t>
      </w:r>
      <w:r w:rsidR="009D118C" w:rsidRPr="009D118C">
        <w:t>text in the PI are beyond the scope of this AusPAR.</w:t>
      </w:r>
    </w:p>
    <w:p w:rsidR="006A265E" w:rsidRDefault="006A265E" w:rsidP="006A265E">
      <w:r>
        <w:t xml:space="preserve">In addition, guidance regarding switching from or to apixaban treatment will be included in the planned HCP education program. </w:t>
      </w:r>
    </w:p>
    <w:p w:rsidR="006A265E" w:rsidRPr="00DE5B33" w:rsidRDefault="001759D0" w:rsidP="003C421F">
      <w:pPr>
        <w:pStyle w:val="Heading5"/>
      </w:pPr>
      <w:r>
        <w:t>Sponsor</w:t>
      </w:r>
      <w:r w:rsidR="00C24F6F">
        <w:t>’</w:t>
      </w:r>
      <w:r>
        <w:t xml:space="preserve">s responses to specific issues raised in the </w:t>
      </w:r>
      <w:r w:rsidR="006A265E" w:rsidRPr="00DE5B33">
        <w:t>Delegate’s Overview</w:t>
      </w:r>
    </w:p>
    <w:p w:rsidR="006A265E" w:rsidRPr="00DE5B33" w:rsidRDefault="006A265E" w:rsidP="003C421F">
      <w:pPr>
        <w:pStyle w:val="Heading6"/>
      </w:pPr>
      <w:r w:rsidRPr="00DE5B33">
        <w:t xml:space="preserve">a) Given that the dosing instructions allow for a 2.5 mg dose, please provide a </w:t>
      </w:r>
      <w:proofErr w:type="spellStart"/>
      <w:r w:rsidRPr="00DE5B33">
        <w:t>biowaiver</w:t>
      </w:r>
      <w:proofErr w:type="spellEnd"/>
      <w:r w:rsidRPr="00DE5B33">
        <w:t xml:space="preserve"> justification that compares the 5 mg strength with the 2.5 mg strength.</w:t>
      </w:r>
    </w:p>
    <w:p w:rsidR="006A265E" w:rsidRDefault="006A265E" w:rsidP="006A265E">
      <w:r>
        <w:t xml:space="preserve">Based on the </w:t>
      </w:r>
      <w:r w:rsidR="00D20423">
        <w:t>favourable</w:t>
      </w:r>
      <w:r>
        <w:t xml:space="preserve"> physical-chemical properties and </w:t>
      </w:r>
      <w:r w:rsidR="00D20423">
        <w:t xml:space="preserve">PK </w:t>
      </w:r>
      <w:r>
        <w:t>characteristics of apixaban, along with the proportional similarity of the 2.5 mg and 5 mg commercial tablet formulations, comparative dissolution testing can b</w:t>
      </w:r>
      <w:r w:rsidR="00C24F6F">
        <w:t xml:space="preserve">e used to support </w:t>
      </w:r>
      <w:proofErr w:type="spellStart"/>
      <w:r w:rsidR="00C24F6F">
        <w:t>apixaban</w:t>
      </w:r>
      <w:proofErr w:type="spellEnd"/>
      <w:r w:rsidR="00C24F6F">
        <w:t xml:space="preserve"> </w:t>
      </w:r>
      <w:proofErr w:type="spellStart"/>
      <w:r w:rsidR="00C24F6F">
        <w:t>dose</w:t>
      </w:r>
      <w:r w:rsidR="00C24F6F">
        <w:noBreakHyphen/>
      </w:r>
      <w:r>
        <w:t>strength</w:t>
      </w:r>
      <w:proofErr w:type="spellEnd"/>
      <w:r>
        <w:t xml:space="preserve"> equivalence. Comparative dissolution testing met all criteria for establishing similar dissolution profiles between </w:t>
      </w:r>
      <w:r w:rsidR="00D20423">
        <w:t>dose-strengths. Therefore, the sponsor</w:t>
      </w:r>
      <w:r>
        <w:t xml:space="preserve"> </w:t>
      </w:r>
      <w:r w:rsidR="00D20423">
        <w:t xml:space="preserve">has </w:t>
      </w:r>
      <w:r>
        <w:t>concluded that dose-strength equivalence between the apixaban 2.5 mg and 5 mg tablets is established and that a clinical bioequivalence study is not needed.</w:t>
      </w:r>
    </w:p>
    <w:p w:rsidR="006A265E" w:rsidRPr="00DE5B33" w:rsidRDefault="006A265E" w:rsidP="003C421F">
      <w:pPr>
        <w:pStyle w:val="Heading6"/>
      </w:pPr>
      <w:r w:rsidRPr="00DE5B33">
        <w:t>b) Given the GCP concerns at two sites in China, have further audits been conducted of the other sites to determine that this was not a more widespread matter?</w:t>
      </w:r>
    </w:p>
    <w:p w:rsidR="006A265E" w:rsidRDefault="006A265E" w:rsidP="006A265E">
      <w:r>
        <w:t xml:space="preserve">The GCP concerns occurred at a single site (site 1200) in China after the study was completed during inspection preparation activities. As the reported misconduct occurred after data-lock, they did </w:t>
      </w:r>
      <w:r w:rsidR="00D20423">
        <w:t>not impact data integrity. The s</w:t>
      </w:r>
      <w:r>
        <w:t>ponsor</w:t>
      </w:r>
      <w:r w:rsidR="00D20423">
        <w:t>’s</w:t>
      </w:r>
      <w:r>
        <w:t xml:space="preserve"> investigation of the reported misconduct included a review at site 1200 and also </w:t>
      </w:r>
      <w:r w:rsidR="00C24F6F">
        <w:t xml:space="preserve">at </w:t>
      </w:r>
      <w:r>
        <w:t xml:space="preserve">site 1178 in China which was also inspected by FDA. No concerns were noted at site 1178 during the </w:t>
      </w:r>
      <w:r w:rsidR="00D20423">
        <w:t>s</w:t>
      </w:r>
      <w:r>
        <w:t>ponsor review or the FDA inspection.</w:t>
      </w:r>
    </w:p>
    <w:p w:rsidR="006A265E" w:rsidRDefault="006A265E" w:rsidP="006A265E">
      <w:r>
        <w:t xml:space="preserve">During the study the </w:t>
      </w:r>
      <w:r w:rsidR="00D20423">
        <w:t>s</w:t>
      </w:r>
      <w:r>
        <w:t xml:space="preserve">ponsor and </w:t>
      </w:r>
      <w:r w:rsidR="00D20423" w:rsidRPr="00D20423">
        <w:t xml:space="preserve">Contract </w:t>
      </w:r>
      <w:r w:rsidR="00D20423">
        <w:t>R</w:t>
      </w:r>
      <w:r w:rsidR="00D20423" w:rsidRPr="00D20423">
        <w:t xml:space="preserve">esearch </w:t>
      </w:r>
      <w:r w:rsidR="00D20423">
        <w:t>O</w:t>
      </w:r>
      <w:r w:rsidR="00D20423" w:rsidRPr="00D20423">
        <w:t xml:space="preserve">rganisation </w:t>
      </w:r>
      <w:r w:rsidR="00D20423">
        <w:t>(</w:t>
      </w:r>
      <w:r>
        <w:t>CRO</w:t>
      </w:r>
      <w:r w:rsidR="00D20423">
        <w:t>)</w:t>
      </w:r>
      <w:r>
        <w:t xml:space="preserve"> conducted audits at 56 sites; there were no issues</w:t>
      </w:r>
      <w:r w:rsidRPr="006A265E">
        <w:t xml:space="preserve"> </w:t>
      </w:r>
      <w:r>
        <w:t>of misconduct identified during those audits. As further follo</w:t>
      </w:r>
      <w:r w:rsidR="00D20423">
        <w:t>w-up to the investigation, the s</w:t>
      </w:r>
      <w:r>
        <w:t>ponsor conducted targeted audits at four additional sites in China (1198,</w:t>
      </w:r>
      <w:r w:rsidR="006F4599">
        <w:t xml:space="preserve"> </w:t>
      </w:r>
      <w:r>
        <w:t>1168,</w:t>
      </w:r>
      <w:r w:rsidR="006F4599">
        <w:t xml:space="preserve"> </w:t>
      </w:r>
      <w:r>
        <w:t xml:space="preserve">1244, 1287) that were monitored by personnel involved with the monitoring of site 1200 and 1178. No evidence of misconduct was identified at any </w:t>
      </w:r>
      <w:r w:rsidR="00D20423">
        <w:t>of the four sites. Lastly, the s</w:t>
      </w:r>
      <w:r>
        <w:t>ponsor contacted all of the sites in China (36) to review the documentation practices that were in place during the trial, specifically regarding the source document worksheets that appeared to have been a</w:t>
      </w:r>
      <w:r w:rsidR="00C24F6F">
        <w:t xml:space="preserve">ltered at site 1200. The </w:t>
      </w:r>
      <w:proofErr w:type="spellStart"/>
      <w:r w:rsidR="00C24F6F">
        <w:t>follow</w:t>
      </w:r>
      <w:r w:rsidR="00C24F6F">
        <w:noBreakHyphen/>
      </w:r>
      <w:r>
        <w:t>up</w:t>
      </w:r>
      <w:proofErr w:type="spellEnd"/>
      <w:r>
        <w:t xml:space="preserve"> established that adequate controls were in place duri</w:t>
      </w:r>
      <w:r w:rsidR="00C24F6F">
        <w:t>ng the study at the other sites,</w:t>
      </w:r>
      <w:r>
        <w:t xml:space="preserve"> and that the activities at site 1200 were isolated.</w:t>
      </w:r>
    </w:p>
    <w:p w:rsidR="006A265E" w:rsidRPr="00DE5B33" w:rsidRDefault="006A265E" w:rsidP="003C421F">
      <w:pPr>
        <w:pStyle w:val="Heading6"/>
      </w:pPr>
      <w:r w:rsidRPr="00DE5B33">
        <w:t xml:space="preserve">c) </w:t>
      </w:r>
      <w:r w:rsidR="00C24F6F">
        <w:t>O</w:t>
      </w:r>
      <w:r w:rsidRPr="00DE5B33">
        <w:t>utstanding matters raised by the RMP evaluator.</w:t>
      </w:r>
    </w:p>
    <w:p w:rsidR="00DE5B33" w:rsidRDefault="006A265E" w:rsidP="006A265E">
      <w:r>
        <w:t>The outstanding matters have b</w:t>
      </w:r>
      <w:r w:rsidR="00DE5B33">
        <w:t xml:space="preserve">een addressed in </w:t>
      </w:r>
      <w:r w:rsidR="007756E4">
        <w:t xml:space="preserve">separate documents and communications with the OPR. </w:t>
      </w:r>
    </w:p>
    <w:p w:rsidR="006A265E" w:rsidRPr="00DE5B33" w:rsidRDefault="00DE5B33" w:rsidP="003C421F">
      <w:pPr>
        <w:pStyle w:val="Heading6"/>
      </w:pPr>
      <w:r w:rsidRPr="00DE5B33">
        <w:t xml:space="preserve">d) </w:t>
      </w:r>
      <w:r w:rsidR="006A265E" w:rsidRPr="00DE5B33">
        <w:t>The two-sided p-value for superiority in the ARISTOTLE trial was 0.0114 however the statistical plan indicates that the one sided alpha value was set at 0.005 for superiority. Please comment on whether the p-value of 0.0114 is therefore strictly above the threshold for statistical significance and that apixaban is not superior to warfarin.</w:t>
      </w:r>
    </w:p>
    <w:p w:rsidR="006A265E" w:rsidRDefault="006A265E" w:rsidP="006A265E">
      <w:r>
        <w:t xml:space="preserve">As per </w:t>
      </w:r>
      <w:r w:rsidR="007756E4">
        <w:t xml:space="preserve">the CSR for </w:t>
      </w:r>
      <w:r>
        <w:t>the ARISTOTLE trial (CV185030)</w:t>
      </w:r>
      <w:r w:rsidR="007756E4">
        <w:t>,</w:t>
      </w:r>
      <w:r>
        <w:t xml:space="preserve"> Statistical Analysis Plan Version 2, the one-sided alpha used for superiority is 0.02499. According to the pre</w:t>
      </w:r>
      <w:r w:rsidR="007756E4">
        <w:t>-</w:t>
      </w:r>
      <w:r>
        <w:t xml:space="preserve">specified hierarchical testing procedure, non-inferiority for the primary endpoint of stroke and </w:t>
      </w:r>
      <w:r w:rsidR="0031039E">
        <w:t xml:space="preserve">SE </w:t>
      </w:r>
      <w:r>
        <w:t xml:space="preserve">was tested first with a one-sided alpha of 0.005. The one-sided non-inferiority p-value of &lt;0.0001 was less than the one-sided alpha level, so non-inferiority was established. Since, </w:t>
      </w:r>
      <w:r>
        <w:lastRenderedPageBreak/>
        <w:t>as required by the hierarchical testing procedure, non-inferiority was established, superiority was tested. The two-sided alpha level for superiority corresponding to the o</w:t>
      </w:r>
      <w:r w:rsidR="007756E4">
        <w:t>ne-sided alpha of 0.02499 is 2 times</w:t>
      </w:r>
      <w:r>
        <w:t xml:space="preserve"> 0.02499=0.04998. Since non-inferiority was established and the two-sided superiority p-value of 0.0114 is less than two-sided alpha level of 0.04998 with an estimated </w:t>
      </w:r>
      <w:r w:rsidR="007756E4">
        <w:t xml:space="preserve">HR </w:t>
      </w:r>
      <w:r>
        <w:t>favo</w:t>
      </w:r>
      <w:r w:rsidR="007756E4">
        <w:t>u</w:t>
      </w:r>
      <w:r>
        <w:t xml:space="preserve">ring apixaban, it is concluded that apixaban is superior to warfarin for the combined endpoint of stroke and </w:t>
      </w:r>
      <w:r w:rsidR="0031039E">
        <w:t>SE</w:t>
      </w:r>
      <w:r>
        <w:t>.</w:t>
      </w:r>
    </w:p>
    <w:p w:rsidR="006A265E" w:rsidRPr="00DE5B33" w:rsidRDefault="006A265E" w:rsidP="003C421F">
      <w:pPr>
        <w:pStyle w:val="Heading6"/>
      </w:pPr>
      <w:r w:rsidRPr="00DE5B33">
        <w:t>e) Similarly, in the ARISTOTLE trial, the one sided alpha value was set at 0.005 for all cause death however the p-value for the result was 0.0465. Please comment on the statistical significance of this result and whether it is considered that apixaban is superior to warfarin for this endpoint.</w:t>
      </w:r>
    </w:p>
    <w:p w:rsidR="006A265E" w:rsidRDefault="006A265E" w:rsidP="006A265E">
      <w:r>
        <w:t xml:space="preserve">As per </w:t>
      </w:r>
      <w:r w:rsidR="007756E4">
        <w:t xml:space="preserve">the CSR for the </w:t>
      </w:r>
      <w:r>
        <w:t>ARISTOTLE trial (CV185030)</w:t>
      </w:r>
      <w:r w:rsidR="007756E4">
        <w:t>,</w:t>
      </w:r>
      <w:r>
        <w:t xml:space="preserve"> Statistical Analysis Plan Version 2, the critical value for all-cause death was set equal to the corresponding critical value for the primary endpoint. The critical value is determined by the alpha level, so the rest of the discussion </w:t>
      </w:r>
      <w:r w:rsidR="00C24F6F">
        <w:t xml:space="preserve">is </w:t>
      </w:r>
      <w:r>
        <w:t>focus</w:t>
      </w:r>
      <w:r w:rsidR="00C24F6F">
        <w:t>ed</w:t>
      </w:r>
      <w:r>
        <w:t xml:space="preserve"> on alpha levels. As described in the response to point d) above, the alpha level used for superiority for stroke and </w:t>
      </w:r>
      <w:r w:rsidR="0031039E">
        <w:t xml:space="preserve">SE </w:t>
      </w:r>
      <w:r>
        <w:t>was a one-sided alpha of 0.02499, so a one-sided alpha of 0.02499 was also used for all-cause death. According to the pre</w:t>
      </w:r>
      <w:r w:rsidR="007756E4">
        <w:t>-</w:t>
      </w:r>
      <w:r>
        <w:t xml:space="preserve">specified hierarchical testing procedure, if and only if non-inferiority and superiority in stroke and </w:t>
      </w:r>
      <w:r w:rsidR="0031039E">
        <w:t xml:space="preserve">SE </w:t>
      </w:r>
      <w:r>
        <w:t>were established, superiority for ISTH major bleeding is tested. As both of these were established and the two-sided p-value of &lt;0.001 was less than the two-sided alpha of 0.05 (</w:t>
      </w:r>
      <w:r w:rsidR="001528E2">
        <w:t>that is,</w:t>
      </w:r>
      <w:r w:rsidR="007756E4">
        <w:t xml:space="preserve"> 2 times</w:t>
      </w:r>
      <w:r>
        <w:t xml:space="preserve"> 0.025) with an estimated </w:t>
      </w:r>
      <w:r w:rsidR="007756E4">
        <w:t xml:space="preserve">HR </w:t>
      </w:r>
      <w:r>
        <w:t>favo</w:t>
      </w:r>
      <w:r w:rsidR="007756E4">
        <w:t>u</w:t>
      </w:r>
      <w:r>
        <w:t xml:space="preserve">ring apixaban, it is concluded that apixaban is superior to warfarin in ISTH major bleeding. Finally, superiority for death was tested if only if the following were established: non-inferiority for stroke and </w:t>
      </w:r>
      <w:r w:rsidR="0031039E">
        <w:t>SE</w:t>
      </w:r>
      <w:r>
        <w:t xml:space="preserve">, superiority for stroke and </w:t>
      </w:r>
      <w:r w:rsidR="0031039E">
        <w:t>SE</w:t>
      </w:r>
      <w:r>
        <w:t>, and superiority for major bleeding. Since each of these was established and the two-sided p-value for all-cause death of 0.0465 was less than the two-sided alpha</w:t>
      </w:r>
      <w:r w:rsidRPr="006A265E">
        <w:t xml:space="preserve"> </w:t>
      </w:r>
      <w:r>
        <w:t xml:space="preserve">level of 0.04998 with an estimated </w:t>
      </w:r>
      <w:r w:rsidR="007756E4">
        <w:t xml:space="preserve">HR </w:t>
      </w:r>
      <w:r w:rsidR="002F0FF8">
        <w:t>favouring</w:t>
      </w:r>
      <w:r>
        <w:t xml:space="preserve"> apixaban, it is concluded that apixaban is superior to warfarin for all-cause death.</w:t>
      </w:r>
    </w:p>
    <w:p w:rsidR="006A265E" w:rsidRPr="00DE5B33" w:rsidRDefault="006A265E" w:rsidP="003C421F">
      <w:pPr>
        <w:pStyle w:val="Heading6"/>
      </w:pPr>
      <w:r w:rsidRPr="00DE5B33">
        <w:t>f) What is the likely explanation for the increased number of strokes seen in patients who had changed therapy at the end of the study from apixaban to warfarin, and how will this be addressed in the PI, RMP and education to healthcare professionals? How can the sponsor be sure that this is not a rebound phenomenon or other delayed effect of the drug and therefore if so how could this risk be mitigated?</w:t>
      </w:r>
    </w:p>
    <w:p w:rsidR="006A265E" w:rsidRPr="00AA300D" w:rsidRDefault="00AA300D" w:rsidP="006A265E">
      <w:pPr>
        <w:rPr>
          <w:b/>
        </w:rPr>
      </w:pPr>
      <w:r>
        <w:t xml:space="preserve">This is addressed at point </w:t>
      </w:r>
      <w:r w:rsidR="006B7BF2">
        <w:t>3</w:t>
      </w:r>
      <w:r>
        <w:t xml:space="preserve"> under </w:t>
      </w:r>
      <w:r w:rsidRPr="00AA300D">
        <w:t>Delegate’s request for ACPM Advice, above</w:t>
      </w:r>
      <w:r w:rsidR="006A265E" w:rsidRPr="00AA300D">
        <w:t>.</w:t>
      </w:r>
    </w:p>
    <w:p w:rsidR="006A265E" w:rsidRPr="00DE5B33" w:rsidRDefault="006A265E" w:rsidP="003C421F">
      <w:pPr>
        <w:pStyle w:val="Heading6"/>
      </w:pPr>
      <w:r w:rsidRPr="00DE5B33">
        <w:t>g) Were patient’s risk of stroke calculated using the CHA</w:t>
      </w:r>
      <w:r w:rsidRPr="00D25EFD">
        <w:rPr>
          <w:vertAlign w:val="subscript"/>
        </w:rPr>
        <w:t>2</w:t>
      </w:r>
      <w:r w:rsidRPr="00DE5B33">
        <w:t>DS</w:t>
      </w:r>
      <w:r w:rsidRPr="00D25EFD">
        <w:rPr>
          <w:vertAlign w:val="subscript"/>
        </w:rPr>
        <w:t>2</w:t>
      </w:r>
      <w:r w:rsidRPr="00DE5B33">
        <w:t>-VASc and if so, please provide these scores for patients in this trial using a median and mean approach and a distribution for each score level.</w:t>
      </w:r>
    </w:p>
    <w:p w:rsidR="006A265E" w:rsidRPr="00F41964" w:rsidRDefault="006A265E" w:rsidP="006A265E">
      <w:r>
        <w:t xml:space="preserve">No, this scale was not a component of any of the conducted clinical trials, as this scale did not exist at the time the </w:t>
      </w:r>
      <w:r w:rsidR="00AA300D">
        <w:t xml:space="preserve">Statistical Analyses Plans </w:t>
      </w:r>
      <w:r>
        <w:t xml:space="preserve">were written </w:t>
      </w:r>
      <w:r w:rsidR="00D25EFD">
        <w:t>(</w:t>
      </w:r>
      <w:r>
        <w:t xml:space="preserve">it would have only been </w:t>
      </w:r>
      <w:r w:rsidRPr="00F41964">
        <w:t>available for the last 2 years</w:t>
      </w:r>
      <w:r w:rsidR="00D25EFD">
        <w:t>)</w:t>
      </w:r>
      <w:r w:rsidRPr="00F41964">
        <w:t xml:space="preserve">. Furthermore, not all elements of the </w:t>
      </w:r>
      <w:r w:rsidR="00F41964" w:rsidRPr="00F41964">
        <w:t>CHA</w:t>
      </w:r>
      <w:r w:rsidR="00F41964" w:rsidRPr="00F41964">
        <w:rPr>
          <w:vertAlign w:val="subscript"/>
        </w:rPr>
        <w:t>2</w:t>
      </w:r>
      <w:r w:rsidR="00F41964" w:rsidRPr="00F41964">
        <w:t>DS</w:t>
      </w:r>
      <w:r w:rsidR="00F41964" w:rsidRPr="00F41964">
        <w:rPr>
          <w:vertAlign w:val="subscript"/>
        </w:rPr>
        <w:t>2</w:t>
      </w:r>
      <w:r w:rsidR="00F41964" w:rsidRPr="00F41964">
        <w:t xml:space="preserve">VASc </w:t>
      </w:r>
      <w:r w:rsidRPr="00F41964">
        <w:t xml:space="preserve">scoring scheme were collected for all patients in ARISTOTLE, so </w:t>
      </w:r>
      <w:r w:rsidR="00F41964" w:rsidRPr="00F41964">
        <w:t>CHA</w:t>
      </w:r>
      <w:r w:rsidR="00F41964" w:rsidRPr="00F41964">
        <w:rPr>
          <w:vertAlign w:val="subscript"/>
        </w:rPr>
        <w:t>2</w:t>
      </w:r>
      <w:r w:rsidR="00F41964" w:rsidRPr="00F41964">
        <w:t>DS</w:t>
      </w:r>
      <w:r w:rsidR="00F41964" w:rsidRPr="00F41964">
        <w:rPr>
          <w:vertAlign w:val="subscript"/>
        </w:rPr>
        <w:t>2</w:t>
      </w:r>
      <w:r w:rsidR="00F41964" w:rsidRPr="00F41964">
        <w:t xml:space="preserve">VASc </w:t>
      </w:r>
      <w:r w:rsidRPr="00F41964">
        <w:t>scores cannot be determined post-hoc.</w:t>
      </w:r>
    </w:p>
    <w:p w:rsidR="006A265E" w:rsidRPr="00DE5B33" w:rsidRDefault="006A265E" w:rsidP="003C421F">
      <w:pPr>
        <w:pStyle w:val="Heading6"/>
      </w:pPr>
      <w:r w:rsidRPr="00DE5B33">
        <w:t xml:space="preserve">h) Confirm the unadjusted and adjusted </w:t>
      </w:r>
      <w:r w:rsidR="00A868A3">
        <w:t xml:space="preserve">HR </w:t>
      </w:r>
      <w:r w:rsidRPr="00DE5B33">
        <w:t>and 95%</w:t>
      </w:r>
      <w:r w:rsidR="00AA300D">
        <w:t xml:space="preserve"> </w:t>
      </w:r>
      <w:r w:rsidRPr="00DE5B33">
        <w:t>CI for the primary endpoint in the AVERROES study.</w:t>
      </w:r>
    </w:p>
    <w:p w:rsidR="006A265E" w:rsidRDefault="006A265E" w:rsidP="006A265E">
      <w:r>
        <w:t xml:space="preserve">The unadjusted </w:t>
      </w:r>
      <w:r w:rsidR="00AA300D">
        <w:t xml:space="preserve">HR </w:t>
      </w:r>
      <w:r>
        <w:t xml:space="preserve">and 95% CI for stroke and system embolism </w:t>
      </w:r>
      <w:proofErr w:type="gramStart"/>
      <w:r>
        <w:t>was</w:t>
      </w:r>
      <w:proofErr w:type="gramEnd"/>
      <w:r>
        <w:t xml:space="preserve"> 0.45 (0.32, 0.62). These results are identical to the adjusted </w:t>
      </w:r>
      <w:r w:rsidR="00AA300D">
        <w:t xml:space="preserve">HR </w:t>
      </w:r>
      <w:r>
        <w:t>and 95% CI when all are rounded to two decimal places.</w:t>
      </w:r>
    </w:p>
    <w:p w:rsidR="006A265E" w:rsidRPr="00DE5B33" w:rsidRDefault="006A265E" w:rsidP="003C421F">
      <w:pPr>
        <w:pStyle w:val="Heading6"/>
      </w:pPr>
      <w:proofErr w:type="spellStart"/>
      <w:r w:rsidRPr="00DE5B33">
        <w:t>i</w:t>
      </w:r>
      <w:proofErr w:type="spellEnd"/>
      <w:r w:rsidRPr="00DE5B33">
        <w:t xml:space="preserve">) Comment on whether there were any cases of liver dysfunction that met the definition for </w:t>
      </w:r>
      <w:proofErr w:type="spellStart"/>
      <w:r w:rsidRPr="00DE5B33">
        <w:t>Hy’s</w:t>
      </w:r>
      <w:proofErr w:type="spellEnd"/>
      <w:r w:rsidRPr="00DE5B33">
        <w:t xml:space="preserve"> law in the ARISTOTLE or AVERROES studies.</w:t>
      </w:r>
    </w:p>
    <w:p w:rsidR="006A265E" w:rsidRDefault="006A265E" w:rsidP="006A265E">
      <w:r>
        <w:t xml:space="preserve">There were no cases that met the definition for </w:t>
      </w:r>
      <w:proofErr w:type="spellStart"/>
      <w:r>
        <w:t>Hy</w:t>
      </w:r>
      <w:r w:rsidR="00DE5B33">
        <w:t>’</w:t>
      </w:r>
      <w:r>
        <w:t>s</w:t>
      </w:r>
      <w:proofErr w:type="spellEnd"/>
      <w:r>
        <w:t xml:space="preserve"> law in the ARISTOTLE and AVERROES studies. </w:t>
      </w:r>
      <w:r w:rsidR="00AA300D">
        <w:t xml:space="preserve">An </w:t>
      </w:r>
      <w:r>
        <w:t xml:space="preserve">assessment report authored </w:t>
      </w:r>
      <w:r w:rsidR="00AA300D">
        <w:t xml:space="preserve">and endorsed </w:t>
      </w:r>
      <w:r>
        <w:t xml:space="preserve">by members of the external </w:t>
      </w:r>
      <w:r>
        <w:lastRenderedPageBreak/>
        <w:t>independent hepatic panel for the apixaban programme</w:t>
      </w:r>
      <w:r w:rsidR="00AA300D">
        <w:t xml:space="preserve"> was provided </w:t>
      </w:r>
      <w:r w:rsidR="0097304B">
        <w:t xml:space="preserve">to </w:t>
      </w:r>
      <w:r w:rsidR="00AA300D">
        <w:t>support this</w:t>
      </w:r>
      <w:r w:rsidR="0097304B">
        <w:t xml:space="preserve"> assertion</w:t>
      </w:r>
      <w:r>
        <w:t>.</w:t>
      </w:r>
    </w:p>
    <w:p w:rsidR="006A265E" w:rsidRPr="00896E36" w:rsidRDefault="006A265E" w:rsidP="003C421F">
      <w:pPr>
        <w:pStyle w:val="Heading6"/>
      </w:pPr>
      <w:r w:rsidRPr="00896E36">
        <w:t xml:space="preserve">j) Discuss the rationale for why the lower dose of 2.5 mg </w:t>
      </w:r>
      <w:r w:rsidR="00341B29">
        <w:t>bid</w:t>
      </w:r>
      <w:r w:rsidRPr="00896E36">
        <w:t xml:space="preserve"> was chosen as the appropriate dose for patients with 2 of the following characteristics: age 80 years, body </w:t>
      </w:r>
      <w:proofErr w:type="gramStart"/>
      <w:r w:rsidRPr="00896E36">
        <w:t xml:space="preserve">weight ≤60 kg or serum creatinine 133 </w:t>
      </w:r>
      <w:r w:rsidR="0097304B">
        <w:t>µ</w:t>
      </w:r>
      <w:r w:rsidRPr="00896E36">
        <w:t>mol/L.</w:t>
      </w:r>
      <w:proofErr w:type="gramEnd"/>
    </w:p>
    <w:p w:rsidR="006A265E" w:rsidRDefault="006A265E" w:rsidP="006A265E">
      <w:r>
        <w:t>The decision to require 2 or more factors listed in the algorithm (as detailed in the CSR) for dose reduction was based on clinical judgment together with available PK data at the time this algorithm was devised and the results from the programme fully support this adjustment.</w:t>
      </w:r>
    </w:p>
    <w:p w:rsidR="006A265E" w:rsidRPr="00896E36" w:rsidRDefault="006A265E" w:rsidP="003C421F">
      <w:pPr>
        <w:pStyle w:val="Heading6"/>
      </w:pPr>
      <w:r w:rsidRPr="00896E36">
        <w:t>k) Provide a table comparing the primary endpoint result, major bleeding, all bleeding and CRNM bleeding in patients aged &lt;75 years and 75 years and comment on any differences.</w:t>
      </w:r>
    </w:p>
    <w:p w:rsidR="00896E36" w:rsidRDefault="006A265E" w:rsidP="006A265E">
      <w:r w:rsidRPr="0097304B">
        <w:rPr>
          <w:i/>
        </w:rPr>
        <w:t>ARISTOTLE</w:t>
      </w:r>
      <w:r w:rsidR="00896E36" w:rsidRPr="0097304B">
        <w:rPr>
          <w:i/>
        </w:rPr>
        <w:t>:</w:t>
      </w:r>
      <w:r w:rsidR="00896E36">
        <w:t xml:space="preserve"> </w:t>
      </w:r>
      <w:r>
        <w:t>As expected from epidemiological data where older age predicts higher risk, in ARISTOTLE there were higher primary efficacy event rates in both treatment groups</w:t>
      </w:r>
      <w:r w:rsidR="009C1144">
        <w:t xml:space="preserve"> for subjects with age ≥</w:t>
      </w:r>
      <w:r>
        <w:t xml:space="preserve">75 </w:t>
      </w:r>
      <w:r w:rsidR="0097304B">
        <w:t xml:space="preserve">years </w:t>
      </w:r>
      <w:r>
        <w:t>compared to those with age &lt;75</w:t>
      </w:r>
      <w:r w:rsidR="0097304B">
        <w:t xml:space="preserve"> years</w:t>
      </w:r>
      <w:r>
        <w:t xml:space="preserve">. Nevertheless, the treatment advantage of </w:t>
      </w:r>
      <w:proofErr w:type="spellStart"/>
      <w:r>
        <w:t>apixaban</w:t>
      </w:r>
      <w:proofErr w:type="spellEnd"/>
      <w:r>
        <w:t xml:space="preserve"> compared to </w:t>
      </w:r>
      <w:proofErr w:type="spellStart"/>
      <w:r>
        <w:t>warfarin</w:t>
      </w:r>
      <w:proofErr w:type="spellEnd"/>
      <w:r>
        <w:t xml:space="preserve"> was maintained.</w:t>
      </w:r>
    </w:p>
    <w:p w:rsidR="006A265E" w:rsidRDefault="006A265E" w:rsidP="006A265E">
      <w:r>
        <w:t>Similarly, there were higher event rates in both treatment groups for subjects wit</w:t>
      </w:r>
      <w:r w:rsidR="009C1144">
        <w:t xml:space="preserve">h age </w:t>
      </w:r>
      <w:r w:rsidR="009C1144" w:rsidRPr="009C1144">
        <w:t>≥</w:t>
      </w:r>
      <w:r>
        <w:t>75 compared to those with age &lt;75 for all bleeding endpoints and the benefit-risk profile of apixaban compared to warfarin was maintained in these patients.</w:t>
      </w:r>
    </w:p>
    <w:p w:rsidR="006A265E" w:rsidRDefault="006A265E" w:rsidP="006A265E">
      <w:r w:rsidRPr="0097304B">
        <w:rPr>
          <w:i/>
        </w:rPr>
        <w:t>AVERROES</w:t>
      </w:r>
      <w:r w:rsidR="00896E36">
        <w:t xml:space="preserve">: </w:t>
      </w:r>
      <w:r>
        <w:t>The primary efficacy event rates in AVERROES were higher in both treatment groups for older subjects; however, the comparative treatment effect of apixaban was maintained.</w:t>
      </w:r>
    </w:p>
    <w:p w:rsidR="006A265E" w:rsidRDefault="006A265E" w:rsidP="006A265E">
      <w:r>
        <w:t xml:space="preserve">Again and as expected, bleeding event rates were generally higher in the older patients. For major bleeding, the </w:t>
      </w:r>
      <w:r w:rsidR="0097304B">
        <w:t xml:space="preserve">HRs </w:t>
      </w:r>
      <w:proofErr w:type="gramStart"/>
      <w:r>
        <w:t>were</w:t>
      </w:r>
      <w:proofErr w:type="gramEnd"/>
      <w:r>
        <w:t xml:space="preserve"> similar. For the other types of bleeding, the </w:t>
      </w:r>
      <w:r w:rsidR="0097304B">
        <w:t>HR</w:t>
      </w:r>
      <w:r>
        <w:t>s were somewhat ele</w:t>
      </w:r>
      <w:r w:rsidR="009C1144">
        <w:t xml:space="preserve">vated in the subjects with age </w:t>
      </w:r>
      <w:r w:rsidR="009C1144" w:rsidRPr="009C1144">
        <w:t>≥</w:t>
      </w:r>
      <w:r>
        <w:t>75 compared to those with age &lt;75. The advantage of using apixaban in older subjects was maintained.</w:t>
      </w:r>
    </w:p>
    <w:p w:rsidR="006A265E" w:rsidRPr="00896E36" w:rsidRDefault="0097304B" w:rsidP="003C421F">
      <w:pPr>
        <w:pStyle w:val="Heading6"/>
      </w:pPr>
      <w:r>
        <w:t>l</w:t>
      </w:r>
      <w:r w:rsidR="006A265E" w:rsidRPr="00896E36">
        <w:t>) Discuss the sponsor’s plans for development of an antidote to apixaban and of any assays for monitoring the level of anticoagulation of the patient.</w:t>
      </w:r>
    </w:p>
    <w:p w:rsidR="006A265E" w:rsidRDefault="0097304B" w:rsidP="006A265E">
      <w:r>
        <w:t>The s</w:t>
      </w:r>
      <w:r w:rsidR="00896E36">
        <w:t>ponsor’</w:t>
      </w:r>
      <w:r w:rsidR="006A265E">
        <w:t>s overall strategy for developing an effective antidote includes the following</w:t>
      </w:r>
      <w:r w:rsidR="006A265E" w:rsidRPr="006A265E">
        <w:t xml:space="preserve"> </w:t>
      </w:r>
      <w:r w:rsidR="006A265E">
        <w:t>complementary activities: (1) further characterisat</w:t>
      </w:r>
      <w:r w:rsidR="00896E36">
        <w:t xml:space="preserve">ion of the reversal of </w:t>
      </w:r>
      <w:proofErr w:type="spellStart"/>
      <w:r w:rsidR="00896E36">
        <w:t>apixaban’</w:t>
      </w:r>
      <w:r w:rsidR="006A265E">
        <w:t>s</w:t>
      </w:r>
      <w:proofErr w:type="spellEnd"/>
      <w:r w:rsidR="006A265E">
        <w:t xml:space="preserve"> anticoagulant effects by haemostatic agents </w:t>
      </w:r>
      <w:r w:rsidR="006A265E" w:rsidRPr="0097304B">
        <w:rPr>
          <w:i/>
        </w:rPr>
        <w:t>in vitro</w:t>
      </w:r>
      <w:r w:rsidR="006A265E">
        <w:t xml:space="preserve"> and in animal models; (2) a clinical study exa</w:t>
      </w:r>
      <w:r w:rsidR="00896E36">
        <w:t xml:space="preserve">mining the reversal of </w:t>
      </w:r>
      <w:proofErr w:type="spellStart"/>
      <w:r w:rsidR="00896E36">
        <w:t>apixaban’</w:t>
      </w:r>
      <w:r w:rsidR="006A265E">
        <w:t>s</w:t>
      </w:r>
      <w:proofErr w:type="spellEnd"/>
      <w:r w:rsidR="006A265E">
        <w:t xml:space="preserve"> anticoagulant effects by </w:t>
      </w:r>
      <w:proofErr w:type="spellStart"/>
      <w:r>
        <w:t>p</w:t>
      </w:r>
      <w:r w:rsidRPr="0097304B">
        <w:t>rothrombin</w:t>
      </w:r>
      <w:proofErr w:type="spellEnd"/>
      <w:r w:rsidRPr="0097304B">
        <w:t xml:space="preserve"> complex concentrate</w:t>
      </w:r>
      <w:r>
        <w:t xml:space="preserve"> (</w:t>
      </w:r>
      <w:r w:rsidR="006A265E">
        <w:t>PCC</w:t>
      </w:r>
      <w:r>
        <w:t>)</w:t>
      </w:r>
      <w:r w:rsidR="006A265E">
        <w:t xml:space="preserve">; (3) addition of a targeted bleeding questionnaire to </w:t>
      </w:r>
      <w:r>
        <w:t xml:space="preserve">the </w:t>
      </w:r>
      <w:r w:rsidR="006A265E">
        <w:t xml:space="preserve">post-marketing authorisation </w:t>
      </w:r>
      <w:r>
        <w:t xml:space="preserve">PV </w:t>
      </w:r>
      <w:r w:rsidR="006A265E">
        <w:t>activities that will collect information on serious bleeding events and interventions attempted to control the bleeding; and (4) pursuit of a clinical study examining the reversal o</w:t>
      </w:r>
      <w:r w:rsidR="00896E36">
        <w:t xml:space="preserve">f </w:t>
      </w:r>
      <w:proofErr w:type="spellStart"/>
      <w:r w:rsidR="00896E36">
        <w:t>apixaban’</w:t>
      </w:r>
      <w:r w:rsidR="006A265E">
        <w:t>s</w:t>
      </w:r>
      <w:proofErr w:type="spellEnd"/>
      <w:r w:rsidR="006A265E">
        <w:t xml:space="preserve"> a</w:t>
      </w:r>
      <w:r w:rsidR="00896E36">
        <w:t>nticoagulant effects by Portola</w:t>
      </w:r>
      <w:r>
        <w:t xml:space="preserve"> Pharmaceutical</w:t>
      </w:r>
      <w:r w:rsidR="00896E36">
        <w:t>’</w:t>
      </w:r>
      <w:r w:rsidR="006A265E">
        <w:t xml:space="preserve">s investigational antidote for </w:t>
      </w:r>
      <w:proofErr w:type="spellStart"/>
      <w:r w:rsidR="006A265E">
        <w:t>FXa</w:t>
      </w:r>
      <w:proofErr w:type="spellEnd"/>
      <w:r w:rsidR="006A265E">
        <w:t xml:space="preserve"> inhibitors.</w:t>
      </w:r>
    </w:p>
    <w:p w:rsidR="006A265E" w:rsidRPr="00896E36" w:rsidRDefault="006A265E" w:rsidP="003C421F">
      <w:pPr>
        <w:pStyle w:val="Heading6"/>
      </w:pPr>
      <w:r w:rsidRPr="00896E36">
        <w:t>m) Provide an analysis of major bleeding events by concomitant medication use in ARISTOTLE.</w:t>
      </w:r>
    </w:p>
    <w:p w:rsidR="006A265E" w:rsidRDefault="006A265E" w:rsidP="006A265E">
      <w:r>
        <w:t xml:space="preserve">The addition of concomitant medications known to cause bleeding or bleeding diathesis (ASA, ASA and </w:t>
      </w:r>
      <w:proofErr w:type="spellStart"/>
      <w:r>
        <w:t>thienopyridine</w:t>
      </w:r>
      <w:proofErr w:type="spellEnd"/>
      <w:r>
        <w:t xml:space="preserve"> or NSAIDS) to study drug increased the risk of bleeding in both the apixaban and warfarin treatment groups. However, in all cases, the risk of bleeding was less on the apixaban treatment arm than the warfarin treatment arm.</w:t>
      </w:r>
    </w:p>
    <w:p w:rsidR="006A265E" w:rsidRPr="0024390D" w:rsidRDefault="0024390D" w:rsidP="003C421F">
      <w:pPr>
        <w:pStyle w:val="Heading5"/>
      </w:pPr>
      <w:r w:rsidRPr="0024390D">
        <w:t>Sponsor’s c</w:t>
      </w:r>
      <w:r w:rsidR="006A265E" w:rsidRPr="0024390D">
        <w:t>onclusion</w:t>
      </w:r>
    </w:p>
    <w:p w:rsidR="006A265E" w:rsidRDefault="006A265E" w:rsidP="006A265E">
      <w:r>
        <w:t xml:space="preserve">The </w:t>
      </w:r>
      <w:r w:rsidR="0097304B">
        <w:t>s</w:t>
      </w:r>
      <w:r>
        <w:t>ponso</w:t>
      </w:r>
      <w:r w:rsidR="00896E36">
        <w:t>r</w:t>
      </w:r>
      <w:r>
        <w:t xml:space="preserve"> supports the Delegate</w:t>
      </w:r>
      <w:r w:rsidR="00896E36">
        <w:t>’</w:t>
      </w:r>
      <w:r>
        <w:t>s recommendation to approve the application to register a new strength for E</w:t>
      </w:r>
      <w:r w:rsidR="0097304B">
        <w:t xml:space="preserve">liquis </w:t>
      </w:r>
      <w:r>
        <w:t xml:space="preserve">(apixaban) and to extend the indication to: </w:t>
      </w:r>
      <w:r w:rsidRPr="0097304B">
        <w:rPr>
          <w:i/>
        </w:rPr>
        <w:t xml:space="preserve">prevention of stroke and systemic embolism in patients with non-valvular </w:t>
      </w:r>
      <w:r w:rsidR="00071C0C" w:rsidRPr="0097304B">
        <w:rPr>
          <w:i/>
        </w:rPr>
        <w:t xml:space="preserve">AF </w:t>
      </w:r>
      <w:r w:rsidRPr="0097304B">
        <w:rPr>
          <w:i/>
        </w:rPr>
        <w:t>and at least one additional risk factor for stroke.</w:t>
      </w:r>
      <w:r>
        <w:t xml:space="preserve"> </w:t>
      </w:r>
      <w:r w:rsidR="0097304B">
        <w:t xml:space="preserve">The sponsor </w:t>
      </w:r>
      <w:r>
        <w:t>request</w:t>
      </w:r>
      <w:r w:rsidR="0097304B">
        <w:t>ed</w:t>
      </w:r>
      <w:r>
        <w:t xml:space="preserve"> the Delegate consider the revised E</w:t>
      </w:r>
      <w:r w:rsidR="0097304B">
        <w:t xml:space="preserve">liquis </w:t>
      </w:r>
      <w:r>
        <w:t xml:space="preserve">PI </w:t>
      </w:r>
      <w:r w:rsidR="0097304B">
        <w:t>(details of this are beyond the scope of this AusPAR)</w:t>
      </w:r>
      <w:r>
        <w:t>.</w:t>
      </w:r>
    </w:p>
    <w:p w:rsidR="008E7846" w:rsidRDefault="003C421F" w:rsidP="003C421F">
      <w:pPr>
        <w:pStyle w:val="Heading4"/>
      </w:pPr>
      <w:r>
        <w:lastRenderedPageBreak/>
        <w:t>Advisory committee c</w:t>
      </w:r>
      <w:r w:rsidR="008E7846">
        <w:t>onsiderations</w:t>
      </w:r>
    </w:p>
    <w:p w:rsidR="008E7846" w:rsidRPr="00600844" w:rsidRDefault="008E7846" w:rsidP="00600844">
      <w:r w:rsidRPr="00600844">
        <w:t>The Advisory Committee on Prescription Medicines (ACPM)</w:t>
      </w:r>
      <w:r w:rsidR="00600844" w:rsidRPr="00600844">
        <w:t>,</w:t>
      </w:r>
      <w:r w:rsidRPr="00600844">
        <w:t xml:space="preserve"> having considered the evaluations and the Delegate’s overview, as well as the sponsor’s response to these documents, advised the following:</w:t>
      </w:r>
    </w:p>
    <w:p w:rsidR="00600844" w:rsidRPr="00600844" w:rsidRDefault="00600844" w:rsidP="00600844">
      <w:r w:rsidRPr="00600844">
        <w:t>The ACPM, taking into account the submitted evidence of efficacy, safety and quality, considered this product to have an overall positive benefit–risk profile for the modified indication;</w:t>
      </w:r>
    </w:p>
    <w:p w:rsidR="00600844" w:rsidRPr="00600844" w:rsidRDefault="00600844" w:rsidP="00600844">
      <w:pPr>
        <w:ind w:left="720"/>
        <w:rPr>
          <w:i/>
        </w:rPr>
      </w:pPr>
      <w:r w:rsidRPr="00600844">
        <w:rPr>
          <w:i/>
        </w:rPr>
        <w:t>E</w:t>
      </w:r>
      <w:r w:rsidR="0031039E" w:rsidRPr="00600844">
        <w:rPr>
          <w:i/>
        </w:rPr>
        <w:t>liquis</w:t>
      </w:r>
      <w:r w:rsidRPr="00600844">
        <w:rPr>
          <w:i/>
        </w:rPr>
        <w:t xml:space="preserve"> is indicated to reduce the risk of stroke and systemic embolism in adult patients with non-valvular atrial fibrillation and at least one additional risk factor for stroke.</w:t>
      </w:r>
    </w:p>
    <w:p w:rsidR="00600844" w:rsidRPr="00600844" w:rsidRDefault="00600844" w:rsidP="00600844">
      <w:r w:rsidRPr="00600844">
        <w:t>In making this recommendation, the ACPM noted the outcomes from the audit of the pivotal trial data and do not have additional concerns about the study integrity. However, the ACPM expressed caution on the overall transferability of efficacy and safety outcomes into the broader population, as proposed in this indication. The ACPM does not support the reference to reduction in the secondary endpoints of death and bleeding risk in the indication as these were secondary endpoints and the test for statistical significance was borderline.</w:t>
      </w:r>
    </w:p>
    <w:p w:rsidR="00600844" w:rsidRPr="00600844" w:rsidRDefault="00600844" w:rsidP="00600844">
      <w:r w:rsidRPr="00600844">
        <w:t>The ACPM had significant concern about incomplete and inconsistent analysis and consideration of the risk to patients aged over 75 years, especially in relation to the recommended dose adjustments. This population group frequently has significant renal function impairment and extreme caution is warranted; however dosage adjustment guidelines are absent or this is inadequately referenced in the PI / CMI for renal impairment, ag</w:t>
      </w:r>
      <w:r w:rsidR="003C421F">
        <w:t>ed or low body weight patients.</w:t>
      </w:r>
    </w:p>
    <w:p w:rsidR="00600844" w:rsidRPr="00600844" w:rsidRDefault="00600844" w:rsidP="00600844">
      <w:r w:rsidRPr="00600844">
        <w:t>The ACPM encouraged the TGA to examine data for the incidence of adverse effects of gastrointestinal and intraocular bleeding as this analysis appears incomplete and inconsistent with the saf</w:t>
      </w:r>
      <w:r w:rsidR="003C421F">
        <w:t>ety profile for these products.</w:t>
      </w:r>
    </w:p>
    <w:p w:rsidR="00600844" w:rsidRPr="00600844" w:rsidRDefault="00600844" w:rsidP="00600844">
      <w:r w:rsidRPr="00600844">
        <w:t xml:space="preserve">The ACPM agreed with the delegate to the proposed amendments to the Product Information (PI) and Consumer Medicine Information (CMI) and specifically advised on </w:t>
      </w:r>
      <w:r w:rsidR="003C421F">
        <w:t>the inclusion of the following;</w:t>
      </w:r>
    </w:p>
    <w:p w:rsidR="00600844" w:rsidRPr="00600844" w:rsidRDefault="00600844" w:rsidP="00600844">
      <w:pPr>
        <w:pStyle w:val="ListBullet"/>
      </w:pPr>
      <w:proofErr w:type="gramStart"/>
      <w:r w:rsidRPr="00600844">
        <w:t>a</w:t>
      </w:r>
      <w:proofErr w:type="gramEnd"/>
      <w:r w:rsidRPr="00600844">
        <w:t xml:space="preserve"> statement in the </w:t>
      </w:r>
      <w:r w:rsidRPr="009C1144">
        <w:rPr>
          <w:i/>
        </w:rPr>
        <w:t>Dosage and Administration</w:t>
      </w:r>
      <w:r w:rsidRPr="00600844">
        <w:t xml:space="preserve"> and </w:t>
      </w:r>
      <w:r w:rsidRPr="009C1144">
        <w:rPr>
          <w:i/>
        </w:rPr>
        <w:t>Clinical Trials</w:t>
      </w:r>
      <w:r w:rsidRPr="00600844">
        <w:t xml:space="preserve"> sections of the PI and relevant sections of the CMI to ensure the removal of reference to risk of major bleeding in the indication and to include a full reference in the PI. </w:t>
      </w:r>
    </w:p>
    <w:p w:rsidR="00600844" w:rsidRPr="00600844" w:rsidRDefault="00600844" w:rsidP="00600844">
      <w:pPr>
        <w:pStyle w:val="ListBullet"/>
      </w:pPr>
      <w:r w:rsidRPr="00600844">
        <w:t xml:space="preserve">a statement in the </w:t>
      </w:r>
      <w:r w:rsidRPr="009C1144">
        <w:rPr>
          <w:i/>
        </w:rPr>
        <w:t>Contraindications</w:t>
      </w:r>
      <w:r w:rsidRPr="00600844">
        <w:t xml:space="preserve">, </w:t>
      </w:r>
      <w:r w:rsidRPr="009C1144">
        <w:rPr>
          <w:i/>
        </w:rPr>
        <w:t>Precautions</w:t>
      </w:r>
      <w:r w:rsidRPr="00600844">
        <w:t xml:space="preserve"> and </w:t>
      </w:r>
      <w:r w:rsidRPr="009C1144">
        <w:rPr>
          <w:i/>
        </w:rPr>
        <w:t>Dosage and Administration</w:t>
      </w:r>
      <w:r w:rsidRPr="00600844">
        <w:t xml:space="preserve"> sections of the PI and relevant section of the CMI to ensure that the products are not used in patients with significant renal impairment (below 25 mL/minute creatinine clearance, as in the clinical trial) and there are clear guidelines of dose adjustment in patients with renal impairment or, low body weight or aged 80 years or over.</w:t>
      </w:r>
    </w:p>
    <w:p w:rsidR="00600844" w:rsidRPr="00600844" w:rsidRDefault="00600844" w:rsidP="00600844">
      <w:r w:rsidRPr="00600844">
        <w:t xml:space="preserve">The ACPM agreed with the </w:t>
      </w:r>
      <w:r w:rsidR="009C1144">
        <w:t>D</w:t>
      </w:r>
      <w:r w:rsidRPr="00600844">
        <w:t xml:space="preserve">elegate on the proposed conditions of registration and specifically advised on </w:t>
      </w:r>
      <w:r w:rsidR="003C421F">
        <w:t>the inclusion of the following;</w:t>
      </w:r>
    </w:p>
    <w:p w:rsidR="00600844" w:rsidRPr="00600844" w:rsidRDefault="00600844" w:rsidP="00600844">
      <w:pPr>
        <w:pStyle w:val="ListBullet"/>
      </w:pPr>
      <w:r w:rsidRPr="00600844">
        <w:t xml:space="preserve">that the sponsor should be requested to provide further details of the rates of GI and ocular bleeding particularly for the very elderly, </w:t>
      </w:r>
      <w:r w:rsidR="001528E2">
        <w:t xml:space="preserve">that is, </w:t>
      </w:r>
      <w:r w:rsidRPr="00600844">
        <w:t>aged 80 years and over.</w:t>
      </w:r>
    </w:p>
    <w:p w:rsidR="00600844" w:rsidRPr="00600844" w:rsidRDefault="00600844" w:rsidP="00600844">
      <w:pPr>
        <w:pStyle w:val="ListBullet"/>
      </w:pPr>
      <w:proofErr w:type="gramStart"/>
      <w:r w:rsidRPr="00600844">
        <w:t>full</w:t>
      </w:r>
      <w:proofErr w:type="gramEnd"/>
      <w:r w:rsidRPr="00600844">
        <w:t xml:space="preserve"> implementation of the RMP to the satisfaction of the TGA.</w:t>
      </w:r>
    </w:p>
    <w:p w:rsidR="00600844" w:rsidRPr="00A322B3" w:rsidRDefault="00600844" w:rsidP="008E7846">
      <w:r w:rsidRPr="00600844">
        <w:t>The ACPM advised that the implementation by the sponsor of the recommendations outlined above to the satisfaction of the TGA, in addition to the evidence of efficacy and safety provided would support the safe and e</w:t>
      </w:r>
      <w:r w:rsidR="003C421F">
        <w:t>ffective use of these products.</w:t>
      </w:r>
    </w:p>
    <w:p w:rsidR="008E7846" w:rsidRPr="002E238E" w:rsidRDefault="008E7846" w:rsidP="008E7846">
      <w:pPr>
        <w:pStyle w:val="Heading3"/>
      </w:pPr>
      <w:bookmarkStart w:id="302" w:name="_Toc247691532"/>
      <w:bookmarkStart w:id="303" w:name="_Toc314842516"/>
      <w:bookmarkStart w:id="304" w:name="_Toc363676082"/>
      <w:bookmarkEnd w:id="202"/>
      <w:bookmarkEnd w:id="300"/>
      <w:bookmarkEnd w:id="301"/>
      <w:r>
        <w:lastRenderedPageBreak/>
        <w:t>Outcome</w:t>
      </w:r>
      <w:bookmarkEnd w:id="302"/>
      <w:bookmarkEnd w:id="303"/>
      <w:bookmarkEnd w:id="304"/>
    </w:p>
    <w:p w:rsidR="008E7846" w:rsidRDefault="008E7846" w:rsidP="008E7846">
      <w:pPr>
        <w:keepNext/>
        <w:keepLines/>
        <w:widowControl w:val="0"/>
      </w:pPr>
      <w:r>
        <w:t>Based on a review of quality, safety and efficacy, TGA approved:</w:t>
      </w:r>
    </w:p>
    <w:p w:rsidR="00815C43" w:rsidRPr="00815C43" w:rsidRDefault="00815C43" w:rsidP="00815C43">
      <w:pPr>
        <w:pStyle w:val="ListBullet"/>
      </w:pPr>
      <w:r w:rsidRPr="00815C43">
        <w:t xml:space="preserve">the registration of the new strength ELIQUIS </w:t>
      </w:r>
      <w:proofErr w:type="spellStart"/>
      <w:r w:rsidRPr="00815C43">
        <w:t>apaxib</w:t>
      </w:r>
      <w:r w:rsidR="003C421F">
        <w:t>an</w:t>
      </w:r>
      <w:proofErr w:type="spellEnd"/>
      <w:r w:rsidR="003C421F">
        <w:t xml:space="preserve"> 5 mg film-coated tablet and;</w:t>
      </w:r>
    </w:p>
    <w:p w:rsidR="00815C43" w:rsidRPr="00815C43" w:rsidRDefault="00815C43" w:rsidP="00815C43">
      <w:pPr>
        <w:pStyle w:val="ListBullet"/>
      </w:pPr>
      <w:r w:rsidRPr="00815C43">
        <w:t xml:space="preserve">the </w:t>
      </w:r>
      <w:r w:rsidR="009C1144">
        <w:t xml:space="preserve">new </w:t>
      </w:r>
      <w:r w:rsidRPr="00815C43">
        <w:t>indicatio</w:t>
      </w:r>
      <w:r w:rsidR="003C421F">
        <w:t>n:</w:t>
      </w:r>
    </w:p>
    <w:p w:rsidR="00815C43" w:rsidRPr="00815C43" w:rsidRDefault="00815C43" w:rsidP="00815C43">
      <w:pPr>
        <w:ind w:left="360"/>
        <w:rPr>
          <w:i/>
        </w:rPr>
      </w:pPr>
      <w:r w:rsidRPr="00815C43">
        <w:rPr>
          <w:i/>
        </w:rPr>
        <w:t>E</w:t>
      </w:r>
      <w:r w:rsidR="009C1144">
        <w:rPr>
          <w:i/>
        </w:rPr>
        <w:t xml:space="preserve">liquis </w:t>
      </w:r>
      <w:r w:rsidRPr="00815C43">
        <w:rPr>
          <w:i/>
        </w:rPr>
        <w:t>is indicated for the prevention of stroke and systemic embolism in patients with non-valvular atrial fibrillation and at least one additional risk factor for stroke.</w:t>
      </w:r>
    </w:p>
    <w:p w:rsidR="00815C43" w:rsidRPr="00815C43" w:rsidRDefault="003C421F" w:rsidP="00815C43">
      <w:r>
        <w:t>The full indications are now:</w:t>
      </w:r>
    </w:p>
    <w:p w:rsidR="00815C43" w:rsidRPr="00815C43" w:rsidRDefault="00815C43" w:rsidP="00815C43">
      <w:pPr>
        <w:ind w:left="720"/>
        <w:rPr>
          <w:i/>
        </w:rPr>
      </w:pPr>
      <w:r w:rsidRPr="00815C43">
        <w:rPr>
          <w:i/>
        </w:rPr>
        <w:t>E</w:t>
      </w:r>
      <w:r w:rsidR="009C1144" w:rsidRPr="00815C43">
        <w:rPr>
          <w:i/>
        </w:rPr>
        <w:t>liquis</w:t>
      </w:r>
      <w:r w:rsidRPr="00815C43">
        <w:rPr>
          <w:i/>
        </w:rPr>
        <w:t xml:space="preserve"> is indicated for the prevention of venous thromboembolic events (VTE) in adult patients who have undergone elective total hip or total knee replacement surgery. </w:t>
      </w:r>
    </w:p>
    <w:p w:rsidR="00815C43" w:rsidRPr="00815C43" w:rsidRDefault="00815C43" w:rsidP="00815C43">
      <w:pPr>
        <w:ind w:left="720"/>
        <w:rPr>
          <w:i/>
        </w:rPr>
      </w:pPr>
      <w:r w:rsidRPr="00815C43">
        <w:rPr>
          <w:i/>
        </w:rPr>
        <w:t>E</w:t>
      </w:r>
      <w:r w:rsidR="009C1144" w:rsidRPr="00815C43">
        <w:rPr>
          <w:i/>
        </w:rPr>
        <w:t>liquis</w:t>
      </w:r>
      <w:r w:rsidRPr="00815C43">
        <w:rPr>
          <w:i/>
        </w:rPr>
        <w:t xml:space="preserve"> is indicated for the prevention of stroke and systemic embolism in patients with non-valvular atrial fibrillation and at least one additional risk factor for stroke</w:t>
      </w:r>
    </w:p>
    <w:p w:rsidR="00815C43" w:rsidRDefault="00815C43" w:rsidP="00165AAE">
      <w:r>
        <w:t>This approval is based on the evaluation of the information and data provided with the original letter of application and with any subsequent correspondence and submissio</w:t>
      </w:r>
      <w:r w:rsidR="003C421F">
        <w:t>ns relating to the application.</w:t>
      </w:r>
    </w:p>
    <w:p w:rsidR="00815C43" w:rsidRDefault="00815C43" w:rsidP="00165AAE">
      <w:r>
        <w:t>The approval letter to the sponsor indicated the following specific conditions of registration for these goods:</w:t>
      </w:r>
    </w:p>
    <w:p w:rsidR="00815C43" w:rsidRDefault="003C421F" w:rsidP="00815C43">
      <w:pPr>
        <w:pStyle w:val="Heading5"/>
      </w:pPr>
      <w:r>
        <w:t>Specific c</w:t>
      </w:r>
      <w:r w:rsidR="00815C43">
        <w:t xml:space="preserve">onditions </w:t>
      </w:r>
      <w:r>
        <w:t>applying to these t</w:t>
      </w:r>
      <w:r w:rsidR="00815C43">
        <w:t xml:space="preserve">herapeutic </w:t>
      </w:r>
      <w:r>
        <w:t>goods</w:t>
      </w:r>
    </w:p>
    <w:p w:rsidR="00815C43" w:rsidRPr="00815C43" w:rsidRDefault="00815C43" w:rsidP="00BA0115">
      <w:pPr>
        <w:pStyle w:val="ListBullet"/>
      </w:pPr>
      <w:r w:rsidRPr="00815C43">
        <w:t>The implementation in Australia of the apixaban Risk Management Plan (RMP) CCRMP version 2.0, dated 13 July 2012 and RMP - Australian Specific Annex (ASA) version 4 dated 26 March 2013, included with submission PM-2011-03165-3-3, and any subsequent updated versions, as agreed with the TGA.</w:t>
      </w:r>
    </w:p>
    <w:p w:rsidR="00815C43" w:rsidRPr="00815C43" w:rsidRDefault="00815C43" w:rsidP="00BA0115">
      <w:pPr>
        <w:pStyle w:val="ListBullet"/>
      </w:pPr>
      <w:r w:rsidRPr="00815C43">
        <w:t xml:space="preserve">The sponsor formulate and implement an Australian-specific patient and health professional education program as part of the risk minimisation plan that aims to ensure the safe use of apixaban in Australia, including during transition to or from apixaban, raises patient awareness of and access to the apixaban Consumer Medicines Information leaflet and makes prescribers aware of </w:t>
      </w:r>
      <w:proofErr w:type="spellStart"/>
      <w:r w:rsidRPr="00815C43">
        <w:t>apixaban’s</w:t>
      </w:r>
      <w:proofErr w:type="spellEnd"/>
      <w:r w:rsidRPr="00815C43">
        <w:t xml:space="preserve"> contraindications and precautions and risks applying to particular patient populatio</w:t>
      </w:r>
      <w:r w:rsidR="00D01C1A">
        <w:t xml:space="preserve">n groups prior to prescribing. </w:t>
      </w:r>
      <w:r w:rsidRPr="00815C43">
        <w:t>Specific details of the education program and associated materials must be agreed with the TGA prior to supply for this indication. The sponsor is required to lodge with the TGA a report every 3 months summarising the success or otherwise of these particular aspects of the prescriber education program. In these reports particular attention is to be paid to any problems encountered in making prescribers aware of these factors. The first report is to be lodged no later than 3 months after the date of the approval letter and subsequent reports are to be lodged at 3-monthly intervals, the final report to be lodged 12 months after the first, making 5 reports in all.</w:t>
      </w:r>
    </w:p>
    <w:p w:rsidR="00815C43" w:rsidRPr="00815C43" w:rsidRDefault="00815C43" w:rsidP="00BA0115">
      <w:pPr>
        <w:pStyle w:val="ListBullet"/>
      </w:pPr>
      <w:r w:rsidRPr="00815C43">
        <w:t>The sponsor is to provide the distribution rationale for use of the bleeding questionnaire within 3 months after the date of the approval letter, as agreed in the sponsor’s pre-ACPM response (Appendix 2) and letter from the sponsor dated 25 February 2013</w:t>
      </w:r>
      <w:r w:rsidR="003C421F">
        <w:t>.</w:t>
      </w:r>
    </w:p>
    <w:p w:rsidR="00815C43" w:rsidRPr="00815C43" w:rsidRDefault="00815C43" w:rsidP="00BA0115">
      <w:pPr>
        <w:pStyle w:val="ListBullet"/>
      </w:pPr>
      <w:r w:rsidRPr="00815C43">
        <w:t>If there is any initiative such as a prescriber familiarization program or a patient familiari</w:t>
      </w:r>
      <w:r w:rsidR="00BA0115">
        <w:t>s</w:t>
      </w:r>
      <w:r w:rsidRPr="00815C43">
        <w:t>ation program involving the enrolment of patients for the purpose of commencing them on apixaban, then:</w:t>
      </w:r>
    </w:p>
    <w:p w:rsidR="00815C43" w:rsidRPr="00815C43" w:rsidRDefault="00815C43" w:rsidP="00BA0115">
      <w:pPr>
        <w:pStyle w:val="ListBullet2"/>
      </w:pPr>
      <w:r w:rsidRPr="00815C43">
        <w:t>All patients involved must be provided with the latest version of the Consumer Medicines Information leaflet</w:t>
      </w:r>
    </w:p>
    <w:p w:rsidR="00815C43" w:rsidRPr="00815C43" w:rsidRDefault="00815C43" w:rsidP="00BA0115">
      <w:pPr>
        <w:pStyle w:val="ListBullet2"/>
      </w:pPr>
      <w:r w:rsidRPr="00815C43">
        <w:t>Copies of the Consumer Medicines Information leaflet along with the Product Information document must be provided to those prescribers</w:t>
      </w:r>
    </w:p>
    <w:p w:rsidR="00815C43" w:rsidRPr="00815C43" w:rsidRDefault="00815C43" w:rsidP="00BA0115">
      <w:pPr>
        <w:pStyle w:val="ListBullet2"/>
      </w:pPr>
      <w:r w:rsidRPr="00815C43">
        <w:lastRenderedPageBreak/>
        <w:t>There must be a focus on obtaining the participation of prescribers in pharmacovigilance monitoring, particularly the reporting of all events of bleeding in a patient with the aim of accurate data collection for analysis</w:t>
      </w:r>
    </w:p>
    <w:p w:rsidR="00815C43" w:rsidRPr="00815C43" w:rsidRDefault="00815C43" w:rsidP="00BA0115">
      <w:pPr>
        <w:pStyle w:val="ListBullet2"/>
      </w:pPr>
      <w:r w:rsidRPr="00815C43">
        <w:t>The TGA is to be informed immediately upon the actual commencement of such a program and to be given a 3-monthly report of this program until such time as no longer required by the TGA</w:t>
      </w:r>
    </w:p>
    <w:p w:rsidR="00815C43" w:rsidRPr="00BA0115" w:rsidRDefault="00815C43" w:rsidP="00BA0115">
      <w:pPr>
        <w:pStyle w:val="ListBullet"/>
      </w:pPr>
      <w:r w:rsidRPr="00BA0115">
        <w:t>The following studies must be submitted to the TGA, as soon as possible after completion, for evaluat</w:t>
      </w:r>
      <w:r w:rsidR="003C421F">
        <w:t>ion as a Category 1 submission:</w:t>
      </w:r>
    </w:p>
    <w:p w:rsidR="00815C43" w:rsidRPr="00BA0115" w:rsidRDefault="00815C43" w:rsidP="00BA0115">
      <w:pPr>
        <w:pStyle w:val="ListBullet2"/>
      </w:pPr>
      <w:r w:rsidRPr="00BA0115">
        <w:t>The study on the use of activated charcoal to trea</w:t>
      </w:r>
      <w:r w:rsidR="003C421F">
        <w:t xml:space="preserve">t bleeding in </w:t>
      </w:r>
      <w:proofErr w:type="spellStart"/>
      <w:r w:rsidR="003C421F">
        <w:t>apixaban</w:t>
      </w:r>
      <w:proofErr w:type="spellEnd"/>
      <w:r w:rsidR="003C421F">
        <w:t xml:space="preserve"> patients.</w:t>
      </w:r>
    </w:p>
    <w:p w:rsidR="00815C43" w:rsidRPr="00BA0115" w:rsidRDefault="00815C43" w:rsidP="00BA0115">
      <w:pPr>
        <w:pStyle w:val="ListBullet2"/>
      </w:pPr>
      <w:r w:rsidRPr="00BA0115">
        <w:t>The study CV185087 in subjects on haemodialysis.</w:t>
      </w:r>
    </w:p>
    <w:p w:rsidR="00815C43" w:rsidRPr="00BA0115" w:rsidRDefault="00815C43" w:rsidP="00BA0115">
      <w:pPr>
        <w:pStyle w:val="ListBullet2"/>
      </w:pPr>
      <w:r w:rsidRPr="00BA0115">
        <w:t>The population pharmacokinetic/pharmacodynamic study in patient with atrial fibrillation.</w:t>
      </w:r>
    </w:p>
    <w:p w:rsidR="008E7846" w:rsidRDefault="008E7846" w:rsidP="008E7846">
      <w:pPr>
        <w:pStyle w:val="Heading2"/>
      </w:pPr>
      <w:bookmarkStart w:id="305" w:name="_Toc247691533"/>
      <w:bookmarkStart w:id="306" w:name="_Toc314842517"/>
      <w:bookmarkStart w:id="307" w:name="_Toc363676083"/>
      <w:proofErr w:type="gramStart"/>
      <w:r>
        <w:t>Attachment 1.</w:t>
      </w:r>
      <w:proofErr w:type="gramEnd"/>
      <w:r>
        <w:tab/>
        <w:t xml:space="preserve">Product </w:t>
      </w:r>
      <w:r w:rsidR="00AA0ED0">
        <w:t>I</w:t>
      </w:r>
      <w:r>
        <w:t>nformation</w:t>
      </w:r>
      <w:bookmarkEnd w:id="305"/>
      <w:bookmarkEnd w:id="306"/>
      <w:bookmarkEnd w:id="307"/>
    </w:p>
    <w:p w:rsidR="003D1E62" w:rsidRDefault="008E7846" w:rsidP="00A12C42">
      <w:pPr>
        <w:autoSpaceDE w:val="0"/>
        <w:autoSpaceDN w:val="0"/>
        <w:adjustRightInd w:val="0"/>
        <w:spacing w:after="0"/>
        <w:rPr>
          <w:color w:val="000000"/>
          <w:lang w:eastAsia="en-AU"/>
        </w:rPr>
      </w:pPr>
      <w:r w:rsidRPr="0037352E">
        <w:t>The Product Information approved at the time this AusPAR was published</w:t>
      </w:r>
      <w:r w:rsidR="00CC4CB2">
        <w:t xml:space="preserve"> is at Attachment 1</w:t>
      </w:r>
      <w:r w:rsidRPr="0037352E">
        <w:t xml:space="preserve">. For the </w:t>
      </w:r>
      <w:r w:rsidR="00CC4CB2">
        <w:t xml:space="preserve">most recent </w:t>
      </w:r>
      <w:r w:rsidRPr="0037352E">
        <w:t>Product Information</w:t>
      </w:r>
      <w:r w:rsidR="00CC4CB2">
        <w:t>,</w:t>
      </w:r>
      <w:r w:rsidRPr="0037352E">
        <w:t xml:space="preserve"> please refer to the TGA website at</w:t>
      </w:r>
      <w:r w:rsidR="008F6943">
        <w:t xml:space="preserve"> &lt;</w:t>
      </w:r>
      <w:r w:rsidR="00722B57" w:rsidRPr="00722B57">
        <w:rPr>
          <w:rStyle w:val="Hyperlink"/>
        </w:rPr>
        <w:t>http://www.tga.gov.au/hp/information-medicines-pi.htm</w:t>
      </w:r>
      <w:hyperlink w:history="1"/>
      <w:r w:rsidR="008F6943">
        <w:rPr>
          <w:color w:val="000000"/>
          <w:lang w:eastAsia="en-AU"/>
        </w:rPr>
        <w:t>&gt;.</w:t>
      </w:r>
    </w:p>
    <w:p w:rsidR="00443A2A" w:rsidRDefault="00435ADF" w:rsidP="00443A2A">
      <w:pPr>
        <w:pStyle w:val="Heading2"/>
        <w:rPr>
          <w:lang w:eastAsia="en-AU"/>
        </w:rPr>
      </w:pPr>
      <w:bookmarkStart w:id="308" w:name="_Toc356304338"/>
      <w:bookmarkStart w:id="309" w:name="_Toc363676084"/>
      <w:proofErr w:type="gramStart"/>
      <w:r>
        <w:rPr>
          <w:lang w:eastAsia="en-AU"/>
        </w:rPr>
        <w:t>Attachment 2.</w:t>
      </w:r>
      <w:proofErr w:type="gramEnd"/>
      <w:r>
        <w:rPr>
          <w:lang w:eastAsia="en-AU"/>
        </w:rPr>
        <w:tab/>
      </w:r>
      <w:r w:rsidR="00443A2A">
        <w:rPr>
          <w:lang w:eastAsia="en-AU"/>
        </w:rPr>
        <w:t>Extract from the Clinical Evaluation Report</w:t>
      </w:r>
      <w:bookmarkEnd w:id="308"/>
      <w:bookmarkEnd w:id="309"/>
    </w:p>
    <w:p w:rsidR="00443A2A" w:rsidRPr="00A12C42" w:rsidRDefault="00443A2A" w:rsidP="00A12C42">
      <w:pPr>
        <w:autoSpaceDE w:val="0"/>
        <w:autoSpaceDN w:val="0"/>
        <w:adjustRightInd w:val="0"/>
        <w:spacing w:after="0"/>
        <w:rPr>
          <w:color w:val="000000"/>
          <w:lang w:eastAsia="en-AU"/>
        </w:rPr>
      </w:pPr>
    </w:p>
    <w:p w:rsidR="003D1E62" w:rsidRPr="001D043B" w:rsidRDefault="003D1E62" w:rsidP="0030605E">
      <w:pPr>
        <w:pStyle w:val="Heading4"/>
        <w:sectPr w:rsidR="003D1E62" w:rsidRPr="001D043B" w:rsidSect="0030605E">
          <w:headerReference w:type="even" r:id="rId28"/>
          <w:headerReference w:type="default" r:id="rId29"/>
          <w:footerReference w:type="default" r:id="rId30"/>
          <w:headerReference w:type="first" r:id="rId31"/>
          <w:footerReference w:type="first" r:id="rId32"/>
          <w:pgSz w:w="11906" w:h="16838" w:code="9"/>
          <w:pgMar w:top="709" w:right="1701" w:bottom="1191" w:left="1701" w:header="907" w:footer="216" w:gutter="0"/>
          <w:cols w:space="708"/>
          <w:docGrid w:linePitch="360"/>
        </w:sectPr>
      </w:pPr>
    </w:p>
    <w:p w:rsidR="00774E1D" w:rsidRPr="008A5E0B" w:rsidRDefault="00774E1D" w:rsidP="008A5E0B"/>
    <w:sectPr w:rsidR="00774E1D" w:rsidRPr="008A5E0B" w:rsidSect="00E45619">
      <w:headerReference w:type="even" r:id="rId33"/>
      <w:headerReference w:type="default" r:id="rId34"/>
      <w:footerReference w:type="default" r:id="rId35"/>
      <w:headerReference w:type="first" r:id="rId36"/>
      <w:footerReference w:type="first" r:id="rId37"/>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BDB" w:rsidRDefault="00DD0BDB" w:rsidP="00C40A36">
      <w:pPr>
        <w:spacing w:after="0"/>
      </w:pPr>
      <w:r>
        <w:separator/>
      </w:r>
    </w:p>
  </w:endnote>
  <w:endnote w:type="continuationSeparator" w:id="0">
    <w:p w:rsidR="00DD0BDB" w:rsidRDefault="00DD0BDB"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D4" w:rsidRDefault="004C33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8" w:type="dxa"/>
      <w:tblLayout w:type="fixed"/>
      <w:tblCellMar>
        <w:top w:w="170" w:type="dxa"/>
        <w:left w:w="0" w:type="dxa"/>
        <w:bottom w:w="227" w:type="dxa"/>
        <w:right w:w="0" w:type="dxa"/>
      </w:tblCellMar>
      <w:tblLook w:val="04A0"/>
    </w:tblPr>
    <w:tblGrid>
      <w:gridCol w:w="6779"/>
      <w:gridCol w:w="1869"/>
    </w:tblGrid>
    <w:tr w:rsidR="00721D63" w:rsidRPr="00487162" w:rsidTr="007110B1">
      <w:trPr>
        <w:trHeight w:val="333"/>
      </w:trPr>
      <w:tc>
        <w:tcPr>
          <w:tcW w:w="6779" w:type="dxa"/>
          <w:tcMar>
            <w:top w:w="142" w:type="dxa"/>
            <w:bottom w:w="0" w:type="dxa"/>
          </w:tcMar>
        </w:tcPr>
        <w:p w:rsidR="00721D63" w:rsidRPr="00487162" w:rsidRDefault="00721D63" w:rsidP="007110B1">
          <w:pPr>
            <w:pStyle w:val="Footer"/>
          </w:pPr>
          <w:r w:rsidRPr="00487162">
            <w:t>Au</w:t>
          </w:r>
          <w:r w:rsidRPr="003B4D60">
            <w:t xml:space="preserve">sPAR </w:t>
          </w:r>
          <w:r>
            <w:t>Eliquis Apixaban Bristol-Myers Squibb Australia Pty Ltd PM-2011</w:t>
          </w:r>
          <w:r w:rsidRPr="00487162">
            <w:t>-</w:t>
          </w:r>
          <w:r>
            <w:t>03165</w:t>
          </w:r>
          <w:r w:rsidRPr="00487162">
            <w:t>-</w:t>
          </w:r>
          <w:r>
            <w:t>3-3</w:t>
          </w:r>
          <w:r>
            <w:br/>
          </w:r>
          <w:r w:rsidRPr="00487162">
            <w:t>Date of Finalisation</w:t>
          </w:r>
          <w:r>
            <w:t xml:space="preserve"> 21 June 2013</w:t>
          </w:r>
        </w:p>
      </w:tc>
      <w:tc>
        <w:tcPr>
          <w:tcW w:w="1869" w:type="dxa"/>
          <w:tcMar>
            <w:top w:w="142" w:type="dxa"/>
            <w:bottom w:w="0" w:type="dxa"/>
          </w:tcMar>
        </w:tcPr>
        <w:p w:rsidR="00721D63" w:rsidRPr="00487162" w:rsidRDefault="00721D63" w:rsidP="00D855D4">
          <w:pPr>
            <w:pStyle w:val="Footer"/>
            <w:jc w:val="right"/>
          </w:pPr>
          <w:r w:rsidRPr="00487162">
            <w:t xml:space="preserve">Page </w:t>
          </w:r>
          <w:r>
            <w:t>2</w:t>
          </w:r>
          <w:r w:rsidRPr="00487162">
            <w:t xml:space="preserve"> of </w:t>
          </w:r>
          <w:fldSimple w:instr=" NUMPAGES  \* Arabic ">
            <w:r w:rsidR="00D027B1">
              <w:rPr>
                <w:noProof/>
              </w:rPr>
              <w:t>5</w:t>
            </w:r>
          </w:fldSimple>
        </w:p>
      </w:tc>
    </w:tr>
  </w:tbl>
  <w:p w:rsidR="00721D63" w:rsidRDefault="00721D63"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63" w:rsidRDefault="00721D63" w:rsidP="00165389"/>
  <w:p w:rsidR="00721D63" w:rsidRDefault="00721D6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6521"/>
      <w:gridCol w:w="2340"/>
    </w:tblGrid>
    <w:tr w:rsidR="00721D63" w:rsidRPr="00487162" w:rsidTr="00474F81">
      <w:trPr>
        <w:trHeight w:val="269"/>
      </w:trPr>
      <w:tc>
        <w:tcPr>
          <w:tcW w:w="6521" w:type="dxa"/>
          <w:tcMar>
            <w:top w:w="142" w:type="dxa"/>
            <w:bottom w:w="0" w:type="dxa"/>
          </w:tcMar>
        </w:tcPr>
        <w:p w:rsidR="00721D63" w:rsidRPr="00487162" w:rsidRDefault="00721D63" w:rsidP="00474F81">
          <w:pPr>
            <w:pStyle w:val="Footer"/>
          </w:pPr>
          <w:r w:rsidRPr="00487162">
            <w:t>Au</w:t>
          </w:r>
          <w:r w:rsidRPr="003B4D60">
            <w:t xml:space="preserve">sPAR </w:t>
          </w:r>
          <w:r>
            <w:t>Eliquis Apixaban Bristol-Myers Squibb Australia Pty Ltd PM-2011</w:t>
          </w:r>
          <w:r w:rsidRPr="00487162">
            <w:t>-</w:t>
          </w:r>
          <w:r>
            <w:t>03165</w:t>
          </w:r>
          <w:r w:rsidRPr="00487162">
            <w:t>-</w:t>
          </w:r>
          <w:r>
            <w:t>3-3</w:t>
          </w:r>
          <w:r>
            <w:br/>
          </w:r>
          <w:r w:rsidRPr="00487162">
            <w:t>Date of Finalisation</w:t>
          </w:r>
          <w:r>
            <w:t xml:space="preserve"> 21</w:t>
          </w:r>
          <w:r>
            <w:rPr>
              <w:vertAlign w:val="superscript"/>
            </w:rPr>
            <w:t xml:space="preserve"> </w:t>
          </w:r>
          <w:r w:rsidRPr="00925BCB">
            <w:t>June</w:t>
          </w:r>
          <w:r>
            <w:t xml:space="preserve"> 2013</w:t>
          </w:r>
        </w:p>
      </w:tc>
      <w:tc>
        <w:tcPr>
          <w:tcW w:w="2340" w:type="dxa"/>
          <w:tcMar>
            <w:top w:w="142" w:type="dxa"/>
            <w:bottom w:w="0" w:type="dxa"/>
          </w:tcMar>
        </w:tcPr>
        <w:p w:rsidR="00721D63" w:rsidRPr="00487162" w:rsidRDefault="00721D63" w:rsidP="00E45619">
          <w:pPr>
            <w:pStyle w:val="Footer"/>
            <w:jc w:val="right"/>
          </w:pPr>
          <w:r w:rsidRPr="00487162">
            <w:t xml:space="preserve">Page </w:t>
          </w:r>
          <w:fldSimple w:instr="PAGE">
            <w:r w:rsidR="00D027B1">
              <w:rPr>
                <w:noProof/>
              </w:rPr>
              <w:t>57</w:t>
            </w:r>
          </w:fldSimple>
          <w:r w:rsidRPr="00487162">
            <w:t xml:space="preserve"> of </w:t>
          </w:r>
          <w:fldSimple w:instr=" NUMPAGES  \* Arabic ">
            <w:r w:rsidR="00D027B1">
              <w:rPr>
                <w:noProof/>
              </w:rPr>
              <w:t>57</w:t>
            </w:r>
          </w:fldSimple>
        </w:p>
      </w:tc>
    </w:tr>
  </w:tbl>
  <w:p w:rsidR="00721D63" w:rsidRDefault="00721D63" w:rsidP="00E261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721D63" w:rsidRPr="00487162" w:rsidTr="00E45619">
      <w:trPr>
        <w:trHeight w:val="269"/>
      </w:trPr>
      <w:tc>
        <w:tcPr>
          <w:tcW w:w="4519" w:type="dxa"/>
          <w:tcBorders>
            <w:top w:val="single" w:sz="4" w:space="0" w:color="auto"/>
          </w:tcBorders>
          <w:tcMar>
            <w:top w:w="142" w:type="dxa"/>
            <w:bottom w:w="0" w:type="dxa"/>
          </w:tcMar>
        </w:tcPr>
        <w:p w:rsidR="00721D63" w:rsidRPr="00487162" w:rsidRDefault="00721D63" w:rsidP="00FE1DEE">
          <w:pPr>
            <w:pStyle w:val="Footer"/>
          </w:pPr>
          <w:r w:rsidRPr="00487162">
            <w:t>Document title, Part #, Section # - Section title</w:t>
          </w:r>
        </w:p>
        <w:p w:rsidR="00721D63" w:rsidRPr="00487162" w:rsidRDefault="00721D63" w:rsidP="00FE1DEE">
          <w:pPr>
            <w:pStyle w:val="Footer"/>
          </w:pPr>
          <w:r w:rsidRPr="00487162">
            <w:t>V1.0 October 2010</w:t>
          </w:r>
        </w:p>
      </w:tc>
      <w:tc>
        <w:tcPr>
          <w:tcW w:w="4342" w:type="dxa"/>
          <w:tcBorders>
            <w:top w:val="single" w:sz="4" w:space="0" w:color="auto"/>
          </w:tcBorders>
          <w:tcMar>
            <w:top w:w="142" w:type="dxa"/>
            <w:bottom w:w="0" w:type="dxa"/>
          </w:tcMar>
        </w:tcPr>
        <w:p w:rsidR="00721D63" w:rsidRPr="00487162" w:rsidRDefault="00721D63"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55</w:t>
            </w:r>
          </w:fldSimple>
        </w:p>
      </w:tc>
    </w:tr>
  </w:tbl>
  <w:p w:rsidR="00721D63" w:rsidRDefault="00721D6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Content>
      <w:sdt>
        <w:sdtPr>
          <w:rPr>
            <w:rFonts w:ascii="Arial" w:hAnsi="Arial"/>
            <w:sz w:val="16"/>
          </w:rPr>
          <w:id w:val="16144364"/>
          <w:docPartObj>
            <w:docPartGallery w:val="Page Numbers (Top of Page)"/>
            <w:docPartUnique/>
          </w:docPartObj>
        </w:sdtPr>
        <w:sdtContent>
          <w:p w:rsidR="00721D63" w:rsidRDefault="00721D63">
            <w:pPr>
              <w:pStyle w:val="Footer"/>
              <w:jc w:val="right"/>
            </w:pPr>
          </w:p>
          <w:tbl>
            <w:tblPr>
              <w:tblW w:w="9175" w:type="dxa"/>
              <w:tblInd w:w="-284" w:type="dxa"/>
              <w:tblLayout w:type="fixed"/>
              <w:tblCellMar>
                <w:left w:w="0" w:type="dxa"/>
                <w:right w:w="0" w:type="dxa"/>
              </w:tblCellMar>
              <w:tblLook w:val="04A0"/>
            </w:tblPr>
            <w:tblGrid>
              <w:gridCol w:w="9175"/>
            </w:tblGrid>
            <w:tr w:rsidR="00721D63" w:rsidRPr="00487162" w:rsidTr="00E45619">
              <w:trPr>
                <w:trHeight w:hRule="exact" w:val="704"/>
              </w:trPr>
              <w:tc>
                <w:tcPr>
                  <w:tcW w:w="9175" w:type="dxa"/>
                </w:tcPr>
                <w:p w:rsidR="00721D63" w:rsidRPr="00487162" w:rsidRDefault="00721D63" w:rsidP="008E7846">
                  <w:pPr>
                    <w:pStyle w:val="TGASignoff"/>
                  </w:pPr>
                  <w:r w:rsidRPr="00487162">
                    <w:t>Therapeutic Goods Administration</w:t>
                  </w:r>
                </w:p>
              </w:tc>
            </w:tr>
            <w:tr w:rsidR="00721D63" w:rsidRPr="00487162" w:rsidTr="00E45619">
              <w:trPr>
                <w:trHeight w:val="1221"/>
              </w:trPr>
              <w:tc>
                <w:tcPr>
                  <w:tcW w:w="9175" w:type="dxa"/>
                  <w:tcMar>
                    <w:top w:w="28" w:type="dxa"/>
                  </w:tcMar>
                </w:tcPr>
                <w:p w:rsidR="00721D63" w:rsidRPr="00487162" w:rsidRDefault="00721D63" w:rsidP="00E45619">
                  <w:pPr>
                    <w:pStyle w:val="Address"/>
                  </w:pPr>
                  <w:r w:rsidRPr="00487162">
                    <w:t>PO Box 100 Woden ACT 2606 Australia</w:t>
                  </w:r>
                </w:p>
                <w:p w:rsidR="00721D63" w:rsidRPr="00487162" w:rsidRDefault="00721D63" w:rsidP="00E45619">
                  <w:pPr>
                    <w:pStyle w:val="Address"/>
                  </w:pPr>
                  <w:r w:rsidRPr="00487162">
                    <w:t xml:space="preserve">Email: </w:t>
                  </w:r>
                  <w:hyperlink r:id="rId1" w:history="1">
                    <w:r w:rsidRPr="00160F84">
                      <w:rPr>
                        <w:rStyle w:val="Hyperlink"/>
                      </w:rPr>
                      <w:t>info@tga.gov.au</w:t>
                    </w:r>
                  </w:hyperlink>
                  <w:r>
                    <w:t xml:space="preserve"> </w:t>
                  </w:r>
                  <w:r w:rsidRPr="00487162">
                    <w:t>Phone: 1800 020 653</w:t>
                  </w:r>
                  <w:r>
                    <w:t xml:space="preserve"> </w:t>
                  </w:r>
                  <w:r w:rsidRPr="00487162">
                    <w:t>Fax: 02 6232 8605</w:t>
                  </w:r>
                </w:p>
                <w:p w:rsidR="00721D63" w:rsidRPr="00474F81" w:rsidRDefault="00A75D98" w:rsidP="00474F81">
                  <w:pPr>
                    <w:pStyle w:val="Address"/>
                    <w:spacing w:line="260" w:lineRule="atLeast"/>
                    <w:rPr>
                      <w:b/>
                      <w:color w:val="0000FF"/>
                      <w:u w:val="single"/>
                    </w:rPr>
                  </w:pPr>
                  <w:hyperlink r:id="rId2" w:history="1">
                    <w:r w:rsidR="00721D63" w:rsidRPr="00CD7682">
                      <w:rPr>
                        <w:rStyle w:val="Hyperlink"/>
                        <w:b/>
                      </w:rPr>
                      <w:t>http://www.tga.gov.au</w:t>
                    </w:r>
                  </w:hyperlink>
                </w:p>
              </w:tc>
            </w:tr>
          </w:tbl>
          <w:p w:rsidR="00721D63" w:rsidRDefault="00A75D98" w:rsidP="008E7846">
            <w:pPr>
              <w:pStyle w:val="Notes"/>
            </w:pPr>
          </w:p>
        </w:sdtContent>
      </w:sdt>
    </w:sdtContent>
  </w:sdt>
  <w:p w:rsidR="00721D63" w:rsidRPr="008E7846" w:rsidRDefault="00721D63" w:rsidP="008E78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721D63" w:rsidTr="0010601F">
      <w:trPr>
        <w:trHeight w:val="108"/>
      </w:trPr>
      <w:tc>
        <w:tcPr>
          <w:tcW w:w="8875" w:type="dxa"/>
          <w:gridSpan w:val="2"/>
          <w:tcBorders>
            <w:bottom w:val="single" w:sz="4" w:space="0" w:color="auto"/>
          </w:tcBorders>
          <w:tcMar>
            <w:right w:w="284" w:type="dxa"/>
          </w:tcMar>
        </w:tcPr>
        <w:p w:rsidR="00721D63" w:rsidRDefault="00721D63" w:rsidP="006E08B3">
          <w:pPr>
            <w:pStyle w:val="Heading3"/>
          </w:pPr>
          <w:r>
            <w:t>Copyright</w:t>
          </w:r>
        </w:p>
        <w:p w:rsidR="00721D63" w:rsidRDefault="00721D63" w:rsidP="006E08B3">
          <w:r>
            <w:rPr>
              <w:rFonts w:cs="Arial"/>
            </w:rPr>
            <w:t>©</w:t>
          </w:r>
          <w:r>
            <w:t xml:space="preserve"> Commonwealth of Australia [add year]</w:t>
          </w:r>
        </w:p>
        <w:p w:rsidR="00721D63" w:rsidRDefault="00721D63" w:rsidP="006E08B3"/>
        <w:p w:rsidR="00721D63" w:rsidRDefault="00721D6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721D63" w:rsidRDefault="00721D63" w:rsidP="006E08B3"/>
        <w:p w:rsidR="00721D63" w:rsidRDefault="00721D63" w:rsidP="006E08B3">
          <w:pPr>
            <w:pStyle w:val="Heading3"/>
          </w:pPr>
          <w:r>
            <w:t>Confidentiality</w:t>
          </w:r>
        </w:p>
        <w:p w:rsidR="00721D63" w:rsidRDefault="00721D6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721D63" w:rsidRDefault="00721D63" w:rsidP="006E08B3"/>
        <w:p w:rsidR="00721D63" w:rsidRDefault="00721D63" w:rsidP="006E08B3">
          <w:r>
            <w:t>For submission made by individuals, all personal details, other than your name, will be removed from your submission before it is published on the TGA’s Internet site.</w:t>
          </w:r>
        </w:p>
        <w:p w:rsidR="00721D63" w:rsidRDefault="00721D63" w:rsidP="006E08B3"/>
        <w:p w:rsidR="00721D63" w:rsidRDefault="00721D63"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21D63" w:rsidTr="0010601F">
      <w:trPr>
        <w:trHeight w:val="417"/>
      </w:trPr>
      <w:tc>
        <w:tcPr>
          <w:tcW w:w="4519" w:type="dxa"/>
          <w:tcBorders>
            <w:top w:val="single" w:sz="4" w:space="0" w:color="auto"/>
          </w:tcBorders>
          <w:tcMar>
            <w:top w:w="142" w:type="dxa"/>
            <w:bottom w:w="0" w:type="dxa"/>
          </w:tcMar>
        </w:tcPr>
        <w:p w:rsidR="00721D63" w:rsidRDefault="00721D63" w:rsidP="006E08B3">
          <w:r>
            <w:t>Document title, Part #, Section # - Section title</w:t>
          </w:r>
        </w:p>
        <w:p w:rsidR="00721D63" w:rsidRDefault="00721D63" w:rsidP="006E08B3">
          <w:r>
            <w:t>V1.0 October 2010</w:t>
          </w:r>
        </w:p>
      </w:tc>
      <w:tc>
        <w:tcPr>
          <w:tcW w:w="4356" w:type="dxa"/>
          <w:tcBorders>
            <w:top w:val="single" w:sz="4" w:space="0" w:color="auto"/>
          </w:tcBorders>
          <w:tcMar>
            <w:top w:w="142" w:type="dxa"/>
            <w:bottom w:w="0" w:type="dxa"/>
          </w:tcMar>
        </w:tcPr>
        <w:p w:rsidR="00721D63" w:rsidRDefault="00721D63" w:rsidP="006E08B3">
          <w:pPr>
            <w:jc w:val="right"/>
          </w:pPr>
          <w:r>
            <w:t xml:space="preserve">Page </w:t>
          </w:r>
          <w:fldSimple w:instr=" PAGE   \* MERGEFORMAT ">
            <w:r>
              <w:rPr>
                <w:noProof/>
              </w:rPr>
              <w:t>1</w:t>
            </w:r>
          </w:fldSimple>
          <w:r>
            <w:t xml:space="preserve"> of </w:t>
          </w:r>
          <w:fldSimple w:instr=" NUMPAGES  \* Arabic ">
            <w:r>
              <w:rPr>
                <w:noProof/>
              </w:rPr>
              <w:t>55</w:t>
            </w:r>
          </w:fldSimple>
          <w:r>
            <w:t xml:space="preserve"> </w:t>
          </w:r>
        </w:p>
      </w:tc>
    </w:tr>
  </w:tbl>
  <w:p w:rsidR="00721D63" w:rsidRDefault="00721D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BDB" w:rsidRDefault="00DD0BDB" w:rsidP="00C40A36">
      <w:pPr>
        <w:spacing w:after="0"/>
      </w:pPr>
      <w:r>
        <w:separator/>
      </w:r>
    </w:p>
  </w:footnote>
  <w:footnote w:type="continuationSeparator" w:id="0">
    <w:p w:rsidR="00DD0BDB" w:rsidRDefault="00DD0BDB" w:rsidP="00C40A36">
      <w:pPr>
        <w:spacing w:after="0"/>
      </w:pPr>
      <w:r>
        <w:continuationSeparator/>
      </w:r>
    </w:p>
  </w:footnote>
  <w:footnote w:id="1">
    <w:p w:rsidR="00721D63" w:rsidRPr="006E27C0" w:rsidRDefault="00721D63" w:rsidP="006E27C0">
      <w:pPr>
        <w:pStyle w:val="FootnoteText"/>
        <w:rPr>
          <w:sz w:val="18"/>
          <w:szCs w:val="18"/>
        </w:rPr>
      </w:pPr>
      <w:r w:rsidRPr="006E27C0">
        <w:rPr>
          <w:rStyle w:val="FootnoteReference"/>
          <w:rFonts w:asciiTheme="minorHAnsi" w:hAnsiTheme="minorHAnsi"/>
          <w:szCs w:val="18"/>
        </w:rPr>
        <w:footnoteRef/>
      </w:r>
      <w:r w:rsidRPr="006E27C0">
        <w:rPr>
          <w:sz w:val="18"/>
          <w:szCs w:val="18"/>
          <w:vertAlign w:val="superscript"/>
        </w:rPr>
        <w:t xml:space="preserve"> </w:t>
      </w:r>
      <w:r w:rsidRPr="006E27C0">
        <w:rPr>
          <w:sz w:val="18"/>
          <w:szCs w:val="18"/>
        </w:rPr>
        <w:t xml:space="preserve">Details of recommended revisions to the PI are beyond the scope of this </w:t>
      </w:r>
      <w:proofErr w:type="spellStart"/>
      <w:r w:rsidRPr="006E27C0">
        <w:rPr>
          <w:sz w:val="18"/>
          <w:szCs w:val="18"/>
        </w:rPr>
        <w:t>AusPAR</w:t>
      </w:r>
      <w:proofErr w:type="spellEnd"/>
      <w:r w:rsidRPr="006E27C0">
        <w:rPr>
          <w:sz w:val="18"/>
          <w:szCs w:val="18"/>
        </w:rPr>
        <w:t>.</w:t>
      </w:r>
    </w:p>
  </w:footnote>
  <w:footnote w:id="2">
    <w:p w:rsidR="00721D63" w:rsidRPr="006E27C0" w:rsidRDefault="00721D63" w:rsidP="006E27C0">
      <w:pPr>
        <w:pStyle w:val="FootnoteText"/>
        <w:rPr>
          <w:sz w:val="18"/>
          <w:szCs w:val="18"/>
        </w:rPr>
      </w:pPr>
      <w:r w:rsidRPr="006E27C0">
        <w:rPr>
          <w:sz w:val="18"/>
          <w:szCs w:val="18"/>
          <w:vertAlign w:val="superscript"/>
        </w:rPr>
        <w:footnoteRef/>
      </w:r>
      <w:r w:rsidRPr="006E27C0">
        <w:rPr>
          <w:sz w:val="18"/>
          <w:szCs w:val="18"/>
          <w:vertAlign w:val="superscript"/>
        </w:rPr>
        <w:t xml:space="preserve"> </w:t>
      </w:r>
      <w:r w:rsidRPr="006E27C0">
        <w:rPr>
          <w:sz w:val="18"/>
          <w:szCs w:val="18"/>
        </w:rPr>
        <w:t xml:space="preserve">Go AS </w:t>
      </w:r>
      <w:r w:rsidRPr="003745F6">
        <w:rPr>
          <w:i/>
          <w:sz w:val="18"/>
          <w:szCs w:val="18"/>
        </w:rPr>
        <w:t>et al.</w:t>
      </w:r>
      <w:r w:rsidRPr="006E27C0">
        <w:rPr>
          <w:sz w:val="18"/>
          <w:szCs w:val="18"/>
        </w:rPr>
        <w:t xml:space="preserve"> Prevalence of diagnosed </w:t>
      </w:r>
      <w:proofErr w:type="spellStart"/>
      <w:r w:rsidRPr="006E27C0">
        <w:rPr>
          <w:sz w:val="18"/>
          <w:szCs w:val="18"/>
        </w:rPr>
        <w:t>atrial</w:t>
      </w:r>
      <w:proofErr w:type="spellEnd"/>
      <w:r w:rsidRPr="006E27C0">
        <w:rPr>
          <w:sz w:val="18"/>
          <w:szCs w:val="18"/>
        </w:rPr>
        <w:t xml:space="preserve"> fibrillation in adults: national implications for rhythm management and stroke prevention: the Anticoagulation and Risk Factors in </w:t>
      </w:r>
      <w:proofErr w:type="spellStart"/>
      <w:r w:rsidRPr="006E27C0">
        <w:rPr>
          <w:sz w:val="18"/>
          <w:szCs w:val="18"/>
        </w:rPr>
        <w:t>Atrial</w:t>
      </w:r>
      <w:proofErr w:type="spellEnd"/>
      <w:r w:rsidRPr="006E27C0">
        <w:rPr>
          <w:sz w:val="18"/>
          <w:szCs w:val="18"/>
        </w:rPr>
        <w:t xml:space="preserve"> Fibrillation (ATRIA) Study. JAMA 2001</w:t>
      </w:r>
      <w:proofErr w:type="gramStart"/>
      <w:r w:rsidRPr="006E27C0">
        <w:rPr>
          <w:sz w:val="18"/>
          <w:szCs w:val="18"/>
        </w:rPr>
        <w:t>;285:2370</w:t>
      </w:r>
      <w:proofErr w:type="gramEnd"/>
      <w:r w:rsidRPr="006E27C0">
        <w:rPr>
          <w:sz w:val="18"/>
          <w:szCs w:val="18"/>
        </w:rPr>
        <w:t>-2375.</w:t>
      </w:r>
    </w:p>
  </w:footnote>
  <w:footnote w:id="3">
    <w:p w:rsidR="00721D63" w:rsidRPr="006E27C0" w:rsidRDefault="00721D63" w:rsidP="006E27C0">
      <w:pPr>
        <w:pStyle w:val="FootnoteText"/>
        <w:rPr>
          <w:sz w:val="18"/>
          <w:szCs w:val="18"/>
        </w:rPr>
      </w:pPr>
      <w:r w:rsidRPr="006E27C0">
        <w:rPr>
          <w:sz w:val="18"/>
          <w:szCs w:val="18"/>
          <w:vertAlign w:val="superscript"/>
        </w:rPr>
        <w:footnoteRef/>
      </w:r>
      <w:r w:rsidRPr="006E27C0">
        <w:rPr>
          <w:sz w:val="18"/>
          <w:szCs w:val="18"/>
        </w:rPr>
        <w:t xml:space="preserve"> Wolf PA </w:t>
      </w:r>
      <w:r w:rsidRPr="003745F6">
        <w:rPr>
          <w:i/>
          <w:sz w:val="18"/>
          <w:szCs w:val="18"/>
        </w:rPr>
        <w:t>et al.</w:t>
      </w:r>
      <w:r w:rsidRPr="006E27C0">
        <w:rPr>
          <w:sz w:val="18"/>
          <w:szCs w:val="18"/>
        </w:rPr>
        <w:t xml:space="preserve"> </w:t>
      </w:r>
      <w:proofErr w:type="spellStart"/>
      <w:r w:rsidRPr="006E27C0">
        <w:rPr>
          <w:sz w:val="18"/>
          <w:szCs w:val="18"/>
        </w:rPr>
        <w:t>Atrial</w:t>
      </w:r>
      <w:proofErr w:type="spellEnd"/>
      <w:r w:rsidRPr="006E27C0">
        <w:rPr>
          <w:sz w:val="18"/>
          <w:szCs w:val="18"/>
        </w:rPr>
        <w:t xml:space="preserve"> fibrillation as an independent risk factor for stroke: the Framingham Study. Stroke 1991</w:t>
      </w:r>
      <w:proofErr w:type="gramStart"/>
      <w:r w:rsidRPr="006E27C0">
        <w:rPr>
          <w:sz w:val="18"/>
          <w:szCs w:val="18"/>
        </w:rPr>
        <w:t>;22:983</w:t>
      </w:r>
      <w:proofErr w:type="gramEnd"/>
      <w:r w:rsidRPr="006E27C0">
        <w:rPr>
          <w:sz w:val="18"/>
          <w:szCs w:val="18"/>
        </w:rPr>
        <w:t>-988.</w:t>
      </w:r>
    </w:p>
  </w:footnote>
  <w:footnote w:id="4">
    <w:p w:rsidR="00721D63" w:rsidRPr="006E27C0" w:rsidRDefault="00721D63" w:rsidP="006E27C0">
      <w:pPr>
        <w:pStyle w:val="FootnoteText"/>
        <w:rPr>
          <w:sz w:val="18"/>
          <w:szCs w:val="18"/>
        </w:rPr>
      </w:pPr>
      <w:r w:rsidRPr="006E27C0">
        <w:rPr>
          <w:sz w:val="18"/>
          <w:szCs w:val="18"/>
          <w:vertAlign w:val="superscript"/>
        </w:rPr>
        <w:footnoteRef/>
      </w:r>
      <w:r w:rsidRPr="006E27C0">
        <w:rPr>
          <w:sz w:val="18"/>
          <w:szCs w:val="18"/>
          <w:vertAlign w:val="superscript"/>
        </w:rPr>
        <w:t xml:space="preserve"> </w:t>
      </w:r>
      <w:r w:rsidRPr="006E27C0">
        <w:rPr>
          <w:sz w:val="18"/>
          <w:szCs w:val="18"/>
        </w:rPr>
        <w:t>For simplicity, ‘</w:t>
      </w:r>
      <w:proofErr w:type="spellStart"/>
      <w:r w:rsidRPr="006E27C0">
        <w:rPr>
          <w:sz w:val="18"/>
          <w:szCs w:val="18"/>
        </w:rPr>
        <w:t>warfarin</w:t>
      </w:r>
      <w:proofErr w:type="spellEnd"/>
      <w:r w:rsidRPr="006E27C0">
        <w:rPr>
          <w:sz w:val="18"/>
          <w:szCs w:val="18"/>
        </w:rPr>
        <w:t>’ therapy is assumed to include other vitamin K antagonists when used in the clinical parts of this document to describe non-study drug anti-coagulation therapy.</w:t>
      </w:r>
    </w:p>
  </w:footnote>
  <w:footnote w:id="5">
    <w:p w:rsidR="00721D63" w:rsidRPr="006E27C0" w:rsidRDefault="00721D63" w:rsidP="006E27C0">
      <w:pPr>
        <w:pStyle w:val="FootnoteText"/>
        <w:rPr>
          <w:sz w:val="18"/>
          <w:szCs w:val="18"/>
        </w:rPr>
      </w:pPr>
      <w:r w:rsidRPr="006E27C0">
        <w:rPr>
          <w:sz w:val="18"/>
          <w:szCs w:val="18"/>
          <w:vertAlign w:val="superscript"/>
        </w:rPr>
        <w:footnoteRef/>
      </w:r>
      <w:r w:rsidRPr="006E27C0">
        <w:rPr>
          <w:sz w:val="18"/>
          <w:szCs w:val="18"/>
        </w:rPr>
        <w:t xml:space="preserve"> </w:t>
      </w:r>
      <w:proofErr w:type="gramStart"/>
      <w:r w:rsidRPr="006E27C0">
        <w:rPr>
          <w:sz w:val="18"/>
          <w:szCs w:val="18"/>
        </w:rPr>
        <w:t xml:space="preserve">ACC/AHA/ESC 2010 Guidelines for the management of patients with </w:t>
      </w:r>
      <w:proofErr w:type="spellStart"/>
      <w:r w:rsidRPr="006E27C0">
        <w:rPr>
          <w:sz w:val="18"/>
          <w:szCs w:val="18"/>
        </w:rPr>
        <w:t>atrial</w:t>
      </w:r>
      <w:proofErr w:type="spellEnd"/>
      <w:r w:rsidRPr="006E27C0">
        <w:rPr>
          <w:sz w:val="18"/>
          <w:szCs w:val="18"/>
        </w:rPr>
        <w:t xml:space="preserve"> fibrillation – executive summary.</w:t>
      </w:r>
      <w:proofErr w:type="gramEnd"/>
      <w:r w:rsidRPr="006E27C0">
        <w:rPr>
          <w:sz w:val="18"/>
          <w:szCs w:val="18"/>
        </w:rPr>
        <w:t xml:space="preserve"> </w:t>
      </w:r>
      <w:r w:rsidRPr="006E27C0">
        <w:rPr>
          <w:i/>
          <w:sz w:val="18"/>
          <w:szCs w:val="18"/>
        </w:rPr>
        <w:t>Eur Heart J</w:t>
      </w:r>
      <w:r w:rsidRPr="006E27C0">
        <w:rPr>
          <w:sz w:val="18"/>
          <w:szCs w:val="18"/>
        </w:rPr>
        <w:t xml:space="preserve"> 2010</w:t>
      </w:r>
      <w:proofErr w:type="gramStart"/>
      <w:r w:rsidRPr="006E27C0">
        <w:rPr>
          <w:sz w:val="18"/>
          <w:szCs w:val="18"/>
        </w:rPr>
        <w:t>;31:2369</w:t>
      </w:r>
      <w:proofErr w:type="gramEnd"/>
      <w:r w:rsidRPr="006E27C0">
        <w:rPr>
          <w:sz w:val="18"/>
          <w:szCs w:val="18"/>
        </w:rPr>
        <w:t>-2429.</w:t>
      </w:r>
    </w:p>
  </w:footnote>
  <w:footnote w:id="6">
    <w:p w:rsidR="00721D63" w:rsidRPr="006E27C0" w:rsidRDefault="00721D63" w:rsidP="006E27C0">
      <w:pPr>
        <w:pStyle w:val="FootnoteText"/>
        <w:rPr>
          <w:sz w:val="18"/>
          <w:szCs w:val="18"/>
        </w:rPr>
      </w:pPr>
      <w:r w:rsidRPr="006E27C0">
        <w:rPr>
          <w:sz w:val="18"/>
          <w:szCs w:val="18"/>
          <w:vertAlign w:val="superscript"/>
        </w:rPr>
        <w:footnoteRef/>
      </w:r>
      <w:r w:rsidRPr="006E27C0">
        <w:rPr>
          <w:sz w:val="18"/>
          <w:szCs w:val="18"/>
        </w:rPr>
        <w:t xml:space="preserve"> Guidelines for the primary prevention of stroke: A guideline for healthcare professionals from the American Heart Association/Stroke Association. </w:t>
      </w:r>
      <w:r w:rsidRPr="006E27C0">
        <w:rPr>
          <w:i/>
          <w:sz w:val="18"/>
          <w:szCs w:val="18"/>
        </w:rPr>
        <w:t>Stroke</w:t>
      </w:r>
      <w:r w:rsidRPr="006E27C0">
        <w:rPr>
          <w:sz w:val="18"/>
          <w:szCs w:val="18"/>
        </w:rPr>
        <w:t xml:space="preserve"> 2011; 42:517-584.</w:t>
      </w:r>
    </w:p>
  </w:footnote>
  <w:footnote w:id="7">
    <w:p w:rsidR="00721D63" w:rsidRPr="006E27C0" w:rsidRDefault="00721D63" w:rsidP="006E27C0">
      <w:pPr>
        <w:pStyle w:val="FootnoteText"/>
        <w:rPr>
          <w:sz w:val="18"/>
          <w:szCs w:val="18"/>
        </w:rPr>
      </w:pPr>
      <w:r w:rsidRPr="006E27C0">
        <w:rPr>
          <w:sz w:val="18"/>
          <w:szCs w:val="18"/>
          <w:vertAlign w:val="superscript"/>
        </w:rPr>
        <w:footnoteRef/>
      </w:r>
      <w:r w:rsidRPr="006E27C0">
        <w:rPr>
          <w:sz w:val="18"/>
          <w:szCs w:val="18"/>
        </w:rPr>
        <w:t xml:space="preserve"> Jones M </w:t>
      </w:r>
      <w:r w:rsidRPr="006E27C0">
        <w:rPr>
          <w:i/>
          <w:sz w:val="18"/>
          <w:szCs w:val="18"/>
        </w:rPr>
        <w:t>et al</w:t>
      </w:r>
      <w:r w:rsidRPr="006E27C0">
        <w:rPr>
          <w:sz w:val="18"/>
          <w:szCs w:val="18"/>
        </w:rPr>
        <w:t xml:space="preserve">. Evaluation of the pattern of treatment, level of anticoagulation control, and outcome of treatment with </w:t>
      </w:r>
      <w:proofErr w:type="spellStart"/>
      <w:r w:rsidRPr="006E27C0">
        <w:rPr>
          <w:sz w:val="18"/>
          <w:szCs w:val="18"/>
        </w:rPr>
        <w:t>warfarin</w:t>
      </w:r>
      <w:proofErr w:type="spellEnd"/>
      <w:r w:rsidRPr="006E27C0">
        <w:rPr>
          <w:sz w:val="18"/>
          <w:szCs w:val="18"/>
        </w:rPr>
        <w:t xml:space="preserve"> in patients with non-valvular </w:t>
      </w:r>
      <w:proofErr w:type="spellStart"/>
      <w:r w:rsidRPr="006E27C0">
        <w:rPr>
          <w:sz w:val="18"/>
          <w:szCs w:val="18"/>
        </w:rPr>
        <w:t>atrial</w:t>
      </w:r>
      <w:proofErr w:type="spellEnd"/>
      <w:r w:rsidRPr="006E27C0">
        <w:rPr>
          <w:sz w:val="18"/>
          <w:szCs w:val="18"/>
        </w:rPr>
        <w:t xml:space="preserve"> fibrillation: a record linkage study in a large British population. </w:t>
      </w:r>
      <w:r w:rsidRPr="006E27C0">
        <w:rPr>
          <w:i/>
          <w:sz w:val="18"/>
          <w:szCs w:val="18"/>
        </w:rPr>
        <w:t>Heart</w:t>
      </w:r>
      <w:r w:rsidRPr="006E27C0">
        <w:rPr>
          <w:sz w:val="18"/>
          <w:szCs w:val="18"/>
        </w:rPr>
        <w:t xml:space="preserve"> 2005</w:t>
      </w:r>
      <w:proofErr w:type="gramStart"/>
      <w:r w:rsidRPr="006E27C0">
        <w:rPr>
          <w:sz w:val="18"/>
          <w:szCs w:val="18"/>
        </w:rPr>
        <w:t>;91:472</w:t>
      </w:r>
      <w:proofErr w:type="gramEnd"/>
      <w:r w:rsidRPr="006E27C0">
        <w:rPr>
          <w:sz w:val="18"/>
          <w:szCs w:val="18"/>
        </w:rPr>
        <w:t>-477.</w:t>
      </w:r>
    </w:p>
  </w:footnote>
  <w:footnote w:id="8">
    <w:p w:rsidR="00721D63" w:rsidRPr="00E50971" w:rsidRDefault="00721D63" w:rsidP="00E50971">
      <w:pPr>
        <w:pStyle w:val="FootnoteText"/>
      </w:pPr>
      <w:r w:rsidRPr="00E50971">
        <w:rPr>
          <w:rStyle w:val="FootnoteReference"/>
          <w:rFonts w:asciiTheme="minorHAnsi" w:hAnsiTheme="minorHAnsi"/>
          <w:sz w:val="19"/>
        </w:rPr>
        <w:footnoteRef/>
      </w:r>
      <w:r w:rsidRPr="00E50971">
        <w:rPr>
          <w:vertAlign w:val="superscript"/>
        </w:rPr>
        <w:t xml:space="preserve"> </w:t>
      </w:r>
      <w:r w:rsidRPr="00E50971">
        <w:t xml:space="preserve">Those meeting at least 2 of the following criteria: age ≥80 years, body weight ≤60 kg or serum </w:t>
      </w:r>
      <w:proofErr w:type="spellStart"/>
      <w:r w:rsidRPr="00E50971">
        <w:t>creatinine</w:t>
      </w:r>
      <w:proofErr w:type="spellEnd"/>
      <w:r w:rsidRPr="00E50971">
        <w:t xml:space="preserve"> ≥133 µmol/L.</w:t>
      </w:r>
    </w:p>
  </w:footnote>
  <w:footnote w:id="9">
    <w:p w:rsidR="00721D63" w:rsidRPr="00A04B46" w:rsidRDefault="00721D63" w:rsidP="00E50971">
      <w:pPr>
        <w:pStyle w:val="FootnoteText"/>
      </w:pPr>
      <w:r w:rsidRPr="00A04B46">
        <w:rPr>
          <w:rStyle w:val="FootnoteReference"/>
          <w:szCs w:val="18"/>
        </w:rPr>
        <w:footnoteRef/>
      </w:r>
      <w:r w:rsidRPr="00A04B46">
        <w:t xml:space="preserve"> Issues relating to a breach of GCP at a clinical trial site in China and to an unusually high incidence of potential dosing errors in this study were </w:t>
      </w:r>
      <w:r>
        <w:t xml:space="preserve">considered </w:t>
      </w:r>
      <w:r w:rsidRPr="00A04B46">
        <w:t xml:space="preserve">during the evaluation of these data (see </w:t>
      </w:r>
      <w:r w:rsidRPr="00A04B46">
        <w:rPr>
          <w:i/>
        </w:rPr>
        <w:t>List of Questions</w:t>
      </w:r>
      <w:r w:rsidRPr="00A04B46">
        <w:t xml:space="preserve">, </w:t>
      </w:r>
      <w:r w:rsidRPr="00A04B46">
        <w:rPr>
          <w:i/>
        </w:rPr>
        <w:t>Second Round Clinical Summary and Conclusion</w:t>
      </w:r>
      <w:r w:rsidRPr="00A04B46">
        <w:t xml:space="preserve">, and </w:t>
      </w:r>
      <w:r w:rsidRPr="00A04B46">
        <w:rPr>
          <w:i/>
        </w:rPr>
        <w:t>Overall Conclusion and Risk/Benefit Assessment</w:t>
      </w:r>
      <w:r w:rsidRPr="00A04B46">
        <w:t xml:space="preserve">, below). </w:t>
      </w:r>
    </w:p>
  </w:footnote>
  <w:footnote w:id="10">
    <w:p w:rsidR="00721D63" w:rsidRPr="0017253A" w:rsidRDefault="00721D63" w:rsidP="00E50971">
      <w:pPr>
        <w:pStyle w:val="FootnoteText"/>
      </w:pPr>
      <w:r w:rsidRPr="008D226D">
        <w:rPr>
          <w:rStyle w:val="FootnoteReference"/>
          <w:szCs w:val="18"/>
        </w:rPr>
        <w:footnoteRef/>
      </w:r>
      <w:r w:rsidRPr="008D226D">
        <w:t xml:space="preserve"> Sponsor clarification: subjects were required to meet at least two of the stated criteria.</w:t>
      </w:r>
    </w:p>
  </w:footnote>
  <w:footnote w:id="11">
    <w:p w:rsidR="00721D63" w:rsidRPr="00F560E1" w:rsidRDefault="00721D63" w:rsidP="00E50971">
      <w:pPr>
        <w:pStyle w:val="FootnoteText"/>
        <w:rPr>
          <w:sz w:val="17"/>
          <w:szCs w:val="17"/>
        </w:rPr>
      </w:pPr>
      <w:r w:rsidRPr="00116F6A">
        <w:rPr>
          <w:vertAlign w:val="superscript"/>
        </w:rPr>
        <w:footnoteRef/>
      </w:r>
      <w:r w:rsidRPr="00116F6A">
        <w:t xml:space="preserve"> </w:t>
      </w:r>
      <w:r w:rsidRPr="00F560E1">
        <w:rPr>
          <w:sz w:val="17"/>
          <w:szCs w:val="17"/>
        </w:rPr>
        <w:t>This document is available on the FDA website at &lt;</w:t>
      </w:r>
      <w:hyperlink r:id="rId1" w:history="1">
        <w:r w:rsidRPr="00F560E1">
          <w:rPr>
            <w:rStyle w:val="Hyperlink"/>
            <w:sz w:val="17"/>
            <w:szCs w:val="17"/>
          </w:rPr>
          <w:t>http://www.accessdata.fda.gov/drugsatfda_docs/nda/2012/202155Orig1s000TOC.cfm</w:t>
        </w:r>
      </w:hyperlink>
      <w:r w:rsidRPr="00F560E1">
        <w:rPr>
          <w:sz w:val="17"/>
          <w:szCs w:val="17"/>
        </w:rPr>
        <w:t>&gt;</w:t>
      </w:r>
    </w:p>
  </w:footnote>
  <w:footnote w:id="12">
    <w:p w:rsidR="00721D63" w:rsidRPr="00F560E1" w:rsidRDefault="00721D63" w:rsidP="00E50971">
      <w:pPr>
        <w:pStyle w:val="FootnoteText"/>
        <w:rPr>
          <w:sz w:val="17"/>
          <w:szCs w:val="17"/>
        </w:rPr>
      </w:pPr>
      <w:r w:rsidRPr="00F560E1">
        <w:rPr>
          <w:sz w:val="17"/>
          <w:szCs w:val="17"/>
          <w:vertAlign w:val="superscript"/>
        </w:rPr>
        <w:footnoteRef/>
      </w:r>
      <w:r w:rsidRPr="00F560E1">
        <w:rPr>
          <w:sz w:val="17"/>
          <w:szCs w:val="17"/>
        </w:rPr>
        <w:t xml:space="preserve"> Marini C </w:t>
      </w:r>
      <w:r w:rsidRPr="00F560E1">
        <w:rPr>
          <w:i/>
          <w:sz w:val="17"/>
          <w:szCs w:val="17"/>
        </w:rPr>
        <w:t>et al</w:t>
      </w:r>
      <w:r w:rsidRPr="00F560E1">
        <w:rPr>
          <w:sz w:val="17"/>
          <w:szCs w:val="17"/>
        </w:rPr>
        <w:t xml:space="preserve">. Contribution of atrial fibrillation to incidence and outcome of ischemic stroke: results from a population-based study. </w:t>
      </w:r>
      <w:r w:rsidRPr="00F560E1">
        <w:rPr>
          <w:i/>
          <w:sz w:val="17"/>
          <w:szCs w:val="17"/>
        </w:rPr>
        <w:t>Stroke</w:t>
      </w:r>
      <w:r w:rsidRPr="00F560E1">
        <w:rPr>
          <w:sz w:val="17"/>
          <w:szCs w:val="17"/>
        </w:rPr>
        <w:t xml:space="preserve"> 2005</w:t>
      </w:r>
      <w:proofErr w:type="gramStart"/>
      <w:r w:rsidRPr="00F560E1">
        <w:rPr>
          <w:sz w:val="17"/>
          <w:szCs w:val="17"/>
        </w:rPr>
        <w:t>;36:1115</w:t>
      </w:r>
      <w:proofErr w:type="gramEnd"/>
      <w:r w:rsidRPr="00F560E1">
        <w:rPr>
          <w:sz w:val="17"/>
          <w:szCs w:val="17"/>
        </w:rPr>
        <w:t xml:space="preserve">-1119. </w:t>
      </w:r>
    </w:p>
  </w:footnote>
  <w:footnote w:id="13">
    <w:p w:rsidR="00721D63" w:rsidRPr="00F560E1" w:rsidRDefault="00721D63" w:rsidP="00E50971">
      <w:pPr>
        <w:pStyle w:val="FootnoteText"/>
        <w:rPr>
          <w:sz w:val="17"/>
          <w:szCs w:val="17"/>
        </w:rPr>
      </w:pPr>
      <w:r w:rsidRPr="00F560E1">
        <w:rPr>
          <w:sz w:val="17"/>
          <w:szCs w:val="17"/>
          <w:vertAlign w:val="superscript"/>
        </w:rPr>
        <w:footnoteRef/>
      </w:r>
      <w:r w:rsidRPr="00F560E1">
        <w:rPr>
          <w:sz w:val="17"/>
          <w:szCs w:val="17"/>
        </w:rPr>
        <w:t xml:space="preserve"> The CHADS2 score assigns one point each for congestive heart failure [C], hypertension [H], age 75 years or older [A], and diabetes [D], and two points for a previous stroke [S2] or transient ischaemic attack.</w:t>
      </w:r>
    </w:p>
  </w:footnote>
  <w:footnote w:id="14">
    <w:p w:rsidR="00721D63" w:rsidRPr="00F560E1" w:rsidRDefault="00721D63" w:rsidP="00E50971">
      <w:pPr>
        <w:pStyle w:val="FootnoteText"/>
        <w:rPr>
          <w:sz w:val="17"/>
          <w:szCs w:val="17"/>
        </w:rPr>
      </w:pPr>
      <w:r w:rsidRPr="00F560E1">
        <w:rPr>
          <w:sz w:val="17"/>
          <w:szCs w:val="17"/>
          <w:vertAlign w:val="superscript"/>
        </w:rPr>
        <w:footnoteRef/>
      </w:r>
      <w:r w:rsidRPr="00F560E1">
        <w:rPr>
          <w:sz w:val="17"/>
          <w:szCs w:val="17"/>
        </w:rPr>
        <w:t xml:space="preserve"> Gage BF </w:t>
      </w:r>
      <w:r w:rsidRPr="00F560E1">
        <w:rPr>
          <w:i/>
          <w:sz w:val="17"/>
          <w:szCs w:val="17"/>
        </w:rPr>
        <w:t>et al</w:t>
      </w:r>
      <w:r w:rsidRPr="00F560E1">
        <w:rPr>
          <w:sz w:val="17"/>
          <w:szCs w:val="17"/>
        </w:rPr>
        <w:t xml:space="preserve">. Validation of clinical classification schemes for predicting stroke: results from the National Registry of Atrial Fibrillation. </w:t>
      </w:r>
      <w:r w:rsidRPr="00F560E1">
        <w:rPr>
          <w:i/>
          <w:sz w:val="17"/>
          <w:szCs w:val="17"/>
        </w:rPr>
        <w:t>JAMA</w:t>
      </w:r>
      <w:r w:rsidRPr="00F560E1">
        <w:rPr>
          <w:sz w:val="17"/>
          <w:szCs w:val="17"/>
        </w:rPr>
        <w:t xml:space="preserve"> 2001</w:t>
      </w:r>
      <w:proofErr w:type="gramStart"/>
      <w:r w:rsidRPr="00F560E1">
        <w:rPr>
          <w:sz w:val="17"/>
          <w:szCs w:val="17"/>
        </w:rPr>
        <w:t>;13:2864</w:t>
      </w:r>
      <w:proofErr w:type="gramEnd"/>
      <w:r w:rsidRPr="00F560E1">
        <w:rPr>
          <w:sz w:val="17"/>
          <w:szCs w:val="17"/>
        </w:rPr>
        <w:t>-2870.</w:t>
      </w:r>
    </w:p>
  </w:footnote>
  <w:footnote w:id="15">
    <w:p w:rsidR="00721D63" w:rsidRPr="00F560E1" w:rsidRDefault="00721D63" w:rsidP="00E50971">
      <w:pPr>
        <w:pStyle w:val="FootnoteText"/>
        <w:rPr>
          <w:sz w:val="17"/>
          <w:szCs w:val="17"/>
        </w:rPr>
      </w:pPr>
      <w:r w:rsidRPr="00F560E1">
        <w:rPr>
          <w:sz w:val="17"/>
          <w:szCs w:val="17"/>
          <w:vertAlign w:val="superscript"/>
        </w:rPr>
        <w:footnoteRef/>
      </w:r>
      <w:r w:rsidRPr="00F560E1">
        <w:rPr>
          <w:sz w:val="17"/>
          <w:szCs w:val="17"/>
        </w:rPr>
        <w:t xml:space="preserve"> </w:t>
      </w:r>
      <w:proofErr w:type="gramStart"/>
      <w:r w:rsidRPr="00F560E1">
        <w:rPr>
          <w:sz w:val="17"/>
          <w:szCs w:val="17"/>
        </w:rPr>
        <w:t xml:space="preserve">Hart RG </w:t>
      </w:r>
      <w:r w:rsidRPr="00F560E1">
        <w:rPr>
          <w:i/>
          <w:sz w:val="17"/>
          <w:szCs w:val="17"/>
        </w:rPr>
        <w:t>et al</w:t>
      </w:r>
      <w:r w:rsidRPr="00F560E1">
        <w:rPr>
          <w:sz w:val="17"/>
          <w:szCs w:val="17"/>
        </w:rPr>
        <w:t>. Adjusted-dose warfarin versus aspirin for preventing stroke in patients with atrial fibrillation.</w:t>
      </w:r>
      <w:proofErr w:type="gramEnd"/>
      <w:r w:rsidRPr="00F560E1">
        <w:rPr>
          <w:sz w:val="17"/>
          <w:szCs w:val="17"/>
        </w:rPr>
        <w:t xml:space="preserve"> </w:t>
      </w:r>
      <w:r w:rsidRPr="00F560E1">
        <w:rPr>
          <w:i/>
          <w:sz w:val="17"/>
          <w:szCs w:val="17"/>
        </w:rPr>
        <w:t>Ann Intern med</w:t>
      </w:r>
      <w:r w:rsidRPr="00F560E1">
        <w:rPr>
          <w:sz w:val="17"/>
          <w:szCs w:val="17"/>
        </w:rPr>
        <w:t xml:space="preserve"> 2007</w:t>
      </w:r>
      <w:proofErr w:type="gramStart"/>
      <w:r w:rsidRPr="00F560E1">
        <w:rPr>
          <w:sz w:val="17"/>
          <w:szCs w:val="17"/>
        </w:rPr>
        <w:t>;147:590</w:t>
      </w:r>
      <w:proofErr w:type="gramEnd"/>
      <w:r w:rsidRPr="00F560E1">
        <w:rPr>
          <w:sz w:val="17"/>
          <w:szCs w:val="17"/>
        </w:rPr>
        <w:t>-592.</w:t>
      </w:r>
    </w:p>
  </w:footnote>
  <w:footnote w:id="16">
    <w:p w:rsidR="00721D63" w:rsidRPr="00F560E1" w:rsidRDefault="00721D63" w:rsidP="00E50971">
      <w:pPr>
        <w:pStyle w:val="FootnoteText"/>
        <w:rPr>
          <w:sz w:val="17"/>
          <w:szCs w:val="17"/>
        </w:rPr>
      </w:pPr>
      <w:r w:rsidRPr="00F560E1">
        <w:rPr>
          <w:sz w:val="17"/>
          <w:szCs w:val="17"/>
          <w:vertAlign w:val="superscript"/>
        </w:rPr>
        <w:footnoteRef/>
      </w:r>
      <w:r w:rsidRPr="00F560E1">
        <w:rPr>
          <w:sz w:val="17"/>
          <w:szCs w:val="17"/>
        </w:rPr>
        <w:t xml:space="preserve"> </w:t>
      </w:r>
      <w:proofErr w:type="spellStart"/>
      <w:proofErr w:type="gramStart"/>
      <w:r w:rsidRPr="00F560E1">
        <w:rPr>
          <w:sz w:val="17"/>
          <w:szCs w:val="17"/>
        </w:rPr>
        <w:t>Birman-Deych</w:t>
      </w:r>
      <w:proofErr w:type="spellEnd"/>
      <w:r w:rsidRPr="00F560E1">
        <w:rPr>
          <w:sz w:val="17"/>
          <w:szCs w:val="17"/>
        </w:rPr>
        <w:t xml:space="preserve"> E </w:t>
      </w:r>
      <w:r w:rsidRPr="00F560E1">
        <w:rPr>
          <w:i/>
          <w:sz w:val="17"/>
          <w:szCs w:val="17"/>
        </w:rPr>
        <w:t>et al</w:t>
      </w:r>
      <w:r w:rsidRPr="00F560E1">
        <w:rPr>
          <w:sz w:val="17"/>
          <w:szCs w:val="17"/>
        </w:rPr>
        <w:t>. Use and effectiveness of warfarin in Medicare beneficiaries with atrial fibrillation.</w:t>
      </w:r>
      <w:proofErr w:type="gramEnd"/>
      <w:r w:rsidRPr="00F560E1">
        <w:rPr>
          <w:sz w:val="17"/>
          <w:szCs w:val="17"/>
        </w:rPr>
        <w:t xml:space="preserve"> </w:t>
      </w:r>
      <w:r w:rsidRPr="00F560E1">
        <w:rPr>
          <w:i/>
          <w:sz w:val="17"/>
          <w:szCs w:val="17"/>
        </w:rPr>
        <w:t>Stroke</w:t>
      </w:r>
      <w:r w:rsidRPr="00F560E1">
        <w:rPr>
          <w:sz w:val="17"/>
          <w:szCs w:val="17"/>
        </w:rPr>
        <w:t xml:space="preserve"> 2006</w:t>
      </w:r>
      <w:proofErr w:type="gramStart"/>
      <w:r w:rsidRPr="00F560E1">
        <w:rPr>
          <w:sz w:val="17"/>
          <w:szCs w:val="17"/>
        </w:rPr>
        <w:t>;37:1070</w:t>
      </w:r>
      <w:proofErr w:type="gramEnd"/>
      <w:r w:rsidRPr="00F560E1">
        <w:rPr>
          <w:sz w:val="17"/>
          <w:szCs w:val="17"/>
        </w:rPr>
        <w:t>-1074.</w:t>
      </w:r>
    </w:p>
  </w:footnote>
  <w:footnote w:id="17">
    <w:p w:rsidR="00721D63" w:rsidRPr="00F560E1" w:rsidRDefault="00721D63" w:rsidP="00F560E1">
      <w:pPr>
        <w:pStyle w:val="FootnoteText"/>
        <w:rPr>
          <w:sz w:val="17"/>
          <w:szCs w:val="17"/>
        </w:rPr>
      </w:pPr>
      <w:r w:rsidRPr="00F560E1">
        <w:rPr>
          <w:sz w:val="17"/>
          <w:szCs w:val="17"/>
          <w:vertAlign w:val="superscript"/>
        </w:rPr>
        <w:footnoteRef/>
      </w:r>
      <w:r w:rsidRPr="00F560E1">
        <w:rPr>
          <w:sz w:val="17"/>
          <w:szCs w:val="17"/>
        </w:rPr>
        <w:t xml:space="preserve"> Hart RG </w:t>
      </w:r>
      <w:r w:rsidRPr="00F560E1">
        <w:rPr>
          <w:i/>
          <w:sz w:val="17"/>
          <w:szCs w:val="17"/>
        </w:rPr>
        <w:t>et al</w:t>
      </w:r>
      <w:r w:rsidRPr="00F560E1">
        <w:rPr>
          <w:sz w:val="17"/>
          <w:szCs w:val="17"/>
        </w:rPr>
        <w:t xml:space="preserve">. Meta-analysis: antithrombotic therapy to prevent stroke in patients who have </w:t>
      </w:r>
      <w:proofErr w:type="spellStart"/>
      <w:r w:rsidRPr="00F560E1">
        <w:rPr>
          <w:sz w:val="17"/>
          <w:szCs w:val="17"/>
        </w:rPr>
        <w:t>nonvalvular</w:t>
      </w:r>
      <w:proofErr w:type="spellEnd"/>
      <w:r w:rsidRPr="00F560E1">
        <w:rPr>
          <w:sz w:val="17"/>
          <w:szCs w:val="17"/>
        </w:rPr>
        <w:t xml:space="preserve"> </w:t>
      </w:r>
      <w:proofErr w:type="spellStart"/>
      <w:r w:rsidRPr="00F560E1">
        <w:rPr>
          <w:sz w:val="17"/>
          <w:szCs w:val="17"/>
        </w:rPr>
        <w:t>atrial</w:t>
      </w:r>
      <w:proofErr w:type="spellEnd"/>
      <w:r w:rsidRPr="00F560E1">
        <w:rPr>
          <w:sz w:val="17"/>
          <w:szCs w:val="17"/>
        </w:rPr>
        <w:t xml:space="preserve"> fibrillation. </w:t>
      </w:r>
      <w:r w:rsidRPr="00F560E1">
        <w:rPr>
          <w:i/>
          <w:sz w:val="17"/>
          <w:szCs w:val="17"/>
        </w:rPr>
        <w:t>Ann Intern Med</w:t>
      </w:r>
      <w:r w:rsidRPr="00F560E1">
        <w:rPr>
          <w:sz w:val="17"/>
          <w:szCs w:val="17"/>
        </w:rPr>
        <w:t xml:space="preserve"> 2007; 146:857-867.</w:t>
      </w:r>
    </w:p>
  </w:footnote>
  <w:footnote w:id="18">
    <w:p w:rsidR="00721D63" w:rsidRPr="006F4599" w:rsidRDefault="00721D63" w:rsidP="00F560E1">
      <w:pPr>
        <w:pStyle w:val="FootnoteText"/>
        <w:rPr>
          <w:sz w:val="18"/>
          <w:szCs w:val="18"/>
        </w:rPr>
      </w:pPr>
      <w:r w:rsidRPr="003332A7">
        <w:rPr>
          <w:sz w:val="18"/>
          <w:szCs w:val="18"/>
          <w:vertAlign w:val="superscript"/>
        </w:rPr>
        <w:footnoteRef/>
      </w:r>
      <w:r w:rsidRPr="006F4599">
        <w:rPr>
          <w:sz w:val="18"/>
          <w:szCs w:val="18"/>
        </w:rPr>
        <w:t xml:space="preserve"> </w:t>
      </w:r>
      <w:proofErr w:type="spellStart"/>
      <w:r w:rsidRPr="006F4599">
        <w:rPr>
          <w:sz w:val="18"/>
          <w:szCs w:val="18"/>
        </w:rPr>
        <w:t>Camm</w:t>
      </w:r>
      <w:proofErr w:type="spellEnd"/>
      <w:r w:rsidRPr="006F4599">
        <w:rPr>
          <w:sz w:val="18"/>
          <w:szCs w:val="18"/>
        </w:rPr>
        <w:t xml:space="preserve"> AJ </w:t>
      </w:r>
      <w:r w:rsidRPr="00C62B13">
        <w:rPr>
          <w:i/>
          <w:sz w:val="18"/>
          <w:szCs w:val="18"/>
        </w:rPr>
        <w:t>et al</w:t>
      </w:r>
      <w:r w:rsidRPr="006F4599">
        <w:rPr>
          <w:sz w:val="18"/>
          <w:szCs w:val="18"/>
        </w:rPr>
        <w:t xml:space="preserve">. Guidelines for the management of atrial fibrillation: the Task Force for the Management of Atrial Fibrillation of the European Society of Cardiology (ESC). </w:t>
      </w:r>
      <w:r w:rsidRPr="00C62B13">
        <w:rPr>
          <w:i/>
          <w:sz w:val="18"/>
          <w:szCs w:val="18"/>
        </w:rPr>
        <w:t>Eur Heart J</w:t>
      </w:r>
      <w:r>
        <w:rPr>
          <w:sz w:val="18"/>
          <w:szCs w:val="18"/>
        </w:rPr>
        <w:t xml:space="preserve"> 2010</w:t>
      </w:r>
      <w:proofErr w:type="gramStart"/>
      <w:r>
        <w:rPr>
          <w:sz w:val="18"/>
          <w:szCs w:val="18"/>
        </w:rPr>
        <w:t>;</w:t>
      </w:r>
      <w:r w:rsidRPr="006F4599">
        <w:rPr>
          <w:sz w:val="18"/>
          <w:szCs w:val="18"/>
        </w:rPr>
        <w:t>31:2369</w:t>
      </w:r>
      <w:proofErr w:type="gramEnd"/>
      <w:r w:rsidRPr="006F4599">
        <w:rPr>
          <w:sz w:val="18"/>
          <w:szCs w:val="18"/>
        </w:rPr>
        <w:t>-2429</w:t>
      </w:r>
      <w:r>
        <w:rPr>
          <w:sz w:val="18"/>
          <w:szCs w:val="18"/>
        </w:rPr>
        <w:t>.</w:t>
      </w:r>
    </w:p>
  </w:footnote>
  <w:footnote w:id="19">
    <w:p w:rsidR="00721D63" w:rsidRPr="00457951" w:rsidRDefault="00721D63" w:rsidP="00457951">
      <w:pPr>
        <w:pStyle w:val="FootnoteText"/>
      </w:pPr>
      <w:r w:rsidRPr="00457951">
        <w:rPr>
          <w:rStyle w:val="FootnoteReference"/>
          <w:rFonts w:asciiTheme="minorHAnsi" w:hAnsiTheme="minorHAnsi"/>
          <w:sz w:val="19"/>
          <w:szCs w:val="18"/>
        </w:rPr>
        <w:footnoteRef/>
      </w:r>
      <w:r w:rsidRPr="00457951">
        <w:rPr>
          <w:szCs w:val="18"/>
          <w:vertAlign w:val="superscript"/>
        </w:rPr>
        <w:t xml:space="preserve"> </w:t>
      </w:r>
      <w:r w:rsidRPr="00457951">
        <w:rPr>
          <w:szCs w:val="18"/>
        </w:rPr>
        <w:t>Note</w:t>
      </w:r>
      <w:r w:rsidRPr="00457951">
        <w:t xml:space="preserve"> that details of recommended revisions to the PI are beyond the scope of the </w:t>
      </w:r>
      <w:proofErr w:type="spellStart"/>
      <w:r w:rsidRPr="00457951">
        <w:t>AusPAR</w:t>
      </w:r>
      <w:proofErr w:type="spellEnd"/>
      <w:r w:rsidRPr="00457951">
        <w:t>.</w:t>
      </w:r>
    </w:p>
  </w:footnote>
  <w:footnote w:id="20">
    <w:p w:rsidR="00721D63" w:rsidRDefault="00721D63" w:rsidP="00735B18">
      <w:pPr>
        <w:pStyle w:val="FootnoteText"/>
      </w:pPr>
      <w:r w:rsidRPr="00A139DA">
        <w:rPr>
          <w:rStyle w:val="FootnoteReference"/>
          <w:szCs w:val="18"/>
        </w:rPr>
        <w:footnoteRef/>
      </w:r>
      <w:r w:rsidRPr="00A139DA">
        <w:rPr>
          <w:rFonts w:ascii="Cambria" w:hAnsi="Cambria"/>
          <w:sz w:val="18"/>
          <w:szCs w:val="18"/>
        </w:rPr>
        <w:t xml:space="preserve"> On 28 December 2012, the FDA issued an approval letter as follows: </w:t>
      </w:r>
      <w:r w:rsidRPr="00A139DA">
        <w:rPr>
          <w:rFonts w:ascii="Cambria" w:hAnsi="Cambria"/>
          <w:i/>
          <w:sz w:val="18"/>
          <w:szCs w:val="18"/>
        </w:rPr>
        <w:t>‘ELIQUIS (</w:t>
      </w:r>
      <w:proofErr w:type="spellStart"/>
      <w:r w:rsidRPr="00A139DA">
        <w:rPr>
          <w:rFonts w:ascii="Cambria" w:hAnsi="Cambria"/>
          <w:i/>
          <w:sz w:val="18"/>
          <w:szCs w:val="18"/>
        </w:rPr>
        <w:t>apixaban</w:t>
      </w:r>
      <w:proofErr w:type="spellEnd"/>
      <w:r w:rsidRPr="00A139DA">
        <w:rPr>
          <w:rFonts w:ascii="Cambria" w:hAnsi="Cambria"/>
          <w:i/>
          <w:sz w:val="18"/>
          <w:szCs w:val="18"/>
        </w:rPr>
        <w:t xml:space="preserve">) is indicated to reduce the risk of stroke and systemic embolism in patients with </w:t>
      </w:r>
      <w:proofErr w:type="spellStart"/>
      <w:r w:rsidRPr="00A139DA">
        <w:rPr>
          <w:rFonts w:ascii="Cambria" w:hAnsi="Cambria"/>
          <w:i/>
          <w:sz w:val="18"/>
          <w:szCs w:val="18"/>
        </w:rPr>
        <w:t>nonvalvular</w:t>
      </w:r>
      <w:proofErr w:type="spellEnd"/>
      <w:r w:rsidRPr="00A139DA">
        <w:rPr>
          <w:rFonts w:ascii="Cambria" w:hAnsi="Cambria"/>
          <w:i/>
          <w:sz w:val="18"/>
          <w:szCs w:val="18"/>
        </w:rPr>
        <w:t xml:space="preserve"> </w:t>
      </w:r>
      <w:proofErr w:type="spellStart"/>
      <w:r w:rsidRPr="00A139DA">
        <w:rPr>
          <w:rFonts w:ascii="Cambria" w:hAnsi="Cambria"/>
          <w:i/>
          <w:sz w:val="18"/>
          <w:szCs w:val="18"/>
        </w:rPr>
        <w:t>atrial</w:t>
      </w:r>
      <w:proofErr w:type="spellEnd"/>
      <w:r w:rsidRPr="00A139DA">
        <w:rPr>
          <w:rFonts w:ascii="Cambria" w:hAnsi="Cambria"/>
          <w:i/>
          <w:sz w:val="18"/>
          <w:szCs w:val="18"/>
        </w:rPr>
        <w:t xml:space="preserve"> fibrillation.’</w:t>
      </w:r>
    </w:p>
  </w:footnote>
  <w:footnote w:id="21">
    <w:p w:rsidR="00721D63" w:rsidRPr="00ED3D9B" w:rsidRDefault="00721D63">
      <w:pPr>
        <w:pStyle w:val="FootnoteText"/>
        <w:rPr>
          <w:sz w:val="18"/>
          <w:szCs w:val="18"/>
        </w:rPr>
      </w:pPr>
      <w:r w:rsidRPr="00ED3D9B">
        <w:rPr>
          <w:rStyle w:val="FootnoteReference"/>
          <w:szCs w:val="18"/>
        </w:rPr>
        <w:footnoteRef/>
      </w:r>
      <w:r w:rsidRPr="00ED3D9B">
        <w:rPr>
          <w:sz w:val="18"/>
          <w:szCs w:val="18"/>
        </w:rPr>
        <w:t xml:space="preserve"> Figures provided by sponsor.</w:t>
      </w:r>
    </w:p>
  </w:footnote>
  <w:footnote w:id="22">
    <w:p w:rsidR="00721D63" w:rsidRPr="00366CE1" w:rsidRDefault="00721D63" w:rsidP="004E1ED9">
      <w:pPr>
        <w:spacing w:before="0" w:after="0" w:line="240" w:lineRule="auto"/>
        <w:rPr>
          <w:rStyle w:val="FootnoteTextChar"/>
          <w:rFonts w:eastAsia="Cambria"/>
        </w:rPr>
      </w:pPr>
      <w:r w:rsidRPr="004E1ED9">
        <w:rPr>
          <w:sz w:val="18"/>
          <w:szCs w:val="18"/>
          <w:vertAlign w:val="superscript"/>
        </w:rPr>
        <w:footnoteRef/>
      </w:r>
      <w:r w:rsidRPr="00366CE1">
        <w:rPr>
          <w:rStyle w:val="FootnoteTextChar"/>
          <w:rFonts w:eastAsia="Cambria"/>
        </w:rPr>
        <w:t xml:space="preserve"> Lopes RD et al. Efficacy and safety of </w:t>
      </w:r>
      <w:proofErr w:type="spellStart"/>
      <w:r w:rsidRPr="00366CE1">
        <w:rPr>
          <w:rStyle w:val="FootnoteTextChar"/>
          <w:rFonts w:eastAsia="Cambria"/>
        </w:rPr>
        <w:t>apixaban</w:t>
      </w:r>
      <w:proofErr w:type="spellEnd"/>
      <w:r w:rsidRPr="00366CE1">
        <w:rPr>
          <w:rStyle w:val="FootnoteTextChar"/>
          <w:rFonts w:eastAsia="Cambria"/>
        </w:rPr>
        <w:t xml:space="preserve"> compared with </w:t>
      </w:r>
      <w:proofErr w:type="spellStart"/>
      <w:r w:rsidRPr="00366CE1">
        <w:rPr>
          <w:rStyle w:val="FootnoteTextChar"/>
          <w:rFonts w:eastAsia="Cambria"/>
        </w:rPr>
        <w:t>warfarin</w:t>
      </w:r>
      <w:proofErr w:type="spellEnd"/>
      <w:r w:rsidRPr="00366CE1">
        <w:rPr>
          <w:rStyle w:val="FootnoteTextChar"/>
          <w:rFonts w:eastAsia="Cambria"/>
        </w:rPr>
        <w:t xml:space="preserve"> according to patient risk of stroke and of bleeding in </w:t>
      </w:r>
      <w:proofErr w:type="spellStart"/>
      <w:r w:rsidRPr="00366CE1">
        <w:rPr>
          <w:rStyle w:val="FootnoteTextChar"/>
          <w:rFonts w:eastAsia="Cambria"/>
        </w:rPr>
        <w:t>atrial</w:t>
      </w:r>
      <w:proofErr w:type="spellEnd"/>
      <w:r w:rsidRPr="00366CE1">
        <w:rPr>
          <w:rStyle w:val="FootnoteTextChar"/>
          <w:rFonts w:eastAsia="Cambria"/>
        </w:rPr>
        <w:t xml:space="preserve"> fibrillation: a secondary analysis of a randomised controlled trial. Lancet 2012</w:t>
      </w:r>
      <w:proofErr w:type="gramStart"/>
      <w:r w:rsidRPr="00366CE1">
        <w:rPr>
          <w:rStyle w:val="FootnoteTextChar"/>
          <w:rFonts w:eastAsia="Cambria"/>
        </w:rPr>
        <w:t>;380:1749</w:t>
      </w:r>
      <w:proofErr w:type="gramEnd"/>
      <w:r w:rsidRPr="00366CE1">
        <w:rPr>
          <w:rStyle w:val="FootnoteTextChar"/>
          <w:rFonts w:eastAsia="Cambria"/>
        </w:rPr>
        <w:t>-1758.</w:t>
      </w:r>
    </w:p>
  </w:footnote>
  <w:footnote w:id="23">
    <w:p w:rsidR="00721D63" w:rsidRPr="00366CE1" w:rsidRDefault="00721D63" w:rsidP="004E1ED9">
      <w:pPr>
        <w:spacing w:before="0" w:after="0" w:line="240" w:lineRule="auto"/>
        <w:rPr>
          <w:rStyle w:val="FootnoteTextChar"/>
          <w:rFonts w:eastAsia="Cambria"/>
        </w:rPr>
      </w:pPr>
      <w:r w:rsidRPr="004E1ED9">
        <w:rPr>
          <w:sz w:val="18"/>
          <w:szCs w:val="18"/>
          <w:vertAlign w:val="superscript"/>
        </w:rPr>
        <w:footnoteRef/>
      </w:r>
      <w:r w:rsidRPr="004E1ED9">
        <w:rPr>
          <w:sz w:val="18"/>
          <w:szCs w:val="18"/>
        </w:rPr>
        <w:t xml:space="preserve"> </w:t>
      </w:r>
      <w:r w:rsidRPr="00366CE1">
        <w:rPr>
          <w:rStyle w:val="FootnoteTextChar"/>
          <w:rFonts w:eastAsia="Cambria"/>
        </w:rPr>
        <w:t>In addition to risk factors assigned in the CHADS2 score, the CHA2DS2VASc score assigns points to additional risk factors, such as female sex, age 65–75 years, and vascular disease.</w:t>
      </w:r>
    </w:p>
  </w:footnote>
  <w:footnote w:id="24">
    <w:p w:rsidR="00721D63" w:rsidRPr="00366CE1" w:rsidRDefault="00721D63" w:rsidP="00366CE1">
      <w:pPr>
        <w:pStyle w:val="FootnoteText"/>
      </w:pPr>
      <w:r w:rsidRPr="0010294A">
        <w:rPr>
          <w:rStyle w:val="FootnoteReference"/>
          <w:szCs w:val="18"/>
        </w:rPr>
        <w:footnoteRef/>
      </w:r>
      <w:r w:rsidRPr="0010294A">
        <w:rPr>
          <w:rFonts w:ascii="Cambria" w:hAnsi="Cambria"/>
          <w:sz w:val="18"/>
          <w:szCs w:val="18"/>
        </w:rPr>
        <w:t xml:space="preserve"> </w:t>
      </w:r>
      <w:proofErr w:type="gramStart"/>
      <w:r w:rsidRPr="00366CE1">
        <w:t>Australian Government.</w:t>
      </w:r>
      <w:proofErr w:type="gramEnd"/>
      <w:r w:rsidRPr="00366CE1">
        <w:t xml:space="preserve"> </w:t>
      </w:r>
      <w:proofErr w:type="gramStart"/>
      <w:r w:rsidRPr="00366CE1">
        <w:t>Department of Health and Ageing.</w:t>
      </w:r>
      <w:proofErr w:type="gramEnd"/>
      <w:r w:rsidRPr="00366CE1">
        <w:t xml:space="preserve"> Review of anticoagulation therapies in </w:t>
      </w:r>
      <w:proofErr w:type="spellStart"/>
      <w:r w:rsidRPr="00366CE1">
        <w:t>atrial</w:t>
      </w:r>
      <w:proofErr w:type="spellEnd"/>
      <w:r w:rsidRPr="00366CE1">
        <w:t xml:space="preserve"> fibrillation. 2012, pp 13-14. Available at </w:t>
      </w:r>
      <w:r w:rsidR="00366CE1">
        <w:t>&lt;</w:t>
      </w:r>
      <w:hyperlink r:id="rId2" w:history="1">
        <w:r w:rsidRPr="00366CE1">
          <w:rPr>
            <w:color w:val="0000FF"/>
            <w:u w:val="single"/>
          </w:rPr>
          <w:t>http://www.pbs.gov.au/reviews/atrial-fibrillation-files/report-anticoagulation.pdf</w:t>
        </w:r>
      </w:hyperlink>
      <w:r w:rsidR="00366CE1">
        <w: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D4" w:rsidRDefault="004C33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63" w:rsidRDefault="00721D63" w:rsidP="00E45619">
    <w:pPr>
      <w:pStyle w:val="Header"/>
    </w:pPr>
    <w:r>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63" w:rsidRDefault="00A75D98">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721D63" w:rsidRDefault="00D027B1" w:rsidP="00593AD1">
    <w:pPr>
      <w:pStyle w:val="HeaderNoLine"/>
    </w:pPr>
    <w:r>
      <w:rPr>
        <w:noProof/>
        <w:lang w:eastAsia="en-AU"/>
      </w:rPr>
      <w:pict>
        <v:shape id="_x0000_i1025" type="#_x0000_t75" alt="Lightblue.jpg" style="width:425.2pt;height:601.2pt;visibility:visible">
          <v:imagedata r:id="rId2" o:title="Lightblu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63" w:rsidRDefault="00721D6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63" w:rsidRDefault="00721D63">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63" w:rsidRDefault="00721D63">
    <w:pPr>
      <w:pStyle w:val="Header"/>
    </w:pPr>
    <w:r>
      <w:t>Therapeutic Goods Administration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63" w:rsidRDefault="00721D6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63" w:rsidRDefault="00721D63" w:rsidP="004C33D4">
    <w:pPr>
      <w:pStyle w:val="Header"/>
      <w:pBdr>
        <w:bottom w:val="none" w:sz="0" w:space="0" w:color="auto"/>
      </w:pBdr>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63" w:rsidRDefault="00721D63" w:rsidP="006E08B3">
    <w:r>
      <w:t>Therapeutic Goods Administration</w:t>
    </w:r>
  </w:p>
  <w:p w:rsidR="00721D63" w:rsidRDefault="00721D63"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024390"/>
    <w:lvl w:ilvl="0">
      <w:start w:val="1"/>
      <w:numFmt w:val="decimal"/>
      <w:lvlText w:val="%1."/>
      <w:lvlJc w:val="left"/>
      <w:pPr>
        <w:tabs>
          <w:tab w:val="num" w:pos="1492"/>
        </w:tabs>
        <w:ind w:left="1492" w:hanging="360"/>
      </w:pPr>
    </w:lvl>
  </w:abstractNum>
  <w:abstractNum w:abstractNumId="1">
    <w:nsid w:val="FFFFFF7D"/>
    <w:multiLevelType w:val="singleLevel"/>
    <w:tmpl w:val="D2D615D0"/>
    <w:lvl w:ilvl="0">
      <w:start w:val="1"/>
      <w:numFmt w:val="decimal"/>
      <w:lvlText w:val="%1."/>
      <w:lvlJc w:val="left"/>
      <w:pPr>
        <w:tabs>
          <w:tab w:val="num" w:pos="1209"/>
        </w:tabs>
        <w:ind w:left="1209" w:hanging="360"/>
      </w:pPr>
    </w:lvl>
  </w:abstractNum>
  <w:abstractNum w:abstractNumId="2">
    <w:nsid w:val="FFFFFF7E"/>
    <w:multiLevelType w:val="singleLevel"/>
    <w:tmpl w:val="B59E2190"/>
    <w:lvl w:ilvl="0">
      <w:start w:val="1"/>
      <w:numFmt w:val="decimal"/>
      <w:lvlText w:val="%1."/>
      <w:lvlJc w:val="left"/>
      <w:pPr>
        <w:tabs>
          <w:tab w:val="num" w:pos="926"/>
        </w:tabs>
        <w:ind w:left="926" w:hanging="360"/>
      </w:pPr>
    </w:lvl>
  </w:abstractNum>
  <w:abstractNum w:abstractNumId="3">
    <w:nsid w:val="FFFFFF7F"/>
    <w:multiLevelType w:val="singleLevel"/>
    <w:tmpl w:val="8F88D358"/>
    <w:lvl w:ilvl="0">
      <w:start w:val="1"/>
      <w:numFmt w:val="decimal"/>
      <w:lvlText w:val="%1."/>
      <w:lvlJc w:val="left"/>
      <w:pPr>
        <w:tabs>
          <w:tab w:val="num" w:pos="643"/>
        </w:tabs>
        <w:ind w:left="643" w:hanging="360"/>
      </w:pPr>
    </w:lvl>
  </w:abstractNum>
  <w:abstractNum w:abstractNumId="4">
    <w:nsid w:val="FFFFFF80"/>
    <w:multiLevelType w:val="singleLevel"/>
    <w:tmpl w:val="D696B3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08B4C4"/>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954AE562"/>
    <w:lvl w:ilvl="0">
      <w:start w:val="1"/>
      <w:numFmt w:val="decimal"/>
      <w:lvlText w:val="%1."/>
      <w:lvlJc w:val="left"/>
      <w:pPr>
        <w:tabs>
          <w:tab w:val="num" w:pos="360"/>
        </w:tabs>
        <w:ind w:left="360" w:hanging="360"/>
      </w:pPr>
    </w:lvl>
  </w:abstractNum>
  <w:abstractNum w:abstractNumId="7">
    <w:nsid w:val="FFFFFF89"/>
    <w:multiLevelType w:val="singleLevel"/>
    <w:tmpl w:val="82162C54"/>
    <w:lvl w:ilvl="0">
      <w:start w:val="1"/>
      <w:numFmt w:val="bullet"/>
      <w:lvlText w:val=""/>
      <w:lvlJc w:val="left"/>
      <w:pPr>
        <w:tabs>
          <w:tab w:val="num" w:pos="360"/>
        </w:tabs>
        <w:ind w:left="360" w:hanging="360"/>
      </w:pPr>
      <w:rPr>
        <w:rFonts w:ascii="Symbol" w:hAnsi="Symbol" w:hint="default"/>
      </w:rPr>
    </w:lvl>
  </w:abstractNum>
  <w:abstractNum w:abstractNumId="8">
    <w:nsid w:val="07F60EAA"/>
    <w:multiLevelType w:val="hybridMultilevel"/>
    <w:tmpl w:val="0DE68A9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24691388"/>
    <w:multiLevelType w:val="hybridMultilevel"/>
    <w:tmpl w:val="D578E1EA"/>
    <w:lvl w:ilvl="0" w:tplc="0C09000B">
      <w:start w:val="1"/>
      <w:numFmt w:val="bullet"/>
      <w:lvlText w:val=""/>
      <w:lvlJc w:val="left"/>
      <w:pPr>
        <w:ind w:left="927" w:hanging="360"/>
      </w:pPr>
      <w:rPr>
        <w:rFonts w:ascii="Wingdings" w:hAnsi="Wingdings"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2ADE4111"/>
    <w:multiLevelType w:val="hybridMultilevel"/>
    <w:tmpl w:val="E3304E1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nsid w:val="2BFD37EB"/>
    <w:multiLevelType w:val="hybridMultilevel"/>
    <w:tmpl w:val="BE66EB1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nsid w:val="3AC02909"/>
    <w:multiLevelType w:val="multilevel"/>
    <w:tmpl w:val="0BF2B618"/>
    <w:lvl w:ilvl="0">
      <w:start w:val="1"/>
      <w:numFmt w:val="bullet"/>
      <w:pStyle w:val="Bullet2"/>
      <w:lvlText w:val="-"/>
      <w:lvlJc w:val="left"/>
      <w:pPr>
        <w:tabs>
          <w:tab w:val="num" w:pos="567"/>
        </w:tabs>
        <w:ind w:left="567" w:hanging="283"/>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E63221F"/>
    <w:multiLevelType w:val="hybridMultilevel"/>
    <w:tmpl w:val="89D6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E00A1E"/>
    <w:multiLevelType w:val="hybridMultilevel"/>
    <w:tmpl w:val="96327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EF603F3"/>
    <w:multiLevelType w:val="hybridMultilevel"/>
    <w:tmpl w:val="4A10A16A"/>
    <w:lvl w:ilvl="0" w:tplc="0C09000B">
      <w:start w:val="1"/>
      <w:numFmt w:val="bullet"/>
      <w:lvlText w:val=""/>
      <w:lvlJc w:val="left"/>
      <w:pPr>
        <w:ind w:left="927"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nsid w:val="55E577C1"/>
    <w:multiLevelType w:val="hybridMultilevel"/>
    <w:tmpl w:val="CB60A788"/>
    <w:lvl w:ilvl="0" w:tplc="A1CA2B06">
      <w:numFmt w:val="bullet"/>
      <w:lvlText w:val="-"/>
      <w:lvlJc w:val="left"/>
      <w:pPr>
        <w:ind w:left="720" w:hanging="360"/>
      </w:pPr>
      <w:rPr>
        <w:rFonts w:ascii="Cambria" w:eastAsia="MS Mincho"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569B3103"/>
    <w:multiLevelType w:val="hybridMultilevel"/>
    <w:tmpl w:val="38488820"/>
    <w:lvl w:ilvl="0" w:tplc="0C090001">
      <w:start w:val="1"/>
      <w:numFmt w:val="bullet"/>
      <w:lvlText w:val=""/>
      <w:lvlJc w:val="left"/>
      <w:pPr>
        <w:ind w:left="783"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721B4351"/>
    <w:multiLevelType w:val="hybridMultilevel"/>
    <w:tmpl w:val="9D12472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nsid w:val="75366188"/>
    <w:multiLevelType w:val="hybridMultilevel"/>
    <w:tmpl w:val="DF0EC6B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nsid w:val="7EC4729E"/>
    <w:multiLevelType w:val="hybridMultilevel"/>
    <w:tmpl w:val="D6D8B5B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0"/>
  </w:num>
  <w:num w:numId="2">
    <w:abstractNumId w:val="9"/>
  </w:num>
  <w:num w:numId="3">
    <w:abstractNumId w:val="10"/>
  </w:num>
  <w:num w:numId="4">
    <w:abstractNumId w:val="9"/>
  </w:num>
  <w:num w:numId="5">
    <w:abstractNumId w:val="18"/>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7"/>
  </w:num>
  <w:num w:numId="12">
    <w:abstractNumId w:val="23"/>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6"/>
  </w:num>
  <w:num w:numId="27">
    <w:abstractNumId w:val="3"/>
  </w:num>
  <w:num w:numId="28">
    <w:abstractNumId w:val="2"/>
  </w:num>
  <w:num w:numId="29">
    <w:abstractNumId w:val="1"/>
  </w:num>
  <w:num w:numId="30">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isplayBackgroundShape/>
  <w:proofState w:spelling="clean" w:grammar="clean"/>
  <w:attachedTemplate r:id="rId1"/>
  <w:stylePaneFormatFilter w:val="1004"/>
  <w:stylePaneSortMethod w:val="0000"/>
  <w:defaultTabStop w:val="720"/>
  <w:drawingGridHorizontalSpacing w:val="110"/>
  <w:displayHorizontalDrawingGridEvery w:val="2"/>
  <w:characterSpacingControl w:val="doNotCompress"/>
  <w:hdrShapeDefaults>
    <o:shapedefaults v:ext="edit" spidmax="55298">
      <o:colormenu v:ext="edit" fillcolor="none [3206]"/>
    </o:shapedefaults>
    <o:shapelayout v:ext="edit">
      <o:idmap v:ext="edit" data="46"/>
    </o:shapelayout>
  </w:hdrShapeDefaults>
  <w:footnotePr>
    <w:footnote w:id="-1"/>
    <w:footnote w:id="0"/>
  </w:footnotePr>
  <w:endnotePr>
    <w:endnote w:id="-1"/>
    <w:endnote w:id="0"/>
  </w:endnotePr>
  <w:compat/>
  <w:rsids>
    <w:rsidRoot w:val="00DF14B6"/>
    <w:rsid w:val="00002031"/>
    <w:rsid w:val="00003349"/>
    <w:rsid w:val="00004734"/>
    <w:rsid w:val="00006B22"/>
    <w:rsid w:val="0001276A"/>
    <w:rsid w:val="000246AE"/>
    <w:rsid w:val="00025C67"/>
    <w:rsid w:val="0003679C"/>
    <w:rsid w:val="00052EF3"/>
    <w:rsid w:val="0005418A"/>
    <w:rsid w:val="0005559E"/>
    <w:rsid w:val="0005675D"/>
    <w:rsid w:val="000631CF"/>
    <w:rsid w:val="00071C0C"/>
    <w:rsid w:val="0007289E"/>
    <w:rsid w:val="00077775"/>
    <w:rsid w:val="00090471"/>
    <w:rsid w:val="00095694"/>
    <w:rsid w:val="000A3AED"/>
    <w:rsid w:val="000B3532"/>
    <w:rsid w:val="000B3A75"/>
    <w:rsid w:val="000B60F6"/>
    <w:rsid w:val="000C2569"/>
    <w:rsid w:val="000C690F"/>
    <w:rsid w:val="000D1295"/>
    <w:rsid w:val="000D391B"/>
    <w:rsid w:val="000D3D6D"/>
    <w:rsid w:val="000D4FC7"/>
    <w:rsid w:val="000E4AA3"/>
    <w:rsid w:val="000F11F5"/>
    <w:rsid w:val="000F4869"/>
    <w:rsid w:val="000F5B42"/>
    <w:rsid w:val="000F6E6F"/>
    <w:rsid w:val="001021F9"/>
    <w:rsid w:val="0010294A"/>
    <w:rsid w:val="0010601F"/>
    <w:rsid w:val="0010788A"/>
    <w:rsid w:val="00107A31"/>
    <w:rsid w:val="00110EA5"/>
    <w:rsid w:val="00112F56"/>
    <w:rsid w:val="00113CC4"/>
    <w:rsid w:val="00116F6A"/>
    <w:rsid w:val="00125318"/>
    <w:rsid w:val="00126161"/>
    <w:rsid w:val="001305A2"/>
    <w:rsid w:val="001317FC"/>
    <w:rsid w:val="00133238"/>
    <w:rsid w:val="0013497B"/>
    <w:rsid w:val="0014197B"/>
    <w:rsid w:val="0014479A"/>
    <w:rsid w:val="001447CD"/>
    <w:rsid w:val="00145FDE"/>
    <w:rsid w:val="001516B1"/>
    <w:rsid w:val="001528E2"/>
    <w:rsid w:val="00154EBB"/>
    <w:rsid w:val="00156316"/>
    <w:rsid w:val="001576B1"/>
    <w:rsid w:val="00160F84"/>
    <w:rsid w:val="00165389"/>
    <w:rsid w:val="00165AAE"/>
    <w:rsid w:val="0017253A"/>
    <w:rsid w:val="001759D0"/>
    <w:rsid w:val="0017693F"/>
    <w:rsid w:val="0018110E"/>
    <w:rsid w:val="00181684"/>
    <w:rsid w:val="001843C6"/>
    <w:rsid w:val="001850E0"/>
    <w:rsid w:val="001966E4"/>
    <w:rsid w:val="001A2158"/>
    <w:rsid w:val="001A4168"/>
    <w:rsid w:val="001A525F"/>
    <w:rsid w:val="001B09F9"/>
    <w:rsid w:val="001B6448"/>
    <w:rsid w:val="001C7625"/>
    <w:rsid w:val="001D7B7D"/>
    <w:rsid w:val="001E07CF"/>
    <w:rsid w:val="001E59F1"/>
    <w:rsid w:val="001F49EB"/>
    <w:rsid w:val="001F6CBA"/>
    <w:rsid w:val="002006D4"/>
    <w:rsid w:val="00201D4E"/>
    <w:rsid w:val="002076C9"/>
    <w:rsid w:val="00210662"/>
    <w:rsid w:val="0021475A"/>
    <w:rsid w:val="0021675F"/>
    <w:rsid w:val="00220B8A"/>
    <w:rsid w:val="002257F3"/>
    <w:rsid w:val="0023030D"/>
    <w:rsid w:val="00233456"/>
    <w:rsid w:val="002339A5"/>
    <w:rsid w:val="00237E9F"/>
    <w:rsid w:val="0024390D"/>
    <w:rsid w:val="00251D09"/>
    <w:rsid w:val="00257848"/>
    <w:rsid w:val="00257860"/>
    <w:rsid w:val="00263169"/>
    <w:rsid w:val="0027084A"/>
    <w:rsid w:val="00286434"/>
    <w:rsid w:val="00286C59"/>
    <w:rsid w:val="00292C8E"/>
    <w:rsid w:val="002942D1"/>
    <w:rsid w:val="0029501A"/>
    <w:rsid w:val="002963D8"/>
    <w:rsid w:val="00297F63"/>
    <w:rsid w:val="002A0CFA"/>
    <w:rsid w:val="002B0391"/>
    <w:rsid w:val="002B1638"/>
    <w:rsid w:val="002B187E"/>
    <w:rsid w:val="002E4C9A"/>
    <w:rsid w:val="002E6A83"/>
    <w:rsid w:val="002F0FF8"/>
    <w:rsid w:val="002F11F8"/>
    <w:rsid w:val="002F1D65"/>
    <w:rsid w:val="002F3F56"/>
    <w:rsid w:val="002F44B5"/>
    <w:rsid w:val="002F6EC7"/>
    <w:rsid w:val="0030605E"/>
    <w:rsid w:val="0031039E"/>
    <w:rsid w:val="00311AC0"/>
    <w:rsid w:val="00311FAD"/>
    <w:rsid w:val="0032160F"/>
    <w:rsid w:val="00323F81"/>
    <w:rsid w:val="0032583B"/>
    <w:rsid w:val="00327883"/>
    <w:rsid w:val="003332A7"/>
    <w:rsid w:val="003333E1"/>
    <w:rsid w:val="00335504"/>
    <w:rsid w:val="00340ED5"/>
    <w:rsid w:val="00341B29"/>
    <w:rsid w:val="003521E8"/>
    <w:rsid w:val="00366CE1"/>
    <w:rsid w:val="003728F3"/>
    <w:rsid w:val="003745F6"/>
    <w:rsid w:val="0037496E"/>
    <w:rsid w:val="00386150"/>
    <w:rsid w:val="003874CE"/>
    <w:rsid w:val="00390900"/>
    <w:rsid w:val="003945E3"/>
    <w:rsid w:val="003A6416"/>
    <w:rsid w:val="003A7F6C"/>
    <w:rsid w:val="003B0DAC"/>
    <w:rsid w:val="003B4D60"/>
    <w:rsid w:val="003B5B4F"/>
    <w:rsid w:val="003B64E4"/>
    <w:rsid w:val="003B7E39"/>
    <w:rsid w:val="003C30E3"/>
    <w:rsid w:val="003C421F"/>
    <w:rsid w:val="003C58DC"/>
    <w:rsid w:val="003D1E62"/>
    <w:rsid w:val="003D25DF"/>
    <w:rsid w:val="003D2D79"/>
    <w:rsid w:val="003E2486"/>
    <w:rsid w:val="003E3208"/>
    <w:rsid w:val="003F0B04"/>
    <w:rsid w:val="0040134E"/>
    <w:rsid w:val="004137CE"/>
    <w:rsid w:val="004218BC"/>
    <w:rsid w:val="0042349C"/>
    <w:rsid w:val="00432588"/>
    <w:rsid w:val="00435ADF"/>
    <w:rsid w:val="00440210"/>
    <w:rsid w:val="00440A2D"/>
    <w:rsid w:val="00443A2A"/>
    <w:rsid w:val="00445C1F"/>
    <w:rsid w:val="004535DD"/>
    <w:rsid w:val="004564A7"/>
    <w:rsid w:val="00457951"/>
    <w:rsid w:val="00457B9B"/>
    <w:rsid w:val="004617BF"/>
    <w:rsid w:val="00463658"/>
    <w:rsid w:val="004722CC"/>
    <w:rsid w:val="00474F81"/>
    <w:rsid w:val="00483910"/>
    <w:rsid w:val="004936E4"/>
    <w:rsid w:val="00494E60"/>
    <w:rsid w:val="00497487"/>
    <w:rsid w:val="004A51F4"/>
    <w:rsid w:val="004B7B76"/>
    <w:rsid w:val="004C2DCA"/>
    <w:rsid w:val="004C33D4"/>
    <w:rsid w:val="004C6209"/>
    <w:rsid w:val="004E1ED9"/>
    <w:rsid w:val="004E4E4B"/>
    <w:rsid w:val="004F0F38"/>
    <w:rsid w:val="004F5311"/>
    <w:rsid w:val="004F6447"/>
    <w:rsid w:val="00501110"/>
    <w:rsid w:val="00501921"/>
    <w:rsid w:val="00517AEC"/>
    <w:rsid w:val="00520FDC"/>
    <w:rsid w:val="00523CA4"/>
    <w:rsid w:val="00530354"/>
    <w:rsid w:val="0053625B"/>
    <w:rsid w:val="005434C6"/>
    <w:rsid w:val="00543B39"/>
    <w:rsid w:val="00550096"/>
    <w:rsid w:val="00551160"/>
    <w:rsid w:val="00553837"/>
    <w:rsid w:val="00557FF9"/>
    <w:rsid w:val="00560655"/>
    <w:rsid w:val="00576378"/>
    <w:rsid w:val="00577945"/>
    <w:rsid w:val="00577E38"/>
    <w:rsid w:val="005824CB"/>
    <w:rsid w:val="00585322"/>
    <w:rsid w:val="005857C6"/>
    <w:rsid w:val="00592F6E"/>
    <w:rsid w:val="00593AD1"/>
    <w:rsid w:val="005A68B6"/>
    <w:rsid w:val="005A775D"/>
    <w:rsid w:val="005B0418"/>
    <w:rsid w:val="005B4AB0"/>
    <w:rsid w:val="005C5570"/>
    <w:rsid w:val="005C79A4"/>
    <w:rsid w:val="005D211C"/>
    <w:rsid w:val="005D31D7"/>
    <w:rsid w:val="005D5442"/>
    <w:rsid w:val="005D67D1"/>
    <w:rsid w:val="005E088C"/>
    <w:rsid w:val="005E42C7"/>
    <w:rsid w:val="005E447C"/>
    <w:rsid w:val="00600844"/>
    <w:rsid w:val="00603F32"/>
    <w:rsid w:val="00605F9B"/>
    <w:rsid w:val="006118AD"/>
    <w:rsid w:val="0061635C"/>
    <w:rsid w:val="00632398"/>
    <w:rsid w:val="006331CC"/>
    <w:rsid w:val="00637439"/>
    <w:rsid w:val="00640FC3"/>
    <w:rsid w:val="00642020"/>
    <w:rsid w:val="00642C74"/>
    <w:rsid w:val="00645851"/>
    <w:rsid w:val="00652554"/>
    <w:rsid w:val="0065337B"/>
    <w:rsid w:val="00653A72"/>
    <w:rsid w:val="0065419D"/>
    <w:rsid w:val="006604D8"/>
    <w:rsid w:val="00664A5B"/>
    <w:rsid w:val="00674ABE"/>
    <w:rsid w:val="006763D2"/>
    <w:rsid w:val="00680C08"/>
    <w:rsid w:val="00681E3F"/>
    <w:rsid w:val="006910E0"/>
    <w:rsid w:val="006931B1"/>
    <w:rsid w:val="006A15C0"/>
    <w:rsid w:val="006A265E"/>
    <w:rsid w:val="006A4CFF"/>
    <w:rsid w:val="006A6EF2"/>
    <w:rsid w:val="006B010E"/>
    <w:rsid w:val="006B7BF2"/>
    <w:rsid w:val="006C05FE"/>
    <w:rsid w:val="006C291C"/>
    <w:rsid w:val="006C3E2A"/>
    <w:rsid w:val="006C642F"/>
    <w:rsid w:val="006D03E5"/>
    <w:rsid w:val="006D0CE4"/>
    <w:rsid w:val="006D5D3E"/>
    <w:rsid w:val="006D7B88"/>
    <w:rsid w:val="006E08B3"/>
    <w:rsid w:val="006E27C0"/>
    <w:rsid w:val="006F17AC"/>
    <w:rsid w:val="006F4599"/>
    <w:rsid w:val="006F572E"/>
    <w:rsid w:val="00703DC3"/>
    <w:rsid w:val="007046D6"/>
    <w:rsid w:val="00705DB0"/>
    <w:rsid w:val="007110B1"/>
    <w:rsid w:val="007176F0"/>
    <w:rsid w:val="007217F6"/>
    <w:rsid w:val="00721D63"/>
    <w:rsid w:val="00722B57"/>
    <w:rsid w:val="0073596D"/>
    <w:rsid w:val="00735B18"/>
    <w:rsid w:val="00735E8F"/>
    <w:rsid w:val="00740941"/>
    <w:rsid w:val="0074253D"/>
    <w:rsid w:val="0074429B"/>
    <w:rsid w:val="00745617"/>
    <w:rsid w:val="0075052F"/>
    <w:rsid w:val="0075388E"/>
    <w:rsid w:val="007551CA"/>
    <w:rsid w:val="00757C28"/>
    <w:rsid w:val="007615BC"/>
    <w:rsid w:val="00762CC6"/>
    <w:rsid w:val="00762F05"/>
    <w:rsid w:val="007652FF"/>
    <w:rsid w:val="007669EC"/>
    <w:rsid w:val="00770EF1"/>
    <w:rsid w:val="00773EF7"/>
    <w:rsid w:val="007742C4"/>
    <w:rsid w:val="00774E1D"/>
    <w:rsid w:val="007756E4"/>
    <w:rsid w:val="0077673E"/>
    <w:rsid w:val="0077675A"/>
    <w:rsid w:val="00780355"/>
    <w:rsid w:val="00780F66"/>
    <w:rsid w:val="00785721"/>
    <w:rsid w:val="0079142B"/>
    <w:rsid w:val="00792921"/>
    <w:rsid w:val="00793A59"/>
    <w:rsid w:val="0079626D"/>
    <w:rsid w:val="007B6E9F"/>
    <w:rsid w:val="007C1216"/>
    <w:rsid w:val="007C1AF7"/>
    <w:rsid w:val="007C1C63"/>
    <w:rsid w:val="007E5277"/>
    <w:rsid w:val="007F3D33"/>
    <w:rsid w:val="007F5C84"/>
    <w:rsid w:val="00805D27"/>
    <w:rsid w:val="00815C43"/>
    <w:rsid w:val="00816BFD"/>
    <w:rsid w:val="0081777B"/>
    <w:rsid w:val="00821776"/>
    <w:rsid w:val="008259CF"/>
    <w:rsid w:val="008321F5"/>
    <w:rsid w:val="00832369"/>
    <w:rsid w:val="00834660"/>
    <w:rsid w:val="00836BC2"/>
    <w:rsid w:val="00840E53"/>
    <w:rsid w:val="00846304"/>
    <w:rsid w:val="0085641B"/>
    <w:rsid w:val="00857136"/>
    <w:rsid w:val="00860969"/>
    <w:rsid w:val="0086319A"/>
    <w:rsid w:val="00865546"/>
    <w:rsid w:val="00865981"/>
    <w:rsid w:val="00886D15"/>
    <w:rsid w:val="00887269"/>
    <w:rsid w:val="00887DD8"/>
    <w:rsid w:val="00891C38"/>
    <w:rsid w:val="00896018"/>
    <w:rsid w:val="008960DD"/>
    <w:rsid w:val="0089635C"/>
    <w:rsid w:val="00896E36"/>
    <w:rsid w:val="008A0F85"/>
    <w:rsid w:val="008A2B9D"/>
    <w:rsid w:val="008A32E8"/>
    <w:rsid w:val="008A5E0B"/>
    <w:rsid w:val="008A6D59"/>
    <w:rsid w:val="008A774D"/>
    <w:rsid w:val="008B0657"/>
    <w:rsid w:val="008B4B03"/>
    <w:rsid w:val="008B596F"/>
    <w:rsid w:val="008B6DF4"/>
    <w:rsid w:val="008C159F"/>
    <w:rsid w:val="008C1623"/>
    <w:rsid w:val="008C1850"/>
    <w:rsid w:val="008C51A9"/>
    <w:rsid w:val="008C673F"/>
    <w:rsid w:val="008D1F76"/>
    <w:rsid w:val="008D226D"/>
    <w:rsid w:val="008D4CE4"/>
    <w:rsid w:val="008D5CF7"/>
    <w:rsid w:val="008D6729"/>
    <w:rsid w:val="008E1818"/>
    <w:rsid w:val="008E6353"/>
    <w:rsid w:val="008E7846"/>
    <w:rsid w:val="008F1CCC"/>
    <w:rsid w:val="008F2967"/>
    <w:rsid w:val="008F2DC5"/>
    <w:rsid w:val="008F6943"/>
    <w:rsid w:val="00900C44"/>
    <w:rsid w:val="00902A21"/>
    <w:rsid w:val="009048BA"/>
    <w:rsid w:val="009138E6"/>
    <w:rsid w:val="00920330"/>
    <w:rsid w:val="009219D7"/>
    <w:rsid w:val="00922D53"/>
    <w:rsid w:val="00923B70"/>
    <w:rsid w:val="00924482"/>
    <w:rsid w:val="00925BCB"/>
    <w:rsid w:val="00930237"/>
    <w:rsid w:val="00937BDA"/>
    <w:rsid w:val="00946EA5"/>
    <w:rsid w:val="0095170D"/>
    <w:rsid w:val="00963C08"/>
    <w:rsid w:val="009650BD"/>
    <w:rsid w:val="009670B3"/>
    <w:rsid w:val="0097304B"/>
    <w:rsid w:val="0098585A"/>
    <w:rsid w:val="00993658"/>
    <w:rsid w:val="009A0C40"/>
    <w:rsid w:val="009A4CED"/>
    <w:rsid w:val="009A690D"/>
    <w:rsid w:val="009B1D12"/>
    <w:rsid w:val="009B416B"/>
    <w:rsid w:val="009C1144"/>
    <w:rsid w:val="009C1E35"/>
    <w:rsid w:val="009C4BD5"/>
    <w:rsid w:val="009D118C"/>
    <w:rsid w:val="009D7B77"/>
    <w:rsid w:val="009E0BB0"/>
    <w:rsid w:val="009E3FBB"/>
    <w:rsid w:val="009F0CA4"/>
    <w:rsid w:val="009F2094"/>
    <w:rsid w:val="009F2C71"/>
    <w:rsid w:val="00A00E5F"/>
    <w:rsid w:val="00A04B46"/>
    <w:rsid w:val="00A05170"/>
    <w:rsid w:val="00A102E4"/>
    <w:rsid w:val="00A12C42"/>
    <w:rsid w:val="00A139DA"/>
    <w:rsid w:val="00A14DF7"/>
    <w:rsid w:val="00A210E5"/>
    <w:rsid w:val="00A242DE"/>
    <w:rsid w:val="00A245F5"/>
    <w:rsid w:val="00A2637C"/>
    <w:rsid w:val="00A3246D"/>
    <w:rsid w:val="00A36FA7"/>
    <w:rsid w:val="00A475B7"/>
    <w:rsid w:val="00A47AF7"/>
    <w:rsid w:val="00A47C3E"/>
    <w:rsid w:val="00A50226"/>
    <w:rsid w:val="00A573D0"/>
    <w:rsid w:val="00A60BAD"/>
    <w:rsid w:val="00A7244B"/>
    <w:rsid w:val="00A74C79"/>
    <w:rsid w:val="00A7549E"/>
    <w:rsid w:val="00A75D98"/>
    <w:rsid w:val="00A76746"/>
    <w:rsid w:val="00A868A3"/>
    <w:rsid w:val="00A964D1"/>
    <w:rsid w:val="00AA0ED0"/>
    <w:rsid w:val="00AA300D"/>
    <w:rsid w:val="00AB60B1"/>
    <w:rsid w:val="00AC2270"/>
    <w:rsid w:val="00AC24A3"/>
    <w:rsid w:val="00AC2B40"/>
    <w:rsid w:val="00AC2BB2"/>
    <w:rsid w:val="00AC2C3C"/>
    <w:rsid w:val="00AC512D"/>
    <w:rsid w:val="00AD2366"/>
    <w:rsid w:val="00AD59F1"/>
    <w:rsid w:val="00AE062A"/>
    <w:rsid w:val="00AE65EB"/>
    <w:rsid w:val="00AE67A7"/>
    <w:rsid w:val="00AF1D94"/>
    <w:rsid w:val="00AF4AEA"/>
    <w:rsid w:val="00AF5E3E"/>
    <w:rsid w:val="00AF60C5"/>
    <w:rsid w:val="00B009C6"/>
    <w:rsid w:val="00B01548"/>
    <w:rsid w:val="00B02983"/>
    <w:rsid w:val="00B21D29"/>
    <w:rsid w:val="00B25034"/>
    <w:rsid w:val="00B26A22"/>
    <w:rsid w:val="00B33588"/>
    <w:rsid w:val="00B33863"/>
    <w:rsid w:val="00B37D17"/>
    <w:rsid w:val="00B4175E"/>
    <w:rsid w:val="00B452CE"/>
    <w:rsid w:val="00B454FC"/>
    <w:rsid w:val="00B50AF7"/>
    <w:rsid w:val="00B52C7A"/>
    <w:rsid w:val="00B54C25"/>
    <w:rsid w:val="00B75ECE"/>
    <w:rsid w:val="00B76B91"/>
    <w:rsid w:val="00B775DE"/>
    <w:rsid w:val="00B77EB1"/>
    <w:rsid w:val="00B811C6"/>
    <w:rsid w:val="00B846C3"/>
    <w:rsid w:val="00B92E08"/>
    <w:rsid w:val="00B968EC"/>
    <w:rsid w:val="00BA0115"/>
    <w:rsid w:val="00BA1D34"/>
    <w:rsid w:val="00BB21C2"/>
    <w:rsid w:val="00BC16C6"/>
    <w:rsid w:val="00BC622A"/>
    <w:rsid w:val="00BD1DB4"/>
    <w:rsid w:val="00BE014D"/>
    <w:rsid w:val="00BE0A78"/>
    <w:rsid w:val="00BE1C93"/>
    <w:rsid w:val="00BE79F0"/>
    <w:rsid w:val="00BE7B23"/>
    <w:rsid w:val="00BF046D"/>
    <w:rsid w:val="00BF1190"/>
    <w:rsid w:val="00BF5D04"/>
    <w:rsid w:val="00C1164D"/>
    <w:rsid w:val="00C16861"/>
    <w:rsid w:val="00C219F6"/>
    <w:rsid w:val="00C24F6F"/>
    <w:rsid w:val="00C404A6"/>
    <w:rsid w:val="00C40A36"/>
    <w:rsid w:val="00C44419"/>
    <w:rsid w:val="00C45E7B"/>
    <w:rsid w:val="00C460EB"/>
    <w:rsid w:val="00C471B1"/>
    <w:rsid w:val="00C56FBB"/>
    <w:rsid w:val="00C60B7F"/>
    <w:rsid w:val="00C62B13"/>
    <w:rsid w:val="00C6316B"/>
    <w:rsid w:val="00C634A9"/>
    <w:rsid w:val="00C64586"/>
    <w:rsid w:val="00C70D53"/>
    <w:rsid w:val="00C73D0B"/>
    <w:rsid w:val="00C772FF"/>
    <w:rsid w:val="00C801AF"/>
    <w:rsid w:val="00C80256"/>
    <w:rsid w:val="00C8640B"/>
    <w:rsid w:val="00C91B3B"/>
    <w:rsid w:val="00CB0970"/>
    <w:rsid w:val="00CB6BC0"/>
    <w:rsid w:val="00CC086F"/>
    <w:rsid w:val="00CC1B7C"/>
    <w:rsid w:val="00CC4CB2"/>
    <w:rsid w:val="00CC727F"/>
    <w:rsid w:val="00CD15CA"/>
    <w:rsid w:val="00CD2499"/>
    <w:rsid w:val="00CE7AF2"/>
    <w:rsid w:val="00CF15C3"/>
    <w:rsid w:val="00CF2B6F"/>
    <w:rsid w:val="00CF58B6"/>
    <w:rsid w:val="00D017ED"/>
    <w:rsid w:val="00D01C1A"/>
    <w:rsid w:val="00D027B1"/>
    <w:rsid w:val="00D03357"/>
    <w:rsid w:val="00D040D3"/>
    <w:rsid w:val="00D04C65"/>
    <w:rsid w:val="00D06C58"/>
    <w:rsid w:val="00D17FC6"/>
    <w:rsid w:val="00D20423"/>
    <w:rsid w:val="00D2107D"/>
    <w:rsid w:val="00D224FE"/>
    <w:rsid w:val="00D23650"/>
    <w:rsid w:val="00D25EFD"/>
    <w:rsid w:val="00D349CE"/>
    <w:rsid w:val="00D47DEF"/>
    <w:rsid w:val="00D505AD"/>
    <w:rsid w:val="00D6493E"/>
    <w:rsid w:val="00D67FAF"/>
    <w:rsid w:val="00D7301E"/>
    <w:rsid w:val="00D8178F"/>
    <w:rsid w:val="00D83AE1"/>
    <w:rsid w:val="00D84F89"/>
    <w:rsid w:val="00D855D4"/>
    <w:rsid w:val="00D85DA0"/>
    <w:rsid w:val="00D93466"/>
    <w:rsid w:val="00D97311"/>
    <w:rsid w:val="00DA1124"/>
    <w:rsid w:val="00DA4CD2"/>
    <w:rsid w:val="00DB06A5"/>
    <w:rsid w:val="00DB3155"/>
    <w:rsid w:val="00DB75B7"/>
    <w:rsid w:val="00DC67D7"/>
    <w:rsid w:val="00DC6E02"/>
    <w:rsid w:val="00DD0BDB"/>
    <w:rsid w:val="00DD46B0"/>
    <w:rsid w:val="00DD5B34"/>
    <w:rsid w:val="00DD5C59"/>
    <w:rsid w:val="00DE02AE"/>
    <w:rsid w:val="00DE4B57"/>
    <w:rsid w:val="00DE5B33"/>
    <w:rsid w:val="00DE67F2"/>
    <w:rsid w:val="00DF14B6"/>
    <w:rsid w:val="00DF1D7F"/>
    <w:rsid w:val="00DF4BE4"/>
    <w:rsid w:val="00E02FB4"/>
    <w:rsid w:val="00E036AC"/>
    <w:rsid w:val="00E11B1F"/>
    <w:rsid w:val="00E12F88"/>
    <w:rsid w:val="00E13AC8"/>
    <w:rsid w:val="00E20571"/>
    <w:rsid w:val="00E235F7"/>
    <w:rsid w:val="00E23659"/>
    <w:rsid w:val="00E239D4"/>
    <w:rsid w:val="00E251E0"/>
    <w:rsid w:val="00E26130"/>
    <w:rsid w:val="00E40B22"/>
    <w:rsid w:val="00E4410D"/>
    <w:rsid w:val="00E45619"/>
    <w:rsid w:val="00E4588F"/>
    <w:rsid w:val="00E46DA3"/>
    <w:rsid w:val="00E50971"/>
    <w:rsid w:val="00E51BB1"/>
    <w:rsid w:val="00E527F6"/>
    <w:rsid w:val="00E624A5"/>
    <w:rsid w:val="00E64405"/>
    <w:rsid w:val="00E7344E"/>
    <w:rsid w:val="00EA5A6A"/>
    <w:rsid w:val="00EB0798"/>
    <w:rsid w:val="00EB1FDA"/>
    <w:rsid w:val="00EB40AD"/>
    <w:rsid w:val="00EB586E"/>
    <w:rsid w:val="00EB5FC8"/>
    <w:rsid w:val="00ED12FC"/>
    <w:rsid w:val="00ED3CAD"/>
    <w:rsid w:val="00ED3D9B"/>
    <w:rsid w:val="00ED587E"/>
    <w:rsid w:val="00ED5A41"/>
    <w:rsid w:val="00EE1DE8"/>
    <w:rsid w:val="00EE4727"/>
    <w:rsid w:val="00EF459E"/>
    <w:rsid w:val="00EF6FA5"/>
    <w:rsid w:val="00F033EC"/>
    <w:rsid w:val="00F04F68"/>
    <w:rsid w:val="00F12670"/>
    <w:rsid w:val="00F14910"/>
    <w:rsid w:val="00F14B27"/>
    <w:rsid w:val="00F30696"/>
    <w:rsid w:val="00F3148D"/>
    <w:rsid w:val="00F325C5"/>
    <w:rsid w:val="00F32FE0"/>
    <w:rsid w:val="00F35298"/>
    <w:rsid w:val="00F41964"/>
    <w:rsid w:val="00F43422"/>
    <w:rsid w:val="00F47333"/>
    <w:rsid w:val="00F47E37"/>
    <w:rsid w:val="00F53C07"/>
    <w:rsid w:val="00F53ED8"/>
    <w:rsid w:val="00F54B65"/>
    <w:rsid w:val="00F560E1"/>
    <w:rsid w:val="00F609B8"/>
    <w:rsid w:val="00F640B6"/>
    <w:rsid w:val="00F67742"/>
    <w:rsid w:val="00F73250"/>
    <w:rsid w:val="00F80E40"/>
    <w:rsid w:val="00F848D9"/>
    <w:rsid w:val="00F8659B"/>
    <w:rsid w:val="00F8697F"/>
    <w:rsid w:val="00F86EC9"/>
    <w:rsid w:val="00F971B7"/>
    <w:rsid w:val="00FA022E"/>
    <w:rsid w:val="00FA09EC"/>
    <w:rsid w:val="00FA5B82"/>
    <w:rsid w:val="00FA639E"/>
    <w:rsid w:val="00FC25E4"/>
    <w:rsid w:val="00FC4EF7"/>
    <w:rsid w:val="00FD0908"/>
    <w:rsid w:val="00FE04BD"/>
    <w:rsid w:val="00FE1DEE"/>
    <w:rsid w:val="00FE3625"/>
    <w:rsid w:val="00FE4B72"/>
    <w:rsid w:val="00FF2126"/>
    <w:rsid w:val="00FF5755"/>
    <w:rsid w:val="00FF69BE"/>
    <w:rsid w:val="00FF788B"/>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8">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6CE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4722CC"/>
    <w:pPr>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4722CC"/>
    <w:pPr>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FE4B7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D1F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uiPriority w:val="99"/>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29501A"/>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Normal"/>
    <w:qFormat/>
    <w:rsid w:val="00E50971"/>
    <w:pPr>
      <w:keepNext/>
      <w:spacing w:before="0" w:after="0" w:line="240" w:lineRule="auto"/>
    </w:pPr>
    <w:rPr>
      <w:sz w:val="18"/>
      <w:szCs w:val="18"/>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ListParagraph">
    <w:name w:val="List Paragraph"/>
    <w:basedOn w:val="Normal"/>
    <w:uiPriority w:val="34"/>
    <w:qFormat/>
    <w:rsid w:val="006D7B88"/>
    <w:pPr>
      <w:spacing w:before="0" w:after="0" w:line="240" w:lineRule="auto"/>
      <w:ind w:left="720"/>
    </w:pPr>
    <w:rPr>
      <w:rFonts w:ascii="Times New Roman" w:eastAsia="Times New Roman" w:hAnsi="Times New Roman"/>
      <w:sz w:val="24"/>
      <w:szCs w:val="20"/>
      <w:lang w:eastAsia="en-AU"/>
    </w:rPr>
  </w:style>
  <w:style w:type="paragraph" w:customStyle="1" w:styleId="Standard">
    <w:name w:val="Standard"/>
    <w:basedOn w:val="Normal"/>
    <w:link w:val="StandardChar"/>
    <w:rsid w:val="0075052F"/>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75052F"/>
    <w:rPr>
      <w:rFonts w:ascii="Cambria" w:eastAsia="Times New Roman" w:hAnsi="Cambria" w:cs="Times New Roman"/>
      <w:snapToGrid w:val="0"/>
      <w:kern w:val="16"/>
      <w:sz w:val="23"/>
      <w:szCs w:val="24"/>
    </w:rPr>
  </w:style>
  <w:style w:type="paragraph" w:customStyle="1" w:styleId="Bulletpoint">
    <w:name w:val="Bullet point"/>
    <w:basedOn w:val="Standard"/>
    <w:rsid w:val="0075052F"/>
    <w:pPr>
      <w:numPr>
        <w:numId w:val="5"/>
      </w:numPr>
      <w:tabs>
        <w:tab w:val="clear" w:pos="369"/>
        <w:tab w:val="left" w:pos="397"/>
        <w:tab w:val="num" w:pos="511"/>
      </w:tabs>
      <w:spacing w:after="180"/>
      <w:ind w:left="397" w:firstLine="0"/>
    </w:pPr>
  </w:style>
  <w:style w:type="character" w:styleId="FootnoteReference">
    <w:name w:val="footnote reference"/>
    <w:basedOn w:val="DefaultParagraphFont"/>
    <w:semiHidden/>
    <w:rsid w:val="00311FAD"/>
    <w:rPr>
      <w:rFonts w:ascii="Cambria" w:hAnsi="Cambria"/>
      <w:sz w:val="18"/>
      <w:vertAlign w:val="superscript"/>
    </w:rPr>
  </w:style>
  <w:style w:type="paragraph" w:customStyle="1" w:styleId="AssessmentSubsection">
    <w:name w:val="Assessment Subsection"/>
    <w:basedOn w:val="Standard"/>
    <w:next w:val="Standard"/>
    <w:rsid w:val="0075052F"/>
    <w:pPr>
      <w:keepNext/>
      <w:spacing w:after="110"/>
      <w:outlineLvl w:val="2"/>
    </w:pPr>
    <w:rPr>
      <w:b/>
      <w:i/>
    </w:rPr>
  </w:style>
  <w:style w:type="paragraph" w:styleId="FootnoteText">
    <w:name w:val="footnote text"/>
    <w:basedOn w:val="Normal"/>
    <w:link w:val="FootnoteTextChar"/>
    <w:semiHidden/>
    <w:rsid w:val="0075052F"/>
    <w:pPr>
      <w:widowControl w:val="0"/>
      <w:spacing w:before="0" w:after="0" w:line="240" w:lineRule="auto"/>
      <w:ind w:left="113" w:hanging="113"/>
    </w:pPr>
    <w:rPr>
      <w:rFonts w:asciiTheme="minorHAnsi" w:eastAsia="Times New Roman" w:hAnsiTheme="minorHAnsi"/>
      <w:snapToGrid w:val="0"/>
      <w:sz w:val="19"/>
      <w:szCs w:val="20"/>
    </w:rPr>
  </w:style>
  <w:style w:type="character" w:customStyle="1" w:styleId="FootnoteTextChar">
    <w:name w:val="Footnote Text Char"/>
    <w:basedOn w:val="DefaultParagraphFont"/>
    <w:link w:val="FootnoteText"/>
    <w:semiHidden/>
    <w:rsid w:val="0075052F"/>
    <w:rPr>
      <w:rFonts w:eastAsia="Times New Roman" w:cs="Times New Roman"/>
      <w:snapToGrid w:val="0"/>
      <w:sz w:val="19"/>
      <w:szCs w:val="20"/>
    </w:rPr>
  </w:style>
  <w:style w:type="paragraph" w:customStyle="1" w:styleId="AssessmentSubsection2">
    <w:name w:val="Assessment Subsection 2"/>
    <w:basedOn w:val="AssessmentSubsection"/>
    <w:next w:val="Standard"/>
    <w:rsid w:val="0075052F"/>
    <w:pPr>
      <w:outlineLvl w:val="3"/>
    </w:pPr>
    <w:rPr>
      <w:b w:val="0"/>
    </w:rPr>
  </w:style>
  <w:style w:type="character" w:customStyle="1" w:styleId="TabletextChar">
    <w:name w:val="Table text Char"/>
    <w:basedOn w:val="DefaultParagraphFont"/>
    <w:link w:val="Tabletext"/>
    <w:rsid w:val="0075052F"/>
    <w:rPr>
      <w:rFonts w:ascii="Cambria" w:eastAsia="Cambria" w:hAnsi="Cambria" w:cs="Times New Roman"/>
      <w:sz w:val="19"/>
    </w:rPr>
  </w:style>
  <w:style w:type="paragraph" w:customStyle="1" w:styleId="AssessmentSection">
    <w:name w:val="Assessment Section"/>
    <w:basedOn w:val="AssessmentSubsection"/>
    <w:next w:val="Standard"/>
    <w:rsid w:val="003945E3"/>
    <w:pPr>
      <w:outlineLvl w:val="1"/>
    </w:pPr>
    <w:rPr>
      <w:i w:val="0"/>
    </w:rPr>
  </w:style>
  <w:style w:type="paragraph" w:customStyle="1" w:styleId="Default">
    <w:name w:val="Default"/>
    <w:rsid w:val="008D1F7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keywords">
    <w:name w:val="keywords"/>
    <w:basedOn w:val="DefaultParagraphFont"/>
    <w:rsid w:val="008D1F76"/>
  </w:style>
  <w:style w:type="paragraph" w:customStyle="1" w:styleId="Overview2">
    <w:name w:val="Overview 2"/>
    <w:basedOn w:val="Heading9"/>
    <w:rsid w:val="008D1F76"/>
    <w:pPr>
      <w:keepLines w:val="0"/>
      <w:spacing w:before="0" w:line="240" w:lineRule="auto"/>
      <w:jc w:val="both"/>
    </w:pPr>
    <w:rPr>
      <w:rFonts w:ascii="Arial" w:eastAsia="Times New Roman" w:hAnsi="Arial" w:cs="Arial"/>
      <w:b/>
      <w:iCs w:val="0"/>
      <w:color w:val="auto"/>
      <w:sz w:val="22"/>
      <w:szCs w:val="22"/>
      <w:lang w:eastAsia="en-AU"/>
    </w:rPr>
  </w:style>
  <w:style w:type="character" w:customStyle="1" w:styleId="Heading9Char">
    <w:name w:val="Heading 9 Char"/>
    <w:basedOn w:val="DefaultParagraphFont"/>
    <w:link w:val="Heading9"/>
    <w:uiPriority w:val="9"/>
    <w:semiHidden/>
    <w:rsid w:val="008D1F76"/>
    <w:rPr>
      <w:rFonts w:asciiTheme="majorHAnsi" w:eastAsiaTheme="majorEastAsia" w:hAnsiTheme="majorHAnsi" w:cstheme="majorBidi"/>
      <w:i/>
      <w:iCs/>
      <w:color w:val="404040" w:themeColor="text1" w:themeTint="BF"/>
      <w:sz w:val="20"/>
      <w:szCs w:val="20"/>
    </w:rPr>
  </w:style>
  <w:style w:type="paragraph" w:customStyle="1" w:styleId="Bullet1">
    <w:name w:val="Bullet 1"/>
    <w:basedOn w:val="Normal"/>
    <w:rsid w:val="00FE4B72"/>
    <w:pPr>
      <w:numPr>
        <w:numId w:val="6"/>
      </w:numPr>
      <w:spacing w:after="0" w:line="240" w:lineRule="auto"/>
    </w:pPr>
    <w:rPr>
      <w:rFonts w:eastAsia="Times New Roman"/>
      <w:kern w:val="24"/>
      <w:szCs w:val="24"/>
      <w:lang w:eastAsia="en-AU"/>
    </w:rPr>
  </w:style>
  <w:style w:type="paragraph" w:customStyle="1" w:styleId="Bullet2">
    <w:name w:val="Bullet 2"/>
    <w:basedOn w:val="Bullet1"/>
    <w:rsid w:val="00FE4B72"/>
    <w:pPr>
      <w:numPr>
        <w:numId w:val="7"/>
      </w:numPr>
    </w:pPr>
  </w:style>
  <w:style w:type="character" w:customStyle="1" w:styleId="Heading8Char">
    <w:name w:val="Heading 8 Char"/>
    <w:basedOn w:val="DefaultParagraphFont"/>
    <w:link w:val="Heading8"/>
    <w:uiPriority w:val="9"/>
    <w:semiHidden/>
    <w:rsid w:val="00FE4B72"/>
    <w:rPr>
      <w:rFonts w:asciiTheme="majorHAnsi" w:eastAsiaTheme="majorEastAsia" w:hAnsiTheme="majorHAnsi" w:cstheme="majorBidi"/>
      <w:color w:val="404040" w:themeColor="text1" w:themeTint="BF"/>
      <w:sz w:val="20"/>
      <w:szCs w:val="20"/>
    </w:rPr>
  </w:style>
  <w:style w:type="paragraph" w:customStyle="1" w:styleId="BMSBodyText">
    <w:name w:val="BMS Body Text"/>
    <w:basedOn w:val="Normal"/>
    <w:rsid w:val="0032160F"/>
    <w:pPr>
      <w:spacing w:line="300" w:lineRule="auto"/>
      <w:jc w:val="both"/>
    </w:pPr>
    <w:rPr>
      <w:rFonts w:ascii="Times New Roman" w:eastAsiaTheme="minorHAnsi" w:hAnsi="Times New Roman"/>
      <w:color w:val="000000"/>
      <w:sz w:val="24"/>
      <w:szCs w:val="24"/>
      <w:lang w:eastAsia="en-AU"/>
    </w:rPr>
  </w:style>
  <w:style w:type="paragraph" w:styleId="EndnoteText">
    <w:name w:val="endnote text"/>
    <w:basedOn w:val="Normal"/>
    <w:link w:val="EndnoteTextChar"/>
    <w:uiPriority w:val="99"/>
    <w:semiHidden/>
    <w:unhideWhenUsed/>
    <w:rsid w:val="00AB60B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B60B1"/>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AB60B1"/>
    <w:rPr>
      <w:vertAlign w:val="superscript"/>
    </w:rPr>
  </w:style>
  <w:style w:type="character" w:styleId="Strong">
    <w:name w:val="Strong"/>
    <w:basedOn w:val="DefaultParagraphFont"/>
    <w:uiPriority w:val="22"/>
    <w:qFormat/>
    <w:rsid w:val="00A2637C"/>
    <w:rPr>
      <w:b/>
      <w:bCs/>
    </w:rPr>
  </w:style>
  <w:style w:type="character" w:customStyle="1" w:styleId="ja50-ce-inf">
    <w:name w:val="ja50-ce-inf"/>
    <w:basedOn w:val="DefaultParagraphFont"/>
    <w:rsid w:val="00F41964"/>
    <w:rPr>
      <w:sz w:val="19"/>
      <w:szCs w:val="19"/>
    </w:rPr>
  </w:style>
  <w:style w:type="paragraph" w:styleId="DocumentMap">
    <w:name w:val="Document Map"/>
    <w:basedOn w:val="Normal"/>
    <w:link w:val="DocumentMapChar"/>
    <w:uiPriority w:val="99"/>
    <w:semiHidden/>
    <w:unhideWhenUsed/>
    <w:rsid w:val="0079626D"/>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9626D"/>
    <w:rPr>
      <w:rFonts w:ascii="Tahoma" w:eastAsia="Cambria" w:hAnsi="Tahoma" w:cs="Tahoma"/>
      <w:sz w:val="16"/>
      <w:szCs w:val="16"/>
    </w:rPr>
  </w:style>
  <w:style w:type="character" w:styleId="CommentReference">
    <w:name w:val="annotation reference"/>
    <w:basedOn w:val="DefaultParagraphFont"/>
    <w:uiPriority w:val="99"/>
    <w:semiHidden/>
    <w:unhideWhenUsed/>
    <w:rsid w:val="004535DD"/>
    <w:rPr>
      <w:sz w:val="16"/>
      <w:szCs w:val="16"/>
    </w:rPr>
  </w:style>
  <w:style w:type="paragraph" w:styleId="CommentText">
    <w:name w:val="annotation text"/>
    <w:basedOn w:val="Normal"/>
    <w:link w:val="CommentTextChar"/>
    <w:uiPriority w:val="99"/>
    <w:unhideWhenUsed/>
    <w:rsid w:val="004535DD"/>
    <w:pPr>
      <w:spacing w:line="240" w:lineRule="auto"/>
    </w:pPr>
    <w:rPr>
      <w:sz w:val="20"/>
      <w:szCs w:val="20"/>
    </w:rPr>
  </w:style>
  <w:style w:type="character" w:customStyle="1" w:styleId="CommentTextChar">
    <w:name w:val="Comment Text Char"/>
    <w:basedOn w:val="DefaultParagraphFont"/>
    <w:link w:val="CommentText"/>
    <w:uiPriority w:val="99"/>
    <w:rsid w:val="004535DD"/>
    <w:rPr>
      <w:rFonts w:ascii="Cambria" w:eastAsia="Cambria" w:hAnsi="Cambria" w:cs="Times New Roman"/>
      <w:sz w:val="20"/>
      <w:szCs w:val="20"/>
    </w:rPr>
  </w:style>
</w:styles>
</file>

<file path=word/webSettings.xml><?xml version="1.0" encoding="utf-8"?>
<w:webSettings xmlns:r="http://schemas.openxmlformats.org/officeDocument/2006/relationships" xmlns:w="http://schemas.openxmlformats.org/wordprocessingml/2006/main">
  <w:divs>
    <w:div w:id="20862417">
      <w:bodyDiv w:val="1"/>
      <w:marLeft w:val="0"/>
      <w:marRight w:val="0"/>
      <w:marTop w:val="0"/>
      <w:marBottom w:val="0"/>
      <w:divBdr>
        <w:top w:val="none" w:sz="0" w:space="0" w:color="auto"/>
        <w:left w:val="none" w:sz="0" w:space="0" w:color="auto"/>
        <w:bottom w:val="none" w:sz="0" w:space="0" w:color="auto"/>
        <w:right w:val="none" w:sz="0" w:space="0" w:color="auto"/>
      </w:divBdr>
    </w:div>
    <w:div w:id="113444456">
      <w:bodyDiv w:val="1"/>
      <w:marLeft w:val="0"/>
      <w:marRight w:val="0"/>
      <w:marTop w:val="0"/>
      <w:marBottom w:val="0"/>
      <w:divBdr>
        <w:top w:val="none" w:sz="0" w:space="0" w:color="auto"/>
        <w:left w:val="none" w:sz="0" w:space="0" w:color="auto"/>
        <w:bottom w:val="none" w:sz="0" w:space="0" w:color="auto"/>
        <w:right w:val="none" w:sz="0" w:space="0" w:color="auto"/>
      </w:divBdr>
    </w:div>
    <w:div w:id="170949123">
      <w:bodyDiv w:val="1"/>
      <w:marLeft w:val="0"/>
      <w:marRight w:val="0"/>
      <w:marTop w:val="0"/>
      <w:marBottom w:val="0"/>
      <w:divBdr>
        <w:top w:val="none" w:sz="0" w:space="0" w:color="auto"/>
        <w:left w:val="none" w:sz="0" w:space="0" w:color="auto"/>
        <w:bottom w:val="none" w:sz="0" w:space="0" w:color="auto"/>
        <w:right w:val="none" w:sz="0" w:space="0" w:color="auto"/>
      </w:divBdr>
    </w:div>
    <w:div w:id="237905825">
      <w:bodyDiv w:val="1"/>
      <w:marLeft w:val="0"/>
      <w:marRight w:val="0"/>
      <w:marTop w:val="0"/>
      <w:marBottom w:val="0"/>
      <w:divBdr>
        <w:top w:val="none" w:sz="0" w:space="0" w:color="auto"/>
        <w:left w:val="none" w:sz="0" w:space="0" w:color="auto"/>
        <w:bottom w:val="none" w:sz="0" w:space="0" w:color="auto"/>
        <w:right w:val="none" w:sz="0" w:space="0" w:color="auto"/>
      </w:divBdr>
    </w:div>
    <w:div w:id="238951682">
      <w:bodyDiv w:val="1"/>
      <w:marLeft w:val="0"/>
      <w:marRight w:val="0"/>
      <w:marTop w:val="0"/>
      <w:marBottom w:val="0"/>
      <w:divBdr>
        <w:top w:val="none" w:sz="0" w:space="0" w:color="auto"/>
        <w:left w:val="none" w:sz="0" w:space="0" w:color="auto"/>
        <w:bottom w:val="none" w:sz="0" w:space="0" w:color="auto"/>
        <w:right w:val="none" w:sz="0" w:space="0" w:color="auto"/>
      </w:divBdr>
    </w:div>
    <w:div w:id="256447193">
      <w:bodyDiv w:val="1"/>
      <w:marLeft w:val="0"/>
      <w:marRight w:val="0"/>
      <w:marTop w:val="0"/>
      <w:marBottom w:val="0"/>
      <w:divBdr>
        <w:top w:val="none" w:sz="0" w:space="0" w:color="auto"/>
        <w:left w:val="none" w:sz="0" w:space="0" w:color="auto"/>
        <w:bottom w:val="none" w:sz="0" w:space="0" w:color="auto"/>
        <w:right w:val="none" w:sz="0" w:space="0" w:color="auto"/>
      </w:divBdr>
    </w:div>
    <w:div w:id="266084721">
      <w:bodyDiv w:val="1"/>
      <w:marLeft w:val="0"/>
      <w:marRight w:val="0"/>
      <w:marTop w:val="0"/>
      <w:marBottom w:val="0"/>
      <w:divBdr>
        <w:top w:val="none" w:sz="0" w:space="0" w:color="auto"/>
        <w:left w:val="none" w:sz="0" w:space="0" w:color="auto"/>
        <w:bottom w:val="none" w:sz="0" w:space="0" w:color="auto"/>
        <w:right w:val="none" w:sz="0" w:space="0" w:color="auto"/>
      </w:divBdr>
    </w:div>
    <w:div w:id="291447919">
      <w:bodyDiv w:val="1"/>
      <w:marLeft w:val="0"/>
      <w:marRight w:val="0"/>
      <w:marTop w:val="0"/>
      <w:marBottom w:val="0"/>
      <w:divBdr>
        <w:top w:val="none" w:sz="0" w:space="0" w:color="auto"/>
        <w:left w:val="none" w:sz="0" w:space="0" w:color="auto"/>
        <w:bottom w:val="none" w:sz="0" w:space="0" w:color="auto"/>
        <w:right w:val="none" w:sz="0" w:space="0" w:color="auto"/>
      </w:divBdr>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108041">
      <w:bodyDiv w:val="1"/>
      <w:marLeft w:val="0"/>
      <w:marRight w:val="0"/>
      <w:marTop w:val="0"/>
      <w:marBottom w:val="0"/>
      <w:divBdr>
        <w:top w:val="none" w:sz="0" w:space="0" w:color="auto"/>
        <w:left w:val="none" w:sz="0" w:space="0" w:color="auto"/>
        <w:bottom w:val="none" w:sz="0" w:space="0" w:color="auto"/>
        <w:right w:val="none" w:sz="0" w:space="0" w:color="auto"/>
      </w:divBdr>
    </w:div>
    <w:div w:id="396131657">
      <w:bodyDiv w:val="1"/>
      <w:marLeft w:val="0"/>
      <w:marRight w:val="0"/>
      <w:marTop w:val="0"/>
      <w:marBottom w:val="0"/>
      <w:divBdr>
        <w:top w:val="none" w:sz="0" w:space="0" w:color="auto"/>
        <w:left w:val="none" w:sz="0" w:space="0" w:color="auto"/>
        <w:bottom w:val="none" w:sz="0" w:space="0" w:color="auto"/>
        <w:right w:val="none" w:sz="0" w:space="0" w:color="auto"/>
      </w:divBdr>
    </w:div>
    <w:div w:id="401146775">
      <w:bodyDiv w:val="1"/>
      <w:marLeft w:val="0"/>
      <w:marRight w:val="0"/>
      <w:marTop w:val="0"/>
      <w:marBottom w:val="0"/>
      <w:divBdr>
        <w:top w:val="none" w:sz="0" w:space="0" w:color="auto"/>
        <w:left w:val="none" w:sz="0" w:space="0" w:color="auto"/>
        <w:bottom w:val="none" w:sz="0" w:space="0" w:color="auto"/>
        <w:right w:val="none" w:sz="0" w:space="0" w:color="auto"/>
      </w:divBdr>
    </w:div>
    <w:div w:id="402457028">
      <w:bodyDiv w:val="1"/>
      <w:marLeft w:val="0"/>
      <w:marRight w:val="0"/>
      <w:marTop w:val="0"/>
      <w:marBottom w:val="0"/>
      <w:divBdr>
        <w:top w:val="none" w:sz="0" w:space="0" w:color="auto"/>
        <w:left w:val="none" w:sz="0" w:space="0" w:color="auto"/>
        <w:bottom w:val="none" w:sz="0" w:space="0" w:color="auto"/>
        <w:right w:val="none" w:sz="0" w:space="0" w:color="auto"/>
      </w:divBdr>
    </w:div>
    <w:div w:id="438139420">
      <w:bodyDiv w:val="1"/>
      <w:marLeft w:val="0"/>
      <w:marRight w:val="0"/>
      <w:marTop w:val="0"/>
      <w:marBottom w:val="0"/>
      <w:divBdr>
        <w:top w:val="none" w:sz="0" w:space="0" w:color="auto"/>
        <w:left w:val="none" w:sz="0" w:space="0" w:color="auto"/>
        <w:bottom w:val="none" w:sz="0" w:space="0" w:color="auto"/>
        <w:right w:val="none" w:sz="0" w:space="0" w:color="auto"/>
      </w:divBdr>
    </w:div>
    <w:div w:id="524171383">
      <w:bodyDiv w:val="1"/>
      <w:marLeft w:val="0"/>
      <w:marRight w:val="0"/>
      <w:marTop w:val="0"/>
      <w:marBottom w:val="0"/>
      <w:divBdr>
        <w:top w:val="none" w:sz="0" w:space="0" w:color="auto"/>
        <w:left w:val="none" w:sz="0" w:space="0" w:color="auto"/>
        <w:bottom w:val="none" w:sz="0" w:space="0" w:color="auto"/>
        <w:right w:val="none" w:sz="0" w:space="0" w:color="auto"/>
      </w:divBdr>
    </w:div>
    <w:div w:id="554006416">
      <w:bodyDiv w:val="1"/>
      <w:marLeft w:val="0"/>
      <w:marRight w:val="0"/>
      <w:marTop w:val="0"/>
      <w:marBottom w:val="0"/>
      <w:divBdr>
        <w:top w:val="none" w:sz="0" w:space="0" w:color="auto"/>
        <w:left w:val="none" w:sz="0" w:space="0" w:color="auto"/>
        <w:bottom w:val="none" w:sz="0" w:space="0" w:color="auto"/>
        <w:right w:val="none" w:sz="0" w:space="0" w:color="auto"/>
      </w:divBdr>
    </w:div>
    <w:div w:id="578976941">
      <w:bodyDiv w:val="1"/>
      <w:marLeft w:val="0"/>
      <w:marRight w:val="0"/>
      <w:marTop w:val="0"/>
      <w:marBottom w:val="0"/>
      <w:divBdr>
        <w:top w:val="none" w:sz="0" w:space="0" w:color="auto"/>
        <w:left w:val="none" w:sz="0" w:space="0" w:color="auto"/>
        <w:bottom w:val="none" w:sz="0" w:space="0" w:color="auto"/>
        <w:right w:val="none" w:sz="0" w:space="0" w:color="auto"/>
      </w:divBdr>
    </w:div>
    <w:div w:id="587694057">
      <w:bodyDiv w:val="1"/>
      <w:marLeft w:val="0"/>
      <w:marRight w:val="0"/>
      <w:marTop w:val="0"/>
      <w:marBottom w:val="0"/>
      <w:divBdr>
        <w:top w:val="none" w:sz="0" w:space="0" w:color="auto"/>
        <w:left w:val="none" w:sz="0" w:space="0" w:color="auto"/>
        <w:bottom w:val="none" w:sz="0" w:space="0" w:color="auto"/>
        <w:right w:val="none" w:sz="0" w:space="0" w:color="auto"/>
      </w:divBdr>
    </w:div>
    <w:div w:id="589192925">
      <w:bodyDiv w:val="1"/>
      <w:marLeft w:val="0"/>
      <w:marRight w:val="0"/>
      <w:marTop w:val="0"/>
      <w:marBottom w:val="0"/>
      <w:divBdr>
        <w:top w:val="none" w:sz="0" w:space="0" w:color="auto"/>
        <w:left w:val="none" w:sz="0" w:space="0" w:color="auto"/>
        <w:bottom w:val="none" w:sz="0" w:space="0" w:color="auto"/>
        <w:right w:val="none" w:sz="0" w:space="0" w:color="auto"/>
      </w:divBdr>
    </w:div>
    <w:div w:id="616982598">
      <w:bodyDiv w:val="1"/>
      <w:marLeft w:val="0"/>
      <w:marRight w:val="0"/>
      <w:marTop w:val="0"/>
      <w:marBottom w:val="0"/>
      <w:divBdr>
        <w:top w:val="none" w:sz="0" w:space="0" w:color="auto"/>
        <w:left w:val="none" w:sz="0" w:space="0" w:color="auto"/>
        <w:bottom w:val="none" w:sz="0" w:space="0" w:color="auto"/>
        <w:right w:val="none" w:sz="0" w:space="0" w:color="auto"/>
      </w:divBdr>
    </w:div>
    <w:div w:id="633829391">
      <w:bodyDiv w:val="1"/>
      <w:marLeft w:val="0"/>
      <w:marRight w:val="0"/>
      <w:marTop w:val="0"/>
      <w:marBottom w:val="0"/>
      <w:divBdr>
        <w:top w:val="none" w:sz="0" w:space="0" w:color="auto"/>
        <w:left w:val="none" w:sz="0" w:space="0" w:color="auto"/>
        <w:bottom w:val="none" w:sz="0" w:space="0" w:color="auto"/>
        <w:right w:val="none" w:sz="0" w:space="0" w:color="auto"/>
      </w:divBdr>
    </w:div>
    <w:div w:id="726029213">
      <w:bodyDiv w:val="1"/>
      <w:marLeft w:val="0"/>
      <w:marRight w:val="0"/>
      <w:marTop w:val="0"/>
      <w:marBottom w:val="0"/>
      <w:divBdr>
        <w:top w:val="none" w:sz="0" w:space="0" w:color="auto"/>
        <w:left w:val="none" w:sz="0" w:space="0" w:color="auto"/>
        <w:bottom w:val="none" w:sz="0" w:space="0" w:color="auto"/>
        <w:right w:val="none" w:sz="0" w:space="0" w:color="auto"/>
      </w:divBdr>
    </w:div>
    <w:div w:id="755052711">
      <w:bodyDiv w:val="1"/>
      <w:marLeft w:val="0"/>
      <w:marRight w:val="0"/>
      <w:marTop w:val="0"/>
      <w:marBottom w:val="0"/>
      <w:divBdr>
        <w:top w:val="none" w:sz="0" w:space="0" w:color="auto"/>
        <w:left w:val="none" w:sz="0" w:space="0" w:color="auto"/>
        <w:bottom w:val="none" w:sz="0" w:space="0" w:color="auto"/>
        <w:right w:val="none" w:sz="0" w:space="0" w:color="auto"/>
      </w:divBdr>
    </w:div>
    <w:div w:id="777455991">
      <w:bodyDiv w:val="1"/>
      <w:marLeft w:val="0"/>
      <w:marRight w:val="0"/>
      <w:marTop w:val="0"/>
      <w:marBottom w:val="0"/>
      <w:divBdr>
        <w:top w:val="none" w:sz="0" w:space="0" w:color="auto"/>
        <w:left w:val="none" w:sz="0" w:space="0" w:color="auto"/>
        <w:bottom w:val="none" w:sz="0" w:space="0" w:color="auto"/>
        <w:right w:val="none" w:sz="0" w:space="0" w:color="auto"/>
      </w:divBdr>
    </w:div>
    <w:div w:id="812872824">
      <w:bodyDiv w:val="1"/>
      <w:marLeft w:val="0"/>
      <w:marRight w:val="0"/>
      <w:marTop w:val="0"/>
      <w:marBottom w:val="0"/>
      <w:divBdr>
        <w:top w:val="none" w:sz="0" w:space="0" w:color="auto"/>
        <w:left w:val="none" w:sz="0" w:space="0" w:color="auto"/>
        <w:bottom w:val="none" w:sz="0" w:space="0" w:color="auto"/>
        <w:right w:val="none" w:sz="0" w:space="0" w:color="auto"/>
      </w:divBdr>
    </w:div>
    <w:div w:id="862717449">
      <w:bodyDiv w:val="1"/>
      <w:marLeft w:val="0"/>
      <w:marRight w:val="0"/>
      <w:marTop w:val="0"/>
      <w:marBottom w:val="0"/>
      <w:divBdr>
        <w:top w:val="none" w:sz="0" w:space="0" w:color="auto"/>
        <w:left w:val="none" w:sz="0" w:space="0" w:color="auto"/>
        <w:bottom w:val="none" w:sz="0" w:space="0" w:color="auto"/>
        <w:right w:val="none" w:sz="0" w:space="0" w:color="auto"/>
      </w:divBdr>
    </w:div>
    <w:div w:id="989017825">
      <w:bodyDiv w:val="1"/>
      <w:marLeft w:val="0"/>
      <w:marRight w:val="0"/>
      <w:marTop w:val="0"/>
      <w:marBottom w:val="0"/>
      <w:divBdr>
        <w:top w:val="none" w:sz="0" w:space="0" w:color="auto"/>
        <w:left w:val="none" w:sz="0" w:space="0" w:color="auto"/>
        <w:bottom w:val="none" w:sz="0" w:space="0" w:color="auto"/>
        <w:right w:val="none" w:sz="0" w:space="0" w:color="auto"/>
      </w:divBdr>
    </w:div>
    <w:div w:id="992486514">
      <w:bodyDiv w:val="1"/>
      <w:marLeft w:val="0"/>
      <w:marRight w:val="0"/>
      <w:marTop w:val="0"/>
      <w:marBottom w:val="0"/>
      <w:divBdr>
        <w:top w:val="none" w:sz="0" w:space="0" w:color="auto"/>
        <w:left w:val="none" w:sz="0" w:space="0" w:color="auto"/>
        <w:bottom w:val="none" w:sz="0" w:space="0" w:color="auto"/>
        <w:right w:val="none" w:sz="0" w:space="0" w:color="auto"/>
      </w:divBdr>
    </w:div>
    <w:div w:id="1011492631">
      <w:bodyDiv w:val="1"/>
      <w:marLeft w:val="0"/>
      <w:marRight w:val="0"/>
      <w:marTop w:val="0"/>
      <w:marBottom w:val="0"/>
      <w:divBdr>
        <w:top w:val="none" w:sz="0" w:space="0" w:color="auto"/>
        <w:left w:val="none" w:sz="0" w:space="0" w:color="auto"/>
        <w:bottom w:val="none" w:sz="0" w:space="0" w:color="auto"/>
        <w:right w:val="none" w:sz="0" w:space="0" w:color="auto"/>
      </w:divBdr>
      <w:divsChild>
        <w:div w:id="1843279587">
          <w:marLeft w:val="0"/>
          <w:marRight w:val="0"/>
          <w:marTop w:val="144"/>
          <w:marBottom w:val="48"/>
          <w:divBdr>
            <w:top w:val="single" w:sz="2" w:space="10" w:color="CCCCCC"/>
            <w:left w:val="single" w:sz="2" w:space="7" w:color="CCCCCC"/>
            <w:bottom w:val="single" w:sz="2" w:space="6" w:color="CCCCCC"/>
            <w:right w:val="single" w:sz="2" w:space="7" w:color="CCCCCC"/>
          </w:divBdr>
          <w:divsChild>
            <w:div w:id="11602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1674">
      <w:bodyDiv w:val="1"/>
      <w:marLeft w:val="0"/>
      <w:marRight w:val="0"/>
      <w:marTop w:val="0"/>
      <w:marBottom w:val="0"/>
      <w:divBdr>
        <w:top w:val="none" w:sz="0" w:space="0" w:color="auto"/>
        <w:left w:val="none" w:sz="0" w:space="0" w:color="auto"/>
        <w:bottom w:val="none" w:sz="0" w:space="0" w:color="auto"/>
        <w:right w:val="none" w:sz="0" w:space="0" w:color="auto"/>
      </w:divBdr>
    </w:div>
    <w:div w:id="1069116350">
      <w:bodyDiv w:val="1"/>
      <w:marLeft w:val="0"/>
      <w:marRight w:val="0"/>
      <w:marTop w:val="0"/>
      <w:marBottom w:val="0"/>
      <w:divBdr>
        <w:top w:val="none" w:sz="0" w:space="0" w:color="auto"/>
        <w:left w:val="none" w:sz="0" w:space="0" w:color="auto"/>
        <w:bottom w:val="none" w:sz="0" w:space="0" w:color="auto"/>
        <w:right w:val="none" w:sz="0" w:space="0" w:color="auto"/>
      </w:divBdr>
    </w:div>
    <w:div w:id="1086922545">
      <w:bodyDiv w:val="1"/>
      <w:marLeft w:val="0"/>
      <w:marRight w:val="0"/>
      <w:marTop w:val="0"/>
      <w:marBottom w:val="0"/>
      <w:divBdr>
        <w:top w:val="none" w:sz="0" w:space="0" w:color="auto"/>
        <w:left w:val="none" w:sz="0" w:space="0" w:color="auto"/>
        <w:bottom w:val="none" w:sz="0" w:space="0" w:color="auto"/>
        <w:right w:val="none" w:sz="0" w:space="0" w:color="auto"/>
      </w:divBdr>
    </w:div>
    <w:div w:id="1107121607">
      <w:bodyDiv w:val="1"/>
      <w:marLeft w:val="0"/>
      <w:marRight w:val="0"/>
      <w:marTop w:val="0"/>
      <w:marBottom w:val="0"/>
      <w:divBdr>
        <w:top w:val="none" w:sz="0" w:space="0" w:color="auto"/>
        <w:left w:val="none" w:sz="0" w:space="0" w:color="auto"/>
        <w:bottom w:val="none" w:sz="0" w:space="0" w:color="auto"/>
        <w:right w:val="none" w:sz="0" w:space="0" w:color="auto"/>
      </w:divBdr>
    </w:div>
    <w:div w:id="1110006545">
      <w:bodyDiv w:val="1"/>
      <w:marLeft w:val="0"/>
      <w:marRight w:val="0"/>
      <w:marTop w:val="0"/>
      <w:marBottom w:val="0"/>
      <w:divBdr>
        <w:top w:val="none" w:sz="0" w:space="0" w:color="auto"/>
        <w:left w:val="none" w:sz="0" w:space="0" w:color="auto"/>
        <w:bottom w:val="none" w:sz="0" w:space="0" w:color="auto"/>
        <w:right w:val="none" w:sz="0" w:space="0" w:color="auto"/>
      </w:divBdr>
    </w:div>
    <w:div w:id="1111701042">
      <w:bodyDiv w:val="1"/>
      <w:marLeft w:val="0"/>
      <w:marRight w:val="0"/>
      <w:marTop w:val="0"/>
      <w:marBottom w:val="0"/>
      <w:divBdr>
        <w:top w:val="none" w:sz="0" w:space="0" w:color="auto"/>
        <w:left w:val="none" w:sz="0" w:space="0" w:color="auto"/>
        <w:bottom w:val="none" w:sz="0" w:space="0" w:color="auto"/>
        <w:right w:val="none" w:sz="0" w:space="0" w:color="auto"/>
      </w:divBdr>
    </w:div>
    <w:div w:id="1140266368">
      <w:bodyDiv w:val="1"/>
      <w:marLeft w:val="0"/>
      <w:marRight w:val="0"/>
      <w:marTop w:val="0"/>
      <w:marBottom w:val="0"/>
      <w:divBdr>
        <w:top w:val="none" w:sz="0" w:space="0" w:color="auto"/>
        <w:left w:val="none" w:sz="0" w:space="0" w:color="auto"/>
        <w:bottom w:val="none" w:sz="0" w:space="0" w:color="auto"/>
        <w:right w:val="none" w:sz="0" w:space="0" w:color="auto"/>
      </w:divBdr>
    </w:div>
    <w:div w:id="1140459714">
      <w:bodyDiv w:val="1"/>
      <w:marLeft w:val="0"/>
      <w:marRight w:val="0"/>
      <w:marTop w:val="0"/>
      <w:marBottom w:val="0"/>
      <w:divBdr>
        <w:top w:val="none" w:sz="0" w:space="0" w:color="auto"/>
        <w:left w:val="none" w:sz="0" w:space="0" w:color="auto"/>
        <w:bottom w:val="none" w:sz="0" w:space="0" w:color="auto"/>
        <w:right w:val="none" w:sz="0" w:space="0" w:color="auto"/>
      </w:divBdr>
    </w:div>
    <w:div w:id="1143237753">
      <w:bodyDiv w:val="1"/>
      <w:marLeft w:val="0"/>
      <w:marRight w:val="0"/>
      <w:marTop w:val="0"/>
      <w:marBottom w:val="0"/>
      <w:divBdr>
        <w:top w:val="none" w:sz="0" w:space="0" w:color="auto"/>
        <w:left w:val="none" w:sz="0" w:space="0" w:color="auto"/>
        <w:bottom w:val="none" w:sz="0" w:space="0" w:color="auto"/>
        <w:right w:val="none" w:sz="0" w:space="0" w:color="auto"/>
      </w:divBdr>
    </w:div>
    <w:div w:id="1148085868">
      <w:bodyDiv w:val="1"/>
      <w:marLeft w:val="0"/>
      <w:marRight w:val="0"/>
      <w:marTop w:val="0"/>
      <w:marBottom w:val="0"/>
      <w:divBdr>
        <w:top w:val="none" w:sz="0" w:space="0" w:color="auto"/>
        <w:left w:val="none" w:sz="0" w:space="0" w:color="auto"/>
        <w:bottom w:val="none" w:sz="0" w:space="0" w:color="auto"/>
        <w:right w:val="none" w:sz="0" w:space="0" w:color="auto"/>
      </w:divBdr>
    </w:div>
    <w:div w:id="1160076442">
      <w:bodyDiv w:val="1"/>
      <w:marLeft w:val="0"/>
      <w:marRight w:val="0"/>
      <w:marTop w:val="0"/>
      <w:marBottom w:val="0"/>
      <w:divBdr>
        <w:top w:val="none" w:sz="0" w:space="0" w:color="auto"/>
        <w:left w:val="none" w:sz="0" w:space="0" w:color="auto"/>
        <w:bottom w:val="none" w:sz="0" w:space="0" w:color="auto"/>
        <w:right w:val="none" w:sz="0" w:space="0" w:color="auto"/>
      </w:divBdr>
    </w:div>
    <w:div w:id="1165703445">
      <w:bodyDiv w:val="1"/>
      <w:marLeft w:val="0"/>
      <w:marRight w:val="0"/>
      <w:marTop w:val="0"/>
      <w:marBottom w:val="0"/>
      <w:divBdr>
        <w:top w:val="none" w:sz="0" w:space="0" w:color="auto"/>
        <w:left w:val="none" w:sz="0" w:space="0" w:color="auto"/>
        <w:bottom w:val="none" w:sz="0" w:space="0" w:color="auto"/>
        <w:right w:val="none" w:sz="0" w:space="0" w:color="auto"/>
      </w:divBdr>
    </w:div>
    <w:div w:id="1229413074">
      <w:bodyDiv w:val="1"/>
      <w:marLeft w:val="0"/>
      <w:marRight w:val="0"/>
      <w:marTop w:val="0"/>
      <w:marBottom w:val="0"/>
      <w:divBdr>
        <w:top w:val="none" w:sz="0" w:space="0" w:color="auto"/>
        <w:left w:val="none" w:sz="0" w:space="0" w:color="auto"/>
        <w:bottom w:val="none" w:sz="0" w:space="0" w:color="auto"/>
        <w:right w:val="none" w:sz="0" w:space="0" w:color="auto"/>
      </w:divBdr>
    </w:div>
    <w:div w:id="1230533500">
      <w:bodyDiv w:val="1"/>
      <w:marLeft w:val="0"/>
      <w:marRight w:val="0"/>
      <w:marTop w:val="0"/>
      <w:marBottom w:val="0"/>
      <w:divBdr>
        <w:top w:val="none" w:sz="0" w:space="0" w:color="auto"/>
        <w:left w:val="none" w:sz="0" w:space="0" w:color="auto"/>
        <w:bottom w:val="none" w:sz="0" w:space="0" w:color="auto"/>
        <w:right w:val="none" w:sz="0" w:space="0" w:color="auto"/>
      </w:divBdr>
    </w:div>
    <w:div w:id="1259483869">
      <w:bodyDiv w:val="1"/>
      <w:marLeft w:val="0"/>
      <w:marRight w:val="0"/>
      <w:marTop w:val="0"/>
      <w:marBottom w:val="0"/>
      <w:divBdr>
        <w:top w:val="none" w:sz="0" w:space="0" w:color="auto"/>
        <w:left w:val="none" w:sz="0" w:space="0" w:color="auto"/>
        <w:bottom w:val="none" w:sz="0" w:space="0" w:color="auto"/>
        <w:right w:val="none" w:sz="0" w:space="0" w:color="auto"/>
      </w:divBdr>
    </w:div>
    <w:div w:id="1315183851">
      <w:bodyDiv w:val="1"/>
      <w:marLeft w:val="0"/>
      <w:marRight w:val="0"/>
      <w:marTop w:val="0"/>
      <w:marBottom w:val="0"/>
      <w:divBdr>
        <w:top w:val="none" w:sz="0" w:space="0" w:color="auto"/>
        <w:left w:val="none" w:sz="0" w:space="0" w:color="auto"/>
        <w:bottom w:val="none" w:sz="0" w:space="0" w:color="auto"/>
        <w:right w:val="none" w:sz="0" w:space="0" w:color="auto"/>
      </w:divBdr>
    </w:div>
    <w:div w:id="1320502897">
      <w:bodyDiv w:val="1"/>
      <w:marLeft w:val="0"/>
      <w:marRight w:val="0"/>
      <w:marTop w:val="0"/>
      <w:marBottom w:val="0"/>
      <w:divBdr>
        <w:top w:val="none" w:sz="0" w:space="0" w:color="auto"/>
        <w:left w:val="none" w:sz="0" w:space="0" w:color="auto"/>
        <w:bottom w:val="none" w:sz="0" w:space="0" w:color="auto"/>
        <w:right w:val="none" w:sz="0" w:space="0" w:color="auto"/>
      </w:divBdr>
    </w:div>
    <w:div w:id="1332638273">
      <w:bodyDiv w:val="1"/>
      <w:marLeft w:val="0"/>
      <w:marRight w:val="0"/>
      <w:marTop w:val="0"/>
      <w:marBottom w:val="0"/>
      <w:divBdr>
        <w:top w:val="none" w:sz="0" w:space="0" w:color="auto"/>
        <w:left w:val="none" w:sz="0" w:space="0" w:color="auto"/>
        <w:bottom w:val="none" w:sz="0" w:space="0" w:color="auto"/>
        <w:right w:val="none" w:sz="0" w:space="0" w:color="auto"/>
      </w:divBdr>
    </w:div>
    <w:div w:id="1338264393">
      <w:bodyDiv w:val="1"/>
      <w:marLeft w:val="0"/>
      <w:marRight w:val="0"/>
      <w:marTop w:val="0"/>
      <w:marBottom w:val="0"/>
      <w:divBdr>
        <w:top w:val="none" w:sz="0" w:space="0" w:color="auto"/>
        <w:left w:val="none" w:sz="0" w:space="0" w:color="auto"/>
        <w:bottom w:val="none" w:sz="0" w:space="0" w:color="auto"/>
        <w:right w:val="none" w:sz="0" w:space="0" w:color="auto"/>
      </w:divBdr>
    </w:div>
    <w:div w:id="1340890787">
      <w:bodyDiv w:val="1"/>
      <w:marLeft w:val="0"/>
      <w:marRight w:val="0"/>
      <w:marTop w:val="0"/>
      <w:marBottom w:val="0"/>
      <w:divBdr>
        <w:top w:val="none" w:sz="0" w:space="0" w:color="auto"/>
        <w:left w:val="none" w:sz="0" w:space="0" w:color="auto"/>
        <w:bottom w:val="none" w:sz="0" w:space="0" w:color="auto"/>
        <w:right w:val="none" w:sz="0" w:space="0" w:color="auto"/>
      </w:divBdr>
    </w:div>
    <w:div w:id="1343436938">
      <w:bodyDiv w:val="1"/>
      <w:marLeft w:val="0"/>
      <w:marRight w:val="0"/>
      <w:marTop w:val="0"/>
      <w:marBottom w:val="0"/>
      <w:divBdr>
        <w:top w:val="none" w:sz="0" w:space="0" w:color="auto"/>
        <w:left w:val="none" w:sz="0" w:space="0" w:color="auto"/>
        <w:bottom w:val="none" w:sz="0" w:space="0" w:color="auto"/>
        <w:right w:val="none" w:sz="0" w:space="0" w:color="auto"/>
      </w:divBdr>
    </w:div>
    <w:div w:id="1347251024">
      <w:bodyDiv w:val="1"/>
      <w:marLeft w:val="0"/>
      <w:marRight w:val="0"/>
      <w:marTop w:val="0"/>
      <w:marBottom w:val="0"/>
      <w:divBdr>
        <w:top w:val="none" w:sz="0" w:space="0" w:color="auto"/>
        <w:left w:val="none" w:sz="0" w:space="0" w:color="auto"/>
        <w:bottom w:val="none" w:sz="0" w:space="0" w:color="auto"/>
        <w:right w:val="none" w:sz="0" w:space="0" w:color="auto"/>
      </w:divBdr>
    </w:div>
    <w:div w:id="1377586386">
      <w:bodyDiv w:val="1"/>
      <w:marLeft w:val="0"/>
      <w:marRight w:val="0"/>
      <w:marTop w:val="0"/>
      <w:marBottom w:val="0"/>
      <w:divBdr>
        <w:top w:val="none" w:sz="0" w:space="0" w:color="auto"/>
        <w:left w:val="none" w:sz="0" w:space="0" w:color="auto"/>
        <w:bottom w:val="none" w:sz="0" w:space="0" w:color="auto"/>
        <w:right w:val="none" w:sz="0" w:space="0" w:color="auto"/>
      </w:divBdr>
    </w:div>
    <w:div w:id="1428690481">
      <w:bodyDiv w:val="1"/>
      <w:marLeft w:val="0"/>
      <w:marRight w:val="0"/>
      <w:marTop w:val="0"/>
      <w:marBottom w:val="0"/>
      <w:divBdr>
        <w:top w:val="none" w:sz="0" w:space="0" w:color="auto"/>
        <w:left w:val="none" w:sz="0" w:space="0" w:color="auto"/>
        <w:bottom w:val="none" w:sz="0" w:space="0" w:color="auto"/>
        <w:right w:val="none" w:sz="0" w:space="0" w:color="auto"/>
      </w:divBdr>
    </w:div>
    <w:div w:id="1491170778">
      <w:bodyDiv w:val="1"/>
      <w:marLeft w:val="0"/>
      <w:marRight w:val="0"/>
      <w:marTop w:val="0"/>
      <w:marBottom w:val="0"/>
      <w:divBdr>
        <w:top w:val="none" w:sz="0" w:space="0" w:color="auto"/>
        <w:left w:val="none" w:sz="0" w:space="0" w:color="auto"/>
        <w:bottom w:val="none" w:sz="0" w:space="0" w:color="auto"/>
        <w:right w:val="none" w:sz="0" w:space="0" w:color="auto"/>
      </w:divBdr>
    </w:div>
    <w:div w:id="1672178127">
      <w:bodyDiv w:val="1"/>
      <w:marLeft w:val="0"/>
      <w:marRight w:val="0"/>
      <w:marTop w:val="0"/>
      <w:marBottom w:val="0"/>
      <w:divBdr>
        <w:top w:val="none" w:sz="0" w:space="0" w:color="auto"/>
        <w:left w:val="none" w:sz="0" w:space="0" w:color="auto"/>
        <w:bottom w:val="none" w:sz="0" w:space="0" w:color="auto"/>
        <w:right w:val="none" w:sz="0" w:space="0" w:color="auto"/>
      </w:divBdr>
    </w:div>
    <w:div w:id="1709328579">
      <w:bodyDiv w:val="1"/>
      <w:marLeft w:val="0"/>
      <w:marRight w:val="0"/>
      <w:marTop w:val="0"/>
      <w:marBottom w:val="0"/>
      <w:divBdr>
        <w:top w:val="none" w:sz="0" w:space="0" w:color="auto"/>
        <w:left w:val="none" w:sz="0" w:space="0" w:color="auto"/>
        <w:bottom w:val="none" w:sz="0" w:space="0" w:color="auto"/>
        <w:right w:val="none" w:sz="0" w:space="0" w:color="auto"/>
      </w:divBdr>
    </w:div>
    <w:div w:id="1734549161">
      <w:bodyDiv w:val="1"/>
      <w:marLeft w:val="0"/>
      <w:marRight w:val="0"/>
      <w:marTop w:val="0"/>
      <w:marBottom w:val="0"/>
      <w:divBdr>
        <w:top w:val="none" w:sz="0" w:space="0" w:color="auto"/>
        <w:left w:val="none" w:sz="0" w:space="0" w:color="auto"/>
        <w:bottom w:val="none" w:sz="0" w:space="0" w:color="auto"/>
        <w:right w:val="none" w:sz="0" w:space="0" w:color="auto"/>
      </w:divBdr>
    </w:div>
    <w:div w:id="1748113371">
      <w:bodyDiv w:val="1"/>
      <w:marLeft w:val="0"/>
      <w:marRight w:val="0"/>
      <w:marTop w:val="0"/>
      <w:marBottom w:val="0"/>
      <w:divBdr>
        <w:top w:val="none" w:sz="0" w:space="0" w:color="auto"/>
        <w:left w:val="none" w:sz="0" w:space="0" w:color="auto"/>
        <w:bottom w:val="none" w:sz="0" w:space="0" w:color="auto"/>
        <w:right w:val="none" w:sz="0" w:space="0" w:color="auto"/>
      </w:divBdr>
    </w:div>
    <w:div w:id="1785151584">
      <w:bodyDiv w:val="1"/>
      <w:marLeft w:val="0"/>
      <w:marRight w:val="0"/>
      <w:marTop w:val="0"/>
      <w:marBottom w:val="0"/>
      <w:divBdr>
        <w:top w:val="none" w:sz="0" w:space="0" w:color="auto"/>
        <w:left w:val="none" w:sz="0" w:space="0" w:color="auto"/>
        <w:bottom w:val="none" w:sz="0" w:space="0" w:color="auto"/>
        <w:right w:val="none" w:sz="0" w:space="0" w:color="auto"/>
      </w:divBdr>
    </w:div>
    <w:div w:id="1803570564">
      <w:bodyDiv w:val="1"/>
      <w:marLeft w:val="0"/>
      <w:marRight w:val="0"/>
      <w:marTop w:val="0"/>
      <w:marBottom w:val="0"/>
      <w:divBdr>
        <w:top w:val="none" w:sz="0" w:space="0" w:color="auto"/>
        <w:left w:val="none" w:sz="0" w:space="0" w:color="auto"/>
        <w:bottom w:val="none" w:sz="0" w:space="0" w:color="auto"/>
        <w:right w:val="none" w:sz="0" w:space="0" w:color="auto"/>
      </w:divBdr>
    </w:div>
    <w:div w:id="1832401241">
      <w:bodyDiv w:val="1"/>
      <w:marLeft w:val="0"/>
      <w:marRight w:val="0"/>
      <w:marTop w:val="0"/>
      <w:marBottom w:val="0"/>
      <w:divBdr>
        <w:top w:val="none" w:sz="0" w:space="0" w:color="auto"/>
        <w:left w:val="none" w:sz="0" w:space="0" w:color="auto"/>
        <w:bottom w:val="none" w:sz="0" w:space="0" w:color="auto"/>
        <w:right w:val="none" w:sz="0" w:space="0" w:color="auto"/>
      </w:divBdr>
    </w:div>
    <w:div w:id="1832794652">
      <w:bodyDiv w:val="1"/>
      <w:marLeft w:val="0"/>
      <w:marRight w:val="0"/>
      <w:marTop w:val="0"/>
      <w:marBottom w:val="0"/>
      <w:divBdr>
        <w:top w:val="none" w:sz="0" w:space="0" w:color="auto"/>
        <w:left w:val="none" w:sz="0" w:space="0" w:color="auto"/>
        <w:bottom w:val="none" w:sz="0" w:space="0" w:color="auto"/>
        <w:right w:val="none" w:sz="0" w:space="0" w:color="auto"/>
      </w:divBdr>
    </w:div>
    <w:div w:id="1861626896">
      <w:bodyDiv w:val="1"/>
      <w:marLeft w:val="0"/>
      <w:marRight w:val="0"/>
      <w:marTop w:val="0"/>
      <w:marBottom w:val="0"/>
      <w:divBdr>
        <w:top w:val="none" w:sz="0" w:space="0" w:color="auto"/>
        <w:left w:val="none" w:sz="0" w:space="0" w:color="auto"/>
        <w:bottom w:val="none" w:sz="0" w:space="0" w:color="auto"/>
        <w:right w:val="none" w:sz="0" w:space="0" w:color="auto"/>
      </w:divBdr>
    </w:div>
    <w:div w:id="1928533805">
      <w:bodyDiv w:val="1"/>
      <w:marLeft w:val="0"/>
      <w:marRight w:val="0"/>
      <w:marTop w:val="0"/>
      <w:marBottom w:val="0"/>
      <w:divBdr>
        <w:top w:val="none" w:sz="0" w:space="0" w:color="auto"/>
        <w:left w:val="none" w:sz="0" w:space="0" w:color="auto"/>
        <w:bottom w:val="none" w:sz="0" w:space="0" w:color="auto"/>
        <w:right w:val="none" w:sz="0" w:space="0" w:color="auto"/>
      </w:divBdr>
    </w:div>
    <w:div w:id="1974408572">
      <w:bodyDiv w:val="1"/>
      <w:marLeft w:val="0"/>
      <w:marRight w:val="0"/>
      <w:marTop w:val="0"/>
      <w:marBottom w:val="0"/>
      <w:divBdr>
        <w:top w:val="none" w:sz="0" w:space="0" w:color="auto"/>
        <w:left w:val="none" w:sz="0" w:space="0" w:color="auto"/>
        <w:bottom w:val="none" w:sz="0" w:space="0" w:color="auto"/>
        <w:right w:val="none" w:sz="0" w:space="0" w:color="auto"/>
      </w:divBdr>
    </w:div>
    <w:div w:id="2057656819">
      <w:bodyDiv w:val="1"/>
      <w:marLeft w:val="0"/>
      <w:marRight w:val="0"/>
      <w:marTop w:val="0"/>
      <w:marBottom w:val="0"/>
      <w:divBdr>
        <w:top w:val="none" w:sz="0" w:space="0" w:color="auto"/>
        <w:left w:val="none" w:sz="0" w:space="0" w:color="auto"/>
        <w:bottom w:val="none" w:sz="0" w:space="0" w:color="auto"/>
        <w:right w:val="none" w:sz="0" w:space="0" w:color="auto"/>
      </w:divBdr>
    </w:div>
    <w:div w:id="2063670696">
      <w:bodyDiv w:val="1"/>
      <w:marLeft w:val="0"/>
      <w:marRight w:val="0"/>
      <w:marTop w:val="0"/>
      <w:marBottom w:val="0"/>
      <w:divBdr>
        <w:top w:val="none" w:sz="0" w:space="0" w:color="auto"/>
        <w:left w:val="none" w:sz="0" w:space="0" w:color="auto"/>
        <w:bottom w:val="none" w:sz="0" w:space="0" w:color="auto"/>
        <w:right w:val="none" w:sz="0" w:space="0" w:color="auto"/>
      </w:divBdr>
    </w:div>
    <w:div w:id="2105954914">
      <w:bodyDiv w:val="1"/>
      <w:marLeft w:val="0"/>
      <w:marRight w:val="0"/>
      <w:marTop w:val="0"/>
      <w:marBottom w:val="0"/>
      <w:divBdr>
        <w:top w:val="none" w:sz="0" w:space="0" w:color="auto"/>
        <w:left w:val="none" w:sz="0" w:space="0" w:color="auto"/>
        <w:bottom w:val="none" w:sz="0" w:space="0" w:color="auto"/>
        <w:right w:val="none" w:sz="0" w:space="0" w:color="auto"/>
      </w:divBdr>
    </w:div>
    <w:div w:id="213975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File:Apixaban.svg" TargetMode="External"/><Relationship Id="rId20" Type="http://schemas.openxmlformats.org/officeDocument/2006/relationships/image" Target="media/image6.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footer" Target="footer5.xml"/><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png"/><Relationship Id="rId30" Type="http://schemas.openxmlformats.org/officeDocument/2006/relationships/footer" Target="footer4.xml"/><Relationship Id="rId35" Type="http://schemas.openxmlformats.org/officeDocument/2006/relationships/footer" Target="footer6.xml"/></Relationships>
</file>

<file path=word/_rels/footer6.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minfo@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bs.gov.au/reviews/atrial-fibrillation-files/report-anticoagulation.pdf" TargetMode="External"/><Relationship Id="rId1" Type="http://schemas.openxmlformats.org/officeDocument/2006/relationships/hyperlink" Target="http://www.accessdata.fda.gov/drugsatfda_docs/nda/2012/202155Orig1s000TOC.cf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4656\R12%20926607%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4D5A-EAE1-47FF-84AB-492FB90B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template.DOTX</Template>
  <TotalTime>165</TotalTime>
  <Pages>58</Pages>
  <Words>23943</Words>
  <Characters>136477</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160100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forApixaban</dc:title>
  <dc:subject>prescription medicine regulation</dc:subject>
  <dc:creator>Therapeutic Goods Administration</dc:creator>
  <cp:keywords>auspar, prescription, medicine, assessment, regulation, australia, apixaban, eliquis</cp:keywords>
  <cp:lastModifiedBy>Sheppard, Fran</cp:lastModifiedBy>
  <cp:revision>27</cp:revision>
  <cp:lastPrinted>2013-04-24T05:26:00Z</cp:lastPrinted>
  <dcterms:created xsi:type="dcterms:W3CDTF">2013-06-12T23:11:00Z</dcterms:created>
  <dcterms:modified xsi:type="dcterms:W3CDTF">2013-08-07T12:01:00Z</dcterms:modified>
</cp:coreProperties>
</file>