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2AD" w:rsidRPr="006D3DBC" w:rsidRDefault="000032AD">
      <w:pPr>
        <w:pStyle w:val="Title"/>
      </w:pPr>
      <w:r w:rsidRPr="006D3DBC">
        <w:t>PRODUCT INFORMATION</w:t>
      </w:r>
    </w:p>
    <w:p w:rsidR="000032AD" w:rsidRPr="006D3DBC" w:rsidRDefault="000032AD">
      <w:pPr>
        <w:pStyle w:val="Subtitle"/>
      </w:pPr>
      <w:r w:rsidRPr="006D3DBC">
        <w:t>ELIQUIS</w:t>
      </w:r>
      <w:r w:rsidRPr="006D3DBC">
        <w:rPr>
          <w:vertAlign w:val="superscript"/>
        </w:rPr>
        <w:t>®</w:t>
      </w:r>
    </w:p>
    <w:p w:rsidR="000032AD" w:rsidRDefault="006C713D">
      <w:pPr>
        <w:pStyle w:val="Subtitle"/>
      </w:pPr>
      <w:proofErr w:type="spellStart"/>
      <w:r w:rsidRPr="006D3DBC">
        <w:t>A</w:t>
      </w:r>
      <w:r w:rsidR="000032AD" w:rsidRPr="006D3DBC">
        <w:t>pixaban</w:t>
      </w:r>
      <w:proofErr w:type="spellEnd"/>
    </w:p>
    <w:p w:rsidR="006C713D" w:rsidRDefault="006C713D" w:rsidP="006C713D">
      <w:pPr>
        <w:pStyle w:val="Heading1"/>
      </w:pPr>
      <w:r w:rsidRPr="006D3DBC">
        <w:t>NAME OF THE MEDICINE</w:t>
      </w:r>
    </w:p>
    <w:p w:rsidR="006C713D" w:rsidRDefault="006C713D" w:rsidP="006C713D">
      <w:proofErr w:type="spellStart"/>
      <w:r w:rsidRPr="006D3DBC">
        <w:t>Apixaban</w:t>
      </w:r>
      <w:proofErr w:type="spellEnd"/>
      <w:r w:rsidRPr="006D3DBC">
        <w:t xml:space="preserve">, a selective inhibitor of the coagulation Factor </w:t>
      </w:r>
      <w:proofErr w:type="spellStart"/>
      <w:r w:rsidRPr="006D3DBC">
        <w:t>Xa</w:t>
      </w:r>
      <w:proofErr w:type="spellEnd"/>
      <w:r w:rsidRPr="006D3DBC">
        <w:t xml:space="preserve"> (</w:t>
      </w:r>
      <w:proofErr w:type="spellStart"/>
      <w:r w:rsidRPr="006D3DBC">
        <w:t>FXa</w:t>
      </w:r>
      <w:proofErr w:type="spellEnd"/>
      <w:r w:rsidRPr="006D3DBC">
        <w:t>), is chemically described as 1-(4-Methoxyphenyl)-7-oxo-6-[4-(2-oxopiperidin-1-yl</w:t>
      </w:r>
      <w:proofErr w:type="gramStart"/>
      <w:r w:rsidRPr="006D3DBC">
        <w:t>)phenyl</w:t>
      </w:r>
      <w:proofErr w:type="gramEnd"/>
      <w:r w:rsidRPr="006D3DBC">
        <w:t>]-4,5,6,7-tetrahydro-1</w:t>
      </w:r>
      <w:r w:rsidRPr="006D3DBC">
        <w:rPr>
          <w:i/>
        </w:rPr>
        <w:t>H</w:t>
      </w:r>
      <w:r w:rsidRPr="006D3DBC">
        <w:t>-pyrazolo[3,4-</w:t>
      </w:r>
      <w:r w:rsidRPr="006D3DBC">
        <w:rPr>
          <w:i/>
        </w:rPr>
        <w:t>c</w:t>
      </w:r>
      <w:r w:rsidRPr="006D3DBC">
        <w:t>]pyridine-3-carboxamide.  Its molecular formula is C</w:t>
      </w:r>
      <w:r w:rsidRPr="006D3DBC">
        <w:rPr>
          <w:vertAlign w:val="subscript"/>
        </w:rPr>
        <w:t>25</w:t>
      </w:r>
      <w:r w:rsidRPr="006D3DBC">
        <w:t>H</w:t>
      </w:r>
      <w:r w:rsidRPr="006D3DBC">
        <w:rPr>
          <w:vertAlign w:val="subscript"/>
        </w:rPr>
        <w:t>25</w:t>
      </w:r>
      <w:r w:rsidRPr="006D3DBC">
        <w:t>N</w:t>
      </w:r>
      <w:r w:rsidRPr="006D3DBC">
        <w:rPr>
          <w:vertAlign w:val="subscript"/>
        </w:rPr>
        <w:t>5</w:t>
      </w:r>
      <w:r w:rsidRPr="006D3DBC">
        <w:t>O</w:t>
      </w:r>
      <w:r w:rsidRPr="006D3DBC">
        <w:rPr>
          <w:vertAlign w:val="subscript"/>
        </w:rPr>
        <w:t>4</w:t>
      </w:r>
      <w:r w:rsidRPr="006D3DBC">
        <w:t xml:space="preserve">, which corresponds to a molecular weight of 459.5.  </w:t>
      </w:r>
      <w:proofErr w:type="spellStart"/>
      <w:r w:rsidRPr="006D3DBC">
        <w:t>Apixaban</w:t>
      </w:r>
      <w:proofErr w:type="spellEnd"/>
      <w:r w:rsidRPr="006D3DBC">
        <w:t xml:space="preserve"> has the following structural formula:</w:t>
      </w:r>
    </w:p>
    <w:p w:rsidR="006C713D" w:rsidRDefault="006C713D" w:rsidP="006C713D">
      <w:r w:rsidRPr="006D3DBC">
        <w:object w:dxaOrig="3728" w:dyaOrig="2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ructure of Apixaban" style="width:185.95pt;height:122.1pt" o:ole="">
            <v:imagedata r:id="rId8" o:title=""/>
          </v:shape>
          <o:OLEObject Type="Embed" ProgID="ChemDraw.Document.6.0" ShapeID="_x0000_i1025" DrawAspect="Content" ObjectID="_1438004443" r:id="rId9"/>
        </w:object>
      </w:r>
    </w:p>
    <w:p w:rsidR="006C713D" w:rsidRDefault="006C713D" w:rsidP="006C713D">
      <w:r w:rsidRPr="006D3DBC">
        <w:t>CAS Number: 503612-47-3</w:t>
      </w:r>
    </w:p>
    <w:p w:rsidR="006C713D" w:rsidRDefault="006C713D" w:rsidP="006C713D">
      <w:pPr>
        <w:pStyle w:val="Heading1"/>
      </w:pPr>
      <w:r w:rsidRPr="006D3DBC">
        <w:t>DESCRIPTION</w:t>
      </w:r>
    </w:p>
    <w:p w:rsidR="006C713D" w:rsidRPr="006D3DBC" w:rsidRDefault="006C713D" w:rsidP="006C713D">
      <w:proofErr w:type="spellStart"/>
      <w:r w:rsidRPr="006D3DBC">
        <w:t>Apixaban</w:t>
      </w:r>
      <w:proofErr w:type="spellEnd"/>
      <w:r w:rsidRPr="006D3DBC">
        <w:t xml:space="preserve"> is a white to pale yellow powder.  At physiological pH (1.2 - 6.8), apixaban does not ionize; its aqueous solubility across the physiological pH range is ~0.04 mg/mL.  The octanol/water partition coefficient is 44.7 at pH 7.4.</w:t>
      </w:r>
    </w:p>
    <w:p w:rsidR="006C713D" w:rsidRDefault="006C713D" w:rsidP="006C713D">
      <w:r w:rsidRPr="006D3DBC">
        <w:t>ELIQUIS film-coated tablets are available for oral administration in strengths of 2.5 mg and 5 mg apixaban with the following inactive ingredients: anhydrous lactose, cellulose - microcrystalline, croscarmellose sodium, sodium lauryl sulfate, and magnesium stearate.  The film coating contains lactose monohydrate, hypromellose, titanium dioxide, glycerol triacetate and yellow iron oxide (2.5 mg tablets) or red iron oxide (5 mg tablets).</w:t>
      </w:r>
    </w:p>
    <w:p w:rsidR="006C713D" w:rsidRDefault="006C713D" w:rsidP="006C713D">
      <w:pPr>
        <w:pStyle w:val="Heading1"/>
      </w:pPr>
      <w:r w:rsidRPr="006D3DBC">
        <w:t>PHARMACOLOGY</w:t>
      </w:r>
    </w:p>
    <w:p w:rsidR="006C713D" w:rsidRDefault="006C713D" w:rsidP="006C713D">
      <w:pPr>
        <w:pStyle w:val="Heading2"/>
      </w:pPr>
      <w:proofErr w:type="spellStart"/>
      <w:r w:rsidRPr="006D3DBC">
        <w:t>Pharmacodynamics</w:t>
      </w:r>
      <w:proofErr w:type="spellEnd"/>
    </w:p>
    <w:p w:rsidR="006C713D" w:rsidRDefault="006C713D" w:rsidP="006C713D">
      <w:r w:rsidRPr="006D3DBC">
        <w:t xml:space="preserve">The </w:t>
      </w:r>
      <w:proofErr w:type="spellStart"/>
      <w:r w:rsidRPr="006D3DBC">
        <w:t>pharmacodynamic</w:t>
      </w:r>
      <w:proofErr w:type="spellEnd"/>
      <w:r w:rsidRPr="006D3DBC">
        <w:t xml:space="preserve"> effects of apixaban are reflective of the mechanism of action (FXa inhibition).  As a result of FXa inhibition, apixaban prolongs clotting tests such as prothrombin time (PT), INR and activated partial thromboplastin time (aPTT).  Changes observed in these clotting tests at the expected therapeutic dose are small and subject to a high degree of variability.  They are not recommended to assess the </w:t>
      </w:r>
      <w:proofErr w:type="spellStart"/>
      <w:r w:rsidRPr="006D3DBC">
        <w:t>pharmacodynamic</w:t>
      </w:r>
      <w:proofErr w:type="spellEnd"/>
      <w:r w:rsidRPr="006D3DBC">
        <w:t xml:space="preserve"> effects of </w:t>
      </w:r>
      <w:proofErr w:type="spellStart"/>
      <w:r w:rsidRPr="006D3DBC">
        <w:t>apixaban</w:t>
      </w:r>
      <w:proofErr w:type="spellEnd"/>
      <w:r w:rsidRPr="006D3DBC">
        <w:t>.</w:t>
      </w:r>
    </w:p>
    <w:p w:rsidR="006C713D" w:rsidRDefault="006C713D" w:rsidP="006C713D">
      <w:proofErr w:type="spellStart"/>
      <w:r w:rsidRPr="006D3DBC">
        <w:t>Apixaban</w:t>
      </w:r>
      <w:proofErr w:type="spellEnd"/>
      <w:r w:rsidRPr="006D3DBC">
        <w:t xml:space="preserve"> also demonstrates anti-</w:t>
      </w:r>
      <w:proofErr w:type="spellStart"/>
      <w:r w:rsidRPr="006D3DBC">
        <w:t>FXa</w:t>
      </w:r>
      <w:proofErr w:type="spellEnd"/>
      <w:r w:rsidRPr="006D3DBC">
        <w:t xml:space="preserve"> activity as evident by reduction in FXa enzyme activity in the Rotachrom</w:t>
      </w:r>
      <w:r w:rsidRPr="006D3DBC">
        <w:rPr>
          <w:vertAlign w:val="superscript"/>
        </w:rPr>
        <w:t>®</w:t>
      </w:r>
      <w:r w:rsidRPr="006D3DBC">
        <w:t xml:space="preserve"> Heparin chromogenic assay.  Anti-FXa activity exhibits a close direct linear relationship with apixaban plasma concentration, reaching maximum values at the time </w:t>
      </w:r>
      <w:r w:rsidRPr="006D3DBC">
        <w:lastRenderedPageBreak/>
        <w:t>of apixaban peak plasma concentrations.  The relationship between apixaban plasma concentration and anti-FXa activity is linear over a wide dose range of apixaban, and precision of the Rotachrom</w:t>
      </w:r>
      <w:r w:rsidRPr="006D3DBC">
        <w:rPr>
          <w:vertAlign w:val="superscript"/>
        </w:rPr>
        <w:t>®</w:t>
      </w:r>
      <w:r w:rsidRPr="006D3DBC">
        <w:t xml:space="preserve"> assay is well within acceptable limits for use in a clinical laboratory.  The dose- and concentration-related changes observed following apixaban administration are more pronounced, and </w:t>
      </w:r>
      <w:proofErr w:type="gramStart"/>
      <w:r w:rsidRPr="006D3DBC">
        <w:t>less variable</w:t>
      </w:r>
      <w:proofErr w:type="gramEnd"/>
      <w:r w:rsidRPr="006D3DBC">
        <w:t>, with anti-FXa activity compared with clotting tests.</w:t>
      </w:r>
    </w:p>
    <w:p w:rsidR="006C713D" w:rsidRDefault="006C713D" w:rsidP="006C713D">
      <w:r w:rsidRPr="006D3DBC">
        <w:t>In patients treated with apixaban 2.5 mg twice a day following elective knee or hip replacement surgery, predicted steady-state peak and trough anti-FXa activity are 1.3 IU/mL (5</w:t>
      </w:r>
      <w:r w:rsidRPr="006D3DBC">
        <w:rPr>
          <w:vertAlign w:val="superscript"/>
        </w:rPr>
        <w:t>th</w:t>
      </w:r>
      <w:r w:rsidRPr="006D3DBC">
        <w:t>/95</w:t>
      </w:r>
      <w:r w:rsidRPr="006D3DBC">
        <w:rPr>
          <w:vertAlign w:val="superscript"/>
        </w:rPr>
        <w:t>th</w:t>
      </w:r>
      <w:r w:rsidRPr="006D3DBC">
        <w:t xml:space="preserve"> percentile 0.67-2.4 IU/mL) and 0.84 IU/mL (5th/95th percentile 0.37-1.8 IU/mL), respectively, demonstrating less than a 1.6-fold fluctuation in peak-to-trough anti-FXa activity over the dosing interval.</w:t>
      </w:r>
    </w:p>
    <w:p w:rsidR="006C713D" w:rsidRDefault="006C713D" w:rsidP="006C713D">
      <w:r w:rsidRPr="006D3DBC">
        <w:t xml:space="preserve">Although treatment with </w:t>
      </w:r>
      <w:proofErr w:type="spellStart"/>
      <w:r w:rsidRPr="006D3DBC">
        <w:t>apixaban</w:t>
      </w:r>
      <w:proofErr w:type="spellEnd"/>
      <w:r w:rsidRPr="006D3DBC">
        <w:t xml:space="preserve"> at the recommended dose does not require routine monitoring of exposure, the Rotachrom</w:t>
      </w:r>
      <w:r w:rsidRPr="006D3DBC">
        <w:rPr>
          <w:vertAlign w:val="superscript"/>
        </w:rPr>
        <w:t>®</w:t>
      </w:r>
      <w:r w:rsidRPr="006D3DBC">
        <w:t xml:space="preserve"> anti-FXa assay may be useful in exceptional situations where knowledge of apixaban exposure may help to inform clinical decisions, e.g. overdose or emergency surgery.</w:t>
      </w:r>
    </w:p>
    <w:p w:rsidR="006C713D" w:rsidRDefault="006C713D" w:rsidP="006C713D">
      <w:proofErr w:type="spellStart"/>
      <w:r w:rsidRPr="006D3DBC">
        <w:t>Apixaban</w:t>
      </w:r>
      <w:proofErr w:type="spellEnd"/>
      <w:r w:rsidRPr="006D3DBC">
        <w:t xml:space="preserve"> has no effect on the QTc interval in humans at doses up to 50 mg.</w:t>
      </w:r>
    </w:p>
    <w:p w:rsidR="006C713D" w:rsidRDefault="006C713D" w:rsidP="006C713D">
      <w:pPr>
        <w:pStyle w:val="Heading2"/>
      </w:pPr>
      <w:r w:rsidRPr="006D3DBC">
        <w:t>Mechanism of Action</w:t>
      </w:r>
    </w:p>
    <w:p w:rsidR="006C713D" w:rsidRDefault="006C713D" w:rsidP="006C713D">
      <w:proofErr w:type="spellStart"/>
      <w:r w:rsidRPr="006D3DBC">
        <w:t>Apixaban</w:t>
      </w:r>
      <w:proofErr w:type="spellEnd"/>
      <w:r w:rsidRPr="006D3DBC">
        <w:t xml:space="preserve"> is a reversible, direct and highly selective inhibitor of FXa.  It does not require antithrombin III for antithrombotic activity.  Apixaban inhibits free and clot-bound FXa, and prothrombinase activity.  Apixaban has no direct effects on platelet aggregation, but indirectly inhibits platelet aggregation induced by thrombin.  By inhibiting FXa, apixaban prevents thrombin generation and thrombus development.  Preclinical studies of apixaban in animal models have demonstrated antithrombotic efficacy in the prevention of arterial and venous thrombosis at doses that caused negligible prolongation of prothrombin time and bleeding time in rabbits and dogs, but more than 2-fold increases in prothrombin time and bleeding time in rats.</w:t>
      </w:r>
    </w:p>
    <w:p w:rsidR="006C713D" w:rsidRDefault="006C713D" w:rsidP="006C713D">
      <w:pPr>
        <w:pStyle w:val="Heading2"/>
      </w:pPr>
      <w:r w:rsidRPr="006D3DBC">
        <w:t>Pharmacokinetics</w:t>
      </w:r>
    </w:p>
    <w:p w:rsidR="006C713D" w:rsidRDefault="006C713D" w:rsidP="006C713D">
      <w:pPr>
        <w:pStyle w:val="Heading3"/>
      </w:pPr>
      <w:r w:rsidRPr="006D3DBC">
        <w:t>Absorption</w:t>
      </w:r>
    </w:p>
    <w:p w:rsidR="006C713D" w:rsidRDefault="006C713D" w:rsidP="006C713D">
      <w:r w:rsidRPr="006D3DBC">
        <w:t>The absolute bioavailability of apixaban is approximately 50% for doses up to 10 mg.  Apixaban is rapidly absorbed with maximum concentrations (Cmax) appearing 3 to 4 hours after tablet intake.  Intake with food does not affect apixaban AUC or Cmax at the 10 mg dose.  Apixaban can be taken with or without food.  Apixaban demonstrates linear pharmacokinetics with dose proportional increases in exposure for oral doses up to 10 mg.  At doses ≥ 25 mg apixaban displays dissolution limited absorption with decreased bioavailability.  Apixaban exposure parameters exhibit low to moderate variability reflected by a within-subject and inter-subject variability of ~ 20% CV and ~ 30% CV, respectively.</w:t>
      </w:r>
    </w:p>
    <w:p w:rsidR="006C713D" w:rsidRDefault="006C713D" w:rsidP="006C713D">
      <w:pPr>
        <w:pStyle w:val="Heading3"/>
      </w:pPr>
      <w:r w:rsidRPr="006D3DBC">
        <w:t>Distribution</w:t>
      </w:r>
    </w:p>
    <w:p w:rsidR="006C713D" w:rsidRDefault="006C713D" w:rsidP="006C713D">
      <w:r w:rsidRPr="006D3DBC">
        <w:t>Plasma protein binding in humans is approximately 87%.  The volume of distribution (Vss) is approximately 21 litres.</w:t>
      </w:r>
    </w:p>
    <w:p w:rsidR="006C713D" w:rsidRDefault="006C713D" w:rsidP="006C713D">
      <w:pPr>
        <w:pStyle w:val="Heading3"/>
      </w:pPr>
      <w:r w:rsidRPr="006D3DBC">
        <w:t>Metabolism and Elimination</w:t>
      </w:r>
    </w:p>
    <w:p w:rsidR="006C713D" w:rsidRPr="006D3DBC" w:rsidRDefault="006C713D" w:rsidP="006C713D">
      <w:proofErr w:type="spellStart"/>
      <w:r w:rsidRPr="006D3DBC">
        <w:t>Apixaban</w:t>
      </w:r>
      <w:proofErr w:type="spellEnd"/>
      <w:r w:rsidRPr="006D3DBC">
        <w:t xml:space="preserve"> has multiple routes of elimination.  Of the administered apixaban dose in humans, approximately 25% was recovered as metabolites, with the majority recovered in faeces.  Renal excretion of apixaban accounts for approximately 27% of total clearance.  Additional </w:t>
      </w:r>
      <w:r w:rsidRPr="006D3DBC">
        <w:lastRenderedPageBreak/>
        <w:t>contributions from biliary and direct intestinal excretion were observed in clinical and nonclinical studies, respectively.</w:t>
      </w:r>
    </w:p>
    <w:p w:rsidR="006C713D" w:rsidRDefault="006C713D" w:rsidP="006C713D">
      <w:r w:rsidRPr="006D3DBC">
        <w:t>Apixaban has a total clearance of about 3.3 L/h and a half-life of approximately 12 hours.</w:t>
      </w:r>
    </w:p>
    <w:p w:rsidR="006C713D" w:rsidRDefault="006C713D" w:rsidP="006C713D">
      <w:r w:rsidRPr="006D3DBC">
        <w:t>O-</w:t>
      </w:r>
      <w:proofErr w:type="spellStart"/>
      <w:r w:rsidRPr="006D3DBC">
        <w:t>demethylation</w:t>
      </w:r>
      <w:proofErr w:type="spellEnd"/>
      <w:r w:rsidRPr="006D3DBC">
        <w:t xml:space="preserve"> and hydroxylation at the 3-oxopiperidinyl moiety are the major sites of biotransformation.  Apixaban is metabolised mainly via CYP3A4/5 with minor contributions from CYP1A2, 2C8, 2C9, 2C19, and 2J2.  Unchanged apixaban is the major drug-related component in human plasma with no active circulating metabolites present.  Apixaban is a substrate of efflux transport proteins, P-glycoprotein (P-gp) and breast cancer resistance protein (BCRP).</w:t>
      </w:r>
    </w:p>
    <w:p w:rsidR="006C713D" w:rsidRDefault="006C713D" w:rsidP="006C713D">
      <w:pPr>
        <w:pStyle w:val="Heading3"/>
      </w:pPr>
      <w:r w:rsidRPr="006D3DBC">
        <w:t>Special Populations</w:t>
      </w:r>
    </w:p>
    <w:p w:rsidR="006C713D" w:rsidRDefault="006C713D" w:rsidP="006C713D">
      <w:pPr>
        <w:pStyle w:val="Heading4"/>
      </w:pPr>
      <w:r w:rsidRPr="006D3DBC">
        <w:rPr>
          <w:rFonts w:eastAsia="Calibri"/>
        </w:rPr>
        <w:t>Elderly</w:t>
      </w:r>
    </w:p>
    <w:p w:rsidR="006C713D" w:rsidRDefault="006C713D" w:rsidP="006C713D">
      <w:r w:rsidRPr="006D3DBC">
        <w:t>Elderly patients (above 65 years) exhibited higher plasma concentrations than younger patients, with mean AUC values being approximately 32% higher.  No dose adjustment is required, except for atrial fibrillation patients</w:t>
      </w:r>
      <w:r>
        <w:t xml:space="preserve"> with two of the following criteria;</w:t>
      </w:r>
      <w:r w:rsidRPr="006D3DBC">
        <w:t xml:space="preserve"> </w:t>
      </w:r>
      <w:r>
        <w:t xml:space="preserve">age </w:t>
      </w:r>
      <w:r w:rsidRPr="006D3DBC">
        <w:t>≥</w:t>
      </w:r>
      <w:r>
        <w:t xml:space="preserve"> </w:t>
      </w:r>
      <w:r w:rsidRPr="006D3DBC">
        <w:t>80 years</w:t>
      </w:r>
      <w:r>
        <w:t>,</w:t>
      </w:r>
      <w:r w:rsidRPr="006D3DBC">
        <w:t xml:space="preserve"> body weight ≤</w:t>
      </w:r>
      <w:r>
        <w:t xml:space="preserve"> </w:t>
      </w:r>
      <w:r w:rsidRPr="006D3DBC">
        <w:t>60 kg</w:t>
      </w:r>
      <w:r>
        <w:t>,</w:t>
      </w:r>
      <w:r w:rsidRPr="006D3DBC">
        <w:t xml:space="preserve"> serum creatinine ≥</w:t>
      </w:r>
      <w:r>
        <w:t xml:space="preserve"> </w:t>
      </w:r>
      <w:r w:rsidRPr="006D3DBC">
        <w:t>133 µmol/L</w:t>
      </w:r>
      <w:r>
        <w:t xml:space="preserve"> </w:t>
      </w:r>
      <w:r w:rsidRPr="006D3DBC">
        <w:t xml:space="preserve">(see DOSAGE AND ADMINISTRATION, </w:t>
      </w:r>
      <w:r w:rsidRPr="00E14A2A">
        <w:t>Prevention of Stroke and Systemic Embolism: Non-valvular</w:t>
      </w:r>
      <w:r w:rsidRPr="005D2D08">
        <w:rPr>
          <w:b/>
          <w:i/>
        </w:rPr>
        <w:t xml:space="preserve"> </w:t>
      </w:r>
      <w:r w:rsidRPr="00E14A2A">
        <w:t>Atrial Fibrillation</w:t>
      </w:r>
      <w:r>
        <w:t xml:space="preserve">, </w:t>
      </w:r>
      <w:r w:rsidRPr="006D3DBC">
        <w:t>Use in the Elderly</w:t>
      </w:r>
      <w:r>
        <w:t xml:space="preserve">, </w:t>
      </w:r>
      <w:r w:rsidRPr="00E14A2A">
        <w:t>Use in</w:t>
      </w:r>
      <w:r>
        <w:t xml:space="preserve"> Renal Impairment, Body Weight</w:t>
      </w:r>
      <w:r w:rsidRPr="006D3DBC">
        <w:t>).</w:t>
      </w:r>
    </w:p>
    <w:p w:rsidR="006C713D" w:rsidRDefault="006C713D" w:rsidP="006C713D">
      <w:pPr>
        <w:pStyle w:val="Heading4"/>
      </w:pPr>
      <w:r w:rsidRPr="006D3DBC">
        <w:t>Children and Adolescents</w:t>
      </w:r>
    </w:p>
    <w:p w:rsidR="006C713D" w:rsidRDefault="006C713D" w:rsidP="006C713D">
      <w:r w:rsidRPr="006D3DBC">
        <w:t xml:space="preserve">The efficacy and safety of ELIQUIS in children </w:t>
      </w:r>
      <w:r>
        <w:t xml:space="preserve">and adolescents </w:t>
      </w:r>
      <w:r w:rsidRPr="006D3DBC">
        <w:t>below age 18 have not been established.  No data are available.</w:t>
      </w:r>
    </w:p>
    <w:p w:rsidR="006C713D" w:rsidRDefault="006C713D" w:rsidP="006C713D">
      <w:pPr>
        <w:pStyle w:val="Heading4"/>
      </w:pPr>
      <w:r w:rsidRPr="006D3DBC">
        <w:t>Gender</w:t>
      </w:r>
    </w:p>
    <w:p w:rsidR="006C713D" w:rsidRDefault="006C713D" w:rsidP="006C713D">
      <w:r w:rsidRPr="006D3DBC">
        <w:t xml:space="preserve">Exposure to </w:t>
      </w:r>
      <w:proofErr w:type="spellStart"/>
      <w:r w:rsidRPr="006D3DBC">
        <w:t>apixaban</w:t>
      </w:r>
      <w:proofErr w:type="spellEnd"/>
      <w:r w:rsidRPr="006D3DBC">
        <w:t xml:space="preserve"> was approximately 18% higher in females than in males.  No dose adjustment is required.</w:t>
      </w:r>
    </w:p>
    <w:p w:rsidR="006C713D" w:rsidRDefault="006C713D" w:rsidP="006C713D">
      <w:pPr>
        <w:pStyle w:val="Heading4"/>
      </w:pPr>
      <w:r w:rsidRPr="006D3DBC">
        <w:t>Race</w:t>
      </w:r>
    </w:p>
    <w:p w:rsidR="006C713D" w:rsidRDefault="006C713D" w:rsidP="006C713D">
      <w:r w:rsidRPr="006D3DBC">
        <w:t>The results across phase I studies showed no discernible difference in apixaban pharmacokinetics between White/Caucasian, Asian and Black/African American subjects.  Findings from a population pharmacokinetic analysis in patients who received apixaban were consistent with the phase I results.  No dose adjustment is required.</w:t>
      </w:r>
    </w:p>
    <w:p w:rsidR="006C713D" w:rsidRDefault="006C713D" w:rsidP="006C713D">
      <w:pPr>
        <w:pStyle w:val="Heading4"/>
        <w:rPr>
          <w:rFonts w:eastAsia="Calibri"/>
        </w:rPr>
      </w:pPr>
      <w:r w:rsidRPr="006D3DBC">
        <w:rPr>
          <w:rFonts w:eastAsia="Calibri"/>
        </w:rPr>
        <w:t>Body Weight</w:t>
      </w:r>
    </w:p>
    <w:p w:rsidR="006C713D" w:rsidRDefault="006C713D" w:rsidP="006C713D">
      <w:r w:rsidRPr="006D3DBC">
        <w:t xml:space="preserve">Compared with </w:t>
      </w:r>
      <w:proofErr w:type="spellStart"/>
      <w:r w:rsidRPr="006D3DBC">
        <w:t>apixaban</w:t>
      </w:r>
      <w:proofErr w:type="spellEnd"/>
      <w:r w:rsidRPr="006D3DBC">
        <w:t xml:space="preserve"> exposure in subjects with body weight of 65 to 85 kg, body weight &gt; 120 kg was associated with approximately 30% lower exposure and body weight &lt; 50 kg was associated with approximately 30% higher exposure.  No dose adjustment is required; except for atrial fibrillation patients with </w:t>
      </w:r>
      <w:r>
        <w:t xml:space="preserve">two of the following criteria; </w:t>
      </w:r>
      <w:r w:rsidRPr="006D3DBC">
        <w:t>a body weight ≤</w:t>
      </w:r>
      <w:r>
        <w:t xml:space="preserve"> </w:t>
      </w:r>
      <w:r w:rsidRPr="006D3DBC">
        <w:t xml:space="preserve">60 kg and </w:t>
      </w:r>
      <w:r>
        <w:t xml:space="preserve">age </w:t>
      </w:r>
      <w:r w:rsidRPr="006D3DBC">
        <w:t>≥</w:t>
      </w:r>
      <w:r>
        <w:t xml:space="preserve"> </w:t>
      </w:r>
      <w:r w:rsidRPr="006D3DBC">
        <w:t>80 years</w:t>
      </w:r>
      <w:r>
        <w:t>,</w:t>
      </w:r>
      <w:r w:rsidRPr="006D3DBC">
        <w:t xml:space="preserve"> serum creatinine ≥</w:t>
      </w:r>
      <w:r>
        <w:t xml:space="preserve"> </w:t>
      </w:r>
      <w:proofErr w:type="gramStart"/>
      <w:r w:rsidRPr="006D3DBC">
        <w:t>133 µmol/L</w:t>
      </w:r>
      <w:proofErr w:type="gramEnd"/>
      <w:r w:rsidRPr="006D3DBC">
        <w:t xml:space="preserve"> (see DOSAGE AND ADMINISTRATION</w:t>
      </w:r>
      <w:r>
        <w:t>).</w:t>
      </w:r>
    </w:p>
    <w:p w:rsidR="006C713D" w:rsidRDefault="006C713D" w:rsidP="006C713D">
      <w:pPr>
        <w:pStyle w:val="Heading4"/>
        <w:rPr>
          <w:rFonts w:eastAsia="Calibri"/>
        </w:rPr>
      </w:pPr>
      <w:r w:rsidRPr="00FD221A">
        <w:rPr>
          <w:rFonts w:eastAsia="Calibri"/>
        </w:rPr>
        <w:t>Renal Impairment</w:t>
      </w:r>
    </w:p>
    <w:p w:rsidR="006C713D" w:rsidRDefault="006C713D" w:rsidP="006C713D">
      <w:r w:rsidRPr="006D3DBC">
        <w:t>If there is a suspicion of renal impairment, the degree of renal impairment must be determined accurately.  Caution must be exercised when renal function estimates are based on eGFR.</w:t>
      </w:r>
    </w:p>
    <w:p w:rsidR="006C713D" w:rsidRDefault="006C713D" w:rsidP="006C713D">
      <w:r w:rsidRPr="006D3DBC">
        <w:lastRenderedPageBreak/>
        <w:t>There was no impact of impaired renal function on peak concentration of apixaban.  There was an increase in apixaban exposure correlated to decrease in renal function, as assessed via measured creatinine clearance.  In individuals with mild (creatinine clearance 51 – 80 mL/min), moderate (creatinine clearance 30 – 50 mL/min) and severe (creatinine clearance 15 - 29 mL/min) renal impairment, apixaban plasma concentrations (AUC) were increased 16, 29, and 44% respectively, compared to individuals with normal creatinine clearance.  Renal impairment had no evident effect on the relationship between apixaban plasma concentration and anti-FXa activity.</w:t>
      </w:r>
    </w:p>
    <w:p w:rsidR="006C713D" w:rsidRDefault="006C713D" w:rsidP="006C713D">
      <w:r w:rsidRPr="006D3DBC">
        <w:t>No dose adjustment is necessary in patients with mild or moderate renal impairment.</w:t>
      </w:r>
    </w:p>
    <w:p w:rsidR="006C713D" w:rsidRDefault="006C713D" w:rsidP="006C713D">
      <w:r w:rsidRPr="006C7CB9">
        <w:t>As there is no clinical experience in patients with renal impairment &lt; 15 mL/min or in patients undergoing dialysis ELIQUIS is contraindicated in these patients.  There is limited experience in patients with renal impairment 15 mL to &lt; 25 mL/min with increased apixaban exposure, therefore, ELIQUIS is also contraindicated in these patients (see CONTRAINDICATIONS).</w:t>
      </w:r>
    </w:p>
    <w:p w:rsidR="006C713D" w:rsidRDefault="006C713D" w:rsidP="006C713D">
      <w:r>
        <w:t xml:space="preserve">Dose adjustment is recommended </w:t>
      </w:r>
      <w:r w:rsidRPr="006A03BB">
        <w:t xml:space="preserve">for </w:t>
      </w:r>
      <w:r>
        <w:t xml:space="preserve">atrial fibrillation </w:t>
      </w:r>
      <w:r w:rsidRPr="006A03BB">
        <w:t xml:space="preserve">patients </w:t>
      </w:r>
      <w:r>
        <w:t>with two of the follo</w:t>
      </w:r>
      <w:r w:rsidRPr="006A03BB">
        <w:t>wi</w:t>
      </w:r>
      <w:r>
        <w:t xml:space="preserve">ng criteria; </w:t>
      </w:r>
      <w:r w:rsidRPr="006A03BB">
        <w:t>serum creatinine ≥</w:t>
      </w:r>
      <w:r>
        <w:t xml:space="preserve"> </w:t>
      </w:r>
      <w:r w:rsidRPr="006A03BB">
        <w:t>133 µmol/L</w:t>
      </w:r>
      <w:r>
        <w:t>,</w:t>
      </w:r>
      <w:r w:rsidRPr="006A03BB">
        <w:t xml:space="preserve"> </w:t>
      </w:r>
      <w:r>
        <w:t xml:space="preserve">age </w:t>
      </w:r>
      <w:r w:rsidRPr="006A03BB">
        <w:t>≥</w:t>
      </w:r>
      <w:r>
        <w:t xml:space="preserve"> 80 </w:t>
      </w:r>
      <w:r w:rsidRPr="006A03BB">
        <w:t>years</w:t>
      </w:r>
      <w:r>
        <w:t xml:space="preserve">, </w:t>
      </w:r>
      <w:r w:rsidRPr="006A03BB">
        <w:t>body weight ≤</w:t>
      </w:r>
      <w:r>
        <w:t xml:space="preserve"> </w:t>
      </w:r>
      <w:r w:rsidRPr="006A03BB">
        <w:t>60 kg</w:t>
      </w:r>
      <w:r>
        <w:t xml:space="preserve"> </w:t>
      </w:r>
      <w:r w:rsidRPr="006D3DBC">
        <w:t xml:space="preserve">(see DOSAGE AND ADMINISTRATION, </w:t>
      </w:r>
      <w:r w:rsidRPr="00C50734">
        <w:t>Prevention of Stroke and Systemic Embolism: Non-valvular Atrial Fibrillation</w:t>
      </w:r>
      <w:r>
        <w:t xml:space="preserve"> and </w:t>
      </w:r>
      <w:r w:rsidRPr="006D3DBC">
        <w:t>PRECAUTIONS, Renal Impairment).</w:t>
      </w:r>
    </w:p>
    <w:p w:rsidR="006C713D" w:rsidRDefault="006C713D" w:rsidP="006C713D">
      <w:pPr>
        <w:pStyle w:val="Heading4"/>
      </w:pPr>
      <w:r w:rsidRPr="006D3DBC">
        <w:t>Hepatic Impairment</w:t>
      </w:r>
    </w:p>
    <w:p w:rsidR="006C713D" w:rsidRDefault="006C713D" w:rsidP="006C713D">
      <w:proofErr w:type="spellStart"/>
      <w:r w:rsidRPr="006D3DBC">
        <w:t>Apixaban</w:t>
      </w:r>
      <w:proofErr w:type="spellEnd"/>
      <w:r w:rsidRPr="006D3DBC">
        <w:t xml:space="preserve"> has not been studied in patients with severe hepatic impairment or active hepatobiliary disease.  Apixaban is contraindicated in patients with hepatic disease associated with coagulopathy and clinically relevant bleeding risk, including severe hepatic impairment (Child-Pugh C) (see CONTRAINDICATIONS).</w:t>
      </w:r>
    </w:p>
    <w:p w:rsidR="006C713D" w:rsidRPr="006D3DBC" w:rsidRDefault="006C713D" w:rsidP="006C713D">
      <w:r w:rsidRPr="006D3DBC">
        <w:t>No dose adjustment is required in patients with mild or moderate hepatic impairment; however, given the limited number of subjects studied, caution is advised when using ELIQUIS in this population (see DOSAGE AND ADMINISTRATION, Use in Hepatic Impairment</w:t>
      </w:r>
      <w:r>
        <w:t xml:space="preserve"> and </w:t>
      </w:r>
      <w:r w:rsidRPr="006D3DBC">
        <w:t>PRECAUTIONS, Use in Hepatic Impairment).</w:t>
      </w:r>
    </w:p>
    <w:p w:rsidR="006C713D" w:rsidRDefault="006C713D" w:rsidP="006C713D">
      <w:r w:rsidRPr="006D3DBC">
        <w:t>In a study comparing subjects with mild and moderate hepatic impairment (classified as Child-Pugh A and B, respectively) to healthy control subjects, the single-dose pharmacokinetics and pharmacodynamics of apixaban 5 mg were not altered in subjects with hepatic impairment.  Changes in anti-FXa activity and INR were comparable between subjects with mild to moderate hepatic impairment and healthy subjects.</w:t>
      </w:r>
    </w:p>
    <w:p w:rsidR="006C713D" w:rsidRDefault="006C713D" w:rsidP="006C713D">
      <w:pPr>
        <w:pStyle w:val="Heading4"/>
      </w:pPr>
      <w:r w:rsidRPr="006D3DBC">
        <w:t>Pharmacokinetic/</w:t>
      </w:r>
      <w:proofErr w:type="spellStart"/>
      <w:r w:rsidRPr="006D3DBC">
        <w:t>Pharmacodynamic</w:t>
      </w:r>
      <w:proofErr w:type="spellEnd"/>
      <w:r w:rsidRPr="006D3DBC">
        <w:t xml:space="preserve"> Relationship</w:t>
      </w:r>
    </w:p>
    <w:p w:rsidR="006C713D" w:rsidRDefault="006C713D" w:rsidP="006C713D">
      <w:r w:rsidRPr="006D3DBC">
        <w:t>The pharmacokinetic/</w:t>
      </w:r>
      <w:proofErr w:type="spellStart"/>
      <w:r w:rsidRPr="006D3DBC">
        <w:t>pharmacodynamic</w:t>
      </w:r>
      <w:proofErr w:type="spellEnd"/>
      <w:r w:rsidRPr="006D3DBC">
        <w:t xml:space="preserve"> (PK/PD) relationship between apixaban plasma concentration and several PD endpoints (anti-FXa activity, INR, PT, aPTT) has been evaluated after administration of a wide range of doses (0.5 - 50 mg).  The relationship between apixaban plasma concentration and anti-FXa activity was best described by a linear model.  The PK/PD relationship observed in patients who received apixaban in phase II or phase III clinical studies was consistent with that established in healthy subjects.</w:t>
      </w:r>
    </w:p>
    <w:p w:rsidR="006C713D" w:rsidRDefault="006C713D" w:rsidP="006C713D">
      <w:pPr>
        <w:pStyle w:val="Heading1"/>
      </w:pPr>
      <w:r w:rsidRPr="006D3DBC">
        <w:lastRenderedPageBreak/>
        <w:t>CLINICAL TRIALS</w:t>
      </w:r>
    </w:p>
    <w:p w:rsidR="006C713D" w:rsidRDefault="006C713D" w:rsidP="006C713D">
      <w:pPr>
        <w:pStyle w:val="Heading2"/>
      </w:pPr>
      <w:r w:rsidRPr="006D3DBC">
        <w:t>Prevention of VTE: Elective Total Hip or Total Knee Replacement Surgery</w:t>
      </w:r>
    </w:p>
    <w:p w:rsidR="006C713D" w:rsidRPr="006D3DBC" w:rsidRDefault="006C713D" w:rsidP="006C713D">
      <w:r w:rsidRPr="006D3DBC">
        <w:t xml:space="preserve">The </w:t>
      </w:r>
      <w:proofErr w:type="spellStart"/>
      <w:r w:rsidRPr="006D3DBC">
        <w:t>apixaban</w:t>
      </w:r>
      <w:proofErr w:type="spellEnd"/>
      <w:r w:rsidRPr="006D3DBC">
        <w:t xml:space="preserve"> clinical program was designed to demonstrate the efficacy and safety of apixaban for the prevention of venous thromboembolic events (VTE) in a broad range of adult patients undergoing elective hip or knee replacement.  A total of 8,464 patients were randomised in two pivotal, double-blind, multi-national studies, comparing apixaban 2.5 mg given orally twice daily (4,236 patients) or enoxaparin 40 mg once daily (4,228 patients).  Included in this total were 1,262 patients (618 in the apixaban group) of age 75 or older, 1,004 patients (499 in the apixaban group) with low body weight (≤ 60 kg), 1,495 patients (743 in the apixaban group) with BMI ≥33 kg/m</w:t>
      </w:r>
      <w:r w:rsidRPr="006D3DBC">
        <w:rPr>
          <w:vertAlign w:val="superscript"/>
        </w:rPr>
        <w:t>2</w:t>
      </w:r>
      <w:r w:rsidRPr="006D3DBC">
        <w:t xml:space="preserve"> and 437 patients with severe or moderate renal impairment (217 patients in the apixaban group).  The ADVANCE-3 study included 5,407 patients undergoing elective hip replacement (mean age: 61 years; 53% female), and the ADVANCE-2 study included 3,057 patients undergoing elective knee replacement (mean age: 66 years; 72% female).  Apixaban was not studied in patients undergoing hip fracture surgery.</w:t>
      </w:r>
    </w:p>
    <w:p w:rsidR="006C713D" w:rsidRPr="006D3DBC" w:rsidRDefault="006C713D" w:rsidP="006C713D">
      <w:r w:rsidRPr="006D3DBC">
        <w:t>Adult patients scheduled for hip or knee replacement surgery could be enrolled provided they had no active bleeding or high risk of bleeding, no active hepatobiliary disease, their creatinine clearance was not less than 30 mL/min, their ALT or AST level was not greater than twice the upper limit of normal (ULN) and they were not on treatment with medications affecting coagulation or platelet function u</w:t>
      </w:r>
      <w:r>
        <w:t>nless they could be withdrawn.</w:t>
      </w:r>
    </w:p>
    <w:p w:rsidR="006C713D" w:rsidRPr="006D3DBC" w:rsidRDefault="006C713D" w:rsidP="006C713D">
      <w:r w:rsidRPr="006D3DBC">
        <w:t>Subjects received either apixaban 2.5 mg given orally twice daily (po bid) or enoxaparin 40 mg administered subcutaneously once daily (sc od).  The first dose of apixaban was given 12 to 24 hours post-surgery, whereas enoxaparin was started 9 to 15 hours prior to surgery.  Both apixaban and enoxaparin were given for 32-38 days in the ADVANCE-3 study and for 10-14 days in the ADVANCE-2 study.</w:t>
      </w:r>
    </w:p>
    <w:p w:rsidR="006C713D" w:rsidRPr="006D3DBC" w:rsidRDefault="006C713D" w:rsidP="006C713D">
      <w:r w:rsidRPr="006D3DBC">
        <w:t>Based on patient medical history in the studied population of ADVANCE-3 and ADVANCE-2 (8,464 patients), 46% had hypertension, 10% had hyperlipidemia, 9% had diabetes, and 8% had coronary artery disease.</w:t>
      </w:r>
    </w:p>
    <w:p w:rsidR="006C713D" w:rsidRDefault="006C713D" w:rsidP="006C713D">
      <w:r w:rsidRPr="006D3DBC">
        <w:t>Efficacy analyses of the pivotal studies utilised a pre-specified testing sequence that allowed testing for superiority on the primary endpoint only after non-inferiority (NI) was established.  The NI margin used for the primary endpoint was 1.25, i.e. the upper bound of the 95% confidence interval (CI) for the relative risk was not to exceed 1.25.  Similarly, testing for superiority on the key secondary endpoint of Major VTE was only conducted after non-inferiority on this endpoint was established.</w:t>
      </w:r>
    </w:p>
    <w:p w:rsidR="000B5BD3" w:rsidRDefault="006C713D" w:rsidP="000B5BD3">
      <w:proofErr w:type="spellStart"/>
      <w:r w:rsidRPr="006D3DBC">
        <w:t>Apixaban</w:t>
      </w:r>
      <w:proofErr w:type="spellEnd"/>
      <w:r w:rsidRPr="006D3DBC">
        <w:t xml:space="preserve"> demonstrated a statistically superior reduction in the primary endpoint, a composite of all VTE/all cause death, and in the Major VTE endpoint, a composite of proximal deep vein thrombosis (DVT), non-fatal pulmonary embolism (PE), and VTE-related death, compared to enoxaparin in both elective hip or knee replacement surgery (see Table 1).</w:t>
      </w:r>
      <w:r w:rsidR="000B5BD3">
        <w:br w:type="page"/>
      </w:r>
    </w:p>
    <w:p w:rsidR="006C713D" w:rsidRDefault="006C713D" w:rsidP="000B5BD3">
      <w:pPr>
        <w:pStyle w:val="BMSTableTitle"/>
      </w:pPr>
      <w:r w:rsidRPr="006D3DBC">
        <w:lastRenderedPageBreak/>
        <w:t>Table 1: Efficacy results from pivotal phase III studies</w:t>
      </w: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2538"/>
        <w:gridCol w:w="1296"/>
        <w:gridCol w:w="18"/>
        <w:gridCol w:w="1233"/>
        <w:gridCol w:w="898"/>
        <w:gridCol w:w="1417"/>
        <w:gridCol w:w="1276"/>
        <w:gridCol w:w="850"/>
      </w:tblGrid>
      <w:tr w:rsidR="006C713D" w:rsidRPr="006D3DBC" w:rsidTr="006C713D">
        <w:trPr>
          <w:tblHeader/>
        </w:trPr>
        <w:tc>
          <w:tcPr>
            <w:tcW w:w="2538"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rPr>
                <w:b/>
                <w:sz w:val="20"/>
                <w:szCs w:val="20"/>
              </w:rPr>
            </w:pPr>
            <w:r w:rsidRPr="006D3DBC">
              <w:rPr>
                <w:b/>
                <w:sz w:val="20"/>
                <w:szCs w:val="20"/>
              </w:rPr>
              <w:t>Study</w:t>
            </w:r>
          </w:p>
        </w:tc>
        <w:tc>
          <w:tcPr>
            <w:tcW w:w="3445" w:type="dxa"/>
            <w:gridSpan w:val="4"/>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b/>
                <w:sz w:val="20"/>
                <w:szCs w:val="20"/>
              </w:rPr>
            </w:pPr>
            <w:r w:rsidRPr="006D3DBC">
              <w:rPr>
                <w:b/>
                <w:sz w:val="20"/>
                <w:szCs w:val="20"/>
              </w:rPr>
              <w:t>ADVANCE-3 (hip)</w:t>
            </w:r>
          </w:p>
        </w:tc>
        <w:tc>
          <w:tcPr>
            <w:tcW w:w="3543" w:type="dxa"/>
            <w:gridSpan w:val="3"/>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b/>
                <w:sz w:val="20"/>
                <w:szCs w:val="20"/>
              </w:rPr>
            </w:pPr>
            <w:r w:rsidRPr="006D3DBC">
              <w:rPr>
                <w:b/>
                <w:sz w:val="20"/>
                <w:szCs w:val="20"/>
              </w:rPr>
              <w:t>ADVANCE-2 (knee)</w:t>
            </w:r>
          </w:p>
        </w:tc>
      </w:tr>
      <w:tr w:rsidR="006C713D" w:rsidRPr="006D3DBC" w:rsidTr="006C713D">
        <w:trPr>
          <w:tblHeader/>
        </w:trPr>
        <w:tc>
          <w:tcPr>
            <w:tcW w:w="2538"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rPr>
                <w:sz w:val="20"/>
                <w:szCs w:val="20"/>
              </w:rPr>
            </w:pPr>
            <w:r w:rsidRPr="006D3DBC">
              <w:rPr>
                <w:sz w:val="20"/>
                <w:szCs w:val="20"/>
              </w:rPr>
              <w:t>Study treatment</w:t>
            </w:r>
          </w:p>
          <w:p w:rsidR="006C713D" w:rsidRPr="006D3DBC" w:rsidRDefault="006C713D" w:rsidP="006C713D">
            <w:pPr>
              <w:spacing w:after="0"/>
              <w:rPr>
                <w:sz w:val="20"/>
                <w:szCs w:val="20"/>
              </w:rPr>
            </w:pPr>
            <w:r w:rsidRPr="006D3DBC">
              <w:rPr>
                <w:sz w:val="20"/>
                <w:szCs w:val="20"/>
              </w:rPr>
              <w:t>Dose</w:t>
            </w:r>
          </w:p>
          <w:p w:rsidR="006C713D" w:rsidRPr="006D3DBC" w:rsidRDefault="006C713D" w:rsidP="006C713D">
            <w:pPr>
              <w:spacing w:after="0"/>
              <w:rPr>
                <w:sz w:val="20"/>
                <w:szCs w:val="20"/>
              </w:rPr>
            </w:pPr>
            <w:r w:rsidRPr="006D3DBC">
              <w:rPr>
                <w:sz w:val="20"/>
                <w:szCs w:val="20"/>
              </w:rPr>
              <w:t xml:space="preserve">Duration of treatment </w:t>
            </w:r>
          </w:p>
        </w:tc>
        <w:tc>
          <w:tcPr>
            <w:tcW w:w="1314" w:type="dxa"/>
            <w:gridSpan w:val="2"/>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widowControl w:val="0"/>
              <w:spacing w:after="0"/>
              <w:jc w:val="center"/>
              <w:rPr>
                <w:sz w:val="20"/>
                <w:szCs w:val="20"/>
              </w:rPr>
            </w:pPr>
            <w:proofErr w:type="spellStart"/>
            <w:r w:rsidRPr="006D3DBC">
              <w:rPr>
                <w:sz w:val="20"/>
                <w:szCs w:val="20"/>
              </w:rPr>
              <w:t>Apixaban</w:t>
            </w:r>
            <w:proofErr w:type="spellEnd"/>
          </w:p>
          <w:p w:rsidR="006C713D" w:rsidRPr="006D3DBC" w:rsidRDefault="006C713D" w:rsidP="006C713D">
            <w:pPr>
              <w:widowControl w:val="0"/>
              <w:spacing w:after="0"/>
              <w:jc w:val="center"/>
              <w:rPr>
                <w:sz w:val="20"/>
                <w:szCs w:val="20"/>
              </w:rPr>
            </w:pPr>
            <w:r w:rsidRPr="006D3DBC">
              <w:rPr>
                <w:sz w:val="20"/>
                <w:szCs w:val="20"/>
              </w:rPr>
              <w:t xml:space="preserve">2.5 mg </w:t>
            </w:r>
            <w:proofErr w:type="spellStart"/>
            <w:r w:rsidRPr="006D3DBC">
              <w:rPr>
                <w:sz w:val="20"/>
                <w:szCs w:val="20"/>
              </w:rPr>
              <w:t>po</w:t>
            </w:r>
            <w:proofErr w:type="spellEnd"/>
            <w:r w:rsidRPr="006D3DBC">
              <w:rPr>
                <w:sz w:val="20"/>
                <w:szCs w:val="20"/>
              </w:rPr>
              <w:t xml:space="preserve"> bid</w:t>
            </w:r>
          </w:p>
          <w:p w:rsidR="006C713D" w:rsidRPr="006D3DBC" w:rsidRDefault="006C713D" w:rsidP="006C713D">
            <w:pPr>
              <w:spacing w:after="0"/>
              <w:jc w:val="center"/>
              <w:rPr>
                <w:sz w:val="20"/>
                <w:szCs w:val="20"/>
              </w:rPr>
            </w:pPr>
            <w:r w:rsidRPr="006D3DBC">
              <w:rPr>
                <w:sz w:val="20"/>
                <w:szCs w:val="20"/>
              </w:rPr>
              <w:t>35 ± 3 d</w:t>
            </w:r>
          </w:p>
        </w:tc>
        <w:tc>
          <w:tcPr>
            <w:tcW w:w="1233"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widowControl w:val="0"/>
              <w:spacing w:after="0"/>
              <w:jc w:val="center"/>
              <w:rPr>
                <w:sz w:val="20"/>
                <w:szCs w:val="20"/>
              </w:rPr>
            </w:pPr>
            <w:proofErr w:type="spellStart"/>
            <w:r w:rsidRPr="006D3DBC">
              <w:rPr>
                <w:sz w:val="20"/>
                <w:szCs w:val="20"/>
              </w:rPr>
              <w:t>Enoxaparin</w:t>
            </w:r>
            <w:proofErr w:type="spellEnd"/>
          </w:p>
          <w:p w:rsidR="006C713D" w:rsidRPr="006D3DBC" w:rsidRDefault="006C713D" w:rsidP="006C713D">
            <w:pPr>
              <w:widowControl w:val="0"/>
              <w:spacing w:after="0"/>
              <w:jc w:val="center"/>
              <w:rPr>
                <w:sz w:val="20"/>
                <w:szCs w:val="20"/>
              </w:rPr>
            </w:pPr>
            <w:r w:rsidRPr="006D3DBC">
              <w:rPr>
                <w:sz w:val="20"/>
                <w:szCs w:val="20"/>
              </w:rPr>
              <w:t xml:space="preserve">40 mg sc </w:t>
            </w:r>
            <w:proofErr w:type="spellStart"/>
            <w:r w:rsidRPr="006D3DBC">
              <w:rPr>
                <w:sz w:val="20"/>
                <w:szCs w:val="20"/>
              </w:rPr>
              <w:t>od</w:t>
            </w:r>
            <w:proofErr w:type="spellEnd"/>
          </w:p>
          <w:p w:rsidR="006C713D" w:rsidRPr="006D3DBC" w:rsidRDefault="006C713D" w:rsidP="006C713D">
            <w:pPr>
              <w:spacing w:after="0"/>
              <w:jc w:val="center"/>
              <w:rPr>
                <w:sz w:val="20"/>
                <w:szCs w:val="20"/>
              </w:rPr>
            </w:pPr>
            <w:r w:rsidRPr="006D3DBC">
              <w:rPr>
                <w:sz w:val="20"/>
                <w:szCs w:val="20"/>
              </w:rPr>
              <w:t>35 ± 3 d</w:t>
            </w:r>
          </w:p>
        </w:tc>
        <w:tc>
          <w:tcPr>
            <w:tcW w:w="898"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sz w:val="20"/>
                <w:szCs w:val="20"/>
              </w:rPr>
            </w:pPr>
            <w:r w:rsidRPr="006D3DBC">
              <w:rPr>
                <w:sz w:val="20"/>
                <w:szCs w:val="20"/>
              </w:rPr>
              <w:t>p-value</w:t>
            </w:r>
          </w:p>
        </w:tc>
        <w:tc>
          <w:tcPr>
            <w:tcW w:w="1417"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widowControl w:val="0"/>
              <w:spacing w:after="0"/>
              <w:jc w:val="center"/>
              <w:rPr>
                <w:sz w:val="20"/>
                <w:szCs w:val="20"/>
              </w:rPr>
            </w:pPr>
            <w:proofErr w:type="spellStart"/>
            <w:r w:rsidRPr="006D3DBC">
              <w:rPr>
                <w:sz w:val="20"/>
                <w:szCs w:val="20"/>
              </w:rPr>
              <w:t>Apixaban</w:t>
            </w:r>
            <w:proofErr w:type="spellEnd"/>
          </w:p>
          <w:p w:rsidR="006C713D" w:rsidRPr="006D3DBC" w:rsidRDefault="006C713D" w:rsidP="006C713D">
            <w:pPr>
              <w:widowControl w:val="0"/>
              <w:spacing w:after="0"/>
              <w:jc w:val="center"/>
              <w:rPr>
                <w:sz w:val="20"/>
                <w:szCs w:val="20"/>
              </w:rPr>
            </w:pPr>
            <w:r w:rsidRPr="006D3DBC">
              <w:rPr>
                <w:sz w:val="20"/>
                <w:szCs w:val="20"/>
              </w:rPr>
              <w:t xml:space="preserve">2.5 mg </w:t>
            </w:r>
            <w:proofErr w:type="spellStart"/>
            <w:r w:rsidRPr="006D3DBC">
              <w:rPr>
                <w:sz w:val="20"/>
                <w:szCs w:val="20"/>
              </w:rPr>
              <w:t>po</w:t>
            </w:r>
            <w:proofErr w:type="spellEnd"/>
            <w:r w:rsidRPr="006D3DBC">
              <w:rPr>
                <w:sz w:val="20"/>
                <w:szCs w:val="20"/>
              </w:rPr>
              <w:t xml:space="preserve"> bid</w:t>
            </w:r>
          </w:p>
          <w:p w:rsidR="006C713D" w:rsidRPr="006D3DBC" w:rsidRDefault="006C713D" w:rsidP="006C713D">
            <w:pPr>
              <w:widowControl w:val="0"/>
              <w:spacing w:after="0"/>
              <w:jc w:val="center"/>
              <w:rPr>
                <w:sz w:val="20"/>
                <w:szCs w:val="20"/>
              </w:rPr>
            </w:pPr>
            <w:r w:rsidRPr="006D3DBC">
              <w:rPr>
                <w:sz w:val="20"/>
                <w:szCs w:val="20"/>
              </w:rPr>
              <w:t>12 ± 2 d</w:t>
            </w:r>
          </w:p>
        </w:tc>
        <w:tc>
          <w:tcPr>
            <w:tcW w:w="1276"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widowControl w:val="0"/>
              <w:spacing w:after="0"/>
              <w:jc w:val="center"/>
              <w:rPr>
                <w:sz w:val="20"/>
                <w:szCs w:val="20"/>
              </w:rPr>
            </w:pPr>
            <w:proofErr w:type="spellStart"/>
            <w:r w:rsidRPr="006D3DBC">
              <w:rPr>
                <w:sz w:val="20"/>
                <w:szCs w:val="20"/>
              </w:rPr>
              <w:t>Enoxaparin</w:t>
            </w:r>
            <w:proofErr w:type="spellEnd"/>
          </w:p>
          <w:p w:rsidR="006C713D" w:rsidRPr="006D3DBC" w:rsidRDefault="006C713D" w:rsidP="006C713D">
            <w:pPr>
              <w:widowControl w:val="0"/>
              <w:spacing w:after="0"/>
              <w:jc w:val="center"/>
              <w:rPr>
                <w:sz w:val="20"/>
                <w:szCs w:val="20"/>
              </w:rPr>
            </w:pPr>
            <w:r w:rsidRPr="006D3DBC">
              <w:rPr>
                <w:sz w:val="20"/>
                <w:szCs w:val="20"/>
              </w:rPr>
              <w:t xml:space="preserve">40 mg sc </w:t>
            </w:r>
            <w:proofErr w:type="spellStart"/>
            <w:r w:rsidRPr="006D3DBC">
              <w:rPr>
                <w:sz w:val="20"/>
                <w:szCs w:val="20"/>
              </w:rPr>
              <w:t>od</w:t>
            </w:r>
            <w:proofErr w:type="spellEnd"/>
          </w:p>
          <w:p w:rsidR="006C713D" w:rsidRPr="006D3DBC" w:rsidRDefault="006C713D" w:rsidP="006C713D">
            <w:pPr>
              <w:widowControl w:val="0"/>
              <w:spacing w:after="0"/>
              <w:jc w:val="center"/>
              <w:rPr>
                <w:sz w:val="20"/>
                <w:szCs w:val="20"/>
              </w:rPr>
            </w:pPr>
            <w:r w:rsidRPr="006D3DBC">
              <w:rPr>
                <w:sz w:val="20"/>
                <w:szCs w:val="20"/>
              </w:rPr>
              <w:t>12 ± 2 d</w:t>
            </w:r>
          </w:p>
        </w:tc>
        <w:tc>
          <w:tcPr>
            <w:tcW w:w="850"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sz w:val="20"/>
                <w:szCs w:val="20"/>
              </w:rPr>
            </w:pPr>
            <w:r w:rsidRPr="006D3DBC">
              <w:rPr>
                <w:sz w:val="20"/>
                <w:szCs w:val="20"/>
              </w:rPr>
              <w:t>p-value</w:t>
            </w:r>
          </w:p>
        </w:tc>
      </w:tr>
      <w:tr w:rsidR="006C713D" w:rsidRPr="006D3DBC" w:rsidTr="006C713D">
        <w:tc>
          <w:tcPr>
            <w:tcW w:w="9526" w:type="dxa"/>
            <w:gridSpan w:val="8"/>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rPr>
                <w:sz w:val="20"/>
                <w:szCs w:val="20"/>
              </w:rPr>
            </w:pPr>
            <w:r w:rsidRPr="006D3DBC">
              <w:rPr>
                <w:sz w:val="20"/>
                <w:szCs w:val="20"/>
              </w:rPr>
              <w:t>Total VTE/all-cause death</w:t>
            </w:r>
          </w:p>
        </w:tc>
      </w:tr>
      <w:tr w:rsidR="006C713D" w:rsidRPr="006D3DBC" w:rsidTr="006C713D">
        <w:tc>
          <w:tcPr>
            <w:tcW w:w="2538"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ind w:left="180"/>
              <w:rPr>
                <w:sz w:val="20"/>
                <w:szCs w:val="20"/>
              </w:rPr>
            </w:pPr>
            <w:r w:rsidRPr="006D3DBC">
              <w:rPr>
                <w:sz w:val="20"/>
                <w:szCs w:val="20"/>
              </w:rPr>
              <w:t>Number of events/subjects</w:t>
            </w:r>
          </w:p>
          <w:p w:rsidR="006C713D" w:rsidRPr="006D3DBC" w:rsidRDefault="006C713D" w:rsidP="006C713D">
            <w:pPr>
              <w:spacing w:after="0"/>
              <w:ind w:left="180"/>
              <w:rPr>
                <w:sz w:val="20"/>
                <w:szCs w:val="20"/>
              </w:rPr>
            </w:pPr>
            <w:r w:rsidRPr="006D3DBC">
              <w:rPr>
                <w:sz w:val="20"/>
                <w:szCs w:val="20"/>
              </w:rPr>
              <w:t>Event Rate (%)</w:t>
            </w:r>
          </w:p>
        </w:tc>
        <w:tc>
          <w:tcPr>
            <w:tcW w:w="1314" w:type="dxa"/>
            <w:gridSpan w:val="2"/>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sz w:val="20"/>
                <w:szCs w:val="20"/>
              </w:rPr>
            </w:pPr>
            <w:r w:rsidRPr="006D3DBC">
              <w:rPr>
                <w:sz w:val="20"/>
                <w:szCs w:val="20"/>
              </w:rPr>
              <w:t>27/1949</w:t>
            </w:r>
          </w:p>
          <w:p w:rsidR="006C713D" w:rsidRPr="006D3DBC" w:rsidRDefault="006C713D" w:rsidP="006C713D">
            <w:pPr>
              <w:spacing w:after="0"/>
              <w:jc w:val="center"/>
              <w:rPr>
                <w:sz w:val="20"/>
                <w:szCs w:val="20"/>
              </w:rPr>
            </w:pPr>
            <w:r w:rsidRPr="006D3DBC">
              <w:rPr>
                <w:sz w:val="20"/>
                <w:szCs w:val="20"/>
              </w:rPr>
              <w:t>1.39</w:t>
            </w:r>
          </w:p>
        </w:tc>
        <w:tc>
          <w:tcPr>
            <w:tcW w:w="1233"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sz w:val="20"/>
                <w:szCs w:val="20"/>
              </w:rPr>
            </w:pPr>
            <w:r w:rsidRPr="006D3DBC">
              <w:rPr>
                <w:sz w:val="20"/>
                <w:szCs w:val="20"/>
              </w:rPr>
              <w:t>74/1917</w:t>
            </w:r>
          </w:p>
          <w:p w:rsidR="006C713D" w:rsidRPr="006D3DBC" w:rsidRDefault="006C713D" w:rsidP="006C713D">
            <w:pPr>
              <w:spacing w:after="0"/>
              <w:jc w:val="center"/>
              <w:rPr>
                <w:sz w:val="20"/>
                <w:szCs w:val="20"/>
              </w:rPr>
            </w:pPr>
            <w:r w:rsidRPr="006D3DBC">
              <w:rPr>
                <w:sz w:val="20"/>
                <w:szCs w:val="20"/>
              </w:rPr>
              <w:t>3.86</w:t>
            </w:r>
          </w:p>
        </w:tc>
        <w:tc>
          <w:tcPr>
            <w:tcW w:w="898" w:type="dxa"/>
            <w:vMerge w:val="restart"/>
            <w:tcBorders>
              <w:top w:val="single" w:sz="4" w:space="0" w:color="000000"/>
              <w:left w:val="single" w:sz="4" w:space="0" w:color="000000"/>
              <w:bottom w:val="single" w:sz="4" w:space="0" w:color="000000"/>
              <w:right w:val="single" w:sz="4" w:space="0" w:color="000000"/>
            </w:tcBorders>
            <w:vAlign w:val="center"/>
          </w:tcPr>
          <w:p w:rsidR="006C713D" w:rsidRPr="006D3DBC" w:rsidRDefault="006C713D" w:rsidP="006C713D">
            <w:pPr>
              <w:spacing w:after="0"/>
              <w:jc w:val="center"/>
              <w:rPr>
                <w:sz w:val="20"/>
                <w:szCs w:val="20"/>
              </w:rPr>
            </w:pPr>
            <w:r w:rsidRPr="006D3DBC">
              <w:rPr>
                <w:sz w:val="20"/>
                <w:szCs w:val="20"/>
              </w:rPr>
              <w:t>&lt;0.0001</w:t>
            </w:r>
          </w:p>
        </w:tc>
        <w:tc>
          <w:tcPr>
            <w:tcW w:w="1417"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sz w:val="20"/>
                <w:szCs w:val="20"/>
              </w:rPr>
            </w:pPr>
            <w:r w:rsidRPr="006D3DBC">
              <w:rPr>
                <w:sz w:val="20"/>
                <w:szCs w:val="20"/>
              </w:rPr>
              <w:t>147/976</w:t>
            </w:r>
          </w:p>
          <w:p w:rsidR="006C713D" w:rsidRPr="006D3DBC" w:rsidRDefault="006C713D" w:rsidP="006C713D">
            <w:pPr>
              <w:spacing w:after="0"/>
              <w:jc w:val="center"/>
              <w:rPr>
                <w:sz w:val="20"/>
                <w:szCs w:val="20"/>
              </w:rPr>
            </w:pPr>
            <w:r w:rsidRPr="006D3DBC">
              <w:rPr>
                <w:sz w:val="20"/>
                <w:szCs w:val="20"/>
              </w:rPr>
              <w:t>15.06</w:t>
            </w:r>
          </w:p>
        </w:tc>
        <w:tc>
          <w:tcPr>
            <w:tcW w:w="1276"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sz w:val="20"/>
                <w:szCs w:val="20"/>
              </w:rPr>
            </w:pPr>
            <w:r w:rsidRPr="006D3DBC">
              <w:rPr>
                <w:sz w:val="20"/>
                <w:szCs w:val="20"/>
              </w:rPr>
              <w:t>243/997</w:t>
            </w:r>
          </w:p>
          <w:p w:rsidR="006C713D" w:rsidRPr="006D3DBC" w:rsidRDefault="006C713D" w:rsidP="006C713D">
            <w:pPr>
              <w:spacing w:after="0"/>
              <w:jc w:val="center"/>
              <w:rPr>
                <w:sz w:val="20"/>
                <w:szCs w:val="20"/>
              </w:rPr>
            </w:pPr>
            <w:r w:rsidRPr="006D3DBC">
              <w:rPr>
                <w:sz w:val="20"/>
                <w:szCs w:val="20"/>
              </w:rPr>
              <w:t>24.37</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6C713D" w:rsidRPr="006D3DBC" w:rsidRDefault="006C713D" w:rsidP="006C713D">
            <w:pPr>
              <w:spacing w:after="0"/>
              <w:jc w:val="center"/>
              <w:rPr>
                <w:sz w:val="20"/>
                <w:szCs w:val="20"/>
              </w:rPr>
            </w:pPr>
            <w:r w:rsidRPr="006D3DBC">
              <w:rPr>
                <w:sz w:val="20"/>
                <w:szCs w:val="20"/>
              </w:rPr>
              <w:t>&lt;0.0001</w:t>
            </w:r>
          </w:p>
        </w:tc>
      </w:tr>
      <w:tr w:rsidR="006C713D" w:rsidRPr="006D3DBC" w:rsidTr="006C713D">
        <w:tc>
          <w:tcPr>
            <w:tcW w:w="2538"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ind w:left="180"/>
              <w:rPr>
                <w:sz w:val="20"/>
                <w:szCs w:val="20"/>
              </w:rPr>
            </w:pPr>
            <w:r w:rsidRPr="006D3DBC">
              <w:rPr>
                <w:sz w:val="20"/>
                <w:szCs w:val="20"/>
              </w:rPr>
              <w:t>Relative Risk</w:t>
            </w:r>
          </w:p>
          <w:p w:rsidR="006C713D" w:rsidRPr="006D3DBC" w:rsidRDefault="006C713D" w:rsidP="006C713D">
            <w:pPr>
              <w:spacing w:after="0"/>
              <w:ind w:left="180"/>
              <w:rPr>
                <w:sz w:val="20"/>
                <w:szCs w:val="20"/>
              </w:rPr>
            </w:pPr>
            <w:r w:rsidRPr="006D3DBC">
              <w:rPr>
                <w:sz w:val="20"/>
                <w:szCs w:val="20"/>
              </w:rPr>
              <w:t>95% CI</w:t>
            </w:r>
          </w:p>
        </w:tc>
        <w:tc>
          <w:tcPr>
            <w:tcW w:w="1314" w:type="dxa"/>
            <w:gridSpan w:val="2"/>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sz w:val="20"/>
                <w:szCs w:val="20"/>
              </w:rPr>
            </w:pPr>
            <w:r w:rsidRPr="006D3DBC">
              <w:rPr>
                <w:sz w:val="20"/>
                <w:szCs w:val="20"/>
              </w:rPr>
              <w:t>0.36</w:t>
            </w:r>
          </w:p>
          <w:p w:rsidR="006C713D" w:rsidRPr="006D3DBC" w:rsidRDefault="006C713D" w:rsidP="006C713D">
            <w:pPr>
              <w:spacing w:after="0"/>
              <w:jc w:val="center"/>
              <w:rPr>
                <w:sz w:val="20"/>
                <w:szCs w:val="20"/>
              </w:rPr>
            </w:pPr>
            <w:r w:rsidRPr="006D3DBC">
              <w:rPr>
                <w:sz w:val="20"/>
                <w:szCs w:val="20"/>
              </w:rPr>
              <w:t>(0.22, 0.54)</w:t>
            </w:r>
          </w:p>
        </w:tc>
        <w:tc>
          <w:tcPr>
            <w:tcW w:w="1233" w:type="dxa"/>
            <w:tcBorders>
              <w:top w:val="single" w:sz="4" w:space="0" w:color="000000"/>
              <w:left w:val="single" w:sz="4" w:space="0" w:color="000000"/>
              <w:bottom w:val="single" w:sz="4" w:space="0" w:color="000000"/>
              <w:right w:val="single" w:sz="4" w:space="0" w:color="000000"/>
            </w:tcBorders>
            <w:shd w:val="clear" w:color="auto" w:fill="C0C0C0"/>
          </w:tcPr>
          <w:p w:rsidR="006C713D" w:rsidRPr="006D3DBC" w:rsidRDefault="006C713D" w:rsidP="006C713D">
            <w:pPr>
              <w:spacing w:after="0"/>
              <w:jc w:val="center"/>
              <w:rPr>
                <w:sz w:val="20"/>
                <w:szCs w:val="20"/>
              </w:rPr>
            </w:pPr>
          </w:p>
        </w:tc>
        <w:tc>
          <w:tcPr>
            <w:tcW w:w="898" w:type="dxa"/>
            <w:vMerge/>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sz w:val="20"/>
                <w:szCs w:val="20"/>
              </w:rPr>
            </w:pPr>
            <w:r w:rsidRPr="006D3DBC">
              <w:rPr>
                <w:sz w:val="20"/>
                <w:szCs w:val="20"/>
              </w:rPr>
              <w:t>0.62</w:t>
            </w:r>
          </w:p>
          <w:p w:rsidR="006C713D" w:rsidRPr="006D3DBC" w:rsidRDefault="006C713D" w:rsidP="006C713D">
            <w:pPr>
              <w:spacing w:after="0"/>
              <w:jc w:val="center"/>
              <w:rPr>
                <w:sz w:val="20"/>
                <w:szCs w:val="20"/>
              </w:rPr>
            </w:pPr>
            <w:r w:rsidRPr="006D3DBC">
              <w:rPr>
                <w:sz w:val="20"/>
                <w:szCs w:val="20"/>
              </w:rPr>
              <w:t>(0.51, 0.74)</w:t>
            </w:r>
          </w:p>
        </w:tc>
        <w:tc>
          <w:tcPr>
            <w:tcW w:w="1276" w:type="dxa"/>
            <w:tcBorders>
              <w:top w:val="single" w:sz="4" w:space="0" w:color="000000"/>
              <w:left w:val="single" w:sz="4" w:space="0" w:color="000000"/>
              <w:bottom w:val="single" w:sz="4" w:space="0" w:color="000000"/>
              <w:right w:val="single" w:sz="4" w:space="0" w:color="000000"/>
            </w:tcBorders>
            <w:shd w:val="clear" w:color="auto" w:fill="C0C0C0"/>
          </w:tcPr>
          <w:p w:rsidR="006C713D" w:rsidRPr="006D3DBC" w:rsidRDefault="006C713D" w:rsidP="006C713D">
            <w:pPr>
              <w:spacing w:after="0"/>
              <w:jc w:val="center"/>
              <w:rPr>
                <w:sz w:val="20"/>
                <w:szCs w:val="20"/>
              </w:rPr>
            </w:pPr>
          </w:p>
        </w:tc>
        <w:tc>
          <w:tcPr>
            <w:tcW w:w="850" w:type="dxa"/>
            <w:vMerge/>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rPr>
                <w:sz w:val="20"/>
                <w:szCs w:val="20"/>
              </w:rPr>
            </w:pPr>
          </w:p>
        </w:tc>
      </w:tr>
      <w:tr w:rsidR="006C713D" w:rsidRPr="006D3DBC" w:rsidTr="006C713D">
        <w:tc>
          <w:tcPr>
            <w:tcW w:w="2538"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ind w:left="180"/>
              <w:rPr>
                <w:sz w:val="20"/>
                <w:szCs w:val="20"/>
              </w:rPr>
            </w:pPr>
            <w:r w:rsidRPr="006D3DBC">
              <w:rPr>
                <w:sz w:val="20"/>
                <w:szCs w:val="20"/>
              </w:rPr>
              <w:t>Absolute Risk Difference (%)</w:t>
            </w:r>
          </w:p>
          <w:p w:rsidR="006C713D" w:rsidRPr="006D3DBC" w:rsidRDefault="006C713D" w:rsidP="006C713D">
            <w:pPr>
              <w:spacing w:after="0"/>
              <w:ind w:left="180"/>
              <w:rPr>
                <w:sz w:val="20"/>
                <w:szCs w:val="20"/>
              </w:rPr>
            </w:pPr>
            <w:r w:rsidRPr="006D3DBC">
              <w:rPr>
                <w:sz w:val="20"/>
                <w:szCs w:val="20"/>
              </w:rPr>
              <w:t>95% CI</w:t>
            </w:r>
          </w:p>
        </w:tc>
        <w:tc>
          <w:tcPr>
            <w:tcW w:w="1314" w:type="dxa"/>
            <w:gridSpan w:val="2"/>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sz w:val="20"/>
                <w:szCs w:val="20"/>
              </w:rPr>
            </w:pPr>
            <w:r w:rsidRPr="006D3DBC">
              <w:rPr>
                <w:sz w:val="20"/>
                <w:szCs w:val="20"/>
              </w:rPr>
              <w:t>-2.47</w:t>
            </w:r>
          </w:p>
          <w:p w:rsidR="006C713D" w:rsidRPr="006D3DBC" w:rsidRDefault="006C713D" w:rsidP="006C713D">
            <w:pPr>
              <w:spacing w:after="0"/>
              <w:jc w:val="center"/>
              <w:rPr>
                <w:sz w:val="20"/>
                <w:szCs w:val="20"/>
              </w:rPr>
            </w:pPr>
            <w:r w:rsidRPr="006D3DBC">
              <w:rPr>
                <w:sz w:val="20"/>
                <w:szCs w:val="20"/>
              </w:rPr>
              <w:t>(-3.54,- 1.50)</w:t>
            </w:r>
          </w:p>
        </w:tc>
        <w:tc>
          <w:tcPr>
            <w:tcW w:w="1233" w:type="dxa"/>
            <w:tcBorders>
              <w:top w:val="single" w:sz="4" w:space="0" w:color="000000"/>
              <w:left w:val="single" w:sz="4" w:space="0" w:color="000000"/>
              <w:bottom w:val="single" w:sz="4" w:space="0" w:color="000000"/>
              <w:right w:val="single" w:sz="4" w:space="0" w:color="000000"/>
            </w:tcBorders>
            <w:shd w:val="clear" w:color="auto" w:fill="C0C0C0"/>
          </w:tcPr>
          <w:p w:rsidR="006C713D" w:rsidRPr="006D3DBC" w:rsidRDefault="006C713D" w:rsidP="006C713D">
            <w:pPr>
              <w:spacing w:after="0"/>
              <w:jc w:val="center"/>
              <w:rPr>
                <w:sz w:val="20"/>
                <w:szCs w:val="20"/>
              </w:rPr>
            </w:pPr>
          </w:p>
        </w:tc>
        <w:tc>
          <w:tcPr>
            <w:tcW w:w="898" w:type="dxa"/>
            <w:tcBorders>
              <w:top w:val="single" w:sz="4" w:space="0" w:color="000000"/>
              <w:left w:val="single" w:sz="4" w:space="0" w:color="000000"/>
              <w:bottom w:val="single" w:sz="4" w:space="0" w:color="000000"/>
              <w:right w:val="single" w:sz="4" w:space="0" w:color="000000"/>
            </w:tcBorders>
            <w:shd w:val="clear" w:color="auto" w:fill="BFBFBF"/>
          </w:tcPr>
          <w:p w:rsidR="006C713D" w:rsidRPr="006D3DBC" w:rsidRDefault="006C713D" w:rsidP="006C713D">
            <w:pPr>
              <w:spacing w:after="0"/>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sz w:val="20"/>
                <w:szCs w:val="20"/>
              </w:rPr>
            </w:pPr>
            <w:r w:rsidRPr="006D3DBC">
              <w:rPr>
                <w:sz w:val="20"/>
                <w:szCs w:val="20"/>
              </w:rPr>
              <w:t>-9.27</w:t>
            </w:r>
          </w:p>
          <w:p w:rsidR="006C713D" w:rsidRPr="006D3DBC" w:rsidRDefault="006C713D" w:rsidP="006C713D">
            <w:pPr>
              <w:spacing w:after="0"/>
              <w:jc w:val="center"/>
              <w:rPr>
                <w:sz w:val="20"/>
                <w:szCs w:val="20"/>
              </w:rPr>
            </w:pPr>
            <w:r w:rsidRPr="006D3DBC">
              <w:rPr>
                <w:sz w:val="20"/>
                <w:szCs w:val="20"/>
              </w:rPr>
              <w:t>(-12.74, -5.79)</w:t>
            </w:r>
          </w:p>
        </w:tc>
        <w:tc>
          <w:tcPr>
            <w:tcW w:w="1276" w:type="dxa"/>
            <w:tcBorders>
              <w:top w:val="single" w:sz="4" w:space="0" w:color="000000"/>
              <w:left w:val="single" w:sz="4" w:space="0" w:color="000000"/>
              <w:bottom w:val="single" w:sz="4" w:space="0" w:color="000000"/>
              <w:right w:val="single" w:sz="4" w:space="0" w:color="000000"/>
            </w:tcBorders>
            <w:shd w:val="clear" w:color="auto" w:fill="C0C0C0"/>
          </w:tcPr>
          <w:p w:rsidR="006C713D" w:rsidRPr="006D3DBC" w:rsidRDefault="006C713D" w:rsidP="006C713D">
            <w:pPr>
              <w:spacing w:after="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BFBFBF"/>
          </w:tcPr>
          <w:p w:rsidR="006C713D" w:rsidRPr="006D3DBC" w:rsidRDefault="006C713D" w:rsidP="006C713D">
            <w:pPr>
              <w:spacing w:after="0"/>
              <w:rPr>
                <w:sz w:val="20"/>
                <w:szCs w:val="20"/>
              </w:rPr>
            </w:pPr>
          </w:p>
        </w:tc>
      </w:tr>
      <w:tr w:rsidR="006C713D" w:rsidRPr="006D3DBC" w:rsidTr="006C713D">
        <w:tc>
          <w:tcPr>
            <w:tcW w:w="9526" w:type="dxa"/>
            <w:gridSpan w:val="8"/>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rPr>
                <w:sz w:val="20"/>
                <w:szCs w:val="20"/>
              </w:rPr>
            </w:pPr>
            <w:r w:rsidRPr="006D3DBC">
              <w:rPr>
                <w:sz w:val="20"/>
                <w:szCs w:val="20"/>
              </w:rPr>
              <w:t xml:space="preserve">Components of primary </w:t>
            </w:r>
            <w:proofErr w:type="spellStart"/>
            <w:r w:rsidRPr="006D3DBC">
              <w:rPr>
                <w:sz w:val="20"/>
                <w:szCs w:val="20"/>
              </w:rPr>
              <w:t>endpoint</w:t>
            </w:r>
            <w:r w:rsidRPr="006D3DBC">
              <w:rPr>
                <w:sz w:val="20"/>
                <w:szCs w:val="20"/>
                <w:vertAlign w:val="superscript"/>
              </w:rPr>
              <w:t>a</w:t>
            </w:r>
            <w:proofErr w:type="spellEnd"/>
          </w:p>
        </w:tc>
      </w:tr>
      <w:tr w:rsidR="006C713D" w:rsidRPr="006D3DBC" w:rsidTr="006C713D">
        <w:tc>
          <w:tcPr>
            <w:tcW w:w="2538"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ind w:left="180"/>
              <w:rPr>
                <w:sz w:val="20"/>
                <w:szCs w:val="20"/>
              </w:rPr>
            </w:pPr>
            <w:r w:rsidRPr="006D3DBC">
              <w:rPr>
                <w:sz w:val="20"/>
                <w:szCs w:val="20"/>
              </w:rPr>
              <w:t>Distal or proximal DVT</w:t>
            </w:r>
          </w:p>
          <w:p w:rsidR="006C713D" w:rsidRPr="006D3DBC" w:rsidRDefault="006C713D" w:rsidP="006C713D">
            <w:pPr>
              <w:spacing w:after="0"/>
              <w:ind w:left="180"/>
              <w:rPr>
                <w:sz w:val="20"/>
                <w:szCs w:val="20"/>
              </w:rPr>
            </w:pPr>
            <w:r w:rsidRPr="006D3DBC">
              <w:rPr>
                <w:sz w:val="20"/>
                <w:szCs w:val="20"/>
              </w:rPr>
              <w:t>Event rate (%)</w:t>
            </w:r>
          </w:p>
          <w:p w:rsidR="006C713D" w:rsidRPr="006D3DBC" w:rsidRDefault="006C713D" w:rsidP="006C713D">
            <w:pPr>
              <w:spacing w:after="0"/>
              <w:ind w:left="180"/>
              <w:rPr>
                <w:sz w:val="20"/>
                <w:szCs w:val="20"/>
              </w:rPr>
            </w:pPr>
            <w:r w:rsidRPr="006D3DBC">
              <w:rPr>
                <w:sz w:val="20"/>
                <w:szCs w:val="20"/>
              </w:rPr>
              <w:t>95% CI</w:t>
            </w:r>
          </w:p>
        </w:tc>
        <w:tc>
          <w:tcPr>
            <w:tcW w:w="1314" w:type="dxa"/>
            <w:gridSpan w:val="2"/>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sz w:val="20"/>
                <w:szCs w:val="20"/>
              </w:rPr>
            </w:pPr>
          </w:p>
          <w:p w:rsidR="006C713D" w:rsidRPr="006D3DBC" w:rsidRDefault="006C713D" w:rsidP="006C713D">
            <w:pPr>
              <w:spacing w:after="0"/>
              <w:jc w:val="center"/>
              <w:rPr>
                <w:sz w:val="20"/>
                <w:szCs w:val="20"/>
              </w:rPr>
            </w:pPr>
            <w:r w:rsidRPr="006D3DBC">
              <w:rPr>
                <w:sz w:val="20"/>
                <w:szCs w:val="20"/>
              </w:rPr>
              <w:t>1.13</w:t>
            </w:r>
          </w:p>
          <w:p w:rsidR="006C713D" w:rsidRPr="006D3DBC" w:rsidRDefault="006C713D" w:rsidP="006C713D">
            <w:pPr>
              <w:spacing w:after="0"/>
              <w:jc w:val="center"/>
              <w:rPr>
                <w:sz w:val="20"/>
                <w:szCs w:val="20"/>
              </w:rPr>
            </w:pPr>
            <w:r w:rsidRPr="006D3DBC">
              <w:rPr>
                <w:sz w:val="20"/>
                <w:szCs w:val="20"/>
              </w:rPr>
              <w:t>(0.74, 1.72)</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6C713D" w:rsidRPr="006D3DBC" w:rsidRDefault="006C713D" w:rsidP="006C713D">
            <w:pPr>
              <w:spacing w:after="0"/>
              <w:jc w:val="center"/>
              <w:rPr>
                <w:sz w:val="20"/>
                <w:szCs w:val="20"/>
              </w:rPr>
            </w:pPr>
          </w:p>
          <w:p w:rsidR="006C713D" w:rsidRPr="006D3DBC" w:rsidRDefault="006C713D" w:rsidP="006C713D">
            <w:pPr>
              <w:spacing w:after="0"/>
              <w:jc w:val="center"/>
              <w:rPr>
                <w:sz w:val="20"/>
                <w:szCs w:val="20"/>
              </w:rPr>
            </w:pPr>
            <w:r w:rsidRPr="006D3DBC">
              <w:rPr>
                <w:sz w:val="20"/>
                <w:szCs w:val="20"/>
              </w:rPr>
              <w:t>3.56</w:t>
            </w:r>
          </w:p>
          <w:p w:rsidR="006C713D" w:rsidRPr="006D3DBC" w:rsidRDefault="006C713D" w:rsidP="006C713D">
            <w:pPr>
              <w:spacing w:after="0"/>
              <w:jc w:val="center"/>
              <w:rPr>
                <w:sz w:val="20"/>
                <w:szCs w:val="20"/>
              </w:rPr>
            </w:pPr>
            <w:r w:rsidRPr="006D3DBC">
              <w:rPr>
                <w:sz w:val="20"/>
                <w:szCs w:val="20"/>
              </w:rPr>
              <w:t>(2.81, 4.50)</w:t>
            </w:r>
          </w:p>
        </w:tc>
        <w:tc>
          <w:tcPr>
            <w:tcW w:w="898" w:type="dxa"/>
            <w:tcBorders>
              <w:top w:val="single" w:sz="4" w:space="0" w:color="000000"/>
              <w:left w:val="single" w:sz="4" w:space="0" w:color="000000"/>
              <w:bottom w:val="single" w:sz="4" w:space="0" w:color="000000"/>
              <w:right w:val="single" w:sz="4" w:space="0" w:color="000000"/>
            </w:tcBorders>
            <w:shd w:val="clear" w:color="auto" w:fill="BFBFBF"/>
          </w:tcPr>
          <w:p w:rsidR="006C713D" w:rsidRPr="006D3DBC" w:rsidRDefault="006C713D" w:rsidP="006C713D">
            <w:pPr>
              <w:spacing w:after="0"/>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sz w:val="20"/>
                <w:szCs w:val="20"/>
              </w:rPr>
            </w:pPr>
          </w:p>
          <w:p w:rsidR="006C713D" w:rsidRPr="006D3DBC" w:rsidRDefault="006C713D" w:rsidP="006C713D">
            <w:pPr>
              <w:spacing w:after="0"/>
              <w:jc w:val="center"/>
              <w:rPr>
                <w:sz w:val="20"/>
                <w:szCs w:val="20"/>
              </w:rPr>
            </w:pPr>
            <w:r w:rsidRPr="006D3DBC">
              <w:rPr>
                <w:sz w:val="20"/>
                <w:szCs w:val="20"/>
              </w:rPr>
              <w:t>14.62</w:t>
            </w:r>
          </w:p>
          <w:p w:rsidR="006C713D" w:rsidRPr="006D3DBC" w:rsidRDefault="006C713D" w:rsidP="006C713D">
            <w:pPr>
              <w:spacing w:after="0"/>
              <w:jc w:val="center"/>
              <w:rPr>
                <w:sz w:val="20"/>
                <w:szCs w:val="20"/>
              </w:rPr>
            </w:pPr>
            <w:r w:rsidRPr="006D3DBC">
              <w:rPr>
                <w:sz w:val="20"/>
                <w:szCs w:val="20"/>
              </w:rPr>
              <w:t>(12.54, 17.00)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C713D" w:rsidRPr="006D3DBC" w:rsidRDefault="006C713D" w:rsidP="006C713D">
            <w:pPr>
              <w:spacing w:after="0"/>
              <w:jc w:val="center"/>
              <w:rPr>
                <w:sz w:val="20"/>
                <w:szCs w:val="20"/>
              </w:rPr>
            </w:pPr>
          </w:p>
          <w:p w:rsidR="006C713D" w:rsidRPr="006D3DBC" w:rsidRDefault="006C713D" w:rsidP="006C713D">
            <w:pPr>
              <w:spacing w:after="0"/>
              <w:jc w:val="center"/>
              <w:rPr>
                <w:sz w:val="20"/>
                <w:szCs w:val="20"/>
              </w:rPr>
            </w:pPr>
            <w:r w:rsidRPr="006D3DBC">
              <w:rPr>
                <w:sz w:val="20"/>
                <w:szCs w:val="20"/>
              </w:rPr>
              <w:t>24.37</w:t>
            </w:r>
          </w:p>
          <w:p w:rsidR="006C713D" w:rsidRPr="006D3DBC" w:rsidRDefault="006C713D" w:rsidP="006C713D">
            <w:pPr>
              <w:spacing w:after="0"/>
              <w:jc w:val="center"/>
              <w:rPr>
                <w:sz w:val="20"/>
                <w:szCs w:val="20"/>
              </w:rPr>
            </w:pPr>
            <w:r w:rsidRPr="006D3DBC">
              <w:rPr>
                <w:sz w:val="20"/>
                <w:szCs w:val="20"/>
              </w:rPr>
              <w:t>(21.81, 27.14)</w:t>
            </w:r>
          </w:p>
        </w:tc>
        <w:tc>
          <w:tcPr>
            <w:tcW w:w="850" w:type="dxa"/>
            <w:tcBorders>
              <w:top w:val="single" w:sz="4" w:space="0" w:color="000000"/>
              <w:left w:val="single" w:sz="4" w:space="0" w:color="000000"/>
              <w:bottom w:val="single" w:sz="4" w:space="0" w:color="000000"/>
              <w:right w:val="single" w:sz="4" w:space="0" w:color="000000"/>
            </w:tcBorders>
            <w:shd w:val="clear" w:color="auto" w:fill="BFBFBF"/>
          </w:tcPr>
          <w:p w:rsidR="006C713D" w:rsidRPr="006D3DBC" w:rsidRDefault="006C713D" w:rsidP="006C713D">
            <w:pPr>
              <w:spacing w:after="0"/>
              <w:rPr>
                <w:sz w:val="20"/>
                <w:szCs w:val="20"/>
              </w:rPr>
            </w:pPr>
          </w:p>
        </w:tc>
      </w:tr>
      <w:tr w:rsidR="006C713D" w:rsidRPr="006D3DBC" w:rsidTr="006C713D">
        <w:tc>
          <w:tcPr>
            <w:tcW w:w="2538"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ind w:left="180"/>
              <w:rPr>
                <w:sz w:val="20"/>
                <w:szCs w:val="20"/>
              </w:rPr>
            </w:pPr>
            <w:r w:rsidRPr="006D3DBC">
              <w:rPr>
                <w:sz w:val="20"/>
                <w:szCs w:val="20"/>
              </w:rPr>
              <w:t>Non-fatal PE</w:t>
            </w:r>
          </w:p>
          <w:p w:rsidR="006C713D" w:rsidRPr="006D3DBC" w:rsidRDefault="006C713D" w:rsidP="006C713D">
            <w:pPr>
              <w:spacing w:after="0"/>
              <w:ind w:left="180"/>
              <w:rPr>
                <w:sz w:val="20"/>
                <w:szCs w:val="20"/>
              </w:rPr>
            </w:pPr>
            <w:r w:rsidRPr="006D3DBC">
              <w:rPr>
                <w:sz w:val="20"/>
                <w:szCs w:val="20"/>
              </w:rPr>
              <w:t>Event rate (%)</w:t>
            </w:r>
          </w:p>
          <w:p w:rsidR="006C713D" w:rsidRPr="006D3DBC" w:rsidRDefault="006C713D" w:rsidP="006C713D">
            <w:pPr>
              <w:spacing w:after="0"/>
              <w:ind w:left="180"/>
              <w:rPr>
                <w:sz w:val="20"/>
                <w:szCs w:val="20"/>
              </w:rPr>
            </w:pPr>
            <w:r w:rsidRPr="006D3DBC">
              <w:rPr>
                <w:sz w:val="20"/>
                <w:szCs w:val="20"/>
              </w:rPr>
              <w:t>95% CI</w:t>
            </w:r>
          </w:p>
        </w:tc>
        <w:tc>
          <w:tcPr>
            <w:tcW w:w="1314" w:type="dxa"/>
            <w:gridSpan w:val="2"/>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sz w:val="20"/>
                <w:szCs w:val="20"/>
              </w:rPr>
            </w:pPr>
          </w:p>
          <w:p w:rsidR="006C713D" w:rsidRPr="006D3DBC" w:rsidRDefault="006C713D" w:rsidP="006C713D">
            <w:pPr>
              <w:spacing w:after="0"/>
              <w:jc w:val="center"/>
              <w:rPr>
                <w:sz w:val="20"/>
                <w:szCs w:val="20"/>
              </w:rPr>
            </w:pPr>
            <w:r w:rsidRPr="006D3DBC">
              <w:rPr>
                <w:sz w:val="20"/>
                <w:szCs w:val="20"/>
              </w:rPr>
              <w:t>0.07</w:t>
            </w:r>
          </w:p>
          <w:p w:rsidR="006C713D" w:rsidRPr="006D3DBC" w:rsidRDefault="006C713D" w:rsidP="006C713D">
            <w:pPr>
              <w:spacing w:after="0"/>
              <w:jc w:val="center"/>
              <w:rPr>
                <w:sz w:val="20"/>
                <w:szCs w:val="20"/>
              </w:rPr>
            </w:pPr>
            <w:r w:rsidRPr="006D3DBC">
              <w:rPr>
                <w:sz w:val="20"/>
                <w:szCs w:val="20"/>
              </w:rPr>
              <w:t>(0.00, 0.29)</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6C713D" w:rsidRPr="006D3DBC" w:rsidRDefault="006C713D" w:rsidP="006C713D">
            <w:pPr>
              <w:spacing w:after="0"/>
              <w:jc w:val="center"/>
              <w:rPr>
                <w:sz w:val="20"/>
                <w:szCs w:val="20"/>
              </w:rPr>
            </w:pPr>
          </w:p>
          <w:p w:rsidR="006C713D" w:rsidRPr="006D3DBC" w:rsidRDefault="006C713D" w:rsidP="006C713D">
            <w:pPr>
              <w:spacing w:after="0"/>
              <w:jc w:val="center"/>
              <w:rPr>
                <w:sz w:val="20"/>
                <w:szCs w:val="20"/>
              </w:rPr>
            </w:pPr>
            <w:r w:rsidRPr="006D3DBC">
              <w:rPr>
                <w:sz w:val="20"/>
                <w:szCs w:val="20"/>
              </w:rPr>
              <w:t>0.19</w:t>
            </w:r>
          </w:p>
          <w:p w:rsidR="006C713D" w:rsidRPr="006D3DBC" w:rsidRDefault="006C713D" w:rsidP="006C713D">
            <w:pPr>
              <w:spacing w:after="0"/>
              <w:jc w:val="center"/>
              <w:rPr>
                <w:sz w:val="20"/>
                <w:szCs w:val="20"/>
              </w:rPr>
            </w:pPr>
            <w:r w:rsidRPr="006D3DBC">
              <w:rPr>
                <w:sz w:val="20"/>
                <w:szCs w:val="20"/>
              </w:rPr>
              <w:t>(0.07, 0.45)</w:t>
            </w:r>
          </w:p>
        </w:tc>
        <w:tc>
          <w:tcPr>
            <w:tcW w:w="898" w:type="dxa"/>
            <w:tcBorders>
              <w:top w:val="single" w:sz="4" w:space="0" w:color="000000"/>
              <w:left w:val="single" w:sz="4" w:space="0" w:color="000000"/>
              <w:bottom w:val="single" w:sz="4" w:space="0" w:color="000000"/>
              <w:right w:val="single" w:sz="4" w:space="0" w:color="000000"/>
            </w:tcBorders>
            <w:shd w:val="clear" w:color="auto" w:fill="BFBFBF"/>
          </w:tcPr>
          <w:p w:rsidR="006C713D" w:rsidRPr="006D3DBC" w:rsidRDefault="006C713D" w:rsidP="006C713D">
            <w:pPr>
              <w:spacing w:after="0"/>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sz w:val="20"/>
                <w:szCs w:val="20"/>
              </w:rPr>
            </w:pPr>
          </w:p>
          <w:p w:rsidR="006C713D" w:rsidRPr="006D3DBC" w:rsidRDefault="006C713D" w:rsidP="006C713D">
            <w:pPr>
              <w:spacing w:after="0"/>
              <w:jc w:val="center"/>
              <w:rPr>
                <w:sz w:val="20"/>
                <w:szCs w:val="20"/>
              </w:rPr>
            </w:pPr>
            <w:r w:rsidRPr="006D3DBC">
              <w:rPr>
                <w:sz w:val="20"/>
                <w:szCs w:val="20"/>
              </w:rPr>
              <w:t>0.20</w:t>
            </w:r>
          </w:p>
          <w:p w:rsidR="006C713D" w:rsidRPr="006D3DBC" w:rsidRDefault="006C713D" w:rsidP="006C713D">
            <w:pPr>
              <w:spacing w:after="0"/>
              <w:jc w:val="center"/>
              <w:rPr>
                <w:sz w:val="20"/>
                <w:szCs w:val="20"/>
              </w:rPr>
            </w:pPr>
            <w:r w:rsidRPr="006D3DBC">
              <w:rPr>
                <w:sz w:val="20"/>
                <w:szCs w:val="20"/>
              </w:rPr>
              <w:t>(0.04, 0.61)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C713D" w:rsidRPr="006D3DBC" w:rsidRDefault="006C713D" w:rsidP="006C713D">
            <w:pPr>
              <w:spacing w:after="0"/>
              <w:rPr>
                <w:sz w:val="20"/>
                <w:szCs w:val="20"/>
              </w:rPr>
            </w:pPr>
          </w:p>
          <w:p w:rsidR="006C713D" w:rsidRPr="006D3DBC" w:rsidRDefault="006C713D" w:rsidP="006C713D">
            <w:pPr>
              <w:spacing w:after="0"/>
              <w:jc w:val="center"/>
              <w:rPr>
                <w:sz w:val="20"/>
                <w:szCs w:val="20"/>
              </w:rPr>
            </w:pPr>
            <w:r w:rsidRPr="006D3DBC">
              <w:rPr>
                <w:sz w:val="20"/>
                <w:szCs w:val="20"/>
              </w:rPr>
              <w:t>0.00</w:t>
            </w:r>
          </w:p>
          <w:p w:rsidR="006C713D" w:rsidRPr="006D3DBC" w:rsidRDefault="006C713D" w:rsidP="006C713D">
            <w:pPr>
              <w:spacing w:after="0"/>
              <w:jc w:val="center"/>
              <w:rPr>
                <w:sz w:val="20"/>
                <w:szCs w:val="20"/>
              </w:rPr>
            </w:pPr>
            <w:r w:rsidRPr="006D3DBC">
              <w:rPr>
                <w:sz w:val="20"/>
                <w:szCs w:val="20"/>
              </w:rPr>
              <w:t>(0.00, 0.31)</w:t>
            </w:r>
          </w:p>
        </w:tc>
        <w:tc>
          <w:tcPr>
            <w:tcW w:w="850" w:type="dxa"/>
            <w:tcBorders>
              <w:top w:val="single" w:sz="4" w:space="0" w:color="000000"/>
              <w:left w:val="single" w:sz="4" w:space="0" w:color="000000"/>
              <w:bottom w:val="single" w:sz="4" w:space="0" w:color="000000"/>
              <w:right w:val="single" w:sz="4" w:space="0" w:color="000000"/>
            </w:tcBorders>
            <w:shd w:val="clear" w:color="auto" w:fill="BFBFBF"/>
          </w:tcPr>
          <w:p w:rsidR="006C713D" w:rsidRPr="006D3DBC" w:rsidRDefault="006C713D" w:rsidP="006C713D">
            <w:pPr>
              <w:spacing w:after="0"/>
              <w:rPr>
                <w:sz w:val="20"/>
                <w:szCs w:val="20"/>
              </w:rPr>
            </w:pPr>
          </w:p>
        </w:tc>
      </w:tr>
      <w:tr w:rsidR="006C713D" w:rsidRPr="006D3DBC" w:rsidTr="006C713D">
        <w:tc>
          <w:tcPr>
            <w:tcW w:w="2538"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ind w:left="180"/>
              <w:rPr>
                <w:sz w:val="20"/>
                <w:szCs w:val="20"/>
              </w:rPr>
            </w:pPr>
            <w:r w:rsidRPr="006D3DBC">
              <w:rPr>
                <w:sz w:val="20"/>
                <w:szCs w:val="20"/>
              </w:rPr>
              <w:t xml:space="preserve">All-cause death </w:t>
            </w:r>
          </w:p>
          <w:p w:rsidR="006C713D" w:rsidRPr="006D3DBC" w:rsidRDefault="006C713D" w:rsidP="006C713D">
            <w:pPr>
              <w:spacing w:after="0"/>
              <w:ind w:left="180"/>
              <w:rPr>
                <w:sz w:val="20"/>
                <w:szCs w:val="20"/>
              </w:rPr>
            </w:pPr>
            <w:r w:rsidRPr="006D3DBC">
              <w:rPr>
                <w:sz w:val="20"/>
                <w:szCs w:val="20"/>
              </w:rPr>
              <w:t>Event rate (%)</w:t>
            </w:r>
          </w:p>
          <w:p w:rsidR="006C713D" w:rsidRPr="006D3DBC" w:rsidRDefault="006C713D" w:rsidP="006C713D">
            <w:pPr>
              <w:spacing w:after="0"/>
              <w:ind w:left="180"/>
              <w:rPr>
                <w:sz w:val="20"/>
                <w:szCs w:val="20"/>
              </w:rPr>
            </w:pPr>
            <w:r w:rsidRPr="006D3DBC">
              <w:rPr>
                <w:sz w:val="20"/>
                <w:szCs w:val="20"/>
              </w:rPr>
              <w:t>95% CI</w:t>
            </w:r>
          </w:p>
        </w:tc>
        <w:tc>
          <w:tcPr>
            <w:tcW w:w="1314" w:type="dxa"/>
            <w:gridSpan w:val="2"/>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sz w:val="20"/>
                <w:szCs w:val="20"/>
              </w:rPr>
            </w:pPr>
          </w:p>
          <w:p w:rsidR="006C713D" w:rsidRPr="006D3DBC" w:rsidRDefault="006C713D" w:rsidP="006C713D">
            <w:pPr>
              <w:spacing w:after="0"/>
              <w:jc w:val="center"/>
              <w:rPr>
                <w:sz w:val="20"/>
                <w:szCs w:val="20"/>
              </w:rPr>
            </w:pPr>
            <w:r w:rsidRPr="006D3DBC">
              <w:rPr>
                <w:sz w:val="20"/>
                <w:szCs w:val="20"/>
              </w:rPr>
              <w:t>0.11</w:t>
            </w:r>
          </w:p>
          <w:p w:rsidR="006C713D" w:rsidRPr="006D3DBC" w:rsidRDefault="006C713D" w:rsidP="006C713D">
            <w:pPr>
              <w:spacing w:after="0"/>
              <w:jc w:val="center"/>
              <w:rPr>
                <w:sz w:val="20"/>
                <w:szCs w:val="20"/>
              </w:rPr>
            </w:pPr>
            <w:r w:rsidRPr="006D3DBC">
              <w:rPr>
                <w:sz w:val="20"/>
                <w:szCs w:val="20"/>
              </w:rPr>
              <w:t>(0.02, 0.35)</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6C713D" w:rsidRPr="006D3DBC" w:rsidRDefault="006C713D" w:rsidP="006C713D">
            <w:pPr>
              <w:spacing w:after="0"/>
              <w:jc w:val="center"/>
              <w:rPr>
                <w:sz w:val="20"/>
                <w:szCs w:val="20"/>
              </w:rPr>
            </w:pPr>
          </w:p>
          <w:p w:rsidR="006C713D" w:rsidRPr="006D3DBC" w:rsidRDefault="006C713D" w:rsidP="006C713D">
            <w:pPr>
              <w:spacing w:after="0"/>
              <w:jc w:val="center"/>
              <w:rPr>
                <w:sz w:val="20"/>
                <w:szCs w:val="20"/>
              </w:rPr>
            </w:pPr>
            <w:r w:rsidRPr="006D3DBC">
              <w:rPr>
                <w:sz w:val="20"/>
                <w:szCs w:val="20"/>
              </w:rPr>
              <w:t>0.04</w:t>
            </w:r>
          </w:p>
          <w:p w:rsidR="006C713D" w:rsidRPr="006D3DBC" w:rsidRDefault="006C713D" w:rsidP="006C713D">
            <w:pPr>
              <w:spacing w:after="0"/>
              <w:jc w:val="center"/>
              <w:rPr>
                <w:sz w:val="20"/>
                <w:szCs w:val="20"/>
              </w:rPr>
            </w:pPr>
            <w:r w:rsidRPr="006D3DBC">
              <w:rPr>
                <w:sz w:val="20"/>
                <w:szCs w:val="20"/>
              </w:rPr>
              <w:t>(0.00, 0.24)</w:t>
            </w:r>
          </w:p>
        </w:tc>
        <w:tc>
          <w:tcPr>
            <w:tcW w:w="898" w:type="dxa"/>
            <w:tcBorders>
              <w:top w:val="single" w:sz="4" w:space="0" w:color="000000"/>
              <w:left w:val="single" w:sz="4" w:space="0" w:color="000000"/>
              <w:bottom w:val="single" w:sz="4" w:space="0" w:color="000000"/>
              <w:right w:val="single" w:sz="4" w:space="0" w:color="000000"/>
            </w:tcBorders>
            <w:shd w:val="clear" w:color="auto" w:fill="BFBFBF"/>
          </w:tcPr>
          <w:p w:rsidR="006C713D" w:rsidRPr="006D3DBC" w:rsidRDefault="006C713D" w:rsidP="006C713D">
            <w:pPr>
              <w:spacing w:after="0"/>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sz w:val="20"/>
                <w:szCs w:val="20"/>
              </w:rPr>
            </w:pPr>
          </w:p>
          <w:p w:rsidR="006C713D" w:rsidRPr="006D3DBC" w:rsidRDefault="006C713D" w:rsidP="006C713D">
            <w:pPr>
              <w:spacing w:after="0"/>
              <w:jc w:val="center"/>
              <w:rPr>
                <w:sz w:val="20"/>
                <w:szCs w:val="20"/>
              </w:rPr>
            </w:pPr>
            <w:r w:rsidRPr="006D3DBC">
              <w:rPr>
                <w:sz w:val="20"/>
                <w:szCs w:val="20"/>
              </w:rPr>
              <w:t>0.13</w:t>
            </w:r>
          </w:p>
          <w:p w:rsidR="006C713D" w:rsidRPr="006D3DBC" w:rsidRDefault="006C713D" w:rsidP="006C713D">
            <w:pPr>
              <w:spacing w:after="0"/>
              <w:jc w:val="center"/>
              <w:rPr>
                <w:sz w:val="20"/>
                <w:szCs w:val="20"/>
              </w:rPr>
            </w:pPr>
            <w:r w:rsidRPr="006D3DBC">
              <w:rPr>
                <w:sz w:val="20"/>
                <w:szCs w:val="20"/>
              </w:rPr>
              <w:t>(0.01, 0.52)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C713D" w:rsidRPr="006D3DBC" w:rsidRDefault="006C713D" w:rsidP="006C713D">
            <w:pPr>
              <w:spacing w:after="0"/>
              <w:jc w:val="center"/>
              <w:rPr>
                <w:sz w:val="20"/>
                <w:szCs w:val="20"/>
              </w:rPr>
            </w:pPr>
          </w:p>
          <w:p w:rsidR="006C713D" w:rsidRPr="006D3DBC" w:rsidRDefault="006C713D" w:rsidP="006C713D">
            <w:pPr>
              <w:spacing w:after="0"/>
              <w:jc w:val="center"/>
              <w:rPr>
                <w:sz w:val="20"/>
                <w:szCs w:val="20"/>
              </w:rPr>
            </w:pPr>
            <w:r w:rsidRPr="006D3DBC">
              <w:rPr>
                <w:sz w:val="20"/>
                <w:szCs w:val="20"/>
              </w:rPr>
              <w:t>0.0</w:t>
            </w:r>
          </w:p>
          <w:p w:rsidR="006C713D" w:rsidRPr="006D3DBC" w:rsidRDefault="006C713D" w:rsidP="006C713D">
            <w:pPr>
              <w:spacing w:after="0"/>
              <w:jc w:val="center"/>
              <w:rPr>
                <w:sz w:val="20"/>
                <w:szCs w:val="20"/>
              </w:rPr>
            </w:pPr>
            <w:r w:rsidRPr="006D3DBC">
              <w:rPr>
                <w:sz w:val="20"/>
                <w:szCs w:val="20"/>
              </w:rPr>
              <w:t>(0.00, 0.31)</w:t>
            </w:r>
          </w:p>
        </w:tc>
        <w:tc>
          <w:tcPr>
            <w:tcW w:w="850" w:type="dxa"/>
            <w:tcBorders>
              <w:top w:val="single" w:sz="4" w:space="0" w:color="000000"/>
              <w:left w:val="single" w:sz="4" w:space="0" w:color="000000"/>
              <w:bottom w:val="single" w:sz="4" w:space="0" w:color="000000"/>
              <w:right w:val="single" w:sz="4" w:space="0" w:color="000000"/>
            </w:tcBorders>
            <w:shd w:val="clear" w:color="auto" w:fill="BFBFBF"/>
          </w:tcPr>
          <w:p w:rsidR="006C713D" w:rsidRPr="006D3DBC" w:rsidRDefault="006C713D" w:rsidP="006C713D">
            <w:pPr>
              <w:spacing w:after="0"/>
              <w:rPr>
                <w:sz w:val="20"/>
                <w:szCs w:val="20"/>
              </w:rPr>
            </w:pPr>
          </w:p>
        </w:tc>
      </w:tr>
      <w:tr w:rsidR="006C713D" w:rsidRPr="006D3DBC" w:rsidTr="006C713D">
        <w:tc>
          <w:tcPr>
            <w:tcW w:w="9526" w:type="dxa"/>
            <w:gridSpan w:val="8"/>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rPr>
                <w:sz w:val="20"/>
                <w:szCs w:val="20"/>
              </w:rPr>
            </w:pPr>
            <w:r w:rsidRPr="006D3DBC">
              <w:rPr>
                <w:sz w:val="20"/>
                <w:szCs w:val="20"/>
              </w:rPr>
              <w:t>Major VTE</w:t>
            </w:r>
          </w:p>
        </w:tc>
      </w:tr>
      <w:tr w:rsidR="006C713D" w:rsidRPr="006D3DBC" w:rsidTr="006C713D">
        <w:tc>
          <w:tcPr>
            <w:tcW w:w="2538"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ind w:left="180"/>
              <w:rPr>
                <w:sz w:val="20"/>
                <w:szCs w:val="20"/>
              </w:rPr>
            </w:pPr>
            <w:r w:rsidRPr="006D3DBC">
              <w:rPr>
                <w:sz w:val="20"/>
                <w:szCs w:val="20"/>
              </w:rPr>
              <w:t>Number of events/subjects</w:t>
            </w:r>
          </w:p>
          <w:p w:rsidR="006C713D" w:rsidRPr="006D3DBC" w:rsidRDefault="006C713D" w:rsidP="006C713D">
            <w:pPr>
              <w:spacing w:after="0"/>
              <w:ind w:left="180"/>
              <w:rPr>
                <w:sz w:val="20"/>
                <w:szCs w:val="20"/>
              </w:rPr>
            </w:pPr>
            <w:r w:rsidRPr="006D3DBC">
              <w:rPr>
                <w:sz w:val="20"/>
                <w:szCs w:val="20"/>
              </w:rPr>
              <w:t>Event Rate (%)</w:t>
            </w:r>
          </w:p>
        </w:tc>
        <w:tc>
          <w:tcPr>
            <w:tcW w:w="1296"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sz w:val="20"/>
                <w:szCs w:val="20"/>
              </w:rPr>
            </w:pPr>
            <w:r w:rsidRPr="006D3DBC">
              <w:rPr>
                <w:sz w:val="20"/>
                <w:szCs w:val="20"/>
              </w:rPr>
              <w:t>10/2199</w:t>
            </w:r>
          </w:p>
          <w:p w:rsidR="006C713D" w:rsidRPr="006D3DBC" w:rsidRDefault="006C713D" w:rsidP="006C713D">
            <w:pPr>
              <w:spacing w:after="0"/>
              <w:jc w:val="center"/>
              <w:rPr>
                <w:sz w:val="20"/>
                <w:szCs w:val="20"/>
              </w:rPr>
            </w:pPr>
            <w:r w:rsidRPr="006D3DBC">
              <w:rPr>
                <w:sz w:val="20"/>
                <w:szCs w:val="20"/>
              </w:rPr>
              <w:t>0.45</w:t>
            </w:r>
          </w:p>
        </w:tc>
        <w:tc>
          <w:tcPr>
            <w:tcW w:w="1251" w:type="dxa"/>
            <w:gridSpan w:val="2"/>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sz w:val="20"/>
                <w:szCs w:val="20"/>
              </w:rPr>
            </w:pPr>
            <w:r w:rsidRPr="006D3DBC">
              <w:rPr>
                <w:sz w:val="20"/>
                <w:szCs w:val="20"/>
              </w:rPr>
              <w:t>25/2195</w:t>
            </w:r>
          </w:p>
          <w:p w:rsidR="006C713D" w:rsidRPr="006D3DBC" w:rsidRDefault="006C713D" w:rsidP="006C713D">
            <w:pPr>
              <w:spacing w:after="0"/>
              <w:jc w:val="center"/>
              <w:rPr>
                <w:sz w:val="20"/>
                <w:szCs w:val="20"/>
              </w:rPr>
            </w:pPr>
            <w:r w:rsidRPr="006D3DBC">
              <w:rPr>
                <w:sz w:val="20"/>
                <w:szCs w:val="20"/>
              </w:rPr>
              <w:t>1.14</w:t>
            </w:r>
          </w:p>
        </w:tc>
        <w:tc>
          <w:tcPr>
            <w:tcW w:w="898" w:type="dxa"/>
            <w:vMerge w:val="restart"/>
            <w:tcBorders>
              <w:top w:val="single" w:sz="4" w:space="0" w:color="000000"/>
              <w:left w:val="single" w:sz="4" w:space="0" w:color="000000"/>
              <w:bottom w:val="single" w:sz="4" w:space="0" w:color="000000"/>
              <w:right w:val="single" w:sz="4" w:space="0" w:color="000000"/>
            </w:tcBorders>
            <w:vAlign w:val="center"/>
          </w:tcPr>
          <w:p w:rsidR="006C713D" w:rsidRPr="006D3DBC" w:rsidRDefault="006C713D" w:rsidP="006C713D">
            <w:pPr>
              <w:spacing w:after="0"/>
              <w:jc w:val="center"/>
              <w:rPr>
                <w:sz w:val="20"/>
                <w:szCs w:val="20"/>
              </w:rPr>
            </w:pPr>
            <w:r w:rsidRPr="006D3DBC">
              <w:rPr>
                <w:sz w:val="20"/>
                <w:szCs w:val="20"/>
              </w:rPr>
              <w:t>0.0107</w:t>
            </w:r>
          </w:p>
        </w:tc>
        <w:tc>
          <w:tcPr>
            <w:tcW w:w="1417"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sz w:val="20"/>
                <w:szCs w:val="20"/>
              </w:rPr>
            </w:pPr>
            <w:r w:rsidRPr="006D3DBC">
              <w:rPr>
                <w:sz w:val="20"/>
                <w:szCs w:val="20"/>
              </w:rPr>
              <w:t>13/1195</w:t>
            </w:r>
          </w:p>
          <w:p w:rsidR="006C713D" w:rsidRPr="006D3DBC" w:rsidRDefault="006C713D" w:rsidP="006C713D">
            <w:pPr>
              <w:spacing w:after="0"/>
              <w:jc w:val="center"/>
              <w:rPr>
                <w:sz w:val="20"/>
                <w:szCs w:val="20"/>
              </w:rPr>
            </w:pPr>
            <w:r w:rsidRPr="006D3DBC">
              <w:rPr>
                <w:sz w:val="20"/>
                <w:szCs w:val="20"/>
              </w:rPr>
              <w:t>1.09</w:t>
            </w:r>
          </w:p>
        </w:tc>
        <w:tc>
          <w:tcPr>
            <w:tcW w:w="1276"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sz w:val="20"/>
                <w:szCs w:val="20"/>
              </w:rPr>
            </w:pPr>
            <w:r w:rsidRPr="006D3DBC">
              <w:rPr>
                <w:sz w:val="20"/>
                <w:szCs w:val="20"/>
              </w:rPr>
              <w:t>26/1199</w:t>
            </w:r>
          </w:p>
          <w:p w:rsidR="006C713D" w:rsidRPr="006D3DBC" w:rsidRDefault="006C713D" w:rsidP="006C713D">
            <w:pPr>
              <w:spacing w:after="0"/>
              <w:jc w:val="center"/>
              <w:rPr>
                <w:sz w:val="20"/>
                <w:szCs w:val="20"/>
              </w:rPr>
            </w:pPr>
            <w:r w:rsidRPr="006D3DBC">
              <w:rPr>
                <w:sz w:val="20"/>
                <w:szCs w:val="20"/>
              </w:rPr>
              <w:t>2.17</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6C713D" w:rsidRPr="006D3DBC" w:rsidRDefault="006C713D" w:rsidP="006C713D">
            <w:pPr>
              <w:spacing w:after="0"/>
              <w:jc w:val="center"/>
              <w:rPr>
                <w:sz w:val="20"/>
                <w:szCs w:val="20"/>
              </w:rPr>
            </w:pPr>
            <w:r w:rsidRPr="006D3DBC">
              <w:rPr>
                <w:sz w:val="20"/>
                <w:szCs w:val="20"/>
              </w:rPr>
              <w:t>0.0373</w:t>
            </w:r>
          </w:p>
        </w:tc>
      </w:tr>
      <w:tr w:rsidR="006C713D" w:rsidRPr="006D3DBC" w:rsidTr="006C713D">
        <w:tc>
          <w:tcPr>
            <w:tcW w:w="2538"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ind w:left="180"/>
              <w:rPr>
                <w:sz w:val="20"/>
                <w:szCs w:val="20"/>
              </w:rPr>
            </w:pPr>
            <w:r w:rsidRPr="006D3DBC">
              <w:rPr>
                <w:sz w:val="20"/>
                <w:szCs w:val="20"/>
              </w:rPr>
              <w:t>Relative Risk</w:t>
            </w:r>
          </w:p>
          <w:p w:rsidR="006C713D" w:rsidRPr="006D3DBC" w:rsidRDefault="006C713D" w:rsidP="006C713D">
            <w:pPr>
              <w:spacing w:after="0"/>
              <w:ind w:left="180"/>
              <w:rPr>
                <w:sz w:val="20"/>
                <w:szCs w:val="20"/>
              </w:rPr>
            </w:pPr>
            <w:r w:rsidRPr="006D3DBC">
              <w:rPr>
                <w:sz w:val="20"/>
                <w:szCs w:val="20"/>
              </w:rPr>
              <w:t>95% CI</w:t>
            </w:r>
          </w:p>
        </w:tc>
        <w:tc>
          <w:tcPr>
            <w:tcW w:w="1296"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sz w:val="20"/>
                <w:szCs w:val="20"/>
              </w:rPr>
            </w:pPr>
            <w:r w:rsidRPr="006D3DBC">
              <w:rPr>
                <w:sz w:val="20"/>
                <w:szCs w:val="20"/>
              </w:rPr>
              <w:t>0.40</w:t>
            </w:r>
          </w:p>
          <w:p w:rsidR="006C713D" w:rsidRPr="006D3DBC" w:rsidRDefault="006C713D" w:rsidP="006C713D">
            <w:pPr>
              <w:spacing w:after="0"/>
              <w:jc w:val="center"/>
              <w:rPr>
                <w:sz w:val="20"/>
                <w:szCs w:val="20"/>
              </w:rPr>
            </w:pPr>
            <w:r w:rsidRPr="006D3DBC">
              <w:rPr>
                <w:sz w:val="20"/>
                <w:szCs w:val="20"/>
              </w:rPr>
              <w:t>(0.15, 0.80)</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C0C0C0"/>
          </w:tcPr>
          <w:p w:rsidR="006C713D" w:rsidRPr="006D3DBC" w:rsidRDefault="006C713D" w:rsidP="006C713D">
            <w:pPr>
              <w:spacing w:after="0"/>
              <w:jc w:val="center"/>
              <w:rPr>
                <w:sz w:val="20"/>
                <w:szCs w:val="20"/>
              </w:rPr>
            </w:pPr>
          </w:p>
        </w:tc>
        <w:tc>
          <w:tcPr>
            <w:tcW w:w="898" w:type="dxa"/>
            <w:vMerge/>
            <w:tcBorders>
              <w:top w:val="single" w:sz="4" w:space="0" w:color="000000"/>
              <w:left w:val="single" w:sz="4" w:space="0" w:color="000000"/>
              <w:bottom w:val="single" w:sz="4" w:space="0" w:color="000000"/>
              <w:right w:val="single" w:sz="4" w:space="0" w:color="000000"/>
            </w:tcBorders>
            <w:vAlign w:val="center"/>
          </w:tcPr>
          <w:p w:rsidR="006C713D" w:rsidRPr="006D3DBC" w:rsidRDefault="006C713D" w:rsidP="006C713D">
            <w:pPr>
              <w:spacing w:after="0"/>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sz w:val="20"/>
                <w:szCs w:val="20"/>
              </w:rPr>
            </w:pPr>
            <w:r w:rsidRPr="006D3DBC">
              <w:rPr>
                <w:sz w:val="20"/>
                <w:szCs w:val="20"/>
              </w:rPr>
              <w:t>0.50</w:t>
            </w:r>
          </w:p>
          <w:p w:rsidR="006C713D" w:rsidRPr="006D3DBC" w:rsidRDefault="006C713D" w:rsidP="006C713D">
            <w:pPr>
              <w:spacing w:after="0"/>
              <w:jc w:val="center"/>
              <w:rPr>
                <w:sz w:val="20"/>
                <w:szCs w:val="20"/>
              </w:rPr>
            </w:pPr>
            <w:r w:rsidRPr="006D3DBC">
              <w:rPr>
                <w:sz w:val="20"/>
                <w:szCs w:val="20"/>
              </w:rPr>
              <w:t>(0.26, 0.97)</w:t>
            </w:r>
          </w:p>
        </w:tc>
        <w:tc>
          <w:tcPr>
            <w:tcW w:w="1276" w:type="dxa"/>
            <w:tcBorders>
              <w:top w:val="single" w:sz="4" w:space="0" w:color="000000"/>
              <w:left w:val="single" w:sz="4" w:space="0" w:color="000000"/>
              <w:bottom w:val="single" w:sz="4" w:space="0" w:color="000000"/>
              <w:right w:val="single" w:sz="4" w:space="0" w:color="000000"/>
            </w:tcBorders>
            <w:shd w:val="clear" w:color="auto" w:fill="C0C0C0"/>
          </w:tcPr>
          <w:p w:rsidR="006C713D" w:rsidRPr="006D3DBC" w:rsidRDefault="006C713D" w:rsidP="006C713D">
            <w:pPr>
              <w:spacing w:after="0"/>
              <w:jc w:val="center"/>
              <w:rPr>
                <w:sz w:val="20"/>
                <w:szCs w:val="20"/>
              </w:rPr>
            </w:pPr>
          </w:p>
        </w:tc>
        <w:tc>
          <w:tcPr>
            <w:tcW w:w="850" w:type="dxa"/>
            <w:vMerge/>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rPr>
                <w:sz w:val="20"/>
                <w:szCs w:val="20"/>
              </w:rPr>
            </w:pPr>
          </w:p>
        </w:tc>
      </w:tr>
      <w:tr w:rsidR="006C713D" w:rsidRPr="006D3DBC" w:rsidTr="006C713D">
        <w:tc>
          <w:tcPr>
            <w:tcW w:w="2538"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ind w:left="180"/>
              <w:rPr>
                <w:sz w:val="20"/>
                <w:szCs w:val="20"/>
              </w:rPr>
            </w:pPr>
            <w:r w:rsidRPr="006D3DBC">
              <w:rPr>
                <w:sz w:val="20"/>
                <w:szCs w:val="20"/>
              </w:rPr>
              <w:t>Absolute Risk Difference (%)</w:t>
            </w:r>
          </w:p>
          <w:p w:rsidR="006C713D" w:rsidRPr="006D3DBC" w:rsidRDefault="006C713D" w:rsidP="006C713D">
            <w:pPr>
              <w:spacing w:after="0"/>
              <w:ind w:left="180"/>
              <w:rPr>
                <w:sz w:val="20"/>
                <w:szCs w:val="20"/>
              </w:rPr>
            </w:pPr>
            <w:r w:rsidRPr="006D3DBC">
              <w:rPr>
                <w:sz w:val="20"/>
                <w:szCs w:val="20"/>
              </w:rPr>
              <w:t>95% CI</w:t>
            </w:r>
          </w:p>
        </w:tc>
        <w:tc>
          <w:tcPr>
            <w:tcW w:w="1296"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sz w:val="20"/>
                <w:szCs w:val="20"/>
              </w:rPr>
            </w:pPr>
            <w:r w:rsidRPr="006D3DBC">
              <w:rPr>
                <w:sz w:val="20"/>
                <w:szCs w:val="20"/>
              </w:rPr>
              <w:t>-0.68</w:t>
            </w:r>
          </w:p>
          <w:p w:rsidR="006C713D" w:rsidRPr="006D3DBC" w:rsidRDefault="006C713D" w:rsidP="006C713D">
            <w:pPr>
              <w:spacing w:after="0"/>
              <w:jc w:val="center"/>
              <w:rPr>
                <w:sz w:val="20"/>
                <w:szCs w:val="20"/>
              </w:rPr>
            </w:pPr>
            <w:r w:rsidRPr="006D3DBC">
              <w:rPr>
                <w:sz w:val="20"/>
                <w:szCs w:val="20"/>
              </w:rPr>
              <w:t>(-1.27,- 0.17)</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C0C0C0"/>
          </w:tcPr>
          <w:p w:rsidR="006C713D" w:rsidRPr="006D3DBC" w:rsidRDefault="006C713D" w:rsidP="006C713D">
            <w:pPr>
              <w:spacing w:after="0"/>
              <w:jc w:val="center"/>
              <w:rPr>
                <w:sz w:val="20"/>
                <w:szCs w:val="20"/>
              </w:rPr>
            </w:pPr>
          </w:p>
        </w:tc>
        <w:tc>
          <w:tcPr>
            <w:tcW w:w="8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C713D" w:rsidRPr="006D3DBC" w:rsidRDefault="006C713D" w:rsidP="006C713D">
            <w:pPr>
              <w:spacing w:after="0"/>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sz w:val="20"/>
                <w:szCs w:val="20"/>
              </w:rPr>
            </w:pPr>
            <w:r w:rsidRPr="006D3DBC">
              <w:rPr>
                <w:sz w:val="20"/>
                <w:szCs w:val="20"/>
              </w:rPr>
              <w:t>-1.04</w:t>
            </w:r>
          </w:p>
          <w:p w:rsidR="006C713D" w:rsidRPr="006D3DBC" w:rsidRDefault="006C713D" w:rsidP="006C713D">
            <w:pPr>
              <w:spacing w:after="0"/>
              <w:jc w:val="center"/>
              <w:rPr>
                <w:sz w:val="20"/>
                <w:szCs w:val="20"/>
              </w:rPr>
            </w:pPr>
            <w:r w:rsidRPr="006D3DBC">
              <w:rPr>
                <w:sz w:val="20"/>
                <w:szCs w:val="20"/>
              </w:rPr>
              <w:t xml:space="preserve"> (-2.03, -0.05)</w:t>
            </w:r>
          </w:p>
        </w:tc>
        <w:tc>
          <w:tcPr>
            <w:tcW w:w="1276" w:type="dxa"/>
            <w:tcBorders>
              <w:top w:val="single" w:sz="4" w:space="0" w:color="000000"/>
              <w:left w:val="single" w:sz="4" w:space="0" w:color="000000"/>
              <w:bottom w:val="single" w:sz="4" w:space="0" w:color="000000"/>
              <w:right w:val="single" w:sz="4" w:space="0" w:color="000000"/>
            </w:tcBorders>
            <w:shd w:val="clear" w:color="auto" w:fill="C0C0C0"/>
          </w:tcPr>
          <w:p w:rsidR="006C713D" w:rsidRPr="006D3DBC" w:rsidRDefault="006C713D" w:rsidP="006C713D">
            <w:pPr>
              <w:spacing w:after="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BFBFBF"/>
          </w:tcPr>
          <w:p w:rsidR="006C713D" w:rsidRPr="006D3DBC" w:rsidRDefault="006C713D" w:rsidP="006C713D">
            <w:pPr>
              <w:spacing w:after="0"/>
              <w:rPr>
                <w:sz w:val="20"/>
                <w:szCs w:val="20"/>
              </w:rPr>
            </w:pPr>
          </w:p>
        </w:tc>
      </w:tr>
      <w:tr w:rsidR="006C713D" w:rsidRPr="006D3DBC" w:rsidTr="006C713D">
        <w:tc>
          <w:tcPr>
            <w:tcW w:w="9526" w:type="dxa"/>
            <w:gridSpan w:val="8"/>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rPr>
                <w:sz w:val="20"/>
                <w:szCs w:val="20"/>
              </w:rPr>
            </w:pPr>
            <w:r w:rsidRPr="006D3DBC">
              <w:rPr>
                <w:sz w:val="20"/>
                <w:szCs w:val="20"/>
              </w:rPr>
              <w:t xml:space="preserve">Components of Major VTE </w:t>
            </w:r>
            <w:proofErr w:type="spellStart"/>
            <w:r w:rsidRPr="006D3DBC">
              <w:rPr>
                <w:sz w:val="20"/>
                <w:szCs w:val="20"/>
              </w:rPr>
              <w:t>endpoint</w:t>
            </w:r>
            <w:r w:rsidRPr="006D3DBC">
              <w:rPr>
                <w:sz w:val="20"/>
                <w:szCs w:val="20"/>
                <w:vertAlign w:val="superscript"/>
              </w:rPr>
              <w:t>a</w:t>
            </w:r>
            <w:proofErr w:type="spellEnd"/>
          </w:p>
        </w:tc>
      </w:tr>
      <w:tr w:rsidR="006C713D" w:rsidRPr="006D3DBC" w:rsidTr="006C713D">
        <w:tc>
          <w:tcPr>
            <w:tcW w:w="2538"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ind w:left="180"/>
              <w:rPr>
                <w:sz w:val="20"/>
                <w:szCs w:val="20"/>
              </w:rPr>
            </w:pPr>
            <w:r w:rsidRPr="006D3DBC">
              <w:rPr>
                <w:sz w:val="20"/>
                <w:szCs w:val="20"/>
              </w:rPr>
              <w:t xml:space="preserve">Proximal DVT </w:t>
            </w:r>
          </w:p>
          <w:p w:rsidR="006C713D" w:rsidRPr="006D3DBC" w:rsidRDefault="006C713D" w:rsidP="006C713D">
            <w:pPr>
              <w:spacing w:after="0"/>
              <w:ind w:left="180"/>
              <w:rPr>
                <w:sz w:val="20"/>
                <w:szCs w:val="20"/>
              </w:rPr>
            </w:pPr>
            <w:r w:rsidRPr="006D3DBC">
              <w:rPr>
                <w:sz w:val="20"/>
                <w:szCs w:val="20"/>
              </w:rPr>
              <w:t>Event rate (%)</w:t>
            </w:r>
          </w:p>
          <w:p w:rsidR="006C713D" w:rsidRPr="006D3DBC" w:rsidRDefault="006C713D" w:rsidP="006C713D">
            <w:pPr>
              <w:spacing w:after="0"/>
              <w:ind w:left="180"/>
              <w:rPr>
                <w:sz w:val="20"/>
                <w:szCs w:val="20"/>
              </w:rPr>
            </w:pPr>
            <w:r w:rsidRPr="006D3DBC">
              <w:rPr>
                <w:sz w:val="20"/>
                <w:szCs w:val="20"/>
              </w:rPr>
              <w:t>95% CI</w:t>
            </w:r>
          </w:p>
        </w:tc>
        <w:tc>
          <w:tcPr>
            <w:tcW w:w="1296"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sz w:val="20"/>
                <w:szCs w:val="20"/>
              </w:rPr>
            </w:pPr>
          </w:p>
          <w:p w:rsidR="006C713D" w:rsidRPr="006D3DBC" w:rsidRDefault="006C713D" w:rsidP="006C713D">
            <w:pPr>
              <w:spacing w:after="0"/>
              <w:jc w:val="center"/>
              <w:rPr>
                <w:sz w:val="20"/>
                <w:szCs w:val="20"/>
              </w:rPr>
            </w:pPr>
            <w:r w:rsidRPr="006D3DBC">
              <w:rPr>
                <w:sz w:val="20"/>
                <w:szCs w:val="20"/>
              </w:rPr>
              <w:t>0.32(0.14, 0.68)</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Pr>
          <w:p w:rsidR="006C713D" w:rsidRPr="006D3DBC" w:rsidRDefault="006C713D" w:rsidP="006C713D">
            <w:pPr>
              <w:spacing w:after="0"/>
              <w:jc w:val="center"/>
              <w:rPr>
                <w:sz w:val="20"/>
                <w:szCs w:val="20"/>
              </w:rPr>
            </w:pPr>
          </w:p>
          <w:p w:rsidR="006C713D" w:rsidRPr="006D3DBC" w:rsidRDefault="006C713D" w:rsidP="006C713D">
            <w:pPr>
              <w:spacing w:after="0"/>
              <w:jc w:val="center"/>
              <w:rPr>
                <w:sz w:val="20"/>
                <w:szCs w:val="20"/>
              </w:rPr>
            </w:pPr>
            <w:r w:rsidRPr="006D3DBC">
              <w:rPr>
                <w:sz w:val="20"/>
                <w:szCs w:val="20"/>
              </w:rPr>
              <w:t>0.91</w:t>
            </w:r>
          </w:p>
          <w:p w:rsidR="006C713D" w:rsidRPr="006D3DBC" w:rsidRDefault="006C713D" w:rsidP="006C713D">
            <w:pPr>
              <w:spacing w:after="0"/>
              <w:jc w:val="center"/>
              <w:rPr>
                <w:sz w:val="20"/>
                <w:szCs w:val="20"/>
              </w:rPr>
            </w:pPr>
            <w:r w:rsidRPr="006D3DBC">
              <w:rPr>
                <w:sz w:val="20"/>
                <w:szCs w:val="20"/>
              </w:rPr>
              <w:t>(0.59, 1.42)</w:t>
            </w:r>
          </w:p>
        </w:tc>
        <w:tc>
          <w:tcPr>
            <w:tcW w:w="8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C713D" w:rsidRPr="006D3DBC" w:rsidRDefault="006C713D" w:rsidP="006C713D">
            <w:pPr>
              <w:spacing w:after="0"/>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sz w:val="20"/>
                <w:szCs w:val="20"/>
              </w:rPr>
            </w:pPr>
          </w:p>
          <w:p w:rsidR="006C713D" w:rsidRPr="006D3DBC" w:rsidRDefault="006C713D" w:rsidP="006C713D">
            <w:pPr>
              <w:spacing w:after="0"/>
              <w:jc w:val="center"/>
              <w:rPr>
                <w:sz w:val="20"/>
                <w:szCs w:val="20"/>
              </w:rPr>
            </w:pPr>
            <w:r w:rsidRPr="006D3DBC">
              <w:rPr>
                <w:sz w:val="20"/>
                <w:szCs w:val="20"/>
              </w:rPr>
              <w:t>0.76(0.38, 1.46)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C713D" w:rsidRPr="006D3DBC" w:rsidRDefault="006C713D" w:rsidP="006C713D">
            <w:pPr>
              <w:spacing w:after="0"/>
              <w:jc w:val="center"/>
              <w:rPr>
                <w:sz w:val="20"/>
                <w:szCs w:val="20"/>
              </w:rPr>
            </w:pPr>
          </w:p>
          <w:p w:rsidR="006C713D" w:rsidRPr="006D3DBC" w:rsidRDefault="006C713D" w:rsidP="006C713D">
            <w:pPr>
              <w:spacing w:after="0"/>
              <w:jc w:val="center"/>
              <w:rPr>
                <w:sz w:val="20"/>
                <w:szCs w:val="20"/>
              </w:rPr>
            </w:pPr>
            <w:r w:rsidRPr="006D3DBC">
              <w:rPr>
                <w:sz w:val="20"/>
                <w:szCs w:val="20"/>
              </w:rPr>
              <w:t>2.17</w:t>
            </w:r>
          </w:p>
          <w:p w:rsidR="006C713D" w:rsidRPr="006D3DBC" w:rsidRDefault="006C713D" w:rsidP="006C713D">
            <w:pPr>
              <w:spacing w:after="0"/>
              <w:jc w:val="center"/>
              <w:rPr>
                <w:sz w:val="20"/>
                <w:szCs w:val="20"/>
              </w:rPr>
            </w:pPr>
            <w:r w:rsidRPr="006D3DBC">
              <w:rPr>
                <w:sz w:val="20"/>
                <w:szCs w:val="20"/>
              </w:rPr>
              <w:t>(1.47, 3.18)</w:t>
            </w:r>
          </w:p>
        </w:tc>
        <w:tc>
          <w:tcPr>
            <w:tcW w:w="850" w:type="dxa"/>
            <w:tcBorders>
              <w:top w:val="single" w:sz="4" w:space="0" w:color="000000"/>
              <w:left w:val="single" w:sz="4" w:space="0" w:color="000000"/>
              <w:bottom w:val="single" w:sz="4" w:space="0" w:color="000000"/>
              <w:right w:val="single" w:sz="4" w:space="0" w:color="000000"/>
            </w:tcBorders>
            <w:shd w:val="clear" w:color="auto" w:fill="BFBFBF"/>
          </w:tcPr>
          <w:p w:rsidR="006C713D" w:rsidRPr="006D3DBC" w:rsidRDefault="006C713D" w:rsidP="006C713D">
            <w:pPr>
              <w:spacing w:after="0"/>
              <w:rPr>
                <w:sz w:val="20"/>
                <w:szCs w:val="20"/>
              </w:rPr>
            </w:pPr>
          </w:p>
        </w:tc>
      </w:tr>
      <w:tr w:rsidR="006C713D" w:rsidRPr="006D3DBC" w:rsidTr="006C713D">
        <w:tc>
          <w:tcPr>
            <w:tcW w:w="2538"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ind w:left="180"/>
              <w:rPr>
                <w:sz w:val="20"/>
                <w:szCs w:val="20"/>
              </w:rPr>
            </w:pPr>
            <w:r w:rsidRPr="006D3DBC">
              <w:rPr>
                <w:sz w:val="20"/>
                <w:szCs w:val="20"/>
              </w:rPr>
              <w:t xml:space="preserve">Non-fatal PE </w:t>
            </w:r>
          </w:p>
          <w:p w:rsidR="006C713D" w:rsidRPr="006D3DBC" w:rsidRDefault="006C713D" w:rsidP="006C713D">
            <w:pPr>
              <w:spacing w:after="0"/>
              <w:ind w:left="180"/>
              <w:rPr>
                <w:sz w:val="20"/>
                <w:szCs w:val="20"/>
              </w:rPr>
            </w:pPr>
            <w:r w:rsidRPr="006D3DBC">
              <w:rPr>
                <w:sz w:val="20"/>
                <w:szCs w:val="20"/>
              </w:rPr>
              <w:t>Event rate (%)</w:t>
            </w:r>
          </w:p>
          <w:p w:rsidR="006C713D" w:rsidRPr="006D3DBC" w:rsidRDefault="006C713D" w:rsidP="006C713D">
            <w:pPr>
              <w:spacing w:after="0"/>
              <w:ind w:left="180"/>
              <w:rPr>
                <w:sz w:val="20"/>
                <w:szCs w:val="20"/>
              </w:rPr>
            </w:pPr>
            <w:r w:rsidRPr="006D3DBC">
              <w:rPr>
                <w:sz w:val="20"/>
                <w:szCs w:val="20"/>
              </w:rPr>
              <w:t>95% CI</w:t>
            </w:r>
          </w:p>
        </w:tc>
        <w:tc>
          <w:tcPr>
            <w:tcW w:w="1296"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sz w:val="20"/>
                <w:szCs w:val="20"/>
              </w:rPr>
            </w:pPr>
          </w:p>
          <w:p w:rsidR="006C713D" w:rsidRPr="006D3DBC" w:rsidRDefault="006C713D" w:rsidP="006C713D">
            <w:pPr>
              <w:spacing w:after="0"/>
              <w:jc w:val="center"/>
              <w:rPr>
                <w:sz w:val="20"/>
                <w:szCs w:val="20"/>
              </w:rPr>
            </w:pPr>
            <w:r w:rsidRPr="006D3DBC">
              <w:rPr>
                <w:sz w:val="20"/>
                <w:szCs w:val="20"/>
              </w:rPr>
              <w:t>0.07</w:t>
            </w:r>
          </w:p>
          <w:p w:rsidR="006C713D" w:rsidRPr="006D3DBC" w:rsidRDefault="006C713D" w:rsidP="006C713D">
            <w:pPr>
              <w:spacing w:after="0"/>
              <w:jc w:val="center"/>
              <w:rPr>
                <w:sz w:val="20"/>
                <w:szCs w:val="20"/>
              </w:rPr>
            </w:pPr>
            <w:r w:rsidRPr="006D3DBC">
              <w:rPr>
                <w:sz w:val="20"/>
                <w:szCs w:val="20"/>
              </w:rPr>
              <w:t>(0.00, 0.29)</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Pr>
          <w:p w:rsidR="006C713D" w:rsidRPr="006D3DBC" w:rsidRDefault="006C713D" w:rsidP="006C713D">
            <w:pPr>
              <w:spacing w:after="0"/>
              <w:jc w:val="center"/>
              <w:rPr>
                <w:sz w:val="20"/>
                <w:szCs w:val="20"/>
              </w:rPr>
            </w:pPr>
          </w:p>
          <w:p w:rsidR="006C713D" w:rsidRPr="006D3DBC" w:rsidRDefault="006C713D" w:rsidP="006C713D">
            <w:pPr>
              <w:spacing w:after="0"/>
              <w:jc w:val="center"/>
              <w:rPr>
                <w:sz w:val="20"/>
                <w:szCs w:val="20"/>
              </w:rPr>
            </w:pPr>
            <w:r w:rsidRPr="006D3DBC">
              <w:rPr>
                <w:sz w:val="20"/>
                <w:szCs w:val="20"/>
              </w:rPr>
              <w:t>0.19</w:t>
            </w:r>
          </w:p>
          <w:p w:rsidR="006C713D" w:rsidRPr="006D3DBC" w:rsidRDefault="006C713D" w:rsidP="006C713D">
            <w:pPr>
              <w:spacing w:after="0"/>
              <w:jc w:val="center"/>
              <w:rPr>
                <w:sz w:val="20"/>
                <w:szCs w:val="20"/>
              </w:rPr>
            </w:pPr>
            <w:r w:rsidRPr="006D3DBC">
              <w:rPr>
                <w:sz w:val="20"/>
                <w:szCs w:val="20"/>
              </w:rPr>
              <w:t>(0.07, 0.45)</w:t>
            </w:r>
          </w:p>
        </w:tc>
        <w:tc>
          <w:tcPr>
            <w:tcW w:w="8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C713D" w:rsidRPr="006D3DBC" w:rsidRDefault="006C713D" w:rsidP="006C713D">
            <w:pPr>
              <w:spacing w:after="0"/>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sz w:val="20"/>
                <w:szCs w:val="20"/>
              </w:rPr>
            </w:pPr>
          </w:p>
          <w:p w:rsidR="006C713D" w:rsidRPr="006D3DBC" w:rsidRDefault="006C713D" w:rsidP="006C713D">
            <w:pPr>
              <w:spacing w:after="0"/>
              <w:jc w:val="center"/>
              <w:rPr>
                <w:sz w:val="20"/>
                <w:szCs w:val="20"/>
              </w:rPr>
            </w:pPr>
            <w:r w:rsidRPr="006D3DBC">
              <w:rPr>
                <w:sz w:val="20"/>
                <w:szCs w:val="20"/>
              </w:rPr>
              <w:t>0.20</w:t>
            </w:r>
          </w:p>
          <w:p w:rsidR="006C713D" w:rsidRPr="006D3DBC" w:rsidRDefault="006C713D" w:rsidP="006C713D">
            <w:pPr>
              <w:spacing w:after="0"/>
              <w:jc w:val="center"/>
              <w:rPr>
                <w:sz w:val="20"/>
                <w:szCs w:val="20"/>
              </w:rPr>
            </w:pPr>
            <w:r w:rsidRPr="006D3DBC">
              <w:rPr>
                <w:sz w:val="20"/>
                <w:szCs w:val="20"/>
              </w:rPr>
              <w:t>(0.04, 0.61)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C713D" w:rsidRPr="006D3DBC" w:rsidRDefault="006C713D" w:rsidP="006C713D">
            <w:pPr>
              <w:spacing w:after="0"/>
              <w:rPr>
                <w:sz w:val="20"/>
                <w:szCs w:val="20"/>
              </w:rPr>
            </w:pPr>
          </w:p>
          <w:p w:rsidR="006C713D" w:rsidRPr="006D3DBC" w:rsidRDefault="006C713D" w:rsidP="006C713D">
            <w:pPr>
              <w:spacing w:after="0"/>
              <w:jc w:val="center"/>
              <w:rPr>
                <w:sz w:val="20"/>
                <w:szCs w:val="20"/>
              </w:rPr>
            </w:pPr>
            <w:r w:rsidRPr="006D3DBC">
              <w:rPr>
                <w:sz w:val="20"/>
                <w:szCs w:val="20"/>
              </w:rPr>
              <w:t>0.00</w:t>
            </w:r>
          </w:p>
          <w:p w:rsidR="006C713D" w:rsidRPr="006D3DBC" w:rsidRDefault="006C713D" w:rsidP="006C713D">
            <w:pPr>
              <w:spacing w:after="0"/>
              <w:jc w:val="center"/>
              <w:rPr>
                <w:sz w:val="20"/>
                <w:szCs w:val="20"/>
              </w:rPr>
            </w:pPr>
            <w:r w:rsidRPr="006D3DBC">
              <w:rPr>
                <w:sz w:val="20"/>
                <w:szCs w:val="20"/>
              </w:rPr>
              <w:t>(0.00, 0.31)</w:t>
            </w:r>
          </w:p>
        </w:tc>
        <w:tc>
          <w:tcPr>
            <w:tcW w:w="850" w:type="dxa"/>
            <w:tcBorders>
              <w:top w:val="single" w:sz="4" w:space="0" w:color="000000"/>
              <w:left w:val="single" w:sz="4" w:space="0" w:color="000000"/>
              <w:bottom w:val="single" w:sz="4" w:space="0" w:color="000000"/>
              <w:right w:val="single" w:sz="4" w:space="0" w:color="000000"/>
            </w:tcBorders>
            <w:shd w:val="clear" w:color="auto" w:fill="BFBFBF"/>
          </w:tcPr>
          <w:p w:rsidR="006C713D" w:rsidRPr="006D3DBC" w:rsidRDefault="006C713D" w:rsidP="006C713D">
            <w:pPr>
              <w:spacing w:after="0"/>
              <w:rPr>
                <w:sz w:val="20"/>
                <w:szCs w:val="20"/>
              </w:rPr>
            </w:pPr>
          </w:p>
        </w:tc>
      </w:tr>
      <w:tr w:rsidR="006C713D" w:rsidRPr="006D3DBC" w:rsidTr="006C713D">
        <w:tc>
          <w:tcPr>
            <w:tcW w:w="2538"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ind w:left="180"/>
              <w:rPr>
                <w:sz w:val="20"/>
                <w:szCs w:val="20"/>
              </w:rPr>
            </w:pPr>
            <w:r w:rsidRPr="006D3DBC">
              <w:rPr>
                <w:sz w:val="20"/>
                <w:szCs w:val="20"/>
              </w:rPr>
              <w:lastRenderedPageBreak/>
              <w:t xml:space="preserve">VTE-related death </w:t>
            </w:r>
          </w:p>
          <w:p w:rsidR="006C713D" w:rsidRPr="006D3DBC" w:rsidRDefault="006C713D" w:rsidP="006C713D">
            <w:pPr>
              <w:spacing w:after="0"/>
              <w:ind w:left="180"/>
              <w:rPr>
                <w:sz w:val="20"/>
                <w:szCs w:val="20"/>
              </w:rPr>
            </w:pPr>
            <w:r w:rsidRPr="006D3DBC">
              <w:rPr>
                <w:sz w:val="20"/>
                <w:szCs w:val="20"/>
              </w:rPr>
              <w:t>Event rate (%)</w:t>
            </w:r>
          </w:p>
          <w:p w:rsidR="006C713D" w:rsidRPr="006D3DBC" w:rsidRDefault="006C713D" w:rsidP="006C713D">
            <w:pPr>
              <w:spacing w:after="0"/>
              <w:ind w:left="180"/>
              <w:rPr>
                <w:sz w:val="20"/>
                <w:szCs w:val="20"/>
              </w:rPr>
            </w:pPr>
            <w:r w:rsidRPr="006D3DBC">
              <w:rPr>
                <w:sz w:val="20"/>
                <w:szCs w:val="20"/>
              </w:rPr>
              <w:t>95% CI</w:t>
            </w:r>
          </w:p>
        </w:tc>
        <w:tc>
          <w:tcPr>
            <w:tcW w:w="1296"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sz w:val="20"/>
                <w:szCs w:val="20"/>
              </w:rPr>
            </w:pPr>
          </w:p>
          <w:p w:rsidR="006C713D" w:rsidRPr="006D3DBC" w:rsidRDefault="006C713D" w:rsidP="006C713D">
            <w:pPr>
              <w:spacing w:after="0"/>
              <w:jc w:val="center"/>
              <w:rPr>
                <w:sz w:val="20"/>
                <w:szCs w:val="20"/>
              </w:rPr>
            </w:pPr>
            <w:r w:rsidRPr="006D3DBC">
              <w:rPr>
                <w:sz w:val="20"/>
                <w:szCs w:val="20"/>
              </w:rPr>
              <w:t>0.04</w:t>
            </w:r>
          </w:p>
          <w:p w:rsidR="006C713D" w:rsidRPr="006D3DBC" w:rsidRDefault="006C713D" w:rsidP="006C713D">
            <w:pPr>
              <w:spacing w:after="0"/>
              <w:jc w:val="center"/>
              <w:rPr>
                <w:sz w:val="20"/>
                <w:szCs w:val="20"/>
              </w:rPr>
            </w:pPr>
            <w:r w:rsidRPr="006D3DBC">
              <w:rPr>
                <w:sz w:val="20"/>
                <w:szCs w:val="20"/>
              </w:rPr>
              <w:t>(0.00, 0.24)</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auto"/>
          </w:tcPr>
          <w:p w:rsidR="006C713D" w:rsidRPr="006D3DBC" w:rsidRDefault="006C713D" w:rsidP="006C713D">
            <w:pPr>
              <w:spacing w:after="0"/>
              <w:jc w:val="center"/>
              <w:rPr>
                <w:sz w:val="20"/>
                <w:szCs w:val="20"/>
              </w:rPr>
            </w:pPr>
          </w:p>
          <w:p w:rsidR="006C713D" w:rsidRPr="006D3DBC" w:rsidRDefault="006C713D" w:rsidP="006C713D">
            <w:pPr>
              <w:spacing w:after="0"/>
              <w:jc w:val="center"/>
              <w:rPr>
                <w:sz w:val="20"/>
                <w:szCs w:val="20"/>
              </w:rPr>
            </w:pPr>
            <w:r w:rsidRPr="006D3DBC">
              <w:rPr>
                <w:sz w:val="20"/>
                <w:szCs w:val="20"/>
              </w:rPr>
              <w:t>0.00</w:t>
            </w:r>
          </w:p>
          <w:p w:rsidR="006C713D" w:rsidRPr="006D3DBC" w:rsidRDefault="006C713D" w:rsidP="006C713D">
            <w:pPr>
              <w:spacing w:after="0"/>
              <w:jc w:val="center"/>
              <w:rPr>
                <w:sz w:val="20"/>
                <w:szCs w:val="20"/>
              </w:rPr>
            </w:pPr>
            <w:r w:rsidRPr="006D3DBC">
              <w:rPr>
                <w:sz w:val="20"/>
                <w:szCs w:val="20"/>
              </w:rPr>
              <w:t>(0.00, 0.18)</w:t>
            </w:r>
          </w:p>
        </w:tc>
        <w:tc>
          <w:tcPr>
            <w:tcW w:w="89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C713D" w:rsidRPr="006D3DBC" w:rsidRDefault="006C713D" w:rsidP="006C713D">
            <w:pPr>
              <w:spacing w:after="0"/>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6C713D" w:rsidRPr="006D3DBC" w:rsidRDefault="006C713D" w:rsidP="006C713D">
            <w:pPr>
              <w:spacing w:after="0"/>
              <w:jc w:val="center"/>
              <w:rPr>
                <w:sz w:val="20"/>
                <w:szCs w:val="20"/>
              </w:rPr>
            </w:pPr>
          </w:p>
          <w:p w:rsidR="006C713D" w:rsidRPr="006D3DBC" w:rsidRDefault="006C713D" w:rsidP="006C713D">
            <w:pPr>
              <w:spacing w:after="0"/>
              <w:jc w:val="center"/>
              <w:rPr>
                <w:sz w:val="20"/>
                <w:szCs w:val="20"/>
              </w:rPr>
            </w:pPr>
            <w:r w:rsidRPr="006D3DBC">
              <w:rPr>
                <w:sz w:val="20"/>
                <w:szCs w:val="20"/>
              </w:rPr>
              <w:t>0.07</w:t>
            </w:r>
          </w:p>
          <w:p w:rsidR="006C713D" w:rsidRPr="006D3DBC" w:rsidRDefault="006C713D" w:rsidP="006C713D">
            <w:pPr>
              <w:spacing w:after="0"/>
              <w:jc w:val="center"/>
              <w:rPr>
                <w:sz w:val="20"/>
                <w:szCs w:val="20"/>
              </w:rPr>
            </w:pPr>
            <w:r w:rsidRPr="006D3DBC">
              <w:rPr>
                <w:sz w:val="20"/>
                <w:szCs w:val="20"/>
              </w:rPr>
              <w:t>(0.00, 0.42)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C713D" w:rsidRPr="006D3DBC" w:rsidRDefault="006C713D" w:rsidP="006C713D">
            <w:pPr>
              <w:spacing w:after="0"/>
              <w:jc w:val="center"/>
              <w:rPr>
                <w:sz w:val="20"/>
                <w:szCs w:val="20"/>
              </w:rPr>
            </w:pPr>
          </w:p>
          <w:p w:rsidR="006C713D" w:rsidRPr="006D3DBC" w:rsidRDefault="006C713D" w:rsidP="006C713D">
            <w:pPr>
              <w:spacing w:after="0"/>
              <w:jc w:val="center"/>
              <w:rPr>
                <w:sz w:val="20"/>
                <w:szCs w:val="20"/>
              </w:rPr>
            </w:pPr>
            <w:r w:rsidRPr="006D3DBC">
              <w:rPr>
                <w:sz w:val="20"/>
                <w:szCs w:val="20"/>
              </w:rPr>
              <w:t>0.00</w:t>
            </w:r>
          </w:p>
          <w:p w:rsidR="006C713D" w:rsidRPr="006D3DBC" w:rsidRDefault="006C713D" w:rsidP="006C713D">
            <w:pPr>
              <w:spacing w:after="0"/>
              <w:jc w:val="center"/>
              <w:rPr>
                <w:sz w:val="20"/>
                <w:szCs w:val="20"/>
              </w:rPr>
            </w:pPr>
            <w:r w:rsidRPr="006D3DBC">
              <w:rPr>
                <w:sz w:val="20"/>
                <w:szCs w:val="20"/>
              </w:rPr>
              <w:t>(0.00, 0.31)</w:t>
            </w:r>
          </w:p>
        </w:tc>
        <w:tc>
          <w:tcPr>
            <w:tcW w:w="850" w:type="dxa"/>
            <w:tcBorders>
              <w:top w:val="single" w:sz="4" w:space="0" w:color="000000"/>
              <w:left w:val="single" w:sz="4" w:space="0" w:color="000000"/>
              <w:bottom w:val="single" w:sz="4" w:space="0" w:color="000000"/>
              <w:right w:val="single" w:sz="4" w:space="0" w:color="000000"/>
            </w:tcBorders>
            <w:shd w:val="clear" w:color="auto" w:fill="BFBFBF"/>
          </w:tcPr>
          <w:p w:rsidR="006C713D" w:rsidRPr="006D3DBC" w:rsidRDefault="006C713D" w:rsidP="006C713D">
            <w:pPr>
              <w:spacing w:after="0"/>
              <w:rPr>
                <w:sz w:val="20"/>
                <w:szCs w:val="20"/>
              </w:rPr>
            </w:pPr>
          </w:p>
        </w:tc>
      </w:tr>
    </w:tbl>
    <w:p w:rsidR="000B5BD3" w:rsidRPr="006D3DBC" w:rsidRDefault="000B5BD3" w:rsidP="000B5BD3">
      <w:pPr>
        <w:pStyle w:val="BMSBodyText0"/>
        <w:rPr>
          <w:rFonts w:eastAsia="Calibri"/>
          <w:color w:val="auto"/>
          <w:sz w:val="20"/>
          <w:lang w:val="en-AU"/>
        </w:rPr>
      </w:pPr>
      <w:proofErr w:type="gramStart"/>
      <w:r w:rsidRPr="006D3DBC">
        <w:rPr>
          <w:rFonts w:eastAsia="Calibri"/>
          <w:color w:val="auto"/>
          <w:sz w:val="18"/>
          <w:szCs w:val="18"/>
          <w:vertAlign w:val="superscript"/>
          <w:lang w:val="en-AU"/>
        </w:rPr>
        <w:t>a</w:t>
      </w:r>
      <w:proofErr w:type="gramEnd"/>
      <w:r w:rsidRPr="006D3DBC">
        <w:rPr>
          <w:rFonts w:eastAsia="Calibri"/>
          <w:color w:val="auto"/>
          <w:sz w:val="18"/>
          <w:szCs w:val="18"/>
          <w:lang w:val="en-AU"/>
        </w:rPr>
        <w:t xml:space="preserve"> </w:t>
      </w:r>
      <w:r w:rsidRPr="006D3DBC">
        <w:rPr>
          <w:rFonts w:eastAsia="Calibri"/>
          <w:color w:val="auto"/>
          <w:sz w:val="20"/>
          <w:lang w:val="en-AU"/>
        </w:rPr>
        <w:t>Events associated with each endpoint were counted once per subject but subjects may have contributed  events to multiple endpoints</w:t>
      </w:r>
    </w:p>
    <w:p w:rsidR="006C713D" w:rsidRDefault="000B5BD3" w:rsidP="000B5BD3">
      <w:r w:rsidRPr="006D3DBC">
        <w:t>The safety endpoints of major bleeding, the composite of major and clinically relevant non-major (CRNM) bleeding, and all bleeding showed similar rates for patients treated with apixaban 2.5 mg compared with enoxaparin 40 mg (see Table 2).  Major bleeding was defined as a decrease in haemoglobin of 20 g/L or more over a 24 hour period, transfusion of 2 or more units of packed red cells, bleeding into a critical site (e.g., intracranial haemorrhage) or fatal.  CRNM bleeding was defined as significant epistaxis, gastrointestinal bleed, significant haematuria, significant haematoma, bruising or ecchymosis, or haemoptysis.  All the bleeding criteria included surgical site bleeding.</w:t>
      </w:r>
    </w:p>
    <w:p w:rsidR="000B5BD3" w:rsidRDefault="000B5BD3" w:rsidP="000B5BD3">
      <w:r w:rsidRPr="006D3DBC">
        <w:t>In both Phase III studies, bleeding was assessed beginning with the first dose of double-blind study medication, which was either enoxaparin or injectable placebo, given 9 to 15 hours before surgery.  Bleeding during the treatment period included events that occurred before the first dose of apixaban, which was given 12-24 hours after surgery.  Bleeding during the post-surgery treatment period only included events occurring after the first dose of study medication after surgery.  Over half the occurrences of major bleeding in the apixaban group occurred prior to the first dose of apixaban.  Table 2 shows the bleeding results from the treatment period and the post-surgery treatment period.</w:t>
      </w:r>
      <w:r>
        <w:br w:type="page"/>
      </w:r>
    </w:p>
    <w:p w:rsidR="000B5BD3" w:rsidRPr="006D3DBC" w:rsidRDefault="000B5BD3" w:rsidP="000B5BD3">
      <w:pPr>
        <w:pStyle w:val="BMSTableTitle"/>
      </w:pPr>
      <w:r w:rsidRPr="006D3DBC">
        <w:lastRenderedPageBreak/>
        <w:t>Table 2: Bleeding results from pivotal phase III studies†</w:t>
      </w:r>
    </w:p>
    <w:tbl>
      <w:tblPr>
        <w:tblW w:w="7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1728"/>
        <w:gridCol w:w="1561"/>
        <w:gridCol w:w="1276"/>
        <w:gridCol w:w="1418"/>
        <w:gridCol w:w="1417"/>
      </w:tblGrid>
      <w:tr w:rsidR="000B5BD3" w:rsidRPr="006D3DBC" w:rsidTr="00F30B67">
        <w:tc>
          <w:tcPr>
            <w:tcW w:w="1728"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rPr>
                <w:sz w:val="20"/>
                <w:szCs w:val="20"/>
              </w:rPr>
            </w:pPr>
          </w:p>
        </w:tc>
        <w:tc>
          <w:tcPr>
            <w:tcW w:w="2837" w:type="dxa"/>
            <w:gridSpan w:val="2"/>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b/>
                <w:sz w:val="20"/>
                <w:szCs w:val="20"/>
              </w:rPr>
            </w:pPr>
            <w:r w:rsidRPr="006D3DBC">
              <w:rPr>
                <w:b/>
                <w:sz w:val="20"/>
                <w:szCs w:val="20"/>
              </w:rPr>
              <w:t>ADVANCE-3</w:t>
            </w:r>
          </w:p>
        </w:tc>
        <w:tc>
          <w:tcPr>
            <w:tcW w:w="2835" w:type="dxa"/>
            <w:gridSpan w:val="2"/>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b/>
                <w:sz w:val="20"/>
                <w:szCs w:val="20"/>
              </w:rPr>
            </w:pPr>
            <w:r w:rsidRPr="006D3DBC">
              <w:rPr>
                <w:b/>
                <w:sz w:val="20"/>
                <w:szCs w:val="20"/>
              </w:rPr>
              <w:t>ADVANCE-2</w:t>
            </w:r>
          </w:p>
        </w:tc>
      </w:tr>
      <w:tr w:rsidR="000B5BD3" w:rsidRPr="006D3DBC" w:rsidTr="00F30B67">
        <w:tc>
          <w:tcPr>
            <w:tcW w:w="1728"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rPr>
                <w:sz w:val="20"/>
                <w:szCs w:val="20"/>
              </w:rPr>
            </w:pPr>
          </w:p>
        </w:tc>
        <w:tc>
          <w:tcPr>
            <w:tcW w:w="1561"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b/>
                <w:sz w:val="20"/>
                <w:szCs w:val="20"/>
              </w:rPr>
            </w:pPr>
            <w:proofErr w:type="spellStart"/>
            <w:r w:rsidRPr="006D3DBC">
              <w:rPr>
                <w:b/>
                <w:sz w:val="20"/>
                <w:szCs w:val="20"/>
              </w:rPr>
              <w:t>Apixaban</w:t>
            </w:r>
            <w:proofErr w:type="spellEnd"/>
          </w:p>
          <w:p w:rsidR="000B5BD3" w:rsidRPr="006D3DBC" w:rsidRDefault="000B5BD3" w:rsidP="00F30B67">
            <w:pPr>
              <w:widowControl w:val="0"/>
              <w:spacing w:before="60" w:after="60"/>
              <w:jc w:val="center"/>
              <w:rPr>
                <w:b/>
                <w:sz w:val="20"/>
                <w:szCs w:val="20"/>
              </w:rPr>
            </w:pPr>
            <w:r w:rsidRPr="006D3DBC">
              <w:rPr>
                <w:b/>
                <w:sz w:val="20"/>
                <w:szCs w:val="20"/>
              </w:rPr>
              <w:t xml:space="preserve">2.5 mg </w:t>
            </w:r>
            <w:proofErr w:type="spellStart"/>
            <w:r w:rsidRPr="006D3DBC">
              <w:rPr>
                <w:b/>
                <w:sz w:val="20"/>
                <w:szCs w:val="20"/>
              </w:rPr>
              <w:t>po</w:t>
            </w:r>
            <w:proofErr w:type="spellEnd"/>
            <w:r w:rsidRPr="006D3DBC">
              <w:rPr>
                <w:b/>
                <w:sz w:val="20"/>
                <w:szCs w:val="20"/>
              </w:rPr>
              <w:t xml:space="preserve"> bid</w:t>
            </w:r>
          </w:p>
          <w:p w:rsidR="000B5BD3" w:rsidRPr="006D3DBC" w:rsidRDefault="000B5BD3" w:rsidP="00F30B67">
            <w:pPr>
              <w:widowControl w:val="0"/>
              <w:spacing w:before="60" w:after="60"/>
              <w:jc w:val="center"/>
              <w:rPr>
                <w:b/>
                <w:sz w:val="20"/>
                <w:szCs w:val="20"/>
              </w:rPr>
            </w:pPr>
            <w:r w:rsidRPr="006D3DBC">
              <w:rPr>
                <w:b/>
                <w:sz w:val="20"/>
                <w:szCs w:val="20"/>
              </w:rPr>
              <w:t>35 ± 3 d</w:t>
            </w:r>
          </w:p>
        </w:tc>
        <w:tc>
          <w:tcPr>
            <w:tcW w:w="1276"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b/>
                <w:sz w:val="20"/>
                <w:szCs w:val="20"/>
              </w:rPr>
            </w:pPr>
            <w:proofErr w:type="spellStart"/>
            <w:r w:rsidRPr="006D3DBC">
              <w:rPr>
                <w:b/>
                <w:sz w:val="20"/>
                <w:szCs w:val="20"/>
              </w:rPr>
              <w:t>Enoxaparin</w:t>
            </w:r>
            <w:proofErr w:type="spellEnd"/>
          </w:p>
          <w:p w:rsidR="000B5BD3" w:rsidRPr="006D3DBC" w:rsidRDefault="000B5BD3" w:rsidP="00F30B67">
            <w:pPr>
              <w:widowControl w:val="0"/>
              <w:spacing w:before="60" w:after="60"/>
              <w:jc w:val="center"/>
              <w:rPr>
                <w:b/>
                <w:sz w:val="20"/>
                <w:szCs w:val="20"/>
              </w:rPr>
            </w:pPr>
            <w:r w:rsidRPr="006D3DBC">
              <w:rPr>
                <w:b/>
                <w:sz w:val="20"/>
                <w:szCs w:val="20"/>
              </w:rPr>
              <w:t xml:space="preserve">40 mg sc </w:t>
            </w:r>
            <w:proofErr w:type="spellStart"/>
            <w:r w:rsidRPr="006D3DBC">
              <w:rPr>
                <w:b/>
                <w:sz w:val="20"/>
                <w:szCs w:val="20"/>
              </w:rPr>
              <w:t>od</w:t>
            </w:r>
            <w:proofErr w:type="spellEnd"/>
          </w:p>
          <w:p w:rsidR="000B5BD3" w:rsidRPr="006D3DBC" w:rsidRDefault="000B5BD3" w:rsidP="00F30B67">
            <w:pPr>
              <w:widowControl w:val="0"/>
              <w:spacing w:before="60" w:after="60"/>
              <w:jc w:val="center"/>
              <w:rPr>
                <w:b/>
                <w:sz w:val="20"/>
                <w:szCs w:val="20"/>
              </w:rPr>
            </w:pPr>
            <w:r w:rsidRPr="006D3DBC">
              <w:rPr>
                <w:b/>
                <w:sz w:val="20"/>
                <w:szCs w:val="20"/>
              </w:rPr>
              <w:t>35 ± 3 d</w:t>
            </w:r>
          </w:p>
        </w:tc>
        <w:tc>
          <w:tcPr>
            <w:tcW w:w="1418"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b/>
                <w:sz w:val="20"/>
                <w:szCs w:val="20"/>
              </w:rPr>
            </w:pPr>
            <w:proofErr w:type="spellStart"/>
            <w:r w:rsidRPr="006D3DBC">
              <w:rPr>
                <w:b/>
                <w:sz w:val="20"/>
                <w:szCs w:val="20"/>
              </w:rPr>
              <w:t>Apixaban</w:t>
            </w:r>
            <w:proofErr w:type="spellEnd"/>
          </w:p>
          <w:p w:rsidR="000B5BD3" w:rsidRPr="006D3DBC" w:rsidRDefault="000B5BD3" w:rsidP="00F30B67">
            <w:pPr>
              <w:widowControl w:val="0"/>
              <w:spacing w:before="60" w:after="60"/>
              <w:jc w:val="center"/>
              <w:rPr>
                <w:b/>
                <w:sz w:val="20"/>
                <w:szCs w:val="20"/>
              </w:rPr>
            </w:pPr>
            <w:r w:rsidRPr="006D3DBC">
              <w:rPr>
                <w:b/>
                <w:sz w:val="20"/>
                <w:szCs w:val="20"/>
              </w:rPr>
              <w:t xml:space="preserve">2.5 mg </w:t>
            </w:r>
            <w:proofErr w:type="spellStart"/>
            <w:r w:rsidRPr="006D3DBC">
              <w:rPr>
                <w:b/>
                <w:sz w:val="20"/>
                <w:szCs w:val="20"/>
              </w:rPr>
              <w:t>po</w:t>
            </w:r>
            <w:proofErr w:type="spellEnd"/>
            <w:r w:rsidRPr="006D3DBC">
              <w:rPr>
                <w:b/>
                <w:sz w:val="20"/>
                <w:szCs w:val="20"/>
              </w:rPr>
              <w:t xml:space="preserve"> bid</w:t>
            </w:r>
          </w:p>
          <w:p w:rsidR="000B5BD3" w:rsidRPr="006D3DBC" w:rsidRDefault="000B5BD3" w:rsidP="00F30B67">
            <w:pPr>
              <w:widowControl w:val="0"/>
              <w:spacing w:before="60" w:after="60"/>
              <w:jc w:val="center"/>
              <w:rPr>
                <w:b/>
                <w:sz w:val="20"/>
                <w:szCs w:val="20"/>
              </w:rPr>
            </w:pPr>
            <w:r w:rsidRPr="006D3DBC">
              <w:rPr>
                <w:b/>
                <w:sz w:val="20"/>
                <w:szCs w:val="20"/>
              </w:rPr>
              <w:t>12 ± 2 d</w:t>
            </w:r>
          </w:p>
        </w:tc>
        <w:tc>
          <w:tcPr>
            <w:tcW w:w="1417"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b/>
                <w:sz w:val="20"/>
                <w:szCs w:val="20"/>
              </w:rPr>
            </w:pPr>
            <w:proofErr w:type="spellStart"/>
            <w:r w:rsidRPr="006D3DBC">
              <w:rPr>
                <w:b/>
                <w:sz w:val="20"/>
                <w:szCs w:val="20"/>
              </w:rPr>
              <w:t>Enoxaparin</w:t>
            </w:r>
            <w:proofErr w:type="spellEnd"/>
          </w:p>
          <w:p w:rsidR="000B5BD3" w:rsidRPr="006D3DBC" w:rsidRDefault="000B5BD3" w:rsidP="00F30B67">
            <w:pPr>
              <w:widowControl w:val="0"/>
              <w:spacing w:before="60" w:after="60"/>
              <w:jc w:val="center"/>
              <w:rPr>
                <w:b/>
                <w:sz w:val="20"/>
                <w:szCs w:val="20"/>
              </w:rPr>
            </w:pPr>
            <w:r w:rsidRPr="006D3DBC">
              <w:rPr>
                <w:b/>
                <w:sz w:val="20"/>
                <w:szCs w:val="20"/>
              </w:rPr>
              <w:t xml:space="preserve">40 mg sc </w:t>
            </w:r>
            <w:proofErr w:type="spellStart"/>
            <w:r w:rsidRPr="006D3DBC">
              <w:rPr>
                <w:b/>
                <w:sz w:val="20"/>
                <w:szCs w:val="20"/>
              </w:rPr>
              <w:t>od</w:t>
            </w:r>
            <w:proofErr w:type="spellEnd"/>
          </w:p>
          <w:p w:rsidR="000B5BD3" w:rsidRPr="006D3DBC" w:rsidRDefault="000B5BD3" w:rsidP="00F30B67">
            <w:pPr>
              <w:widowControl w:val="0"/>
              <w:spacing w:before="60" w:after="60"/>
              <w:jc w:val="center"/>
              <w:rPr>
                <w:b/>
                <w:sz w:val="20"/>
                <w:szCs w:val="20"/>
              </w:rPr>
            </w:pPr>
            <w:r w:rsidRPr="006D3DBC">
              <w:rPr>
                <w:b/>
                <w:sz w:val="20"/>
                <w:szCs w:val="20"/>
              </w:rPr>
              <w:t>12 ± 2 d</w:t>
            </w:r>
          </w:p>
        </w:tc>
      </w:tr>
      <w:tr w:rsidR="000B5BD3" w:rsidRPr="006D3DBC" w:rsidTr="00F30B67">
        <w:tc>
          <w:tcPr>
            <w:tcW w:w="1728"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rPr>
                <w:sz w:val="20"/>
                <w:szCs w:val="20"/>
              </w:rPr>
            </w:pPr>
            <w:r w:rsidRPr="006D3DBC">
              <w:rPr>
                <w:sz w:val="20"/>
                <w:szCs w:val="20"/>
              </w:rPr>
              <w:t>All treated</w:t>
            </w:r>
          </w:p>
        </w:tc>
        <w:tc>
          <w:tcPr>
            <w:tcW w:w="1561"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n = 2673</w:t>
            </w:r>
          </w:p>
        </w:tc>
        <w:tc>
          <w:tcPr>
            <w:tcW w:w="1276"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n = 2659</w:t>
            </w:r>
          </w:p>
        </w:tc>
        <w:tc>
          <w:tcPr>
            <w:tcW w:w="1418"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n = 1501</w:t>
            </w:r>
          </w:p>
        </w:tc>
        <w:tc>
          <w:tcPr>
            <w:tcW w:w="1417"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n = 1508</w:t>
            </w:r>
          </w:p>
        </w:tc>
      </w:tr>
      <w:tr w:rsidR="000B5BD3" w:rsidRPr="006D3DBC" w:rsidTr="00F30B67">
        <w:tc>
          <w:tcPr>
            <w:tcW w:w="1728"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rPr>
                <w:sz w:val="20"/>
                <w:szCs w:val="20"/>
              </w:rPr>
            </w:pPr>
          </w:p>
        </w:tc>
        <w:tc>
          <w:tcPr>
            <w:tcW w:w="1561"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proofErr w:type="gramStart"/>
            <w:r w:rsidRPr="006D3DBC">
              <w:rPr>
                <w:sz w:val="20"/>
                <w:szCs w:val="20"/>
              </w:rPr>
              <w:t>n</w:t>
            </w:r>
            <w:proofErr w:type="gramEnd"/>
            <w:r w:rsidRPr="006D3DBC">
              <w:rPr>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proofErr w:type="gramStart"/>
            <w:r w:rsidRPr="006D3DBC">
              <w:rPr>
                <w:sz w:val="20"/>
                <w:szCs w:val="20"/>
              </w:rPr>
              <w:t>n</w:t>
            </w:r>
            <w:proofErr w:type="gramEnd"/>
            <w:r w:rsidRPr="006D3DBC">
              <w:rPr>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proofErr w:type="gramStart"/>
            <w:r w:rsidRPr="006D3DBC">
              <w:rPr>
                <w:sz w:val="20"/>
                <w:szCs w:val="20"/>
              </w:rPr>
              <w:t>n</w:t>
            </w:r>
            <w:proofErr w:type="gramEnd"/>
            <w:r w:rsidRPr="006D3DBC">
              <w:rPr>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proofErr w:type="gramStart"/>
            <w:r w:rsidRPr="006D3DBC">
              <w:rPr>
                <w:sz w:val="20"/>
                <w:szCs w:val="20"/>
              </w:rPr>
              <w:t>n</w:t>
            </w:r>
            <w:proofErr w:type="gramEnd"/>
            <w:r w:rsidRPr="006D3DBC">
              <w:rPr>
                <w:sz w:val="20"/>
                <w:szCs w:val="20"/>
              </w:rPr>
              <w:t xml:space="preserve"> (%)</w:t>
            </w:r>
          </w:p>
        </w:tc>
      </w:tr>
      <w:tr w:rsidR="000B5BD3" w:rsidRPr="006D3DBC" w:rsidTr="00F30B67">
        <w:tc>
          <w:tcPr>
            <w:tcW w:w="7400" w:type="dxa"/>
            <w:gridSpan w:val="5"/>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rPr>
                <w:b/>
                <w:i/>
                <w:sz w:val="20"/>
                <w:szCs w:val="20"/>
              </w:rPr>
            </w:pPr>
            <w:r w:rsidRPr="006D3DBC">
              <w:rPr>
                <w:b/>
                <w:i/>
                <w:sz w:val="20"/>
                <w:szCs w:val="20"/>
              </w:rPr>
              <w:t>Treatment Period</w:t>
            </w:r>
          </w:p>
        </w:tc>
      </w:tr>
      <w:tr w:rsidR="000B5BD3" w:rsidRPr="006D3DBC" w:rsidTr="00F30B67">
        <w:tc>
          <w:tcPr>
            <w:tcW w:w="1728"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rPr>
                <w:sz w:val="20"/>
                <w:szCs w:val="20"/>
              </w:rPr>
            </w:pPr>
            <w:r w:rsidRPr="006D3DBC">
              <w:rPr>
                <w:sz w:val="20"/>
                <w:szCs w:val="20"/>
              </w:rPr>
              <w:t>Major</w:t>
            </w:r>
          </w:p>
        </w:tc>
        <w:tc>
          <w:tcPr>
            <w:tcW w:w="1561"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22 (0.8)</w:t>
            </w:r>
          </w:p>
        </w:tc>
        <w:tc>
          <w:tcPr>
            <w:tcW w:w="1276"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18 (0.7)</w:t>
            </w:r>
          </w:p>
        </w:tc>
        <w:tc>
          <w:tcPr>
            <w:tcW w:w="1418"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9 (0.6)</w:t>
            </w:r>
          </w:p>
        </w:tc>
        <w:tc>
          <w:tcPr>
            <w:tcW w:w="1417"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14 (0.9)</w:t>
            </w:r>
          </w:p>
        </w:tc>
      </w:tr>
      <w:tr w:rsidR="000B5BD3" w:rsidRPr="006D3DBC" w:rsidTr="00F30B67">
        <w:tc>
          <w:tcPr>
            <w:tcW w:w="1728"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tabs>
                <w:tab w:val="left" w:pos="112"/>
              </w:tabs>
              <w:spacing w:before="60" w:after="60"/>
              <w:rPr>
                <w:sz w:val="20"/>
                <w:szCs w:val="20"/>
              </w:rPr>
            </w:pPr>
            <w:r w:rsidRPr="006D3DBC">
              <w:rPr>
                <w:sz w:val="20"/>
                <w:szCs w:val="20"/>
              </w:rPr>
              <w:tab/>
              <w:t>Fatal</w:t>
            </w:r>
          </w:p>
        </w:tc>
        <w:tc>
          <w:tcPr>
            <w:tcW w:w="1561"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0</w:t>
            </w:r>
          </w:p>
        </w:tc>
        <w:tc>
          <w:tcPr>
            <w:tcW w:w="1276"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0</w:t>
            </w:r>
          </w:p>
        </w:tc>
        <w:tc>
          <w:tcPr>
            <w:tcW w:w="1418"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0</w:t>
            </w:r>
          </w:p>
        </w:tc>
        <w:tc>
          <w:tcPr>
            <w:tcW w:w="1417"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0</w:t>
            </w:r>
          </w:p>
        </w:tc>
      </w:tr>
      <w:tr w:rsidR="000B5BD3" w:rsidRPr="006D3DBC" w:rsidTr="00F30B67">
        <w:tc>
          <w:tcPr>
            <w:tcW w:w="1728"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rPr>
                <w:sz w:val="20"/>
                <w:szCs w:val="20"/>
              </w:rPr>
            </w:pPr>
            <w:r w:rsidRPr="006D3DBC">
              <w:rPr>
                <w:sz w:val="20"/>
                <w:szCs w:val="20"/>
              </w:rPr>
              <w:t>Major + CRNM</w:t>
            </w:r>
          </w:p>
        </w:tc>
        <w:tc>
          <w:tcPr>
            <w:tcW w:w="1561"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129 (4.8)</w:t>
            </w:r>
          </w:p>
        </w:tc>
        <w:tc>
          <w:tcPr>
            <w:tcW w:w="1276"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134 (5.0)</w:t>
            </w:r>
          </w:p>
        </w:tc>
        <w:tc>
          <w:tcPr>
            <w:tcW w:w="1418"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53 (3.5)</w:t>
            </w:r>
          </w:p>
        </w:tc>
        <w:tc>
          <w:tcPr>
            <w:tcW w:w="1417"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72 (4.8)</w:t>
            </w:r>
          </w:p>
        </w:tc>
      </w:tr>
      <w:tr w:rsidR="000B5BD3" w:rsidRPr="006D3DBC" w:rsidTr="00F30B67">
        <w:tc>
          <w:tcPr>
            <w:tcW w:w="1728"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rPr>
                <w:sz w:val="20"/>
                <w:szCs w:val="20"/>
              </w:rPr>
            </w:pPr>
            <w:r w:rsidRPr="006D3DBC">
              <w:rPr>
                <w:sz w:val="20"/>
                <w:szCs w:val="20"/>
              </w:rPr>
              <w:t>All</w:t>
            </w:r>
          </w:p>
        </w:tc>
        <w:tc>
          <w:tcPr>
            <w:tcW w:w="1561"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313 (11.7)</w:t>
            </w:r>
          </w:p>
        </w:tc>
        <w:tc>
          <w:tcPr>
            <w:tcW w:w="1276"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334 (12.6)</w:t>
            </w:r>
          </w:p>
        </w:tc>
        <w:tc>
          <w:tcPr>
            <w:tcW w:w="1418"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104 (6.9)</w:t>
            </w:r>
          </w:p>
        </w:tc>
        <w:tc>
          <w:tcPr>
            <w:tcW w:w="1417"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126 (8.4)</w:t>
            </w:r>
          </w:p>
        </w:tc>
      </w:tr>
      <w:tr w:rsidR="000B5BD3" w:rsidRPr="006D3DBC" w:rsidTr="00F30B67">
        <w:tc>
          <w:tcPr>
            <w:tcW w:w="7400" w:type="dxa"/>
            <w:gridSpan w:val="5"/>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rPr>
                <w:b/>
                <w:i/>
                <w:sz w:val="20"/>
                <w:szCs w:val="20"/>
              </w:rPr>
            </w:pPr>
            <w:r w:rsidRPr="006D3DBC">
              <w:rPr>
                <w:b/>
                <w:i/>
                <w:sz w:val="20"/>
                <w:szCs w:val="20"/>
              </w:rPr>
              <w:t>Post-surgery treatment period</w:t>
            </w:r>
          </w:p>
        </w:tc>
      </w:tr>
      <w:tr w:rsidR="000B5BD3" w:rsidRPr="006D3DBC" w:rsidTr="00F30B67">
        <w:tc>
          <w:tcPr>
            <w:tcW w:w="1728"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rPr>
                <w:sz w:val="20"/>
                <w:szCs w:val="20"/>
              </w:rPr>
            </w:pPr>
            <w:r w:rsidRPr="006D3DBC">
              <w:rPr>
                <w:sz w:val="20"/>
                <w:szCs w:val="20"/>
              </w:rPr>
              <w:t>Major</w:t>
            </w:r>
          </w:p>
        </w:tc>
        <w:tc>
          <w:tcPr>
            <w:tcW w:w="1561"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9 (0.3)</w:t>
            </w:r>
          </w:p>
        </w:tc>
        <w:tc>
          <w:tcPr>
            <w:tcW w:w="1276"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11 (0.4)</w:t>
            </w:r>
          </w:p>
        </w:tc>
        <w:tc>
          <w:tcPr>
            <w:tcW w:w="1418"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4 (0.3)</w:t>
            </w:r>
          </w:p>
        </w:tc>
        <w:tc>
          <w:tcPr>
            <w:tcW w:w="1417"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9 (0.6)</w:t>
            </w:r>
          </w:p>
        </w:tc>
      </w:tr>
      <w:tr w:rsidR="000B5BD3" w:rsidRPr="006D3DBC" w:rsidTr="00F30B67">
        <w:tc>
          <w:tcPr>
            <w:tcW w:w="1728"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tabs>
                <w:tab w:val="left" w:pos="112"/>
              </w:tabs>
              <w:spacing w:before="60" w:after="60"/>
              <w:rPr>
                <w:sz w:val="20"/>
                <w:szCs w:val="20"/>
              </w:rPr>
            </w:pPr>
            <w:r w:rsidRPr="006D3DBC">
              <w:rPr>
                <w:sz w:val="20"/>
                <w:szCs w:val="20"/>
              </w:rPr>
              <w:tab/>
              <w:t>Fatal</w:t>
            </w:r>
          </w:p>
        </w:tc>
        <w:tc>
          <w:tcPr>
            <w:tcW w:w="1561"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0</w:t>
            </w:r>
          </w:p>
        </w:tc>
        <w:tc>
          <w:tcPr>
            <w:tcW w:w="1276"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0</w:t>
            </w:r>
          </w:p>
        </w:tc>
        <w:tc>
          <w:tcPr>
            <w:tcW w:w="1418"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0</w:t>
            </w:r>
          </w:p>
        </w:tc>
        <w:tc>
          <w:tcPr>
            <w:tcW w:w="1417"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0</w:t>
            </w:r>
          </w:p>
        </w:tc>
      </w:tr>
      <w:tr w:rsidR="000B5BD3" w:rsidRPr="006D3DBC" w:rsidTr="00F30B67">
        <w:tc>
          <w:tcPr>
            <w:tcW w:w="1728"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rPr>
                <w:sz w:val="20"/>
                <w:szCs w:val="20"/>
              </w:rPr>
            </w:pPr>
            <w:r w:rsidRPr="006D3DBC">
              <w:rPr>
                <w:sz w:val="20"/>
                <w:szCs w:val="20"/>
              </w:rPr>
              <w:t>Major + CRNM</w:t>
            </w:r>
          </w:p>
        </w:tc>
        <w:tc>
          <w:tcPr>
            <w:tcW w:w="1561"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96 (3.6)</w:t>
            </w:r>
          </w:p>
        </w:tc>
        <w:tc>
          <w:tcPr>
            <w:tcW w:w="1276"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115 (4.3)</w:t>
            </w:r>
          </w:p>
        </w:tc>
        <w:tc>
          <w:tcPr>
            <w:tcW w:w="1418"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41 (2.7)</w:t>
            </w:r>
          </w:p>
        </w:tc>
        <w:tc>
          <w:tcPr>
            <w:tcW w:w="1417"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56 (3.7)</w:t>
            </w:r>
          </w:p>
        </w:tc>
      </w:tr>
      <w:tr w:rsidR="000B5BD3" w:rsidRPr="006D3DBC" w:rsidTr="00F30B67">
        <w:tc>
          <w:tcPr>
            <w:tcW w:w="1728"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rPr>
                <w:sz w:val="20"/>
                <w:szCs w:val="20"/>
              </w:rPr>
            </w:pPr>
            <w:r w:rsidRPr="006D3DBC">
              <w:rPr>
                <w:sz w:val="20"/>
                <w:szCs w:val="20"/>
              </w:rPr>
              <w:t>All</w:t>
            </w:r>
          </w:p>
        </w:tc>
        <w:tc>
          <w:tcPr>
            <w:tcW w:w="1561"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261 (9.8)</w:t>
            </w:r>
          </w:p>
        </w:tc>
        <w:tc>
          <w:tcPr>
            <w:tcW w:w="1276"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293 (11.0)</w:t>
            </w:r>
          </w:p>
        </w:tc>
        <w:tc>
          <w:tcPr>
            <w:tcW w:w="1418"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89 (5.9)</w:t>
            </w:r>
          </w:p>
        </w:tc>
        <w:tc>
          <w:tcPr>
            <w:tcW w:w="1417" w:type="dxa"/>
            <w:tcBorders>
              <w:top w:val="single" w:sz="4" w:space="0" w:color="000000"/>
              <w:left w:val="single" w:sz="4" w:space="0" w:color="000000"/>
              <w:bottom w:val="single" w:sz="4" w:space="0" w:color="000000"/>
              <w:right w:val="single" w:sz="4" w:space="0" w:color="000000"/>
            </w:tcBorders>
          </w:tcPr>
          <w:p w:rsidR="000B5BD3" w:rsidRPr="006D3DBC" w:rsidRDefault="000B5BD3" w:rsidP="00F30B67">
            <w:pPr>
              <w:widowControl w:val="0"/>
              <w:spacing w:before="60" w:after="60"/>
              <w:jc w:val="center"/>
              <w:rPr>
                <w:sz w:val="20"/>
                <w:szCs w:val="20"/>
              </w:rPr>
            </w:pPr>
            <w:r w:rsidRPr="006D3DBC">
              <w:rPr>
                <w:sz w:val="20"/>
                <w:szCs w:val="20"/>
              </w:rPr>
              <w:t>103 (6.8)</w:t>
            </w:r>
          </w:p>
        </w:tc>
      </w:tr>
    </w:tbl>
    <w:p w:rsidR="000B5BD3" w:rsidRDefault="000B5BD3" w:rsidP="006C713D">
      <w:r w:rsidRPr="006D3DBC">
        <w:rPr>
          <w:szCs w:val="24"/>
        </w:rPr>
        <w:t>†</w:t>
      </w:r>
      <w:r w:rsidRPr="006D3DBC">
        <w:t xml:space="preserve"> </w:t>
      </w:r>
      <w:proofErr w:type="gramStart"/>
      <w:r w:rsidRPr="006D3DBC">
        <w:t>all</w:t>
      </w:r>
      <w:proofErr w:type="gramEnd"/>
      <w:r w:rsidRPr="006D3DBC">
        <w:t xml:space="preserve"> the bleeding criteria included surgical site bleeding</w:t>
      </w:r>
    </w:p>
    <w:p w:rsidR="000B5BD3" w:rsidRDefault="000B5BD3" w:rsidP="000B5BD3">
      <w:pPr>
        <w:pStyle w:val="Heading2"/>
      </w:pPr>
      <w:r w:rsidRPr="006D3DBC">
        <w:t xml:space="preserve">Prevention of Stroke and Systemic Embolism: Non-valvular </w:t>
      </w:r>
      <w:proofErr w:type="spellStart"/>
      <w:r w:rsidRPr="006D3DBC">
        <w:t>Atrial</w:t>
      </w:r>
      <w:proofErr w:type="spellEnd"/>
      <w:r w:rsidRPr="006D3DBC">
        <w:t xml:space="preserve"> Fibrillation</w:t>
      </w:r>
    </w:p>
    <w:p w:rsidR="000B5BD3" w:rsidRDefault="000B5BD3" w:rsidP="006C713D">
      <w:r w:rsidRPr="006D3DBC">
        <w:t>The clinical program was designed to demonstrate the efficacy and safety of apixaban for the prevention of stroke and systemic embolism in patients suitable for vitamin K antagonists (VKA) (ARISTOTLE) and in patients unsuitable for VKA (AVERROES).</w:t>
      </w:r>
    </w:p>
    <w:p w:rsidR="000B5BD3" w:rsidRDefault="000B5BD3" w:rsidP="006C713D">
      <w:r w:rsidRPr="006D3DBC">
        <w:t>Both studies were active-controlled (vs. warfarin in ARISTOTLE and vs. acetylsalicylic acid (ASA) in AVERROES), randomised, double-blind, parallel-arm, multi-national studies in patients with nonvalvular, persistent, paroxysmal, or permanent atrial fibrillation (AF) or atrial flutter (AFl) and one or more of the following additional risk factors:</w:t>
      </w:r>
    </w:p>
    <w:p w:rsidR="000B5BD3" w:rsidRPr="006D3DBC" w:rsidRDefault="000B5BD3" w:rsidP="000B5BD3">
      <w:pPr>
        <w:pStyle w:val="ListParagraph"/>
        <w:numPr>
          <w:ilvl w:val="0"/>
          <w:numId w:val="7"/>
        </w:numPr>
      </w:pPr>
      <w:r w:rsidRPr="006D3DBC">
        <w:t>prior stroke or transient ischaemic attack (TIA) (also prior systemic embolism in ARISTOTLE)</w:t>
      </w:r>
    </w:p>
    <w:p w:rsidR="000B5BD3" w:rsidRPr="006D3DBC" w:rsidRDefault="000B5BD3" w:rsidP="000B5BD3">
      <w:pPr>
        <w:pStyle w:val="BMSBodyText0"/>
        <w:numPr>
          <w:ilvl w:val="0"/>
          <w:numId w:val="7"/>
        </w:numPr>
        <w:rPr>
          <w:color w:val="auto"/>
          <w:lang w:val="en-AU"/>
        </w:rPr>
      </w:pPr>
      <w:r w:rsidRPr="006D3DBC">
        <w:rPr>
          <w:color w:val="auto"/>
          <w:lang w:val="en-AU"/>
        </w:rPr>
        <w:t>age ≥75 years</w:t>
      </w:r>
    </w:p>
    <w:p w:rsidR="000B5BD3" w:rsidRPr="006D3DBC" w:rsidRDefault="000B5BD3" w:rsidP="000B5BD3">
      <w:pPr>
        <w:pStyle w:val="BMSBodyText0"/>
        <w:numPr>
          <w:ilvl w:val="0"/>
          <w:numId w:val="7"/>
        </w:numPr>
        <w:rPr>
          <w:color w:val="auto"/>
          <w:lang w:val="en-AU"/>
        </w:rPr>
      </w:pPr>
      <w:r w:rsidRPr="006D3DBC">
        <w:rPr>
          <w:color w:val="auto"/>
          <w:lang w:val="en-AU"/>
        </w:rPr>
        <w:t>arterial hypertension requiring treatment</w:t>
      </w:r>
    </w:p>
    <w:p w:rsidR="000B5BD3" w:rsidRPr="006D3DBC" w:rsidRDefault="000B5BD3" w:rsidP="000B5BD3">
      <w:pPr>
        <w:pStyle w:val="BMSBodyText0"/>
        <w:numPr>
          <w:ilvl w:val="0"/>
          <w:numId w:val="7"/>
        </w:numPr>
        <w:rPr>
          <w:color w:val="auto"/>
          <w:lang w:val="en-AU"/>
        </w:rPr>
      </w:pPr>
      <w:r w:rsidRPr="006D3DBC">
        <w:rPr>
          <w:color w:val="auto"/>
          <w:lang w:val="en-AU"/>
        </w:rPr>
        <w:t>diabetes mellitus</w:t>
      </w:r>
    </w:p>
    <w:p w:rsidR="000B5BD3" w:rsidRPr="006D3DBC" w:rsidRDefault="000B5BD3" w:rsidP="000B5BD3">
      <w:pPr>
        <w:pStyle w:val="BMSBodyText0"/>
        <w:numPr>
          <w:ilvl w:val="0"/>
          <w:numId w:val="7"/>
        </w:numPr>
        <w:rPr>
          <w:color w:val="auto"/>
          <w:lang w:val="en-AU"/>
        </w:rPr>
      </w:pPr>
      <w:r w:rsidRPr="006D3DBC">
        <w:rPr>
          <w:color w:val="auto"/>
          <w:lang w:val="en-AU"/>
        </w:rPr>
        <w:t>heart failure ≥New York Heart Association Class 2</w:t>
      </w:r>
    </w:p>
    <w:p w:rsidR="000B5BD3" w:rsidRPr="006D3DBC" w:rsidRDefault="000B5BD3" w:rsidP="000B5BD3">
      <w:pPr>
        <w:pStyle w:val="BMSBodyText0"/>
        <w:numPr>
          <w:ilvl w:val="0"/>
          <w:numId w:val="7"/>
        </w:numPr>
        <w:rPr>
          <w:color w:val="auto"/>
          <w:lang w:val="en-AU"/>
        </w:rPr>
      </w:pPr>
      <w:r w:rsidRPr="006D3DBC">
        <w:rPr>
          <w:color w:val="auto"/>
          <w:lang w:val="en-AU"/>
        </w:rPr>
        <w:t>decreased left ventricular ejection fraction (LVEF)</w:t>
      </w:r>
    </w:p>
    <w:p w:rsidR="000B5BD3" w:rsidRDefault="000B5BD3" w:rsidP="000B5BD3">
      <w:pPr>
        <w:pStyle w:val="ListParagraph"/>
        <w:numPr>
          <w:ilvl w:val="0"/>
          <w:numId w:val="7"/>
        </w:numPr>
      </w:pPr>
      <w:proofErr w:type="gramStart"/>
      <w:r w:rsidRPr="006D3DBC">
        <w:t>documented</w:t>
      </w:r>
      <w:proofErr w:type="gramEnd"/>
      <w:r w:rsidRPr="006D3DBC">
        <w:t xml:space="preserve"> peripheral arterial disease (AVERROES only).</w:t>
      </w:r>
    </w:p>
    <w:p w:rsidR="000B5BD3" w:rsidRDefault="000B5BD3" w:rsidP="000B5BD3">
      <w:r w:rsidRPr="00FE3C27">
        <w:t xml:space="preserve">Adult patients could be enrolled provided they had no AF due to reversible causes, clinically significant (moderate or severe) mitral stenosis, no contraindication to anticoagulation, no serious bleeding in the last 6 months or increased bleeding risk, no persistent, uncontrolled hypertension, no active infective endocarditis, no planned major surgery or planned AF or </w:t>
      </w:r>
      <w:r w:rsidRPr="00FE3C27">
        <w:lastRenderedPageBreak/>
        <w:t xml:space="preserve">flutter ablation surgery, no ischaemic stroke within 7 days, could comply with INR monitoring (ARISTOTLE), had no other condition requiring anticoagulation, their creatinine clearance was not less than 25 mL/min, their ALT or AST level was not greater than 2 x ULN nor </w:t>
      </w:r>
      <w:r w:rsidRPr="00060FC5">
        <w:t>total bilirubin</w:t>
      </w:r>
      <w:r w:rsidRPr="00FE3C27">
        <w:t xml:space="preserve"> greater than 1.5 x ULN, their platelet count was not less than 100 x 10</w:t>
      </w:r>
      <w:r w:rsidRPr="00172A11">
        <w:rPr>
          <w:vertAlign w:val="superscript"/>
        </w:rPr>
        <w:t>9</w:t>
      </w:r>
      <w:r w:rsidRPr="00FE3C27">
        <w:t xml:space="preserve">/L, their haemoglobin level was not less than 90 g/L, they did not require treatment with aspirin &gt; 165 mg/day (ARISTOTLE) and were either not on treatment with a thienopyridine (AVERROES) </w:t>
      </w:r>
      <w:r>
        <w:t>nor on treatment with both aspirin and a thienopyridine (ARISTOTLE).</w:t>
      </w:r>
    </w:p>
    <w:p w:rsidR="000B5BD3" w:rsidRPr="00EB1645" w:rsidRDefault="000B5BD3" w:rsidP="000B5BD3">
      <w:proofErr w:type="gramStart"/>
      <w:r>
        <w:t>P</w:t>
      </w:r>
      <w:r w:rsidRPr="00EB1645">
        <w:t>rohibited therapies while taking the study medication in ARISTOTLE were potent inhibitors of CYP3A4</w:t>
      </w:r>
      <w:r>
        <w:t>,</w:t>
      </w:r>
      <w:r w:rsidRPr="00EB1645">
        <w:t xml:space="preserve"> glycoprotein (GP</w:t>
      </w:r>
      <w:r>
        <w:t>)</w:t>
      </w:r>
      <w:r w:rsidRPr="00EB1645">
        <w:t xml:space="preserve"> IIb/IIIa inhibitors (e.g. abciximab, eptifibatide, tirofiban)</w:t>
      </w:r>
      <w:r>
        <w:t xml:space="preserve"> or o</w:t>
      </w:r>
      <w:r w:rsidRPr="00EB1645">
        <w:t>ther antithrombotic agents (e.g., unfractionated heparin [UFH], low molecular weight heparin [LMWH], direct thrombin inhibitors, fondaparinux)</w:t>
      </w:r>
      <w:r>
        <w:t>.</w:t>
      </w:r>
      <w:proofErr w:type="gramEnd"/>
    </w:p>
    <w:p w:rsidR="000B5BD3" w:rsidRDefault="000B5BD3" w:rsidP="000B5BD3">
      <w:r w:rsidRPr="00FE3C27">
        <w:t>Patients with other valvular abnormalities, such as mitral regurgitation or aortic stenosis, were eligible to be enrolled.</w:t>
      </w:r>
    </w:p>
    <w:p w:rsidR="000B5BD3" w:rsidRPr="000B5BD3" w:rsidRDefault="000B5BD3" w:rsidP="000B5BD3">
      <w:pPr>
        <w:pStyle w:val="BMSTableTitle"/>
      </w:pPr>
      <w:r w:rsidRPr="000B5BD3">
        <w:t>Table 3: Patient demographic characteristics in the clinical studies</w:t>
      </w:r>
    </w:p>
    <w:tbl>
      <w:tblPr>
        <w:tblW w:w="8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5"/>
        <w:gridCol w:w="2794"/>
        <w:gridCol w:w="2743"/>
      </w:tblGrid>
      <w:tr w:rsidR="000B5BD3" w:rsidRPr="006D3DBC" w:rsidTr="00F30B67">
        <w:tc>
          <w:tcPr>
            <w:tcW w:w="1653" w:type="pct"/>
          </w:tcPr>
          <w:p w:rsidR="000B5BD3" w:rsidRPr="006D3DBC" w:rsidRDefault="000B5BD3" w:rsidP="00F30B67">
            <w:pPr>
              <w:pStyle w:val="BMSTableText"/>
              <w:rPr>
                <w:rFonts w:eastAsia="MS Mincho"/>
                <w:lang w:val="en-AU"/>
              </w:rPr>
            </w:pPr>
          </w:p>
        </w:tc>
        <w:tc>
          <w:tcPr>
            <w:tcW w:w="1689" w:type="pct"/>
          </w:tcPr>
          <w:p w:rsidR="000B5BD3" w:rsidRPr="006D3DBC" w:rsidRDefault="000B5BD3" w:rsidP="00F30B67">
            <w:pPr>
              <w:pStyle w:val="BMSTableText"/>
              <w:rPr>
                <w:rFonts w:eastAsia="MS Mincho"/>
                <w:b/>
                <w:lang w:val="en-AU"/>
              </w:rPr>
            </w:pPr>
            <w:r w:rsidRPr="006D3DBC">
              <w:rPr>
                <w:rFonts w:eastAsia="MS Mincho"/>
                <w:b/>
                <w:lang w:val="en-AU"/>
              </w:rPr>
              <w:t>ARISTOTLE</w:t>
            </w:r>
          </w:p>
        </w:tc>
        <w:tc>
          <w:tcPr>
            <w:tcW w:w="1658" w:type="pct"/>
          </w:tcPr>
          <w:p w:rsidR="000B5BD3" w:rsidRPr="006D3DBC" w:rsidRDefault="000B5BD3" w:rsidP="00F30B67">
            <w:pPr>
              <w:pStyle w:val="BMSTableText"/>
              <w:rPr>
                <w:rFonts w:eastAsia="MS Mincho"/>
                <w:b/>
                <w:lang w:val="en-AU"/>
              </w:rPr>
            </w:pPr>
            <w:r w:rsidRPr="006D3DBC">
              <w:rPr>
                <w:rFonts w:eastAsia="MS Mincho"/>
                <w:b/>
                <w:lang w:val="en-AU"/>
              </w:rPr>
              <w:t>AVERROES</w:t>
            </w:r>
          </w:p>
        </w:tc>
      </w:tr>
      <w:tr w:rsidR="000B5BD3" w:rsidRPr="006D3DBC" w:rsidTr="00F30B67">
        <w:tc>
          <w:tcPr>
            <w:tcW w:w="1653" w:type="pct"/>
          </w:tcPr>
          <w:p w:rsidR="000B5BD3" w:rsidRPr="006D3DBC" w:rsidRDefault="000B5BD3" w:rsidP="00F30B67">
            <w:pPr>
              <w:pStyle w:val="BMSTableText"/>
              <w:jc w:val="left"/>
              <w:rPr>
                <w:rFonts w:eastAsia="MS Mincho"/>
                <w:b/>
                <w:lang w:val="en-AU"/>
              </w:rPr>
            </w:pPr>
            <w:r w:rsidRPr="006D3DBC">
              <w:rPr>
                <w:rFonts w:eastAsia="MS Mincho"/>
                <w:b/>
                <w:lang w:val="en-AU"/>
              </w:rPr>
              <w:t>Randomised Subjects</w:t>
            </w:r>
          </w:p>
        </w:tc>
        <w:tc>
          <w:tcPr>
            <w:tcW w:w="1689" w:type="pct"/>
          </w:tcPr>
          <w:p w:rsidR="000B5BD3" w:rsidRPr="006D3DBC" w:rsidRDefault="000B5BD3" w:rsidP="00F30B67">
            <w:pPr>
              <w:pStyle w:val="BMSTableText"/>
              <w:rPr>
                <w:rFonts w:eastAsia="MS Mincho"/>
                <w:lang w:val="en-AU"/>
              </w:rPr>
            </w:pPr>
            <w:r w:rsidRPr="006D3DBC">
              <w:rPr>
                <w:rFonts w:eastAsia="MS Mincho"/>
                <w:lang w:val="en-AU"/>
              </w:rPr>
              <w:t>18,201</w:t>
            </w:r>
          </w:p>
        </w:tc>
        <w:tc>
          <w:tcPr>
            <w:tcW w:w="1658" w:type="pct"/>
          </w:tcPr>
          <w:p w:rsidR="000B5BD3" w:rsidRPr="006D3DBC" w:rsidRDefault="000B5BD3" w:rsidP="00F30B67">
            <w:pPr>
              <w:pStyle w:val="BMSTableText"/>
              <w:rPr>
                <w:rFonts w:eastAsia="MS Mincho"/>
                <w:lang w:val="en-AU"/>
              </w:rPr>
            </w:pPr>
            <w:r w:rsidRPr="006D3DBC">
              <w:rPr>
                <w:rFonts w:eastAsia="MS Mincho"/>
                <w:lang w:val="en-AU"/>
              </w:rPr>
              <w:t>5,598</w:t>
            </w:r>
          </w:p>
        </w:tc>
      </w:tr>
      <w:tr w:rsidR="000B5BD3" w:rsidRPr="006D3DBC" w:rsidTr="00F30B67">
        <w:tc>
          <w:tcPr>
            <w:tcW w:w="1653" w:type="pct"/>
          </w:tcPr>
          <w:p w:rsidR="000B5BD3" w:rsidRPr="006D3DBC" w:rsidRDefault="000B5BD3" w:rsidP="00F30B67">
            <w:pPr>
              <w:pStyle w:val="BMSTableText"/>
              <w:jc w:val="left"/>
              <w:rPr>
                <w:rFonts w:eastAsia="MS Mincho"/>
                <w:b/>
                <w:lang w:val="en-AU"/>
              </w:rPr>
            </w:pPr>
            <w:r w:rsidRPr="006D3DBC">
              <w:rPr>
                <w:rFonts w:eastAsia="MS Mincho"/>
                <w:b/>
                <w:lang w:val="en-AU"/>
              </w:rPr>
              <w:t>Mean Age</w:t>
            </w:r>
          </w:p>
        </w:tc>
        <w:tc>
          <w:tcPr>
            <w:tcW w:w="1689" w:type="pct"/>
          </w:tcPr>
          <w:p w:rsidR="000B5BD3" w:rsidRPr="006D3DBC" w:rsidRDefault="000B5BD3" w:rsidP="00F30B67">
            <w:pPr>
              <w:pStyle w:val="BMSTableText"/>
              <w:rPr>
                <w:rFonts w:eastAsia="MS Mincho"/>
                <w:lang w:val="en-AU"/>
              </w:rPr>
            </w:pPr>
            <w:r w:rsidRPr="006D3DBC">
              <w:rPr>
                <w:rFonts w:eastAsia="MS Mincho"/>
                <w:lang w:val="en-AU"/>
              </w:rPr>
              <w:t>69.1</w:t>
            </w:r>
          </w:p>
        </w:tc>
        <w:tc>
          <w:tcPr>
            <w:tcW w:w="1658" w:type="pct"/>
          </w:tcPr>
          <w:p w:rsidR="000B5BD3" w:rsidRPr="006D3DBC" w:rsidRDefault="000B5BD3" w:rsidP="00F30B67">
            <w:pPr>
              <w:pStyle w:val="BMSTableText"/>
              <w:rPr>
                <w:rFonts w:eastAsia="MS Mincho"/>
                <w:lang w:val="en-AU"/>
              </w:rPr>
            </w:pPr>
            <w:r w:rsidRPr="006D3DBC">
              <w:rPr>
                <w:rFonts w:eastAsia="MS Mincho"/>
                <w:lang w:val="en-AU"/>
              </w:rPr>
              <w:t>69.9</w:t>
            </w:r>
          </w:p>
        </w:tc>
      </w:tr>
      <w:tr w:rsidR="000B5BD3" w:rsidRPr="006D3DBC" w:rsidTr="00F30B67">
        <w:tc>
          <w:tcPr>
            <w:tcW w:w="1653" w:type="pct"/>
          </w:tcPr>
          <w:p w:rsidR="000B5BD3" w:rsidRPr="006D3DBC" w:rsidRDefault="000B5BD3" w:rsidP="00F30B67">
            <w:pPr>
              <w:pStyle w:val="BMSTableText"/>
              <w:ind w:left="360"/>
              <w:jc w:val="left"/>
              <w:rPr>
                <w:rFonts w:eastAsia="MS Mincho"/>
                <w:lang w:val="en-AU"/>
              </w:rPr>
            </w:pPr>
            <w:r w:rsidRPr="006D3DBC">
              <w:rPr>
                <w:rFonts w:eastAsia="MS Mincho"/>
                <w:lang w:val="en-AU"/>
              </w:rPr>
              <w:sym w:font="Symbol" w:char="F0B3"/>
            </w:r>
            <w:r w:rsidRPr="006D3DBC">
              <w:rPr>
                <w:rFonts w:eastAsia="MS Mincho"/>
                <w:lang w:val="en-AU"/>
              </w:rPr>
              <w:t xml:space="preserve"> 65 years</w:t>
            </w:r>
          </w:p>
        </w:tc>
        <w:tc>
          <w:tcPr>
            <w:tcW w:w="1689" w:type="pct"/>
          </w:tcPr>
          <w:p w:rsidR="000B5BD3" w:rsidRPr="006D3DBC" w:rsidRDefault="000B5BD3" w:rsidP="00F30B67">
            <w:pPr>
              <w:pStyle w:val="BMSTableText"/>
              <w:rPr>
                <w:rFonts w:eastAsia="MS Mincho"/>
                <w:lang w:val="en-AU"/>
              </w:rPr>
            </w:pPr>
            <w:r w:rsidRPr="006D3DBC">
              <w:rPr>
                <w:rFonts w:eastAsia="MS Mincho"/>
                <w:lang w:val="en-AU"/>
              </w:rPr>
              <w:t>69.9%</w:t>
            </w:r>
          </w:p>
        </w:tc>
        <w:tc>
          <w:tcPr>
            <w:tcW w:w="1658" w:type="pct"/>
          </w:tcPr>
          <w:p w:rsidR="000B5BD3" w:rsidRPr="006D3DBC" w:rsidRDefault="000B5BD3" w:rsidP="00F30B67">
            <w:pPr>
              <w:pStyle w:val="BMSTableText"/>
              <w:rPr>
                <w:rFonts w:eastAsia="MS Mincho"/>
                <w:lang w:val="en-AU"/>
              </w:rPr>
            </w:pPr>
            <w:r w:rsidRPr="006D3DBC">
              <w:rPr>
                <w:rFonts w:eastAsia="MS Mincho"/>
                <w:lang w:val="en-AU"/>
              </w:rPr>
              <w:t>69.3%</w:t>
            </w:r>
          </w:p>
        </w:tc>
      </w:tr>
      <w:tr w:rsidR="000B5BD3" w:rsidRPr="006D3DBC" w:rsidTr="00F30B67">
        <w:tc>
          <w:tcPr>
            <w:tcW w:w="1653" w:type="pct"/>
          </w:tcPr>
          <w:p w:rsidR="000B5BD3" w:rsidRPr="006D3DBC" w:rsidRDefault="000B5BD3" w:rsidP="00F30B67">
            <w:pPr>
              <w:pStyle w:val="BMSTableText"/>
              <w:ind w:left="360"/>
              <w:jc w:val="left"/>
              <w:rPr>
                <w:rFonts w:eastAsia="MS Mincho"/>
                <w:lang w:val="en-AU"/>
              </w:rPr>
            </w:pPr>
            <w:r w:rsidRPr="006D3DBC">
              <w:rPr>
                <w:rFonts w:eastAsia="MS Mincho"/>
                <w:lang w:val="en-AU"/>
              </w:rPr>
              <w:sym w:font="Symbol" w:char="F0B3"/>
            </w:r>
            <w:r w:rsidRPr="006D3DBC">
              <w:rPr>
                <w:rFonts w:eastAsia="MS Mincho"/>
                <w:lang w:val="en-AU"/>
              </w:rPr>
              <w:t xml:space="preserve"> 75 years</w:t>
            </w:r>
          </w:p>
        </w:tc>
        <w:tc>
          <w:tcPr>
            <w:tcW w:w="1689" w:type="pct"/>
          </w:tcPr>
          <w:p w:rsidR="000B5BD3" w:rsidRPr="006D3DBC" w:rsidRDefault="000B5BD3" w:rsidP="00F30B67">
            <w:pPr>
              <w:pStyle w:val="BMSTableText"/>
              <w:rPr>
                <w:rFonts w:eastAsia="MS Mincho"/>
                <w:lang w:val="en-AU"/>
              </w:rPr>
            </w:pPr>
            <w:r w:rsidRPr="006D3DBC">
              <w:rPr>
                <w:rFonts w:eastAsia="MS Mincho"/>
                <w:lang w:val="en-AU"/>
              </w:rPr>
              <w:t>31.2%</w:t>
            </w:r>
          </w:p>
        </w:tc>
        <w:tc>
          <w:tcPr>
            <w:tcW w:w="1658" w:type="pct"/>
          </w:tcPr>
          <w:p w:rsidR="000B5BD3" w:rsidRPr="006D3DBC" w:rsidRDefault="000B5BD3" w:rsidP="00F30B67">
            <w:pPr>
              <w:pStyle w:val="BMSTableText"/>
              <w:rPr>
                <w:rFonts w:eastAsia="MS Mincho"/>
                <w:lang w:val="en-AU"/>
              </w:rPr>
            </w:pPr>
            <w:r w:rsidRPr="006D3DBC">
              <w:rPr>
                <w:rFonts w:eastAsia="MS Mincho"/>
                <w:lang w:val="en-AU"/>
              </w:rPr>
              <w:t>33.8%</w:t>
            </w:r>
          </w:p>
        </w:tc>
      </w:tr>
      <w:tr w:rsidR="000B5BD3" w:rsidRPr="006D3DBC" w:rsidTr="00F30B67">
        <w:tc>
          <w:tcPr>
            <w:tcW w:w="1653" w:type="pct"/>
          </w:tcPr>
          <w:p w:rsidR="000B5BD3" w:rsidRPr="006D3DBC" w:rsidRDefault="000B5BD3" w:rsidP="00F30B67">
            <w:pPr>
              <w:pStyle w:val="BMSTableText"/>
              <w:jc w:val="left"/>
              <w:rPr>
                <w:rFonts w:eastAsia="MS Mincho"/>
                <w:b/>
                <w:lang w:val="en-AU"/>
              </w:rPr>
            </w:pPr>
            <w:r w:rsidRPr="006D3DBC">
              <w:rPr>
                <w:rFonts w:eastAsia="MS Mincho"/>
                <w:b/>
                <w:lang w:val="en-AU"/>
              </w:rPr>
              <w:t>Gender</w:t>
            </w:r>
          </w:p>
          <w:p w:rsidR="000B5BD3" w:rsidRPr="006D3DBC" w:rsidRDefault="000B5BD3" w:rsidP="00F30B67">
            <w:pPr>
              <w:pStyle w:val="BMSTableText"/>
              <w:ind w:left="360"/>
              <w:jc w:val="left"/>
              <w:rPr>
                <w:rFonts w:eastAsia="MS Mincho"/>
                <w:lang w:val="en-AU"/>
              </w:rPr>
            </w:pPr>
            <w:r w:rsidRPr="006D3DBC">
              <w:rPr>
                <w:rFonts w:eastAsia="MS Mincho"/>
                <w:lang w:val="en-AU"/>
              </w:rPr>
              <w:t xml:space="preserve">Male </w:t>
            </w:r>
          </w:p>
          <w:p w:rsidR="000B5BD3" w:rsidRPr="006D3DBC" w:rsidRDefault="000B5BD3" w:rsidP="00F30B67">
            <w:pPr>
              <w:pStyle w:val="BMSTableText"/>
              <w:ind w:left="360"/>
              <w:jc w:val="left"/>
              <w:rPr>
                <w:rFonts w:eastAsia="MS Mincho"/>
                <w:b/>
                <w:lang w:val="en-AU"/>
              </w:rPr>
            </w:pPr>
            <w:r w:rsidRPr="006D3DBC">
              <w:rPr>
                <w:rFonts w:eastAsia="MS Mincho"/>
                <w:lang w:val="en-AU"/>
              </w:rPr>
              <w:t>Female</w:t>
            </w:r>
          </w:p>
        </w:tc>
        <w:tc>
          <w:tcPr>
            <w:tcW w:w="1689" w:type="pct"/>
          </w:tcPr>
          <w:p w:rsidR="000B5BD3" w:rsidRPr="006D3DBC" w:rsidRDefault="000B5BD3" w:rsidP="00F30B67">
            <w:pPr>
              <w:pStyle w:val="BMSTableText"/>
              <w:rPr>
                <w:rFonts w:eastAsia="MS Mincho"/>
                <w:lang w:val="en-AU"/>
              </w:rPr>
            </w:pPr>
          </w:p>
          <w:p w:rsidR="000B5BD3" w:rsidRPr="006D3DBC" w:rsidRDefault="000B5BD3" w:rsidP="00F30B67">
            <w:pPr>
              <w:pStyle w:val="BMSTableText"/>
              <w:rPr>
                <w:rFonts w:eastAsia="MS Mincho"/>
                <w:lang w:val="en-AU"/>
              </w:rPr>
            </w:pPr>
            <w:r w:rsidRPr="006D3DBC">
              <w:rPr>
                <w:rFonts w:eastAsia="MS Mincho"/>
                <w:lang w:val="en-AU"/>
              </w:rPr>
              <w:t xml:space="preserve">64.7% </w:t>
            </w:r>
          </w:p>
          <w:p w:rsidR="000B5BD3" w:rsidRPr="006D3DBC" w:rsidRDefault="000B5BD3" w:rsidP="00F30B67">
            <w:pPr>
              <w:pStyle w:val="BMSTableText"/>
              <w:rPr>
                <w:rFonts w:eastAsia="MS Mincho"/>
                <w:lang w:val="en-AU"/>
              </w:rPr>
            </w:pPr>
            <w:r w:rsidRPr="006D3DBC">
              <w:rPr>
                <w:rFonts w:eastAsia="MS Mincho"/>
                <w:lang w:val="en-AU"/>
              </w:rPr>
              <w:t xml:space="preserve">35.3% </w:t>
            </w:r>
          </w:p>
        </w:tc>
        <w:tc>
          <w:tcPr>
            <w:tcW w:w="1658" w:type="pct"/>
          </w:tcPr>
          <w:p w:rsidR="000B5BD3" w:rsidRPr="006D3DBC" w:rsidRDefault="000B5BD3" w:rsidP="00F30B67">
            <w:pPr>
              <w:pStyle w:val="BMSTableText"/>
              <w:rPr>
                <w:rFonts w:eastAsia="MS Mincho"/>
                <w:lang w:val="en-AU"/>
              </w:rPr>
            </w:pPr>
          </w:p>
          <w:p w:rsidR="000B5BD3" w:rsidRPr="006D3DBC" w:rsidRDefault="000B5BD3" w:rsidP="00F30B67">
            <w:pPr>
              <w:pStyle w:val="BMSTableText"/>
              <w:rPr>
                <w:rFonts w:eastAsia="MS Mincho"/>
                <w:lang w:val="en-AU"/>
              </w:rPr>
            </w:pPr>
            <w:r w:rsidRPr="006D3DBC">
              <w:rPr>
                <w:rFonts w:eastAsia="MS Mincho"/>
                <w:lang w:val="en-AU"/>
              </w:rPr>
              <w:t>58.5%</w:t>
            </w:r>
          </w:p>
          <w:p w:rsidR="000B5BD3" w:rsidRPr="006D3DBC" w:rsidRDefault="000B5BD3" w:rsidP="00F30B67">
            <w:pPr>
              <w:pStyle w:val="BMSTableText"/>
              <w:rPr>
                <w:rFonts w:eastAsia="MS Mincho"/>
                <w:lang w:val="en-AU"/>
              </w:rPr>
            </w:pPr>
            <w:r w:rsidRPr="006D3DBC">
              <w:rPr>
                <w:rFonts w:eastAsia="MS Mincho"/>
                <w:lang w:val="en-AU"/>
              </w:rPr>
              <w:t>41.5%</w:t>
            </w:r>
          </w:p>
        </w:tc>
      </w:tr>
      <w:tr w:rsidR="000B5BD3" w:rsidRPr="006D3DBC" w:rsidTr="00F30B67">
        <w:tc>
          <w:tcPr>
            <w:tcW w:w="1653" w:type="pct"/>
          </w:tcPr>
          <w:p w:rsidR="000B5BD3" w:rsidRPr="006D3DBC" w:rsidRDefault="000B5BD3" w:rsidP="00F30B67">
            <w:pPr>
              <w:pStyle w:val="BMSTableText"/>
              <w:jc w:val="left"/>
              <w:rPr>
                <w:rFonts w:eastAsia="MS Mincho"/>
                <w:b/>
                <w:lang w:val="en-AU"/>
              </w:rPr>
            </w:pPr>
            <w:r w:rsidRPr="006D3DBC">
              <w:rPr>
                <w:rFonts w:eastAsia="MS Mincho"/>
                <w:b/>
                <w:lang w:val="en-AU"/>
              </w:rPr>
              <w:t>Race</w:t>
            </w:r>
          </w:p>
          <w:p w:rsidR="000B5BD3" w:rsidRPr="006D3DBC" w:rsidRDefault="000B5BD3" w:rsidP="00F30B67">
            <w:pPr>
              <w:pStyle w:val="BMSTableText"/>
              <w:ind w:left="360"/>
              <w:jc w:val="left"/>
              <w:rPr>
                <w:rFonts w:eastAsia="MS Mincho"/>
                <w:lang w:val="en-AU"/>
              </w:rPr>
            </w:pPr>
            <w:r w:rsidRPr="006D3DBC">
              <w:rPr>
                <w:rFonts w:eastAsia="MS Mincho"/>
                <w:lang w:val="en-AU"/>
              </w:rPr>
              <w:t>White/Caucasian</w:t>
            </w:r>
          </w:p>
          <w:p w:rsidR="000B5BD3" w:rsidRPr="006D3DBC" w:rsidRDefault="000B5BD3" w:rsidP="00F30B67">
            <w:pPr>
              <w:pStyle w:val="BMSTableText"/>
              <w:ind w:left="360"/>
              <w:jc w:val="left"/>
              <w:rPr>
                <w:rFonts w:eastAsia="MS Mincho"/>
                <w:lang w:val="en-AU"/>
              </w:rPr>
            </w:pPr>
            <w:r w:rsidRPr="006D3DBC">
              <w:rPr>
                <w:rFonts w:eastAsia="MS Mincho"/>
                <w:lang w:val="en-AU"/>
              </w:rPr>
              <w:t xml:space="preserve">Asian </w:t>
            </w:r>
          </w:p>
          <w:p w:rsidR="000B5BD3" w:rsidRPr="006D3DBC" w:rsidRDefault="000B5BD3" w:rsidP="00F30B67">
            <w:pPr>
              <w:pStyle w:val="BMSTableText"/>
              <w:ind w:left="360"/>
              <w:jc w:val="left"/>
              <w:rPr>
                <w:rFonts w:eastAsia="MS Mincho"/>
                <w:b/>
                <w:lang w:val="en-AU"/>
              </w:rPr>
            </w:pPr>
            <w:r w:rsidRPr="006D3DBC">
              <w:rPr>
                <w:rFonts w:eastAsia="MS Mincho"/>
                <w:lang w:val="en-AU"/>
              </w:rPr>
              <w:t>Black/African American</w:t>
            </w:r>
          </w:p>
        </w:tc>
        <w:tc>
          <w:tcPr>
            <w:tcW w:w="1689" w:type="pct"/>
          </w:tcPr>
          <w:p w:rsidR="000B5BD3" w:rsidRPr="006D3DBC" w:rsidRDefault="000B5BD3" w:rsidP="00F30B67">
            <w:pPr>
              <w:pStyle w:val="BMSTableText"/>
              <w:rPr>
                <w:rFonts w:eastAsia="MS Mincho"/>
                <w:lang w:val="en-AU"/>
              </w:rPr>
            </w:pPr>
          </w:p>
          <w:p w:rsidR="000B5BD3" w:rsidRPr="006D3DBC" w:rsidRDefault="000B5BD3" w:rsidP="00F30B67">
            <w:pPr>
              <w:pStyle w:val="BMSTableText"/>
              <w:rPr>
                <w:rFonts w:eastAsia="MS Mincho"/>
                <w:lang w:val="en-AU"/>
              </w:rPr>
            </w:pPr>
            <w:r w:rsidRPr="006D3DBC">
              <w:rPr>
                <w:rFonts w:eastAsia="MS Mincho"/>
                <w:lang w:val="en-AU"/>
              </w:rPr>
              <w:t>82.6%</w:t>
            </w:r>
          </w:p>
          <w:p w:rsidR="000B5BD3" w:rsidRPr="006D3DBC" w:rsidRDefault="000B5BD3" w:rsidP="00F30B67">
            <w:pPr>
              <w:pStyle w:val="BMSTableText"/>
              <w:rPr>
                <w:rFonts w:eastAsia="MS Mincho"/>
                <w:lang w:val="en-AU"/>
              </w:rPr>
            </w:pPr>
            <w:r w:rsidRPr="006D3DBC">
              <w:rPr>
                <w:rFonts w:eastAsia="MS Mincho"/>
                <w:lang w:val="en-AU"/>
              </w:rPr>
              <w:t>14.5%</w:t>
            </w:r>
          </w:p>
          <w:p w:rsidR="000B5BD3" w:rsidRPr="006D3DBC" w:rsidRDefault="000B5BD3" w:rsidP="00F30B67">
            <w:pPr>
              <w:pStyle w:val="BMSTableText"/>
              <w:rPr>
                <w:rFonts w:eastAsia="MS Mincho"/>
                <w:lang w:val="en-AU"/>
              </w:rPr>
            </w:pPr>
            <w:r w:rsidRPr="006D3DBC">
              <w:rPr>
                <w:rFonts w:eastAsia="MS Mincho"/>
                <w:lang w:val="en-AU"/>
              </w:rPr>
              <w:t xml:space="preserve">1.2% </w:t>
            </w:r>
          </w:p>
        </w:tc>
        <w:tc>
          <w:tcPr>
            <w:tcW w:w="1658" w:type="pct"/>
          </w:tcPr>
          <w:p w:rsidR="000B5BD3" w:rsidRPr="006D3DBC" w:rsidRDefault="000B5BD3" w:rsidP="00F30B67">
            <w:pPr>
              <w:pStyle w:val="BMSTableText"/>
              <w:rPr>
                <w:rFonts w:eastAsia="MS Mincho"/>
                <w:lang w:val="en-AU"/>
              </w:rPr>
            </w:pPr>
          </w:p>
          <w:p w:rsidR="000B5BD3" w:rsidRPr="006D3DBC" w:rsidRDefault="000B5BD3" w:rsidP="00F30B67">
            <w:pPr>
              <w:pStyle w:val="BMSTableText"/>
              <w:rPr>
                <w:rFonts w:eastAsia="MS Mincho"/>
                <w:lang w:val="en-AU"/>
              </w:rPr>
            </w:pPr>
            <w:r w:rsidRPr="006D3DBC">
              <w:rPr>
                <w:rFonts w:eastAsia="MS Mincho"/>
                <w:lang w:val="en-AU"/>
              </w:rPr>
              <w:t>78.6%</w:t>
            </w:r>
          </w:p>
          <w:p w:rsidR="000B5BD3" w:rsidRPr="006D3DBC" w:rsidRDefault="000B5BD3" w:rsidP="00F30B67">
            <w:pPr>
              <w:pStyle w:val="BMSTableText"/>
              <w:rPr>
                <w:rFonts w:eastAsia="MS Mincho"/>
                <w:lang w:val="en-AU"/>
              </w:rPr>
            </w:pPr>
            <w:r w:rsidRPr="006D3DBC">
              <w:rPr>
                <w:rFonts w:eastAsia="MS Mincho"/>
                <w:lang w:val="en-AU"/>
              </w:rPr>
              <w:t>19.4%</w:t>
            </w:r>
          </w:p>
          <w:p w:rsidR="000B5BD3" w:rsidRPr="006D3DBC" w:rsidRDefault="000B5BD3" w:rsidP="00F30B67">
            <w:pPr>
              <w:pStyle w:val="BMSTableText"/>
              <w:rPr>
                <w:rFonts w:eastAsia="MS Mincho"/>
                <w:lang w:val="en-AU"/>
              </w:rPr>
            </w:pPr>
            <w:r w:rsidRPr="006D3DBC">
              <w:rPr>
                <w:rFonts w:eastAsia="MS Mincho"/>
                <w:lang w:val="en-AU"/>
              </w:rPr>
              <w:t>0.6%</w:t>
            </w:r>
          </w:p>
        </w:tc>
      </w:tr>
      <w:tr w:rsidR="000B5BD3" w:rsidRPr="006D3DBC" w:rsidTr="00F30B67">
        <w:tc>
          <w:tcPr>
            <w:tcW w:w="1653" w:type="pct"/>
          </w:tcPr>
          <w:p w:rsidR="000B5BD3" w:rsidRPr="006D3DBC" w:rsidRDefault="000B5BD3" w:rsidP="00F30B67">
            <w:pPr>
              <w:pStyle w:val="BMSTableText"/>
              <w:jc w:val="left"/>
              <w:rPr>
                <w:rFonts w:eastAsia="MS Mincho"/>
                <w:b/>
                <w:lang w:val="en-AU"/>
              </w:rPr>
            </w:pPr>
            <w:r w:rsidRPr="006D3DBC">
              <w:rPr>
                <w:rFonts w:eastAsia="MS Mincho"/>
                <w:b/>
                <w:lang w:val="en-AU"/>
              </w:rPr>
              <w:t>Prior stroke or TIA</w:t>
            </w:r>
          </w:p>
        </w:tc>
        <w:tc>
          <w:tcPr>
            <w:tcW w:w="1689" w:type="pct"/>
          </w:tcPr>
          <w:p w:rsidR="000B5BD3" w:rsidRPr="006D3DBC" w:rsidRDefault="000B5BD3" w:rsidP="00F30B67">
            <w:pPr>
              <w:pStyle w:val="BMSTableText"/>
              <w:rPr>
                <w:rFonts w:eastAsia="MS Mincho"/>
                <w:lang w:val="en-AU"/>
              </w:rPr>
            </w:pPr>
            <w:r w:rsidRPr="006D3DBC">
              <w:rPr>
                <w:rFonts w:eastAsia="MS Mincho"/>
                <w:lang w:val="en-AU"/>
              </w:rPr>
              <w:t>18.6%</w:t>
            </w:r>
          </w:p>
        </w:tc>
        <w:tc>
          <w:tcPr>
            <w:tcW w:w="1658" w:type="pct"/>
          </w:tcPr>
          <w:p w:rsidR="000B5BD3" w:rsidRPr="006D3DBC" w:rsidRDefault="000B5BD3" w:rsidP="00F30B67">
            <w:pPr>
              <w:pStyle w:val="BMSTableText"/>
              <w:rPr>
                <w:rFonts w:eastAsia="MS Mincho"/>
                <w:lang w:val="en-AU"/>
              </w:rPr>
            </w:pPr>
            <w:r w:rsidRPr="006D3DBC">
              <w:rPr>
                <w:rFonts w:eastAsia="MS Mincho"/>
                <w:lang w:val="en-AU"/>
              </w:rPr>
              <w:t>13.6%</w:t>
            </w:r>
          </w:p>
        </w:tc>
      </w:tr>
      <w:tr w:rsidR="000B5BD3" w:rsidRPr="006D3DBC" w:rsidTr="00F30B67">
        <w:tc>
          <w:tcPr>
            <w:tcW w:w="1653" w:type="pct"/>
          </w:tcPr>
          <w:p w:rsidR="000B5BD3" w:rsidRPr="006D3DBC" w:rsidRDefault="000B5BD3" w:rsidP="00F30B67">
            <w:pPr>
              <w:pStyle w:val="BMSTableText"/>
              <w:jc w:val="left"/>
              <w:rPr>
                <w:rFonts w:eastAsia="MS Mincho"/>
                <w:b/>
                <w:lang w:val="en-AU"/>
              </w:rPr>
            </w:pPr>
            <w:r w:rsidRPr="006D3DBC">
              <w:rPr>
                <w:rFonts w:eastAsia="MS Mincho"/>
                <w:b/>
                <w:lang w:val="en-AU"/>
              </w:rPr>
              <w:t>Hypertension</w:t>
            </w:r>
          </w:p>
        </w:tc>
        <w:tc>
          <w:tcPr>
            <w:tcW w:w="1689" w:type="pct"/>
          </w:tcPr>
          <w:p w:rsidR="000B5BD3" w:rsidRPr="006D3DBC" w:rsidRDefault="000B5BD3" w:rsidP="00F30B67">
            <w:pPr>
              <w:pStyle w:val="BMSTableText"/>
              <w:rPr>
                <w:rFonts w:eastAsia="MS Mincho"/>
                <w:lang w:val="en-AU"/>
              </w:rPr>
            </w:pPr>
            <w:r w:rsidRPr="006D3DBC">
              <w:rPr>
                <w:rFonts w:eastAsia="MS Mincho"/>
                <w:lang w:val="en-AU"/>
              </w:rPr>
              <w:t>87.4%</w:t>
            </w:r>
          </w:p>
        </w:tc>
        <w:tc>
          <w:tcPr>
            <w:tcW w:w="1658" w:type="pct"/>
          </w:tcPr>
          <w:p w:rsidR="000B5BD3" w:rsidRPr="006D3DBC" w:rsidRDefault="000B5BD3" w:rsidP="00F30B67">
            <w:pPr>
              <w:pStyle w:val="BMSTableText"/>
              <w:rPr>
                <w:rFonts w:eastAsia="MS Mincho"/>
                <w:lang w:val="en-AU"/>
              </w:rPr>
            </w:pPr>
            <w:r w:rsidRPr="006D3DBC">
              <w:rPr>
                <w:rFonts w:eastAsia="MS Mincho"/>
                <w:lang w:val="en-AU"/>
              </w:rPr>
              <w:t>86.4%</w:t>
            </w:r>
          </w:p>
        </w:tc>
      </w:tr>
      <w:tr w:rsidR="000B5BD3" w:rsidRPr="006D3DBC" w:rsidTr="00F30B67">
        <w:tc>
          <w:tcPr>
            <w:tcW w:w="1653" w:type="pct"/>
          </w:tcPr>
          <w:p w:rsidR="000B5BD3" w:rsidRPr="006D3DBC" w:rsidRDefault="000B5BD3" w:rsidP="00F30B67">
            <w:pPr>
              <w:pStyle w:val="BMSTableText"/>
              <w:jc w:val="left"/>
              <w:rPr>
                <w:rFonts w:eastAsia="MS Mincho"/>
                <w:b/>
                <w:lang w:val="en-AU"/>
              </w:rPr>
            </w:pPr>
            <w:r w:rsidRPr="006D3DBC">
              <w:rPr>
                <w:rFonts w:eastAsia="MS Mincho"/>
                <w:b/>
                <w:lang w:val="en-AU"/>
              </w:rPr>
              <w:t>Diabetes</w:t>
            </w:r>
          </w:p>
        </w:tc>
        <w:tc>
          <w:tcPr>
            <w:tcW w:w="1689" w:type="pct"/>
          </w:tcPr>
          <w:p w:rsidR="000B5BD3" w:rsidRPr="006D3DBC" w:rsidRDefault="000B5BD3" w:rsidP="00F30B67">
            <w:pPr>
              <w:pStyle w:val="BMSTableText"/>
              <w:rPr>
                <w:rFonts w:eastAsia="MS Mincho"/>
                <w:lang w:val="en-AU"/>
              </w:rPr>
            </w:pPr>
            <w:r w:rsidRPr="006D3DBC">
              <w:rPr>
                <w:rFonts w:eastAsia="MS Mincho"/>
                <w:lang w:val="en-AU"/>
              </w:rPr>
              <w:t>25.0%</w:t>
            </w:r>
          </w:p>
        </w:tc>
        <w:tc>
          <w:tcPr>
            <w:tcW w:w="1658" w:type="pct"/>
          </w:tcPr>
          <w:p w:rsidR="000B5BD3" w:rsidRPr="006D3DBC" w:rsidRDefault="000B5BD3" w:rsidP="00F30B67">
            <w:pPr>
              <w:pStyle w:val="BMSTableText"/>
              <w:rPr>
                <w:rFonts w:eastAsia="MS Mincho"/>
                <w:lang w:val="en-AU"/>
              </w:rPr>
            </w:pPr>
            <w:r w:rsidRPr="006D3DBC">
              <w:rPr>
                <w:rFonts w:eastAsia="MS Mincho"/>
                <w:lang w:val="en-AU"/>
              </w:rPr>
              <w:t>19.6%</w:t>
            </w:r>
          </w:p>
        </w:tc>
      </w:tr>
      <w:tr w:rsidR="000B5BD3" w:rsidRPr="006D3DBC" w:rsidTr="00F30B67">
        <w:tc>
          <w:tcPr>
            <w:tcW w:w="1653" w:type="pct"/>
          </w:tcPr>
          <w:p w:rsidR="000B5BD3" w:rsidRPr="006D3DBC" w:rsidRDefault="000B5BD3" w:rsidP="00F30B67">
            <w:pPr>
              <w:pStyle w:val="BMSTableText"/>
              <w:jc w:val="left"/>
              <w:rPr>
                <w:rFonts w:eastAsia="MS Mincho"/>
                <w:b/>
                <w:lang w:val="en-AU"/>
              </w:rPr>
            </w:pPr>
            <w:r w:rsidRPr="006D3DBC">
              <w:rPr>
                <w:rFonts w:eastAsia="MS Mincho"/>
                <w:b/>
                <w:lang w:val="en-AU"/>
              </w:rPr>
              <w:t>Heart failure</w:t>
            </w:r>
          </w:p>
        </w:tc>
        <w:tc>
          <w:tcPr>
            <w:tcW w:w="1689" w:type="pct"/>
          </w:tcPr>
          <w:p w:rsidR="000B5BD3" w:rsidRPr="006D3DBC" w:rsidRDefault="000B5BD3" w:rsidP="00F30B67">
            <w:pPr>
              <w:pStyle w:val="BMSTableText"/>
              <w:rPr>
                <w:rFonts w:eastAsia="MS Mincho"/>
                <w:lang w:val="en-AU"/>
              </w:rPr>
            </w:pPr>
            <w:r w:rsidRPr="006D3DBC">
              <w:rPr>
                <w:rFonts w:eastAsia="MS Mincho"/>
                <w:lang w:val="en-AU"/>
              </w:rPr>
              <w:t>(or LVEF ≤40%) 35.4%</w:t>
            </w:r>
          </w:p>
        </w:tc>
        <w:tc>
          <w:tcPr>
            <w:tcW w:w="1658" w:type="pct"/>
          </w:tcPr>
          <w:p w:rsidR="000B5BD3" w:rsidRPr="006D3DBC" w:rsidRDefault="000B5BD3" w:rsidP="00F30B67">
            <w:pPr>
              <w:pStyle w:val="BMSTableText"/>
              <w:rPr>
                <w:rFonts w:eastAsia="MS Mincho"/>
                <w:lang w:val="en-AU"/>
              </w:rPr>
            </w:pPr>
            <w:r w:rsidRPr="006D3DBC">
              <w:rPr>
                <w:rFonts w:eastAsia="MS Mincho"/>
                <w:lang w:val="en-AU"/>
              </w:rPr>
              <w:t>(or LVEF ≤35%) 33.7%</w:t>
            </w:r>
          </w:p>
        </w:tc>
      </w:tr>
      <w:tr w:rsidR="000B5BD3" w:rsidRPr="006D3DBC" w:rsidTr="00F30B67">
        <w:tc>
          <w:tcPr>
            <w:tcW w:w="1653" w:type="pct"/>
          </w:tcPr>
          <w:p w:rsidR="000B5BD3" w:rsidRPr="006D3DBC" w:rsidRDefault="000B5BD3" w:rsidP="00F30B67">
            <w:pPr>
              <w:pStyle w:val="BMSTableText"/>
              <w:jc w:val="left"/>
              <w:rPr>
                <w:rFonts w:eastAsia="MS Mincho"/>
                <w:b/>
                <w:lang w:val="en-AU"/>
              </w:rPr>
            </w:pPr>
            <w:r w:rsidRPr="006D3DBC">
              <w:rPr>
                <w:rFonts w:eastAsia="MS Mincho"/>
                <w:b/>
                <w:lang w:val="en-AU"/>
              </w:rPr>
              <w:t>Mean CHADS</w:t>
            </w:r>
            <w:r w:rsidRPr="006D3DBC">
              <w:rPr>
                <w:rStyle w:val="BMSSubscript"/>
                <w:rFonts w:eastAsia="MS Mincho"/>
                <w:b/>
                <w:lang w:val="en-AU"/>
              </w:rPr>
              <w:t>2</w:t>
            </w:r>
            <w:r w:rsidRPr="006D3DBC">
              <w:rPr>
                <w:rFonts w:eastAsia="MS Mincho"/>
                <w:b/>
                <w:lang w:val="en-AU"/>
              </w:rPr>
              <w:t xml:space="preserve"> Score</w:t>
            </w:r>
          </w:p>
        </w:tc>
        <w:tc>
          <w:tcPr>
            <w:tcW w:w="1689" w:type="pct"/>
          </w:tcPr>
          <w:p w:rsidR="000B5BD3" w:rsidRPr="006D3DBC" w:rsidRDefault="000B5BD3" w:rsidP="00F30B67">
            <w:pPr>
              <w:pStyle w:val="BMSTableText"/>
              <w:rPr>
                <w:rFonts w:eastAsia="MS Mincho"/>
                <w:lang w:val="en-AU"/>
              </w:rPr>
            </w:pPr>
            <w:r w:rsidRPr="006D3DBC">
              <w:rPr>
                <w:rFonts w:eastAsia="MS Mincho"/>
                <w:lang w:val="en-AU"/>
              </w:rPr>
              <w:t>2.1</w:t>
            </w:r>
          </w:p>
        </w:tc>
        <w:tc>
          <w:tcPr>
            <w:tcW w:w="1658" w:type="pct"/>
          </w:tcPr>
          <w:p w:rsidR="000B5BD3" w:rsidRPr="006D3DBC" w:rsidRDefault="000B5BD3" w:rsidP="00F30B67">
            <w:pPr>
              <w:pStyle w:val="BMSTableText"/>
              <w:rPr>
                <w:rFonts w:eastAsia="MS Mincho"/>
                <w:lang w:val="en-AU"/>
              </w:rPr>
            </w:pPr>
            <w:r w:rsidRPr="006D3DBC">
              <w:rPr>
                <w:rFonts w:eastAsia="MS Mincho"/>
                <w:lang w:val="en-AU"/>
              </w:rPr>
              <w:t>2.0</w:t>
            </w:r>
          </w:p>
        </w:tc>
      </w:tr>
      <w:tr w:rsidR="000B5BD3" w:rsidRPr="006D3DBC" w:rsidTr="00F30B67">
        <w:tc>
          <w:tcPr>
            <w:tcW w:w="1653" w:type="pct"/>
          </w:tcPr>
          <w:p w:rsidR="000B5BD3" w:rsidRPr="006D3DBC" w:rsidRDefault="000B5BD3" w:rsidP="00F30B67">
            <w:pPr>
              <w:pStyle w:val="BMSTableText"/>
              <w:ind w:left="360"/>
              <w:jc w:val="left"/>
              <w:rPr>
                <w:rFonts w:eastAsia="MS Mincho"/>
                <w:lang w:val="en-AU"/>
              </w:rPr>
            </w:pPr>
            <w:r w:rsidRPr="006D3DBC">
              <w:rPr>
                <w:rFonts w:eastAsia="MS Mincho"/>
                <w:lang w:val="en-AU"/>
              </w:rPr>
              <w:t>CHADS</w:t>
            </w:r>
            <w:r w:rsidRPr="006D3DBC">
              <w:rPr>
                <w:rStyle w:val="BMSSubscript"/>
                <w:rFonts w:eastAsia="MS Mincho"/>
                <w:lang w:val="en-AU"/>
              </w:rPr>
              <w:t>2</w:t>
            </w:r>
            <w:r w:rsidRPr="006D3DBC">
              <w:rPr>
                <w:rFonts w:eastAsia="MS Mincho"/>
                <w:lang w:val="en-AU"/>
              </w:rPr>
              <w:t xml:space="preserve"> ≤1</w:t>
            </w:r>
          </w:p>
        </w:tc>
        <w:tc>
          <w:tcPr>
            <w:tcW w:w="1689" w:type="pct"/>
          </w:tcPr>
          <w:p w:rsidR="000B5BD3" w:rsidRPr="006D3DBC" w:rsidRDefault="000B5BD3" w:rsidP="00F30B67">
            <w:pPr>
              <w:pStyle w:val="BMSTableText"/>
              <w:rPr>
                <w:rFonts w:eastAsia="MS Mincho"/>
                <w:lang w:val="en-AU"/>
              </w:rPr>
            </w:pPr>
            <w:r w:rsidRPr="006D3DBC">
              <w:rPr>
                <w:rFonts w:eastAsia="MS Mincho"/>
                <w:lang w:val="en-AU"/>
              </w:rPr>
              <w:t>34.0%</w:t>
            </w:r>
          </w:p>
        </w:tc>
        <w:tc>
          <w:tcPr>
            <w:tcW w:w="1658" w:type="pct"/>
          </w:tcPr>
          <w:p w:rsidR="000B5BD3" w:rsidRPr="006D3DBC" w:rsidRDefault="000B5BD3" w:rsidP="00F30B67">
            <w:pPr>
              <w:pStyle w:val="BMSTableText"/>
              <w:rPr>
                <w:rFonts w:eastAsia="MS Mincho"/>
                <w:lang w:val="en-AU"/>
              </w:rPr>
            </w:pPr>
            <w:r w:rsidRPr="006D3DBC">
              <w:rPr>
                <w:rFonts w:eastAsia="MS Mincho"/>
                <w:lang w:val="en-AU"/>
              </w:rPr>
              <w:t>38.3%</w:t>
            </w:r>
          </w:p>
        </w:tc>
      </w:tr>
      <w:tr w:rsidR="000B5BD3" w:rsidRPr="006D3DBC" w:rsidTr="00F30B67">
        <w:tc>
          <w:tcPr>
            <w:tcW w:w="1653" w:type="pct"/>
          </w:tcPr>
          <w:p w:rsidR="000B5BD3" w:rsidRPr="006D3DBC" w:rsidRDefault="000B5BD3" w:rsidP="00F30B67">
            <w:pPr>
              <w:pStyle w:val="BMSTableText"/>
              <w:ind w:left="360"/>
              <w:jc w:val="left"/>
              <w:rPr>
                <w:rFonts w:eastAsia="MS Mincho"/>
                <w:lang w:val="en-AU"/>
              </w:rPr>
            </w:pPr>
            <w:r w:rsidRPr="006D3DBC">
              <w:rPr>
                <w:rFonts w:eastAsia="MS Mincho"/>
                <w:lang w:val="en-AU"/>
              </w:rPr>
              <w:t>CHADS</w:t>
            </w:r>
            <w:r w:rsidRPr="006D3DBC">
              <w:rPr>
                <w:rStyle w:val="BMSSubscript"/>
                <w:rFonts w:eastAsia="MS Mincho"/>
                <w:lang w:val="en-AU"/>
              </w:rPr>
              <w:t>2</w:t>
            </w:r>
            <w:r w:rsidRPr="006D3DBC">
              <w:rPr>
                <w:rFonts w:eastAsia="MS Mincho"/>
                <w:lang w:val="en-AU"/>
              </w:rPr>
              <w:t>=2</w:t>
            </w:r>
          </w:p>
        </w:tc>
        <w:tc>
          <w:tcPr>
            <w:tcW w:w="1689" w:type="pct"/>
          </w:tcPr>
          <w:p w:rsidR="000B5BD3" w:rsidRPr="006D3DBC" w:rsidRDefault="000B5BD3" w:rsidP="00F30B67">
            <w:pPr>
              <w:pStyle w:val="BMSTableText"/>
              <w:rPr>
                <w:rFonts w:eastAsia="MS Mincho"/>
                <w:lang w:val="en-AU"/>
              </w:rPr>
            </w:pPr>
            <w:r w:rsidRPr="006D3DBC">
              <w:rPr>
                <w:rFonts w:eastAsia="MS Mincho"/>
                <w:lang w:val="en-AU"/>
              </w:rPr>
              <w:t>35.8%</w:t>
            </w:r>
          </w:p>
        </w:tc>
        <w:tc>
          <w:tcPr>
            <w:tcW w:w="1658" w:type="pct"/>
          </w:tcPr>
          <w:p w:rsidR="000B5BD3" w:rsidRPr="006D3DBC" w:rsidRDefault="000B5BD3" w:rsidP="00F30B67">
            <w:pPr>
              <w:pStyle w:val="BMSTableText"/>
              <w:rPr>
                <w:rFonts w:eastAsia="MS Mincho"/>
                <w:lang w:val="en-AU"/>
              </w:rPr>
            </w:pPr>
            <w:r w:rsidRPr="006D3DBC">
              <w:rPr>
                <w:rFonts w:eastAsia="MS Mincho"/>
                <w:lang w:val="en-AU"/>
              </w:rPr>
              <w:t>35.2%</w:t>
            </w:r>
          </w:p>
        </w:tc>
      </w:tr>
      <w:tr w:rsidR="000B5BD3" w:rsidRPr="006D3DBC" w:rsidTr="00F30B67">
        <w:tc>
          <w:tcPr>
            <w:tcW w:w="1653" w:type="pct"/>
          </w:tcPr>
          <w:p w:rsidR="000B5BD3" w:rsidRPr="006D3DBC" w:rsidRDefault="000B5BD3" w:rsidP="00F30B67">
            <w:pPr>
              <w:pStyle w:val="BMSTableText"/>
              <w:ind w:left="360"/>
              <w:jc w:val="left"/>
              <w:rPr>
                <w:rFonts w:eastAsia="MS Mincho"/>
                <w:lang w:val="en-AU"/>
              </w:rPr>
            </w:pPr>
            <w:r w:rsidRPr="006D3DBC">
              <w:rPr>
                <w:rFonts w:eastAsia="MS Mincho"/>
                <w:lang w:val="en-AU"/>
              </w:rPr>
              <w:t>CHADS</w:t>
            </w:r>
            <w:r w:rsidRPr="006D3DBC">
              <w:rPr>
                <w:rStyle w:val="BMSSubscript"/>
                <w:rFonts w:eastAsia="MS Mincho"/>
                <w:lang w:val="en-AU"/>
              </w:rPr>
              <w:t>2</w:t>
            </w:r>
            <w:r w:rsidRPr="006D3DBC">
              <w:rPr>
                <w:rFonts w:eastAsia="MS Mincho"/>
                <w:lang w:val="en-AU"/>
              </w:rPr>
              <w:t xml:space="preserve"> ≥3</w:t>
            </w:r>
          </w:p>
        </w:tc>
        <w:tc>
          <w:tcPr>
            <w:tcW w:w="1689" w:type="pct"/>
          </w:tcPr>
          <w:p w:rsidR="000B5BD3" w:rsidRPr="006D3DBC" w:rsidRDefault="000B5BD3" w:rsidP="00F30B67">
            <w:pPr>
              <w:pStyle w:val="BMSTableText"/>
              <w:rPr>
                <w:rFonts w:eastAsia="MS Mincho"/>
                <w:lang w:val="en-AU"/>
              </w:rPr>
            </w:pPr>
            <w:r w:rsidRPr="006D3DBC">
              <w:rPr>
                <w:rFonts w:eastAsia="MS Mincho"/>
                <w:lang w:val="en-AU"/>
              </w:rPr>
              <w:t>30.2%</w:t>
            </w:r>
          </w:p>
        </w:tc>
        <w:tc>
          <w:tcPr>
            <w:tcW w:w="1658" w:type="pct"/>
          </w:tcPr>
          <w:p w:rsidR="000B5BD3" w:rsidRPr="006D3DBC" w:rsidRDefault="000B5BD3" w:rsidP="00F30B67">
            <w:pPr>
              <w:pStyle w:val="BMSTableText"/>
              <w:rPr>
                <w:rFonts w:eastAsia="MS Mincho"/>
                <w:lang w:val="en-AU"/>
              </w:rPr>
            </w:pPr>
            <w:r w:rsidRPr="006D3DBC">
              <w:rPr>
                <w:rFonts w:eastAsia="MS Mincho"/>
                <w:lang w:val="en-AU"/>
              </w:rPr>
              <w:t>26.5%</w:t>
            </w:r>
          </w:p>
        </w:tc>
      </w:tr>
    </w:tbl>
    <w:p w:rsidR="000B5BD3" w:rsidRDefault="000B5BD3" w:rsidP="000B5BD3">
      <w:r w:rsidRPr="006D3DBC">
        <w:rPr>
          <w:b/>
          <w:i/>
        </w:rPr>
        <w:t>ARISTOTLE Study:</w:t>
      </w:r>
      <w:r w:rsidRPr="006D3DBC">
        <w:rPr>
          <w:i/>
        </w:rPr>
        <w:t xml:space="preserve"> </w:t>
      </w:r>
      <w:r w:rsidRPr="006D3DBC">
        <w:t xml:space="preserve">Patients were randomised to treatment with apixaban (9,120 patients) 5 mg orally twice daily (or 2.5 mg twice daily in selected patients, 4.7%) or warfarin (9,081 patients), dosed to achieve a target international normalised ratio (INR) range 2.0-3.0, and treated for a median of 89.86 weeks for apixaban and 87.79 weeks for warfarin.  The apixaban 2.5 mg twice daily dose was assigned to patients with at least 2 of the following characteristics: age ≥80 years, body weight ≤60 kg, or serum creatinine ≥133 µmol/L).  43% were VKA naive, defined as not previously received or have received ≤30 consecutive days </w:t>
      </w:r>
      <w:r w:rsidRPr="006D3DBC">
        <w:lastRenderedPageBreak/>
        <w:t>of treatment with warfarin or another VKA.  Coronary artery disease was present in 33.2% of patients.</w:t>
      </w:r>
    </w:p>
    <w:p w:rsidR="000B5BD3" w:rsidRDefault="000B5BD3" w:rsidP="000B5BD3">
      <w:r w:rsidRPr="006D3DBC">
        <w:t>For patients randomised to warfarin, the median percentage of time in therapeutic range (INR 2-3) was 66%.</w:t>
      </w:r>
    </w:p>
    <w:p w:rsidR="000B5BD3" w:rsidRDefault="000B5BD3" w:rsidP="000B5BD3">
      <w:r w:rsidRPr="006D3DBC">
        <w:t>The primary objective of the study was to determine if apixaban 5 mg twice daily (or 2.5 mg twice daily in selected patients) was non</w:t>
      </w:r>
      <w:r w:rsidRPr="006D3DBC">
        <w:noBreakHyphen/>
        <w:t>inferior to warfarin for the prevention of stroke (ischaemic, haemorrhagic, or unspecified) and systemic embolism.  Assessments of superiority of apixaban versus warfarin were also prespecified for the primary endpoint, for death due to any cause and ISTH Major bleeding.</w:t>
      </w:r>
    </w:p>
    <w:p w:rsidR="000B5BD3" w:rsidRDefault="000B5BD3" w:rsidP="000B5BD3">
      <w:r w:rsidRPr="006D3DBC">
        <w:t>The key study outcomes were prespecified and tested in a sequential, hierarchical manner to conserve overall Type 1 error.  Apixaban was tested compared to warfarin for: (1) non</w:t>
      </w:r>
      <w:r w:rsidRPr="006D3DBC">
        <w:noBreakHyphen/>
        <w:t>inferiority on the composite endpoint of stroke and systemic embolism, (2) superiority on the composite endpoint of stroke and systemic embolism, (3) superiority on major bleeding, and (4) superiority on all-cause death.</w:t>
      </w:r>
    </w:p>
    <w:p w:rsidR="000B5BD3" w:rsidRPr="006D3DBC" w:rsidRDefault="000B5BD3" w:rsidP="000B5BD3">
      <w:r w:rsidRPr="006D3DBC">
        <w:t>Testing demonstrated non-inferiority of apixaban to warfarin on the composite of stroke and SE (p&lt;0.0001).  As non-inferiority was met, ELIQUIS was tested for superiority on the composite of stroke and SE, with superiority over warfarin demonstrated (HR 0.79, 95%</w:t>
      </w:r>
      <w:r>
        <w:t xml:space="preserve"> CI 0.66 to 0.95, p = 0.0114).</w:t>
      </w:r>
    </w:p>
    <w:p w:rsidR="000B5BD3" w:rsidRDefault="000B5BD3" w:rsidP="000B5BD3">
      <w:r w:rsidRPr="006D3DBC">
        <w:t>Statistically significant superiority was also achieved in all-cause death (see Table 4).  Numeric reductions were observed for both cardiovascular (CV) and non-CV deaths.</w:t>
      </w:r>
    </w:p>
    <w:p w:rsidR="000B5BD3" w:rsidRDefault="000B5BD3" w:rsidP="000B5BD3">
      <w:pPr>
        <w:pStyle w:val="BMSTableTitle"/>
        <w:tabs>
          <w:tab w:val="clear" w:pos="2160"/>
          <w:tab w:val="left" w:pos="0"/>
        </w:tabs>
        <w:ind w:left="0" w:firstLine="0"/>
      </w:pPr>
      <w:r w:rsidRPr="006D3DBC">
        <w:t>Table 4: Key efficacy outcomes in patients with atrial fibrillation in the ARISTOTLE study</w:t>
      </w:r>
    </w:p>
    <w:tbl>
      <w:tblPr>
        <w:tblW w:w="849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7"/>
        <w:gridCol w:w="1518"/>
        <w:gridCol w:w="1669"/>
        <w:gridCol w:w="1669"/>
        <w:gridCol w:w="1365"/>
      </w:tblGrid>
      <w:tr w:rsidR="000B5BD3" w:rsidRPr="006D3DBC" w:rsidTr="00674C7C">
        <w:trPr>
          <w:trHeight w:val="468"/>
          <w:tblHeader/>
        </w:trPr>
        <w:tc>
          <w:tcPr>
            <w:tcW w:w="1340" w:type="pct"/>
            <w:tcBorders>
              <w:top w:val="nil"/>
              <w:left w:val="nil"/>
            </w:tcBorders>
          </w:tcPr>
          <w:p w:rsidR="000B5BD3" w:rsidRPr="006D3DBC" w:rsidRDefault="000B5BD3" w:rsidP="00F30B67">
            <w:pPr>
              <w:pStyle w:val="BMSTableHeader"/>
              <w:keepNext/>
              <w:widowControl w:val="0"/>
              <w:jc w:val="left"/>
            </w:pPr>
          </w:p>
        </w:tc>
        <w:tc>
          <w:tcPr>
            <w:tcW w:w="893" w:type="pct"/>
            <w:tcBorders>
              <w:top w:val="single" w:sz="4" w:space="0" w:color="auto"/>
            </w:tcBorders>
          </w:tcPr>
          <w:p w:rsidR="000B5BD3" w:rsidRPr="006D3DBC" w:rsidRDefault="000B5BD3" w:rsidP="00F30B67">
            <w:pPr>
              <w:pStyle w:val="BMSTableHeader"/>
              <w:keepNext/>
              <w:widowControl w:val="0"/>
              <w:spacing w:before="40" w:after="40"/>
            </w:pPr>
            <w:proofErr w:type="spellStart"/>
            <w:r w:rsidRPr="006D3DBC">
              <w:t>Apixaban</w:t>
            </w:r>
            <w:proofErr w:type="spellEnd"/>
            <w:r w:rsidRPr="006D3DBC">
              <w:t xml:space="preserve"> </w:t>
            </w:r>
            <w:r w:rsidRPr="006D3DBC">
              <w:br/>
              <w:t>N=9120</w:t>
            </w:r>
          </w:p>
          <w:p w:rsidR="000B5BD3" w:rsidRPr="006D3DBC" w:rsidRDefault="000B5BD3" w:rsidP="00F30B67">
            <w:pPr>
              <w:pStyle w:val="BMSTableHeader"/>
              <w:keepNext/>
              <w:widowControl w:val="0"/>
              <w:spacing w:before="40" w:after="40"/>
            </w:pPr>
            <w:r w:rsidRPr="006D3DBC">
              <w:t>n (%/yr)</w:t>
            </w:r>
          </w:p>
        </w:tc>
        <w:tc>
          <w:tcPr>
            <w:tcW w:w="982" w:type="pct"/>
            <w:tcBorders>
              <w:top w:val="single" w:sz="4" w:space="0" w:color="auto"/>
            </w:tcBorders>
          </w:tcPr>
          <w:p w:rsidR="000B5BD3" w:rsidRPr="006D3DBC" w:rsidRDefault="000B5BD3" w:rsidP="00F30B67">
            <w:pPr>
              <w:pStyle w:val="BMSTableHeader"/>
              <w:keepNext/>
              <w:widowControl w:val="0"/>
              <w:spacing w:before="40" w:after="40"/>
              <w:rPr>
                <w:lang w:val="it-IT"/>
              </w:rPr>
            </w:pPr>
            <w:r w:rsidRPr="006D3DBC">
              <w:rPr>
                <w:lang w:val="it-IT"/>
              </w:rPr>
              <w:t xml:space="preserve">Warfarin </w:t>
            </w:r>
            <w:r w:rsidRPr="006D3DBC">
              <w:rPr>
                <w:lang w:val="it-IT"/>
              </w:rPr>
              <w:br/>
              <w:t>N=9081</w:t>
            </w:r>
          </w:p>
          <w:p w:rsidR="000B5BD3" w:rsidRPr="006D3DBC" w:rsidRDefault="000B5BD3" w:rsidP="00F30B67">
            <w:pPr>
              <w:pStyle w:val="BMSTableHeader"/>
              <w:keepNext/>
              <w:widowControl w:val="0"/>
              <w:spacing w:before="40" w:after="40"/>
              <w:rPr>
                <w:lang w:val="it-IT"/>
              </w:rPr>
            </w:pPr>
            <w:r w:rsidRPr="006D3DBC">
              <w:t>n (%/yr)</w:t>
            </w:r>
          </w:p>
        </w:tc>
        <w:tc>
          <w:tcPr>
            <w:tcW w:w="982" w:type="pct"/>
            <w:tcBorders>
              <w:top w:val="single" w:sz="4" w:space="0" w:color="auto"/>
            </w:tcBorders>
          </w:tcPr>
          <w:p w:rsidR="000B5BD3" w:rsidRPr="006D3DBC" w:rsidRDefault="000B5BD3" w:rsidP="00F30B67">
            <w:pPr>
              <w:pStyle w:val="BMSTableHeader"/>
              <w:keepNext/>
              <w:widowControl w:val="0"/>
            </w:pPr>
            <w:r w:rsidRPr="006D3DBC">
              <w:t>Hazard Ratio</w:t>
            </w:r>
          </w:p>
          <w:p w:rsidR="000B5BD3" w:rsidRPr="006D3DBC" w:rsidRDefault="000B5BD3" w:rsidP="00F30B67">
            <w:pPr>
              <w:pStyle w:val="BMSTableHeader"/>
              <w:keepNext/>
              <w:widowControl w:val="0"/>
            </w:pPr>
            <w:r w:rsidRPr="006D3DBC">
              <w:t>(95% CI)</w:t>
            </w:r>
          </w:p>
        </w:tc>
        <w:tc>
          <w:tcPr>
            <w:tcW w:w="803" w:type="pct"/>
            <w:tcBorders>
              <w:top w:val="single" w:sz="4" w:space="0" w:color="auto"/>
            </w:tcBorders>
          </w:tcPr>
          <w:p w:rsidR="000B5BD3" w:rsidRPr="006D3DBC" w:rsidRDefault="000B5BD3" w:rsidP="00F30B67">
            <w:pPr>
              <w:pStyle w:val="BMSTableHeader"/>
              <w:keepNext/>
              <w:widowControl w:val="0"/>
            </w:pPr>
          </w:p>
          <w:p w:rsidR="000B5BD3" w:rsidRPr="006D3DBC" w:rsidRDefault="000B5BD3" w:rsidP="00F30B67">
            <w:pPr>
              <w:pStyle w:val="BMSTableHeader"/>
              <w:keepNext/>
              <w:widowControl w:val="0"/>
            </w:pPr>
            <w:r w:rsidRPr="006D3DBC">
              <w:t>P-Value</w:t>
            </w:r>
          </w:p>
        </w:tc>
      </w:tr>
      <w:tr w:rsidR="000B5BD3" w:rsidRPr="006D3DBC" w:rsidTr="00674C7C">
        <w:tc>
          <w:tcPr>
            <w:tcW w:w="1340" w:type="pct"/>
          </w:tcPr>
          <w:p w:rsidR="000B5BD3" w:rsidRPr="006D3DBC" w:rsidRDefault="000B5BD3" w:rsidP="00F30B67">
            <w:pPr>
              <w:pStyle w:val="BMSTableText"/>
              <w:keepNext/>
              <w:widowControl w:val="0"/>
              <w:spacing w:beforeLines="60" w:line="204" w:lineRule="auto"/>
              <w:jc w:val="both"/>
              <w:rPr>
                <w:b/>
                <w:lang w:val="en-AU"/>
              </w:rPr>
            </w:pPr>
            <w:r w:rsidRPr="006D3DBC">
              <w:rPr>
                <w:b/>
              </w:rPr>
              <w:t>Stroke or systemic embolism</w:t>
            </w:r>
            <w:r w:rsidRPr="006D3DBC">
              <w:rPr>
                <w:b/>
                <w:sz w:val="22"/>
              </w:rPr>
              <w:t>*</w:t>
            </w:r>
          </w:p>
        </w:tc>
        <w:tc>
          <w:tcPr>
            <w:tcW w:w="893" w:type="pct"/>
          </w:tcPr>
          <w:p w:rsidR="000B5BD3" w:rsidRPr="006D3DBC" w:rsidRDefault="000B5BD3" w:rsidP="00F30B67">
            <w:pPr>
              <w:pStyle w:val="BMSTableText"/>
              <w:keepNext/>
              <w:widowControl w:val="0"/>
            </w:pPr>
            <w:r w:rsidRPr="006D3DBC">
              <w:t>212 (1.27)</w:t>
            </w:r>
          </w:p>
        </w:tc>
        <w:tc>
          <w:tcPr>
            <w:tcW w:w="982" w:type="pct"/>
          </w:tcPr>
          <w:p w:rsidR="000B5BD3" w:rsidRPr="006D3DBC" w:rsidRDefault="000B5BD3" w:rsidP="00F30B67">
            <w:pPr>
              <w:pStyle w:val="BMSTableText"/>
              <w:keepNext/>
              <w:widowControl w:val="0"/>
            </w:pPr>
            <w:r w:rsidRPr="006D3DBC">
              <w:t>265 (1.60)</w:t>
            </w:r>
          </w:p>
        </w:tc>
        <w:tc>
          <w:tcPr>
            <w:tcW w:w="982" w:type="pct"/>
          </w:tcPr>
          <w:p w:rsidR="000B5BD3" w:rsidRPr="006D3DBC" w:rsidRDefault="000B5BD3" w:rsidP="00F30B67">
            <w:pPr>
              <w:pStyle w:val="BMSTableText"/>
              <w:keepNext/>
              <w:widowControl w:val="0"/>
            </w:pPr>
            <w:r w:rsidRPr="006D3DBC">
              <w:t>0.79 (0.66, 0.95)</w:t>
            </w:r>
          </w:p>
        </w:tc>
        <w:tc>
          <w:tcPr>
            <w:tcW w:w="803" w:type="pct"/>
          </w:tcPr>
          <w:p w:rsidR="000B5BD3" w:rsidRDefault="000B5BD3" w:rsidP="00F30B67">
            <w:pPr>
              <w:pStyle w:val="BMSTableText"/>
              <w:keepNext/>
              <w:widowControl w:val="0"/>
            </w:pPr>
            <w:r w:rsidRPr="006D3DBC">
              <w:t>0.0114</w:t>
            </w:r>
          </w:p>
          <w:p w:rsidR="000B5BD3" w:rsidRPr="006D3DBC" w:rsidRDefault="000B5BD3" w:rsidP="00F30B67">
            <w:pPr>
              <w:pStyle w:val="BMSTableText"/>
              <w:keepNext/>
              <w:widowControl w:val="0"/>
            </w:pPr>
            <w:r>
              <w:t>(&lt;0.0001)‡</w:t>
            </w:r>
          </w:p>
        </w:tc>
      </w:tr>
      <w:tr w:rsidR="000B5BD3" w:rsidRPr="006D3DBC" w:rsidTr="00F30B67">
        <w:tc>
          <w:tcPr>
            <w:tcW w:w="5000" w:type="pct"/>
            <w:gridSpan w:val="5"/>
          </w:tcPr>
          <w:p w:rsidR="000B5BD3" w:rsidRPr="006D3DBC" w:rsidRDefault="000B5BD3" w:rsidP="00F30B67">
            <w:pPr>
              <w:pStyle w:val="BMSTableText"/>
              <w:keepNext/>
              <w:widowControl w:val="0"/>
              <w:ind w:left="318"/>
              <w:jc w:val="left"/>
              <w:rPr>
                <w:b/>
              </w:rPr>
            </w:pPr>
            <w:r w:rsidRPr="006D3DBC">
              <w:rPr>
                <w:b/>
              </w:rPr>
              <w:t>Stroke</w:t>
            </w:r>
          </w:p>
        </w:tc>
      </w:tr>
      <w:tr w:rsidR="000B5BD3" w:rsidRPr="006D3DBC" w:rsidTr="00674C7C">
        <w:tc>
          <w:tcPr>
            <w:tcW w:w="1340" w:type="pct"/>
          </w:tcPr>
          <w:p w:rsidR="000B5BD3" w:rsidRPr="006D3DBC" w:rsidRDefault="000B5BD3" w:rsidP="00F30B67">
            <w:pPr>
              <w:pStyle w:val="BMSTableText"/>
              <w:keepNext/>
              <w:widowControl w:val="0"/>
              <w:spacing w:beforeLines="60" w:line="204" w:lineRule="auto"/>
              <w:ind w:left="540"/>
              <w:jc w:val="left"/>
            </w:pPr>
            <w:proofErr w:type="spellStart"/>
            <w:r w:rsidRPr="006D3DBC">
              <w:t>Ischaemic</w:t>
            </w:r>
            <w:proofErr w:type="spellEnd"/>
            <w:r w:rsidRPr="006D3DBC">
              <w:t xml:space="preserve"> or undetermined</w:t>
            </w:r>
          </w:p>
        </w:tc>
        <w:tc>
          <w:tcPr>
            <w:tcW w:w="893" w:type="pct"/>
          </w:tcPr>
          <w:p w:rsidR="000B5BD3" w:rsidRPr="006D3DBC" w:rsidRDefault="000B5BD3" w:rsidP="00F30B67">
            <w:pPr>
              <w:pStyle w:val="BMSTableText"/>
            </w:pPr>
            <w:r w:rsidRPr="006D3DBC">
              <w:t>162 (0.97)</w:t>
            </w:r>
          </w:p>
        </w:tc>
        <w:tc>
          <w:tcPr>
            <w:tcW w:w="982" w:type="pct"/>
          </w:tcPr>
          <w:p w:rsidR="000B5BD3" w:rsidRPr="006D3DBC" w:rsidRDefault="000B5BD3" w:rsidP="00F30B67">
            <w:pPr>
              <w:pStyle w:val="BMSTableText"/>
            </w:pPr>
            <w:r w:rsidRPr="006D3DBC">
              <w:t>175 (1.05)</w:t>
            </w:r>
          </w:p>
        </w:tc>
        <w:tc>
          <w:tcPr>
            <w:tcW w:w="982" w:type="pct"/>
          </w:tcPr>
          <w:p w:rsidR="000B5BD3" w:rsidRPr="006D3DBC" w:rsidRDefault="000B5BD3" w:rsidP="00F30B67">
            <w:pPr>
              <w:pStyle w:val="BMSTableText"/>
              <w:keepNext/>
              <w:widowControl w:val="0"/>
            </w:pPr>
            <w:r w:rsidRPr="006D3DBC">
              <w:t>0.92 (0.74, 1.13)</w:t>
            </w:r>
          </w:p>
        </w:tc>
        <w:tc>
          <w:tcPr>
            <w:tcW w:w="803" w:type="pct"/>
            <w:shd w:val="clear" w:color="auto" w:fill="EEECE1"/>
          </w:tcPr>
          <w:p w:rsidR="000B5BD3" w:rsidRPr="006D3DBC" w:rsidRDefault="000B5BD3" w:rsidP="00F30B67">
            <w:pPr>
              <w:pStyle w:val="BMSTableText"/>
              <w:keepNext/>
              <w:widowControl w:val="0"/>
            </w:pPr>
          </w:p>
        </w:tc>
      </w:tr>
      <w:tr w:rsidR="000B5BD3" w:rsidRPr="006D3DBC" w:rsidTr="00674C7C">
        <w:tc>
          <w:tcPr>
            <w:tcW w:w="1340" w:type="pct"/>
          </w:tcPr>
          <w:p w:rsidR="000B5BD3" w:rsidRPr="006D3DBC" w:rsidRDefault="000B5BD3" w:rsidP="00F30B67">
            <w:pPr>
              <w:pStyle w:val="BMSTableText"/>
              <w:keepNext/>
              <w:widowControl w:val="0"/>
              <w:spacing w:beforeLines="60" w:line="204" w:lineRule="auto"/>
              <w:ind w:left="540"/>
              <w:jc w:val="left"/>
            </w:pPr>
            <w:proofErr w:type="spellStart"/>
            <w:r w:rsidRPr="006D3DBC">
              <w:t>Haemorrhagic</w:t>
            </w:r>
            <w:proofErr w:type="spellEnd"/>
          </w:p>
        </w:tc>
        <w:tc>
          <w:tcPr>
            <w:tcW w:w="893" w:type="pct"/>
          </w:tcPr>
          <w:p w:rsidR="000B5BD3" w:rsidRPr="006D3DBC" w:rsidRDefault="000B5BD3" w:rsidP="00F30B67">
            <w:pPr>
              <w:pStyle w:val="BMSTableText"/>
            </w:pPr>
            <w:r w:rsidRPr="006D3DBC">
              <w:t>40 (0.24)</w:t>
            </w:r>
          </w:p>
        </w:tc>
        <w:tc>
          <w:tcPr>
            <w:tcW w:w="982" w:type="pct"/>
          </w:tcPr>
          <w:p w:rsidR="000B5BD3" w:rsidRPr="006D3DBC" w:rsidRDefault="000B5BD3" w:rsidP="00F30B67">
            <w:pPr>
              <w:pStyle w:val="BMSTableText"/>
            </w:pPr>
            <w:r w:rsidRPr="006D3DBC">
              <w:t>78 (0.47)</w:t>
            </w:r>
          </w:p>
        </w:tc>
        <w:tc>
          <w:tcPr>
            <w:tcW w:w="982" w:type="pct"/>
          </w:tcPr>
          <w:p w:rsidR="000B5BD3" w:rsidRPr="006D3DBC" w:rsidRDefault="000B5BD3" w:rsidP="00F30B67">
            <w:pPr>
              <w:pStyle w:val="BMSTableText"/>
              <w:keepNext/>
              <w:widowControl w:val="0"/>
            </w:pPr>
            <w:r w:rsidRPr="006D3DBC">
              <w:t>0.51 (0.35, 0.75)</w:t>
            </w:r>
          </w:p>
        </w:tc>
        <w:tc>
          <w:tcPr>
            <w:tcW w:w="803" w:type="pct"/>
            <w:shd w:val="clear" w:color="auto" w:fill="EEECE1"/>
          </w:tcPr>
          <w:p w:rsidR="000B5BD3" w:rsidRPr="006D3DBC" w:rsidRDefault="000B5BD3" w:rsidP="00F30B67">
            <w:pPr>
              <w:pStyle w:val="BMSTableText"/>
              <w:keepNext/>
              <w:widowControl w:val="0"/>
            </w:pPr>
          </w:p>
        </w:tc>
      </w:tr>
      <w:tr w:rsidR="000B5BD3" w:rsidRPr="006D3DBC" w:rsidTr="00674C7C">
        <w:tc>
          <w:tcPr>
            <w:tcW w:w="1340" w:type="pct"/>
          </w:tcPr>
          <w:p w:rsidR="000B5BD3" w:rsidRPr="006D3DBC" w:rsidRDefault="000B5BD3" w:rsidP="00F30B67">
            <w:pPr>
              <w:pStyle w:val="BMSTableText"/>
              <w:keepNext/>
              <w:widowControl w:val="0"/>
              <w:spacing w:beforeLines="60" w:line="204" w:lineRule="auto"/>
              <w:ind w:left="270"/>
              <w:jc w:val="both"/>
              <w:rPr>
                <w:b/>
              </w:rPr>
            </w:pPr>
            <w:r w:rsidRPr="006D3DBC">
              <w:rPr>
                <w:b/>
              </w:rPr>
              <w:t>Systemic embolism</w:t>
            </w:r>
          </w:p>
        </w:tc>
        <w:tc>
          <w:tcPr>
            <w:tcW w:w="893" w:type="pct"/>
          </w:tcPr>
          <w:p w:rsidR="000B5BD3" w:rsidRPr="006D3DBC" w:rsidRDefault="000B5BD3" w:rsidP="00F30B67">
            <w:pPr>
              <w:pStyle w:val="BMSTableText"/>
            </w:pPr>
            <w:r w:rsidRPr="006D3DBC">
              <w:t>15 (0.09)</w:t>
            </w:r>
          </w:p>
        </w:tc>
        <w:tc>
          <w:tcPr>
            <w:tcW w:w="982" w:type="pct"/>
          </w:tcPr>
          <w:p w:rsidR="000B5BD3" w:rsidRPr="006D3DBC" w:rsidRDefault="000B5BD3" w:rsidP="00F30B67">
            <w:pPr>
              <w:pStyle w:val="BMSTableText"/>
            </w:pPr>
            <w:r w:rsidRPr="006D3DBC">
              <w:t>17 (0.10)</w:t>
            </w:r>
          </w:p>
        </w:tc>
        <w:tc>
          <w:tcPr>
            <w:tcW w:w="982" w:type="pct"/>
          </w:tcPr>
          <w:p w:rsidR="000B5BD3" w:rsidRPr="006D3DBC" w:rsidRDefault="000B5BD3" w:rsidP="00F30B67">
            <w:pPr>
              <w:pStyle w:val="BMSTableText"/>
              <w:keepNext/>
              <w:widowControl w:val="0"/>
            </w:pPr>
            <w:r w:rsidRPr="006D3DBC">
              <w:t>0.87 (0.44, 1.75)</w:t>
            </w:r>
          </w:p>
        </w:tc>
        <w:tc>
          <w:tcPr>
            <w:tcW w:w="803" w:type="pct"/>
            <w:shd w:val="clear" w:color="auto" w:fill="EEECE1"/>
          </w:tcPr>
          <w:p w:rsidR="000B5BD3" w:rsidRPr="006D3DBC" w:rsidRDefault="000B5BD3" w:rsidP="00F30B67">
            <w:pPr>
              <w:pStyle w:val="BMSTableText"/>
              <w:keepNext/>
              <w:widowControl w:val="0"/>
            </w:pPr>
          </w:p>
        </w:tc>
      </w:tr>
      <w:tr w:rsidR="000B5BD3" w:rsidRPr="006D3DBC" w:rsidTr="00674C7C">
        <w:tc>
          <w:tcPr>
            <w:tcW w:w="1340" w:type="pct"/>
          </w:tcPr>
          <w:p w:rsidR="000B5BD3" w:rsidRPr="006D3DBC" w:rsidRDefault="000B5BD3" w:rsidP="00F30B67">
            <w:pPr>
              <w:pStyle w:val="BMSTableText"/>
              <w:keepNext/>
              <w:widowControl w:val="0"/>
              <w:tabs>
                <w:tab w:val="left" w:pos="540"/>
              </w:tabs>
              <w:spacing w:beforeLines="60" w:line="204" w:lineRule="auto"/>
              <w:jc w:val="both"/>
              <w:rPr>
                <w:b/>
              </w:rPr>
            </w:pPr>
            <w:r w:rsidRPr="006D3DBC">
              <w:rPr>
                <w:b/>
              </w:rPr>
              <w:t>All-cause death*</w:t>
            </w:r>
            <w:r w:rsidRPr="006D3DBC">
              <w:rPr>
                <w:rStyle w:val="BMSSuperscript"/>
                <w:b/>
                <w:sz w:val="20"/>
              </w:rPr>
              <w:t>†</w:t>
            </w:r>
          </w:p>
        </w:tc>
        <w:tc>
          <w:tcPr>
            <w:tcW w:w="893" w:type="pct"/>
          </w:tcPr>
          <w:p w:rsidR="000B5BD3" w:rsidRPr="006D3DBC" w:rsidRDefault="000B5BD3" w:rsidP="00F30B67">
            <w:pPr>
              <w:jc w:val="center"/>
              <w:rPr>
                <w:sz w:val="20"/>
                <w:szCs w:val="20"/>
              </w:rPr>
            </w:pPr>
            <w:r w:rsidRPr="006D3DBC">
              <w:rPr>
                <w:sz w:val="20"/>
                <w:szCs w:val="20"/>
              </w:rPr>
              <w:t>603 (3.52)</w:t>
            </w:r>
          </w:p>
        </w:tc>
        <w:tc>
          <w:tcPr>
            <w:tcW w:w="982" w:type="pct"/>
          </w:tcPr>
          <w:p w:rsidR="000B5BD3" w:rsidRPr="006D3DBC" w:rsidRDefault="000B5BD3" w:rsidP="00F30B67">
            <w:pPr>
              <w:jc w:val="center"/>
              <w:rPr>
                <w:sz w:val="20"/>
                <w:szCs w:val="20"/>
              </w:rPr>
            </w:pPr>
            <w:r w:rsidRPr="006D3DBC">
              <w:rPr>
                <w:sz w:val="20"/>
                <w:szCs w:val="20"/>
              </w:rPr>
              <w:t>669 (3.94)</w:t>
            </w:r>
          </w:p>
        </w:tc>
        <w:tc>
          <w:tcPr>
            <w:tcW w:w="982" w:type="pct"/>
          </w:tcPr>
          <w:p w:rsidR="000B5BD3" w:rsidRPr="006D3DBC" w:rsidRDefault="000B5BD3" w:rsidP="00F30B67">
            <w:pPr>
              <w:jc w:val="center"/>
              <w:rPr>
                <w:sz w:val="20"/>
                <w:szCs w:val="20"/>
              </w:rPr>
            </w:pPr>
            <w:r w:rsidRPr="006D3DBC">
              <w:rPr>
                <w:sz w:val="20"/>
                <w:szCs w:val="20"/>
              </w:rPr>
              <w:t>0.89 (0.80, 1.00)</w:t>
            </w:r>
          </w:p>
        </w:tc>
        <w:tc>
          <w:tcPr>
            <w:tcW w:w="803" w:type="pct"/>
          </w:tcPr>
          <w:p w:rsidR="000B5BD3" w:rsidRPr="006D3DBC" w:rsidRDefault="000B5BD3" w:rsidP="00F30B67">
            <w:pPr>
              <w:jc w:val="center"/>
              <w:rPr>
                <w:sz w:val="20"/>
                <w:szCs w:val="20"/>
              </w:rPr>
            </w:pPr>
            <w:r w:rsidRPr="006D3DBC">
              <w:rPr>
                <w:sz w:val="20"/>
                <w:szCs w:val="20"/>
              </w:rPr>
              <w:t>0.0465</w:t>
            </w:r>
          </w:p>
        </w:tc>
      </w:tr>
    </w:tbl>
    <w:p w:rsidR="00674C7C" w:rsidRPr="006D3DBC" w:rsidRDefault="00674C7C" w:rsidP="00674C7C">
      <w:pPr>
        <w:pStyle w:val="BMSBodyText0"/>
        <w:spacing w:before="0" w:after="0" w:line="240" w:lineRule="auto"/>
        <w:rPr>
          <w:rStyle w:val="BMSTableNote"/>
          <w:sz w:val="20"/>
          <w:vertAlign w:val="baseline"/>
        </w:rPr>
      </w:pPr>
      <w:r w:rsidRPr="006D3DBC">
        <w:rPr>
          <w:rStyle w:val="BMSTableNote"/>
          <w:sz w:val="20"/>
          <w:vertAlign w:val="baseline"/>
        </w:rPr>
        <w:t>* Assessed by sequential testing strategy for superiority designed to control the overall Type I error in the trial</w:t>
      </w:r>
    </w:p>
    <w:p w:rsidR="00674C7C" w:rsidRDefault="00674C7C" w:rsidP="00674C7C">
      <w:pPr>
        <w:pStyle w:val="BMSBodyText0"/>
        <w:spacing w:before="0" w:after="0" w:line="240" w:lineRule="auto"/>
        <w:rPr>
          <w:rStyle w:val="BMSTableNote"/>
          <w:sz w:val="20"/>
          <w:vertAlign w:val="baseline"/>
        </w:rPr>
      </w:pPr>
      <w:r w:rsidRPr="006D3DBC">
        <w:rPr>
          <w:rStyle w:val="BMSTableNote"/>
          <w:sz w:val="20"/>
          <w:vertAlign w:val="baseline"/>
        </w:rPr>
        <w:t>† Secondary endpoint.</w:t>
      </w:r>
    </w:p>
    <w:p w:rsidR="00674C7C" w:rsidRPr="006D3DBC" w:rsidRDefault="00674C7C" w:rsidP="00674C7C">
      <w:pPr>
        <w:pStyle w:val="BMSBodyText0"/>
        <w:spacing w:before="0" w:after="0" w:line="240" w:lineRule="auto"/>
        <w:rPr>
          <w:rStyle w:val="BMSTableNote"/>
          <w:sz w:val="20"/>
          <w:vertAlign w:val="baseline"/>
        </w:rPr>
      </w:pPr>
      <w:r>
        <w:rPr>
          <w:rStyle w:val="BMSTableNote"/>
          <w:sz w:val="20"/>
          <w:vertAlign w:val="baseline"/>
        </w:rPr>
        <w:t>‡ P-Value for non-inferiority</w:t>
      </w:r>
    </w:p>
    <w:p w:rsidR="000B5BD3" w:rsidRDefault="00674C7C" w:rsidP="00674C7C">
      <w:r w:rsidRPr="006D3DBC">
        <w:rPr>
          <w:rStyle w:val="BMSTableNote"/>
          <w:sz w:val="20"/>
          <w:vertAlign w:val="baseline"/>
        </w:rPr>
        <w:t>Events associated with each endpoint were counted once per subject, but subjects may have contributed events to multiple endpoints.</w:t>
      </w:r>
    </w:p>
    <w:p w:rsidR="000B5BD3" w:rsidRDefault="00674C7C" w:rsidP="00674C7C">
      <w:proofErr w:type="spellStart"/>
      <w:r w:rsidRPr="006D3DBC">
        <w:t>Centres</w:t>
      </w:r>
      <w:proofErr w:type="spellEnd"/>
      <w:r w:rsidRPr="006D3DBC">
        <w:t xml:space="preserve"> were ranked </w:t>
      </w:r>
      <w:r w:rsidRPr="006D3DBC">
        <w:rPr>
          <w:i/>
        </w:rPr>
        <w:t>post hoc</w:t>
      </w:r>
      <w:r w:rsidRPr="006D3DBC">
        <w:t xml:space="preserve"> by the percentage of time that warfarin-treated patients were in therapeutic range (INR 2-3). Findings for stroke/systemic embolism, major bleeds, and all cause mortality are shown for centres above and below the median level of INR control in Table 5. </w:t>
      </w:r>
      <w:r>
        <w:t xml:space="preserve"> </w:t>
      </w:r>
      <w:r w:rsidRPr="006D3DBC">
        <w:t>The benefits of apixaban relative to warfarin were consistent in patients enrolled at cent</w:t>
      </w:r>
      <w:r>
        <w:t>re</w:t>
      </w:r>
      <w:r w:rsidRPr="006D3DBC">
        <w:t>s with INR control below or above the median.</w:t>
      </w:r>
    </w:p>
    <w:p w:rsidR="00674C7C" w:rsidRDefault="00674C7C" w:rsidP="00674C7C">
      <w:pPr>
        <w:pStyle w:val="BMSTableTitle"/>
      </w:pPr>
      <w:r w:rsidRPr="006D3DBC">
        <w:lastRenderedPageBreak/>
        <w:t>Table 5: Centre INR control in the ARISTOTLE study</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2693"/>
        <w:gridCol w:w="2693"/>
      </w:tblGrid>
      <w:tr w:rsidR="00674C7C" w:rsidRPr="006D3DBC" w:rsidTr="00F30B67">
        <w:tc>
          <w:tcPr>
            <w:tcW w:w="2547" w:type="dxa"/>
            <w:tcBorders>
              <w:top w:val="nil"/>
              <w:left w:val="nil"/>
            </w:tcBorders>
          </w:tcPr>
          <w:p w:rsidR="00674C7C" w:rsidRPr="006D3DBC" w:rsidRDefault="00674C7C" w:rsidP="00F30B67">
            <w:pPr>
              <w:pStyle w:val="BMSBodyText0"/>
              <w:rPr>
                <w:rFonts w:eastAsia="MS Mincho"/>
                <w:color w:val="auto"/>
                <w:lang w:val="en-AU"/>
              </w:rPr>
            </w:pPr>
          </w:p>
        </w:tc>
        <w:tc>
          <w:tcPr>
            <w:tcW w:w="2693" w:type="dxa"/>
          </w:tcPr>
          <w:p w:rsidR="00674C7C" w:rsidRPr="006D3DBC" w:rsidRDefault="00674C7C" w:rsidP="00F30B67">
            <w:pPr>
              <w:pStyle w:val="BMSTableText"/>
              <w:rPr>
                <w:rFonts w:eastAsia="MS Mincho"/>
                <w:b/>
              </w:rPr>
            </w:pPr>
            <w:proofErr w:type="spellStart"/>
            <w:r w:rsidRPr="006D3DBC">
              <w:rPr>
                <w:rFonts w:eastAsia="MS Mincho"/>
                <w:b/>
              </w:rPr>
              <w:t>Centres</w:t>
            </w:r>
            <w:proofErr w:type="spellEnd"/>
            <w:r w:rsidRPr="006D3DBC">
              <w:rPr>
                <w:rFonts w:eastAsia="MS Mincho"/>
                <w:b/>
              </w:rPr>
              <w:t xml:space="preserve"> with INR control below the median of 66%</w:t>
            </w:r>
          </w:p>
          <w:p w:rsidR="00674C7C" w:rsidRPr="006D3DBC" w:rsidRDefault="00674C7C" w:rsidP="00F30B67">
            <w:pPr>
              <w:pStyle w:val="BMSTableText"/>
              <w:rPr>
                <w:rFonts w:eastAsia="MS Mincho"/>
                <w:b/>
              </w:rPr>
            </w:pPr>
            <w:r w:rsidRPr="006D3DBC">
              <w:rPr>
                <w:rFonts w:eastAsia="MS Mincho"/>
                <w:b/>
              </w:rPr>
              <w:t>Hazard Ratio</w:t>
            </w:r>
          </w:p>
          <w:p w:rsidR="00674C7C" w:rsidRPr="006D3DBC" w:rsidRDefault="00674C7C" w:rsidP="00F30B67">
            <w:pPr>
              <w:pStyle w:val="BMSTableText"/>
              <w:rPr>
                <w:rFonts w:eastAsia="MS Mincho"/>
                <w:b/>
              </w:rPr>
            </w:pPr>
            <w:r w:rsidRPr="006D3DBC">
              <w:rPr>
                <w:rFonts w:eastAsia="MS Mincho"/>
                <w:b/>
              </w:rPr>
              <w:t>(95% Confidence Interval)</w:t>
            </w:r>
          </w:p>
        </w:tc>
        <w:tc>
          <w:tcPr>
            <w:tcW w:w="2693" w:type="dxa"/>
          </w:tcPr>
          <w:p w:rsidR="00674C7C" w:rsidRPr="006D3DBC" w:rsidRDefault="00674C7C" w:rsidP="00F30B67">
            <w:pPr>
              <w:pStyle w:val="BMSTableText"/>
              <w:rPr>
                <w:rFonts w:eastAsia="MS Mincho"/>
                <w:b/>
              </w:rPr>
            </w:pPr>
            <w:proofErr w:type="spellStart"/>
            <w:r w:rsidRPr="006D3DBC">
              <w:rPr>
                <w:rFonts w:eastAsia="MS Mincho"/>
                <w:b/>
              </w:rPr>
              <w:t>Centres</w:t>
            </w:r>
            <w:proofErr w:type="spellEnd"/>
            <w:r w:rsidRPr="006D3DBC">
              <w:rPr>
                <w:rFonts w:eastAsia="MS Mincho"/>
                <w:b/>
              </w:rPr>
              <w:t xml:space="preserve"> with INR control above the median of 66%</w:t>
            </w:r>
          </w:p>
          <w:p w:rsidR="00674C7C" w:rsidRPr="006D3DBC" w:rsidRDefault="00674C7C" w:rsidP="00F30B67">
            <w:pPr>
              <w:pStyle w:val="BMSTableText"/>
              <w:rPr>
                <w:rFonts w:eastAsia="MS Mincho"/>
                <w:b/>
              </w:rPr>
            </w:pPr>
            <w:r w:rsidRPr="006D3DBC">
              <w:rPr>
                <w:rFonts w:eastAsia="MS Mincho"/>
                <w:b/>
              </w:rPr>
              <w:t>Hazard Ratio</w:t>
            </w:r>
          </w:p>
          <w:p w:rsidR="00674C7C" w:rsidRPr="006D3DBC" w:rsidRDefault="00674C7C" w:rsidP="00F30B67">
            <w:pPr>
              <w:pStyle w:val="BMSTableText"/>
              <w:rPr>
                <w:rFonts w:eastAsia="MS Mincho"/>
                <w:b/>
              </w:rPr>
            </w:pPr>
            <w:r w:rsidRPr="006D3DBC">
              <w:rPr>
                <w:rFonts w:eastAsia="MS Mincho"/>
                <w:b/>
              </w:rPr>
              <w:t>(95% Confidence Interval)</w:t>
            </w:r>
          </w:p>
        </w:tc>
      </w:tr>
      <w:tr w:rsidR="00674C7C" w:rsidRPr="006D3DBC" w:rsidTr="00F30B67">
        <w:tc>
          <w:tcPr>
            <w:tcW w:w="2547" w:type="dxa"/>
          </w:tcPr>
          <w:p w:rsidR="00674C7C" w:rsidRPr="006D3DBC" w:rsidRDefault="00674C7C" w:rsidP="00F30B67">
            <w:pPr>
              <w:pStyle w:val="BMSTableText"/>
              <w:jc w:val="left"/>
              <w:rPr>
                <w:rFonts w:eastAsia="MS Mincho"/>
                <w:b/>
              </w:rPr>
            </w:pPr>
            <w:r w:rsidRPr="006D3DBC">
              <w:rPr>
                <w:rFonts w:eastAsia="MS Mincho"/>
                <w:b/>
              </w:rPr>
              <w:t>Stroke/systemic embolism</w:t>
            </w:r>
          </w:p>
        </w:tc>
        <w:tc>
          <w:tcPr>
            <w:tcW w:w="2693" w:type="dxa"/>
          </w:tcPr>
          <w:p w:rsidR="00674C7C" w:rsidRPr="006D3DBC" w:rsidRDefault="00674C7C" w:rsidP="00F30B67">
            <w:pPr>
              <w:pStyle w:val="BMSTableText"/>
              <w:rPr>
                <w:rFonts w:eastAsia="MS Mincho"/>
              </w:rPr>
            </w:pPr>
            <w:r w:rsidRPr="006D3DBC">
              <w:rPr>
                <w:rFonts w:eastAsia="MS Mincho"/>
              </w:rPr>
              <w:t>0.78 (0.62, 0.98)</w:t>
            </w:r>
          </w:p>
        </w:tc>
        <w:tc>
          <w:tcPr>
            <w:tcW w:w="2693" w:type="dxa"/>
          </w:tcPr>
          <w:p w:rsidR="00674C7C" w:rsidRPr="006D3DBC" w:rsidRDefault="00674C7C" w:rsidP="00F30B67">
            <w:pPr>
              <w:pStyle w:val="BMSTableText"/>
              <w:rPr>
                <w:rFonts w:eastAsia="MS Mincho"/>
              </w:rPr>
            </w:pPr>
            <w:r w:rsidRPr="006D3DBC">
              <w:rPr>
                <w:rFonts w:eastAsia="MS Mincho"/>
              </w:rPr>
              <w:t>0.81 (0.61, 1.08)</w:t>
            </w:r>
          </w:p>
        </w:tc>
      </w:tr>
      <w:tr w:rsidR="00674C7C" w:rsidRPr="006D3DBC" w:rsidTr="00F30B67">
        <w:tc>
          <w:tcPr>
            <w:tcW w:w="2547" w:type="dxa"/>
          </w:tcPr>
          <w:p w:rsidR="00674C7C" w:rsidRPr="006D3DBC" w:rsidRDefault="00674C7C" w:rsidP="00F30B67">
            <w:pPr>
              <w:pStyle w:val="BMSTableText"/>
              <w:jc w:val="left"/>
              <w:rPr>
                <w:rFonts w:eastAsia="MS Mincho"/>
                <w:b/>
              </w:rPr>
            </w:pPr>
            <w:r w:rsidRPr="006D3DBC">
              <w:rPr>
                <w:rFonts w:eastAsia="MS Mincho"/>
                <w:b/>
              </w:rPr>
              <w:t>Major bleed</w:t>
            </w:r>
          </w:p>
        </w:tc>
        <w:tc>
          <w:tcPr>
            <w:tcW w:w="2693" w:type="dxa"/>
          </w:tcPr>
          <w:p w:rsidR="00674C7C" w:rsidRPr="006D3DBC" w:rsidRDefault="00674C7C" w:rsidP="00F30B67">
            <w:pPr>
              <w:pStyle w:val="BMSTableText"/>
              <w:rPr>
                <w:rFonts w:eastAsia="MS Mincho"/>
              </w:rPr>
            </w:pPr>
            <w:r w:rsidRPr="006D3DBC">
              <w:rPr>
                <w:rFonts w:eastAsia="MS Mincho"/>
              </w:rPr>
              <w:t>0.56 (0.45, 0.70)</w:t>
            </w:r>
          </w:p>
        </w:tc>
        <w:tc>
          <w:tcPr>
            <w:tcW w:w="2693" w:type="dxa"/>
          </w:tcPr>
          <w:p w:rsidR="00674C7C" w:rsidRPr="006D3DBC" w:rsidRDefault="00674C7C" w:rsidP="00F30B67">
            <w:pPr>
              <w:pStyle w:val="BMSTableText"/>
              <w:rPr>
                <w:rFonts w:eastAsia="MS Mincho"/>
              </w:rPr>
            </w:pPr>
            <w:r w:rsidRPr="006D3DBC">
              <w:rPr>
                <w:rFonts w:eastAsia="MS Mincho"/>
              </w:rPr>
              <w:t>0.82 (0.68, 1.00)</w:t>
            </w:r>
          </w:p>
        </w:tc>
      </w:tr>
      <w:tr w:rsidR="00674C7C" w:rsidRPr="006D3DBC" w:rsidTr="00F30B67">
        <w:tc>
          <w:tcPr>
            <w:tcW w:w="2547" w:type="dxa"/>
          </w:tcPr>
          <w:p w:rsidR="00674C7C" w:rsidRPr="006D3DBC" w:rsidRDefault="00674C7C" w:rsidP="00F30B67">
            <w:pPr>
              <w:pStyle w:val="BMSTableText"/>
              <w:jc w:val="left"/>
              <w:rPr>
                <w:rFonts w:eastAsia="MS Mincho"/>
                <w:b/>
              </w:rPr>
            </w:pPr>
            <w:r w:rsidRPr="006D3DBC">
              <w:rPr>
                <w:rFonts w:eastAsia="MS Mincho"/>
                <w:b/>
              </w:rPr>
              <w:t>All cause death</w:t>
            </w:r>
          </w:p>
        </w:tc>
        <w:tc>
          <w:tcPr>
            <w:tcW w:w="2693" w:type="dxa"/>
          </w:tcPr>
          <w:p w:rsidR="00674C7C" w:rsidRPr="006D3DBC" w:rsidRDefault="00674C7C" w:rsidP="00F30B67">
            <w:pPr>
              <w:pStyle w:val="BMSTableText"/>
              <w:rPr>
                <w:rFonts w:eastAsia="MS Mincho"/>
              </w:rPr>
            </w:pPr>
            <w:r w:rsidRPr="006D3DBC">
              <w:rPr>
                <w:rFonts w:eastAsia="MS Mincho"/>
              </w:rPr>
              <w:t>0.86 (0.74, 1.00)</w:t>
            </w:r>
          </w:p>
        </w:tc>
        <w:tc>
          <w:tcPr>
            <w:tcW w:w="2693" w:type="dxa"/>
          </w:tcPr>
          <w:p w:rsidR="00674C7C" w:rsidRPr="006D3DBC" w:rsidRDefault="00674C7C" w:rsidP="00F30B67">
            <w:pPr>
              <w:pStyle w:val="BMSTableText"/>
              <w:rPr>
                <w:rFonts w:eastAsia="MS Mincho"/>
              </w:rPr>
            </w:pPr>
            <w:r w:rsidRPr="006D3DBC">
              <w:rPr>
                <w:rFonts w:eastAsia="MS Mincho"/>
              </w:rPr>
              <w:t>0.93 (0.79, 1.10)</w:t>
            </w:r>
          </w:p>
        </w:tc>
      </w:tr>
    </w:tbl>
    <w:p w:rsidR="00674C7C" w:rsidRPr="006D3DBC" w:rsidRDefault="00674C7C" w:rsidP="00674C7C">
      <w:pPr>
        <w:rPr>
          <w:i/>
        </w:rPr>
      </w:pPr>
      <w:r w:rsidRPr="006D3DBC">
        <w:rPr>
          <w:b/>
          <w:i/>
        </w:rPr>
        <w:t xml:space="preserve">AVERROES Study: </w:t>
      </w:r>
      <w:r w:rsidRPr="006D3DBC">
        <w:t>Patients were randomised to treatment with apixaban 5 mg orally twice daily (or 2.5 mg twice daily in selected patients, 6.4%) or acetylsalicylic acid (ASA) 81 to 324 mg once daily.  The selection of an ASA dose of 81, 162, 243, or 324 mg was at the discretion of the investigator with 90.5% of subjects receiving either an 81 mg (64.3%) or 162 mg (26.2%) dose at randomisation.</w:t>
      </w:r>
    </w:p>
    <w:p w:rsidR="00674C7C" w:rsidRDefault="00674C7C" w:rsidP="00674C7C">
      <w:r w:rsidRPr="006D3DBC">
        <w:t>In the study, VKA therapy had been tried but discontinued in 40% of patients prior to enrollment.</w:t>
      </w:r>
      <w:bookmarkStart w:id="0" w:name="_Ref282933746"/>
      <w:r w:rsidRPr="006D3DBC">
        <w:t xml:space="preserve">  Common reasons for unsuitability for VKA therapy in the AVERROES study included unable/unlikely to obtain INRs at requested intervals (42.6%), patient refused treatment with VKA (37.4%), CHADS</w:t>
      </w:r>
      <w:r w:rsidRPr="006D3DBC">
        <w:rPr>
          <w:rStyle w:val="BMSSubscript"/>
        </w:rPr>
        <w:t>2</w:t>
      </w:r>
      <w:r w:rsidRPr="006D3DBC">
        <w:t xml:space="preserve"> score = 1 and physician did not recommend VKA (21.3%), patient could not be relied on to adhere to VKA medication instruction (15.0%), and difficulty/expected difficulty in contacting patient in case of urgent dose change (11.7%).</w:t>
      </w:r>
      <w:bookmarkEnd w:id="0"/>
    </w:p>
    <w:p w:rsidR="00674C7C" w:rsidRPr="006D3DBC" w:rsidRDefault="00674C7C" w:rsidP="00674C7C">
      <w:r w:rsidRPr="006D3DBC">
        <w:t>The primary objective of the study was to determine if apixaban 5 mg twice daily (2.5 mg twice daily in selected patients) was superior to ASA (81-324 mg once daily) for preventing the composite outcome of stroke or systemic embolism.  Assessments of superiority of apixaban versus ASA were also pre-specified for major vascular events (composite outcome of stroke, systemic embolism, myocardial infarction or vascular death) and for death due to any cause.</w:t>
      </w:r>
    </w:p>
    <w:p w:rsidR="00674C7C" w:rsidRDefault="00674C7C" w:rsidP="00674C7C">
      <w:r w:rsidRPr="006D3DBC">
        <w:t xml:space="preserve">These key study outcomes were prespecified and tested in a sequential, hierarchical manner to conserve overall Type 1 error.  Apixaban was tested compared with </w:t>
      </w:r>
      <w:r>
        <w:t xml:space="preserve">ASA </w:t>
      </w:r>
      <w:r w:rsidRPr="006D3DBC">
        <w:t>for: (1) superiority on the composite endpoint of stroke and systemic embolism; (2) superiority on the composite endpoint of stroke of any type, systemic embolism, myocardial infarction or vascular death; and (3) superiority on all-cause death.</w:t>
      </w:r>
    </w:p>
    <w:p w:rsidR="00674C7C" w:rsidRPr="006D3DBC" w:rsidRDefault="00674C7C" w:rsidP="00674C7C">
      <w:r w:rsidRPr="006D3DBC">
        <w:t>AVERROES was stopped early upon the recommendation of the trial’s independent Data Monitoring Committee which found that a predefined interim analysis revealed clear evidence of apixaban providing a clinically important reduction in stroke and systemic embolism and acceptable safety profile.</w:t>
      </w:r>
    </w:p>
    <w:p w:rsidR="00674C7C" w:rsidRDefault="00674C7C" w:rsidP="00674C7C">
      <w:r w:rsidRPr="006D3DBC">
        <w:t>In the study, apixaban demonstrated statistically significant superiority in the primary endpoint of prevention of stroke (haemorrhagic or ischaemic) and systemic embolism (see Table 6).  A clinically important reduction was observed in the key secondary composite endpoint of stroke, systemic embolism, myocardial infarction, or vascular death (see Table 6).</w:t>
      </w:r>
    </w:p>
    <w:p w:rsidR="00674C7C" w:rsidRDefault="00674C7C" w:rsidP="00674C7C">
      <w:pPr>
        <w:pStyle w:val="BMSTableTitle"/>
        <w:tabs>
          <w:tab w:val="clear" w:pos="2160"/>
          <w:tab w:val="left" w:pos="0"/>
        </w:tabs>
        <w:ind w:left="0" w:firstLine="0"/>
      </w:pPr>
      <w:r w:rsidRPr="006D3DBC">
        <w:lastRenderedPageBreak/>
        <w:t>Table 6: Key efficacy outcomes in patients with atrial fibrillation in the AVERROES study</w:t>
      </w:r>
    </w:p>
    <w:tbl>
      <w:tblPr>
        <w:tblW w:w="4796" w:type="pct"/>
        <w:tblBorders>
          <w:bottom w:val="double" w:sz="6" w:space="0" w:color="auto"/>
        </w:tblBorders>
        <w:tblLayout w:type="fixed"/>
        <w:tblLook w:val="0000"/>
      </w:tblPr>
      <w:tblGrid>
        <w:gridCol w:w="2259"/>
        <w:gridCol w:w="1587"/>
        <w:gridCol w:w="1673"/>
        <w:gridCol w:w="2176"/>
        <w:gridCol w:w="1170"/>
      </w:tblGrid>
      <w:tr w:rsidR="00674C7C" w:rsidRPr="006D3DBC" w:rsidTr="00674C7C">
        <w:trPr>
          <w:trHeight w:val="468"/>
          <w:tblHeader/>
        </w:trPr>
        <w:tc>
          <w:tcPr>
            <w:tcW w:w="2259" w:type="dxa"/>
            <w:tcBorders>
              <w:top w:val="nil"/>
              <w:left w:val="nil"/>
              <w:bottom w:val="single" w:sz="4" w:space="0" w:color="auto"/>
              <w:right w:val="single" w:sz="4" w:space="0" w:color="auto"/>
            </w:tcBorders>
          </w:tcPr>
          <w:p w:rsidR="00674C7C" w:rsidRPr="006D3DBC" w:rsidRDefault="00674C7C" w:rsidP="00F30B67">
            <w:pPr>
              <w:pStyle w:val="BMSTableHeader"/>
              <w:keepNext/>
              <w:widowControl w:val="0"/>
              <w:jc w:val="left"/>
            </w:pPr>
          </w:p>
        </w:tc>
        <w:tc>
          <w:tcPr>
            <w:tcW w:w="1587"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Header"/>
              <w:keepNext/>
              <w:widowControl w:val="0"/>
              <w:spacing w:before="40" w:after="40"/>
            </w:pPr>
            <w:proofErr w:type="spellStart"/>
            <w:r w:rsidRPr="006D3DBC">
              <w:t>Apixaban</w:t>
            </w:r>
            <w:proofErr w:type="spellEnd"/>
          </w:p>
          <w:p w:rsidR="00674C7C" w:rsidRPr="006D3DBC" w:rsidRDefault="00674C7C" w:rsidP="00F30B67">
            <w:pPr>
              <w:pStyle w:val="BMSTableHeader"/>
              <w:keepNext/>
              <w:widowControl w:val="0"/>
              <w:spacing w:before="40" w:after="40"/>
            </w:pPr>
            <w:r w:rsidRPr="006D3DBC">
              <w:t xml:space="preserve">N=2807 </w:t>
            </w:r>
          </w:p>
          <w:p w:rsidR="00674C7C" w:rsidRPr="006D3DBC" w:rsidRDefault="00674C7C" w:rsidP="00F30B67">
            <w:pPr>
              <w:pStyle w:val="BMSTableHeader"/>
              <w:keepNext/>
              <w:widowControl w:val="0"/>
              <w:spacing w:before="40" w:after="40"/>
            </w:pPr>
            <w:r w:rsidRPr="006D3DBC">
              <w:t>n (%/year)</w:t>
            </w:r>
          </w:p>
        </w:tc>
        <w:tc>
          <w:tcPr>
            <w:tcW w:w="1673"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Header"/>
              <w:keepNext/>
              <w:widowControl w:val="0"/>
              <w:spacing w:before="40" w:after="40"/>
              <w:rPr>
                <w:lang w:val="it-IT"/>
              </w:rPr>
            </w:pPr>
            <w:r w:rsidRPr="006D3DBC">
              <w:rPr>
                <w:lang w:val="it-IT"/>
              </w:rPr>
              <w:t xml:space="preserve">ASA </w:t>
            </w:r>
          </w:p>
          <w:p w:rsidR="00674C7C" w:rsidRPr="006D3DBC" w:rsidRDefault="00674C7C" w:rsidP="00F30B67">
            <w:pPr>
              <w:pStyle w:val="BMSTableHeader"/>
              <w:keepNext/>
              <w:widowControl w:val="0"/>
              <w:spacing w:before="40" w:after="40"/>
              <w:rPr>
                <w:lang w:val="it-IT"/>
              </w:rPr>
            </w:pPr>
            <w:r w:rsidRPr="006D3DBC">
              <w:rPr>
                <w:lang w:val="it-IT"/>
              </w:rPr>
              <w:t>N=2791</w:t>
            </w:r>
          </w:p>
          <w:p w:rsidR="00674C7C" w:rsidRPr="006D3DBC" w:rsidRDefault="00674C7C" w:rsidP="00F30B67">
            <w:pPr>
              <w:pStyle w:val="BMSTableHeader"/>
              <w:keepNext/>
              <w:widowControl w:val="0"/>
              <w:spacing w:before="40" w:after="40"/>
              <w:rPr>
                <w:lang w:val="it-IT"/>
              </w:rPr>
            </w:pPr>
            <w:r w:rsidRPr="006D3DBC">
              <w:t>n (%/year)</w:t>
            </w:r>
          </w:p>
        </w:tc>
        <w:tc>
          <w:tcPr>
            <w:tcW w:w="2176"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Header"/>
              <w:keepNext/>
              <w:widowControl w:val="0"/>
            </w:pPr>
            <w:r w:rsidRPr="006D3DBC">
              <w:t>Hazard Ratio</w:t>
            </w:r>
          </w:p>
          <w:p w:rsidR="00674C7C" w:rsidRPr="006D3DBC" w:rsidRDefault="00674C7C" w:rsidP="00F30B67">
            <w:pPr>
              <w:pStyle w:val="BMSTableHeader"/>
              <w:keepNext/>
              <w:widowControl w:val="0"/>
            </w:pPr>
            <w:r w:rsidRPr="006D3DBC">
              <w:t>(95% CI)</w:t>
            </w:r>
          </w:p>
        </w:tc>
        <w:tc>
          <w:tcPr>
            <w:tcW w:w="1170"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Header"/>
              <w:keepNext/>
              <w:widowControl w:val="0"/>
            </w:pPr>
          </w:p>
          <w:p w:rsidR="00674C7C" w:rsidRPr="006D3DBC" w:rsidRDefault="00674C7C" w:rsidP="00F30B67">
            <w:pPr>
              <w:pStyle w:val="BMSTableHeader"/>
              <w:keepNext/>
              <w:widowControl w:val="0"/>
            </w:pPr>
            <w:r w:rsidRPr="006D3DBC">
              <w:t>P-Value</w:t>
            </w:r>
          </w:p>
        </w:tc>
      </w:tr>
      <w:tr w:rsidR="00674C7C" w:rsidRPr="006D3DBC" w:rsidTr="00674C7C">
        <w:tc>
          <w:tcPr>
            <w:tcW w:w="2259"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keepNext/>
              <w:spacing w:beforeLines="60" w:afterLines="60" w:line="204" w:lineRule="auto"/>
              <w:jc w:val="left"/>
              <w:rPr>
                <w:lang w:val="en-AU"/>
              </w:rPr>
            </w:pPr>
            <w:r w:rsidRPr="006D3DBC">
              <w:t>Stroke or systemic embolism*</w:t>
            </w:r>
            <w:r w:rsidRPr="006D3DBC">
              <w:rPr>
                <w:b/>
              </w:rPr>
              <w:t xml:space="preserve"> </w:t>
            </w:r>
          </w:p>
        </w:tc>
        <w:tc>
          <w:tcPr>
            <w:tcW w:w="1587"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pPr>
            <w:r w:rsidRPr="006D3DBC">
              <w:t>51 (1.62)</w:t>
            </w:r>
          </w:p>
        </w:tc>
        <w:tc>
          <w:tcPr>
            <w:tcW w:w="1673"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pPr>
            <w:r w:rsidRPr="006D3DBC">
              <w:t>113 (3.63)</w:t>
            </w:r>
          </w:p>
        </w:tc>
        <w:tc>
          <w:tcPr>
            <w:tcW w:w="2176"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pPr>
            <w:r w:rsidRPr="006D3DBC">
              <w:t>0.45 (0.32, 0.62)</w:t>
            </w:r>
          </w:p>
        </w:tc>
        <w:tc>
          <w:tcPr>
            <w:tcW w:w="1170"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rPr>
                <w:strike/>
              </w:rPr>
            </w:pPr>
            <w:r w:rsidRPr="006D3DBC">
              <w:t>&lt;0.0001</w:t>
            </w:r>
          </w:p>
        </w:tc>
      </w:tr>
      <w:tr w:rsidR="00674C7C" w:rsidRPr="006D3DBC" w:rsidTr="00674C7C">
        <w:tc>
          <w:tcPr>
            <w:tcW w:w="8865" w:type="dxa"/>
            <w:gridSpan w:val="5"/>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keepNext/>
              <w:spacing w:beforeLines="60" w:afterLines="60" w:line="204" w:lineRule="auto"/>
              <w:ind w:left="270"/>
              <w:jc w:val="left"/>
              <w:rPr>
                <w:lang w:val="en-AU"/>
              </w:rPr>
            </w:pPr>
            <w:r w:rsidRPr="006D3DBC">
              <w:t>Stroke</w:t>
            </w:r>
          </w:p>
        </w:tc>
      </w:tr>
      <w:tr w:rsidR="00674C7C" w:rsidRPr="006D3DBC" w:rsidTr="00674C7C">
        <w:tc>
          <w:tcPr>
            <w:tcW w:w="2259"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keepNext/>
              <w:spacing w:beforeLines="60" w:afterLines="60" w:line="204" w:lineRule="auto"/>
              <w:ind w:left="547"/>
              <w:jc w:val="left"/>
              <w:rPr>
                <w:lang w:val="en-AU"/>
              </w:rPr>
            </w:pPr>
            <w:proofErr w:type="spellStart"/>
            <w:r w:rsidRPr="006D3DBC">
              <w:t>Ischaemic</w:t>
            </w:r>
            <w:proofErr w:type="spellEnd"/>
            <w:r w:rsidRPr="006D3DBC">
              <w:t xml:space="preserve"> or undetermined</w:t>
            </w:r>
          </w:p>
        </w:tc>
        <w:tc>
          <w:tcPr>
            <w:tcW w:w="1587"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pPr>
            <w:r w:rsidRPr="006D3DBC">
              <w:t>43 (1.37)</w:t>
            </w:r>
          </w:p>
        </w:tc>
        <w:tc>
          <w:tcPr>
            <w:tcW w:w="1673"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pPr>
            <w:r w:rsidRPr="006D3DBC">
              <w:t>97 (3.11)</w:t>
            </w:r>
          </w:p>
        </w:tc>
        <w:tc>
          <w:tcPr>
            <w:tcW w:w="2176"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pPr>
            <w:r w:rsidRPr="006D3DBC">
              <w:t>0.44 (0.31, 0.63)</w:t>
            </w:r>
          </w:p>
        </w:tc>
        <w:tc>
          <w:tcPr>
            <w:tcW w:w="1170"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pPr>
          </w:p>
        </w:tc>
      </w:tr>
      <w:tr w:rsidR="00674C7C" w:rsidRPr="006D3DBC" w:rsidTr="00674C7C">
        <w:tc>
          <w:tcPr>
            <w:tcW w:w="2259"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keepNext/>
              <w:spacing w:beforeLines="60" w:afterLines="60" w:line="204" w:lineRule="auto"/>
              <w:ind w:left="540"/>
              <w:jc w:val="left"/>
              <w:rPr>
                <w:lang w:val="en-AU"/>
              </w:rPr>
            </w:pPr>
            <w:proofErr w:type="spellStart"/>
            <w:r w:rsidRPr="006D3DBC">
              <w:t>Haemorrhagic</w:t>
            </w:r>
            <w:proofErr w:type="spellEnd"/>
          </w:p>
        </w:tc>
        <w:tc>
          <w:tcPr>
            <w:tcW w:w="1587"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pPr>
            <w:r w:rsidRPr="006D3DBC">
              <w:t>6 (0.19)</w:t>
            </w:r>
          </w:p>
        </w:tc>
        <w:tc>
          <w:tcPr>
            <w:tcW w:w="1673"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pPr>
            <w:r w:rsidRPr="006D3DBC">
              <w:t>9 (0.28)</w:t>
            </w:r>
          </w:p>
        </w:tc>
        <w:tc>
          <w:tcPr>
            <w:tcW w:w="2176"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pPr>
            <w:r w:rsidRPr="006D3DBC">
              <w:t>0.67 (0.24, 1.88)</w:t>
            </w:r>
          </w:p>
        </w:tc>
        <w:tc>
          <w:tcPr>
            <w:tcW w:w="1170"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pPr>
            <w:r w:rsidRPr="006D3DBC">
              <w:t xml:space="preserve">    </w:t>
            </w:r>
          </w:p>
        </w:tc>
      </w:tr>
      <w:tr w:rsidR="00674C7C" w:rsidRPr="006D3DBC" w:rsidTr="00674C7C">
        <w:tc>
          <w:tcPr>
            <w:tcW w:w="2259"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keepNext/>
              <w:spacing w:beforeLines="60" w:afterLines="60" w:line="204" w:lineRule="auto"/>
              <w:ind w:left="270"/>
              <w:jc w:val="left"/>
              <w:rPr>
                <w:lang w:val="en-AU"/>
              </w:rPr>
            </w:pPr>
            <w:r w:rsidRPr="006D3DBC">
              <w:t>Systemic embolism</w:t>
            </w:r>
          </w:p>
        </w:tc>
        <w:tc>
          <w:tcPr>
            <w:tcW w:w="1587"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pPr>
            <w:r w:rsidRPr="006D3DBC">
              <w:t>2 (0.06)</w:t>
            </w:r>
          </w:p>
        </w:tc>
        <w:tc>
          <w:tcPr>
            <w:tcW w:w="1673"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pPr>
            <w:r w:rsidRPr="006D3DBC">
              <w:t>13 (0.41)</w:t>
            </w:r>
          </w:p>
        </w:tc>
        <w:tc>
          <w:tcPr>
            <w:tcW w:w="2176"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pPr>
            <w:r w:rsidRPr="006D3DBC">
              <w:t>0.15 (0.03, 0.68)</w:t>
            </w:r>
          </w:p>
        </w:tc>
        <w:tc>
          <w:tcPr>
            <w:tcW w:w="1170"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rPr>
                <w:strike/>
              </w:rPr>
            </w:pPr>
          </w:p>
        </w:tc>
      </w:tr>
      <w:tr w:rsidR="00674C7C" w:rsidRPr="006D3DBC" w:rsidTr="00674C7C">
        <w:tc>
          <w:tcPr>
            <w:tcW w:w="2259"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keepNext/>
              <w:spacing w:beforeLines="60" w:afterLines="60" w:line="204" w:lineRule="auto"/>
              <w:rPr>
                <w:lang w:val="en-AU"/>
              </w:rPr>
            </w:pPr>
            <w:r w:rsidRPr="006D3DBC">
              <w:t>Stroke, systemic embolism, MI, or vascular death</w:t>
            </w:r>
            <w:r w:rsidRPr="006D3DBC">
              <w:rPr>
                <w:b/>
              </w:rPr>
              <w:t>*</w:t>
            </w:r>
            <w:r w:rsidRPr="006D3DBC">
              <w:rPr>
                <w:rStyle w:val="BMSSuperscript"/>
                <w:sz w:val="20"/>
              </w:rPr>
              <w:t>†</w:t>
            </w:r>
          </w:p>
        </w:tc>
        <w:tc>
          <w:tcPr>
            <w:tcW w:w="1587"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pPr>
            <w:r w:rsidRPr="006D3DBC">
              <w:t>132 (4.21)</w:t>
            </w:r>
          </w:p>
        </w:tc>
        <w:tc>
          <w:tcPr>
            <w:tcW w:w="1673"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pPr>
            <w:r w:rsidRPr="006D3DBC">
              <w:t>197 (6.35)</w:t>
            </w:r>
          </w:p>
        </w:tc>
        <w:tc>
          <w:tcPr>
            <w:tcW w:w="2176"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rPr>
                <w:strike/>
              </w:rPr>
            </w:pPr>
            <w:r w:rsidRPr="006D3DBC">
              <w:t>0.66 (0.53, 0.83)</w:t>
            </w:r>
          </w:p>
        </w:tc>
        <w:tc>
          <w:tcPr>
            <w:tcW w:w="1170"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rPr>
                <w:strike/>
              </w:rPr>
            </w:pPr>
            <w:r w:rsidRPr="006D3DBC">
              <w:t>0.003^</w:t>
            </w:r>
          </w:p>
        </w:tc>
      </w:tr>
      <w:tr w:rsidR="00674C7C" w:rsidRPr="006D3DBC" w:rsidTr="00674C7C">
        <w:tc>
          <w:tcPr>
            <w:tcW w:w="2259"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keepNext/>
              <w:widowControl w:val="0"/>
              <w:spacing w:beforeLines="60" w:afterLines="60" w:line="204" w:lineRule="auto"/>
              <w:ind w:left="274"/>
              <w:jc w:val="left"/>
              <w:rPr>
                <w:sz w:val="20"/>
                <w:szCs w:val="20"/>
              </w:rPr>
            </w:pPr>
            <w:r w:rsidRPr="006D3DBC">
              <w:rPr>
                <w:sz w:val="20"/>
                <w:szCs w:val="20"/>
              </w:rPr>
              <w:t>Myocardial infarction</w:t>
            </w:r>
          </w:p>
        </w:tc>
        <w:tc>
          <w:tcPr>
            <w:tcW w:w="1587"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pPr>
            <w:r w:rsidRPr="006D3DBC">
              <w:t>24 (0.76)</w:t>
            </w:r>
          </w:p>
        </w:tc>
        <w:tc>
          <w:tcPr>
            <w:tcW w:w="1673"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pPr>
            <w:r w:rsidRPr="006D3DBC">
              <w:t>28 (0.89)</w:t>
            </w:r>
          </w:p>
        </w:tc>
        <w:tc>
          <w:tcPr>
            <w:tcW w:w="2176"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pPr>
            <w:r w:rsidRPr="006D3DBC">
              <w:t>0.86 (0.50, 1.48)</w:t>
            </w:r>
          </w:p>
        </w:tc>
        <w:tc>
          <w:tcPr>
            <w:tcW w:w="1170"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pPr>
          </w:p>
        </w:tc>
      </w:tr>
      <w:tr w:rsidR="00674C7C" w:rsidRPr="006D3DBC" w:rsidTr="00674C7C">
        <w:tc>
          <w:tcPr>
            <w:tcW w:w="2259"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keepNext/>
              <w:widowControl w:val="0"/>
              <w:spacing w:beforeLines="60" w:afterLines="60" w:line="204" w:lineRule="auto"/>
              <w:ind w:left="274"/>
              <w:jc w:val="left"/>
              <w:rPr>
                <w:sz w:val="20"/>
                <w:szCs w:val="20"/>
              </w:rPr>
            </w:pPr>
            <w:r w:rsidRPr="006D3DBC">
              <w:rPr>
                <w:sz w:val="20"/>
                <w:szCs w:val="20"/>
              </w:rPr>
              <w:t>Vascular Death</w:t>
            </w:r>
          </w:p>
        </w:tc>
        <w:tc>
          <w:tcPr>
            <w:tcW w:w="1587"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pPr>
            <w:r w:rsidRPr="006D3DBC">
              <w:t>84 (2.65)</w:t>
            </w:r>
          </w:p>
        </w:tc>
        <w:tc>
          <w:tcPr>
            <w:tcW w:w="1673"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pPr>
            <w:r w:rsidRPr="006D3DBC">
              <w:t>96 (3.03)</w:t>
            </w:r>
          </w:p>
        </w:tc>
        <w:tc>
          <w:tcPr>
            <w:tcW w:w="2176"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pPr>
            <w:r w:rsidRPr="006D3DBC">
              <w:t>0.87 (0.65, 1.17)</w:t>
            </w:r>
          </w:p>
        </w:tc>
        <w:tc>
          <w:tcPr>
            <w:tcW w:w="1170"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rPr>
                <w:strike/>
              </w:rPr>
            </w:pPr>
          </w:p>
        </w:tc>
      </w:tr>
      <w:tr w:rsidR="00674C7C" w:rsidRPr="006D3DBC" w:rsidTr="00674C7C">
        <w:tc>
          <w:tcPr>
            <w:tcW w:w="2259"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keepNext/>
              <w:tabs>
                <w:tab w:val="left" w:pos="540"/>
              </w:tabs>
              <w:spacing w:beforeLines="60" w:afterLines="60" w:line="204" w:lineRule="auto"/>
              <w:jc w:val="left"/>
              <w:rPr>
                <w:lang w:val="en-AU"/>
              </w:rPr>
            </w:pPr>
            <w:r w:rsidRPr="006D3DBC">
              <w:t>All-cause death*</w:t>
            </w:r>
            <w:r w:rsidRPr="006D3DBC">
              <w:rPr>
                <w:rStyle w:val="BMSSuperscript"/>
                <w:sz w:val="20"/>
              </w:rPr>
              <w:t>†</w:t>
            </w:r>
          </w:p>
        </w:tc>
        <w:tc>
          <w:tcPr>
            <w:tcW w:w="1587"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pPr>
            <w:r w:rsidRPr="006D3DBC">
              <w:t>111 (3.51)</w:t>
            </w:r>
          </w:p>
        </w:tc>
        <w:tc>
          <w:tcPr>
            <w:tcW w:w="1673"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rPr>
                <w:strike/>
              </w:rPr>
            </w:pPr>
            <w:r w:rsidRPr="006D3DBC">
              <w:t>140 (4.42)</w:t>
            </w:r>
          </w:p>
        </w:tc>
        <w:tc>
          <w:tcPr>
            <w:tcW w:w="2176"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pPr>
            <w:r w:rsidRPr="006D3DBC">
              <w:t>0.79 (0.62, 1.02)</w:t>
            </w:r>
          </w:p>
        </w:tc>
        <w:tc>
          <w:tcPr>
            <w:tcW w:w="1170" w:type="dxa"/>
            <w:tcBorders>
              <w:top w:val="single" w:sz="4" w:space="0" w:color="auto"/>
              <w:left w:val="single" w:sz="4" w:space="0" w:color="auto"/>
              <w:bottom w:val="single" w:sz="4" w:space="0" w:color="auto"/>
              <w:right w:val="single" w:sz="4" w:space="0" w:color="auto"/>
            </w:tcBorders>
          </w:tcPr>
          <w:p w:rsidR="00674C7C" w:rsidRPr="006D3DBC" w:rsidRDefault="00674C7C" w:rsidP="00F30B67">
            <w:pPr>
              <w:pStyle w:val="BMSTableText"/>
            </w:pPr>
            <w:r w:rsidRPr="006D3DBC">
              <w:t>0.068^</w:t>
            </w:r>
          </w:p>
        </w:tc>
      </w:tr>
    </w:tbl>
    <w:p w:rsidR="00674C7C" w:rsidRPr="006D3DBC" w:rsidRDefault="00674C7C" w:rsidP="00674C7C">
      <w:pPr>
        <w:pStyle w:val="BMSBodyText0"/>
        <w:spacing w:before="0" w:after="0" w:line="240" w:lineRule="auto"/>
        <w:rPr>
          <w:rStyle w:val="BMSTableNote"/>
          <w:sz w:val="20"/>
          <w:vertAlign w:val="baseline"/>
        </w:rPr>
      </w:pPr>
      <w:r w:rsidRPr="006D3DBC">
        <w:rPr>
          <w:rStyle w:val="BMSTableNote"/>
          <w:sz w:val="20"/>
          <w:vertAlign w:val="baseline"/>
        </w:rPr>
        <w:t>Due to early termination, the study was underpowered to evaluate all of the secondary endpoints.</w:t>
      </w:r>
    </w:p>
    <w:p w:rsidR="00674C7C" w:rsidRPr="006D3DBC" w:rsidRDefault="00674C7C" w:rsidP="00674C7C">
      <w:pPr>
        <w:pStyle w:val="BMSBodyText0"/>
        <w:spacing w:before="0" w:after="0" w:line="240" w:lineRule="auto"/>
        <w:rPr>
          <w:rStyle w:val="BMSTableNote"/>
          <w:sz w:val="20"/>
          <w:vertAlign w:val="baseline"/>
        </w:rPr>
      </w:pPr>
      <w:r w:rsidRPr="006D3DBC">
        <w:rPr>
          <w:rStyle w:val="BMSTableNote"/>
          <w:sz w:val="20"/>
          <w:vertAlign w:val="baseline"/>
        </w:rPr>
        <w:t>* Assessed by sequential testing strategy designed to control the overall Type I error in the trial</w:t>
      </w:r>
    </w:p>
    <w:p w:rsidR="00674C7C" w:rsidRPr="006D3DBC" w:rsidRDefault="00674C7C" w:rsidP="00674C7C">
      <w:pPr>
        <w:pStyle w:val="BMSBodyText0"/>
        <w:spacing w:before="0" w:after="0" w:line="240" w:lineRule="auto"/>
        <w:rPr>
          <w:rStyle w:val="BMSTableNote"/>
          <w:sz w:val="20"/>
          <w:vertAlign w:val="baseline"/>
        </w:rPr>
      </w:pPr>
      <w:r w:rsidRPr="006D3DBC">
        <w:rPr>
          <w:rStyle w:val="BMSTableNote"/>
          <w:sz w:val="20"/>
          <w:vertAlign w:val="baseline"/>
        </w:rPr>
        <w:t>† Secondary endpoint</w:t>
      </w:r>
    </w:p>
    <w:p w:rsidR="00674C7C" w:rsidRPr="006D3DBC" w:rsidRDefault="00674C7C" w:rsidP="00674C7C">
      <w:pPr>
        <w:pStyle w:val="BMSBodyText0"/>
        <w:spacing w:before="0" w:after="0" w:line="240" w:lineRule="auto"/>
        <w:rPr>
          <w:rStyle w:val="BMSTableNote"/>
          <w:sz w:val="20"/>
          <w:vertAlign w:val="baseline"/>
        </w:rPr>
      </w:pPr>
      <w:r w:rsidRPr="006D3DBC">
        <w:rPr>
          <w:rStyle w:val="BMSTableNote"/>
          <w:sz w:val="20"/>
          <w:vertAlign w:val="baseline"/>
        </w:rPr>
        <w:t>^ not statistically significant</w:t>
      </w:r>
    </w:p>
    <w:p w:rsidR="00674C7C" w:rsidRPr="006D3DBC" w:rsidRDefault="00674C7C" w:rsidP="00674C7C">
      <w:pPr>
        <w:pStyle w:val="BMSBodyText0"/>
        <w:spacing w:before="0" w:after="0" w:line="240" w:lineRule="auto"/>
        <w:rPr>
          <w:rStyle w:val="BMSTableNote"/>
          <w:sz w:val="20"/>
          <w:vertAlign w:val="baseline"/>
        </w:rPr>
      </w:pPr>
      <w:r w:rsidRPr="006D3DBC">
        <w:rPr>
          <w:rStyle w:val="BMSTableNote"/>
          <w:sz w:val="20"/>
          <w:vertAlign w:val="baseline"/>
        </w:rPr>
        <w:t>Events associated with each endpoint were counted once per subject, but subjects may have contributed events to multiple endpoints</w:t>
      </w:r>
    </w:p>
    <w:p w:rsidR="00674C7C" w:rsidRPr="00674C7C" w:rsidRDefault="00674C7C" w:rsidP="00674C7C">
      <w:pPr>
        <w:pStyle w:val="Heading3"/>
      </w:pPr>
      <w:r w:rsidRPr="00674C7C">
        <w:t xml:space="preserve">Bleeding in Patients with </w:t>
      </w:r>
      <w:proofErr w:type="spellStart"/>
      <w:r w:rsidRPr="00674C7C">
        <w:t>Atrial</w:t>
      </w:r>
      <w:proofErr w:type="spellEnd"/>
      <w:r w:rsidRPr="00674C7C">
        <w:t xml:space="preserve"> Fibrillation</w:t>
      </w:r>
    </w:p>
    <w:p w:rsidR="00674C7C" w:rsidRPr="006D3DBC" w:rsidRDefault="00674C7C" w:rsidP="00674C7C">
      <w:pPr>
        <w:rPr>
          <w:i/>
        </w:rPr>
      </w:pPr>
      <w:r w:rsidRPr="006D3DBC">
        <w:t>In the ARISTOTLE and AVERROES studies, the primary safety endpoint was major bleeding, which was defined as acute clinically overt bleeding that was accompanied by one or more of the following: a decrease in haemoglobin of 20 g/L or more; a transfusion of 2 or more units of packed red blood cells; bleeding that occurred in at least one of the following critical sites: intracranial, intraspinal, intraocular (within the corpus of the eye; thus, a conjunctival bleed is not an intraocular bleed), pericardial, intra-articular, intramuscular with compartment syndrome, retroperitoneal; bleeding that is fatal.  Intracranial haemorrhage included intracerebral (including haemorrhagic stroke), subarachnoid, and subdural bleeds.</w:t>
      </w:r>
    </w:p>
    <w:p w:rsidR="00674C7C" w:rsidRDefault="00674C7C" w:rsidP="00674C7C">
      <w:r w:rsidRPr="006D3DBC">
        <w:t xml:space="preserve">Clinically relevant non-major bleeding (CRNM) was defined as acute clinically overt bleeding that does not satisfy additional criteria required for the bleeding event to be defined as a major bleeding event and meets at least one of the following criteria: hospital admission for bleeding; physician guided medical or surgical treatment for bleeding; change in antithrombotic treatment (anticoagulant or </w:t>
      </w:r>
      <w:proofErr w:type="spellStart"/>
      <w:r w:rsidRPr="006D3DBC">
        <w:t>antiplatelet</w:t>
      </w:r>
      <w:proofErr w:type="spellEnd"/>
      <w:r w:rsidRPr="006D3DBC">
        <w:t>) therapy.</w:t>
      </w:r>
    </w:p>
    <w:p w:rsidR="00674C7C" w:rsidRDefault="00674C7C" w:rsidP="00674C7C">
      <w:r w:rsidRPr="006D3DBC">
        <w:rPr>
          <w:b/>
        </w:rPr>
        <w:t>ARISTOTLE Study</w:t>
      </w:r>
      <w:r w:rsidRPr="006D3DBC">
        <w:t xml:space="preserve">: There was a statistically superior reduction in the incidence of ISTH major bleeding in the apixaban treatment group compared to the warfarin treatment group (see </w:t>
      </w:r>
      <w:r>
        <w:t>ADVERSE EFFECTS, Table 8</w:t>
      </w:r>
      <w:r w:rsidRPr="006D3DBC">
        <w:t xml:space="preserve">).  There was also a significant reduction in the incidence of ISTH </w:t>
      </w:r>
      <w:proofErr w:type="spellStart"/>
      <w:r w:rsidRPr="006D3DBC">
        <w:t>major+CRNM</w:t>
      </w:r>
      <w:proofErr w:type="spellEnd"/>
      <w:r w:rsidRPr="006D3DBC">
        <w:t xml:space="preserve"> and all bleeding.</w:t>
      </w:r>
    </w:p>
    <w:p w:rsidR="00674C7C" w:rsidRPr="006D3DBC" w:rsidRDefault="00674C7C" w:rsidP="00674C7C">
      <w:pPr>
        <w:pStyle w:val="BMSTableTitle"/>
        <w:tabs>
          <w:tab w:val="clear" w:pos="2160"/>
        </w:tabs>
        <w:ind w:left="34" w:firstLine="0"/>
        <w:rPr>
          <w:rFonts w:eastAsia="MS Mincho"/>
          <w:noProof/>
          <w:lang w:val="en-AU"/>
        </w:rPr>
      </w:pPr>
      <w:r w:rsidRPr="006D3DBC">
        <w:rPr>
          <w:rFonts w:ascii="Calibri" w:hAnsi="Calibri"/>
          <w:szCs w:val="24"/>
          <w:lang w:val="en-AU"/>
        </w:rPr>
        <w:lastRenderedPageBreak/>
        <w:t>Figure 2: Stroke and systemic embolism (A), and bleeding (B) ratios by baseline characteristics - AVERROES</w:t>
      </w:r>
    </w:p>
    <w:p w:rsidR="00674C7C" w:rsidRPr="006C713D" w:rsidRDefault="00674C7C" w:rsidP="00674C7C">
      <w:r w:rsidRPr="00674C7C">
        <w:drawing>
          <wp:inline distT="0" distB="0" distL="0" distR="0">
            <wp:extent cx="5271770" cy="5955665"/>
            <wp:effectExtent l="19050" t="0" r="5080" b="0"/>
            <wp:docPr id="1" name="Picture 3" descr="Figure 2: Stroke and systemic embolism (A), and bleeding (B) ratios by baseline characteristics - AVERR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erroes_Forest_plot_1A"/>
                    <pic:cNvPicPr>
                      <a:picLocks noChangeAspect="1" noChangeArrowheads="1"/>
                    </pic:cNvPicPr>
                  </pic:nvPicPr>
                  <pic:blipFill>
                    <a:blip r:embed="rId10"/>
                    <a:srcRect/>
                    <a:stretch>
                      <a:fillRect/>
                    </a:stretch>
                  </pic:blipFill>
                  <pic:spPr bwMode="auto">
                    <a:xfrm>
                      <a:off x="0" y="0"/>
                      <a:ext cx="5271770" cy="5955665"/>
                    </a:xfrm>
                    <a:prstGeom prst="rect">
                      <a:avLst/>
                    </a:prstGeom>
                    <a:noFill/>
                    <a:ln w="9525">
                      <a:noFill/>
                      <a:miter lim="800000"/>
                      <a:headEnd/>
                      <a:tailEnd/>
                    </a:ln>
                  </pic:spPr>
                </pic:pic>
              </a:graphicData>
            </a:graphic>
          </wp:inline>
        </w:drawing>
      </w:r>
    </w:p>
    <w:p w:rsidR="008D79DB" w:rsidRDefault="00674C7C">
      <w:r w:rsidRPr="00674C7C">
        <w:lastRenderedPageBreak/>
        <w:drawing>
          <wp:inline distT="0" distB="0" distL="0" distR="0">
            <wp:extent cx="5359400" cy="5931535"/>
            <wp:effectExtent l="19050" t="0" r="0" b="0"/>
            <wp:docPr id="6" name="Picture 1" descr="Figure 2: Stroke and systemic embolism (A), and bleeding (B) ratios by baseline characteristics - AVERR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erroes_Forest_plot_01B.jpg"/>
                    <pic:cNvPicPr>
                      <a:picLocks noChangeAspect="1" noChangeArrowheads="1"/>
                    </pic:cNvPicPr>
                  </pic:nvPicPr>
                  <pic:blipFill>
                    <a:blip r:embed="rId11"/>
                    <a:srcRect/>
                    <a:stretch>
                      <a:fillRect/>
                    </a:stretch>
                  </pic:blipFill>
                  <pic:spPr bwMode="auto">
                    <a:xfrm>
                      <a:off x="0" y="0"/>
                      <a:ext cx="5359400" cy="5931535"/>
                    </a:xfrm>
                    <a:prstGeom prst="rect">
                      <a:avLst/>
                    </a:prstGeom>
                    <a:noFill/>
                    <a:ln w="9525">
                      <a:noFill/>
                      <a:miter lim="800000"/>
                      <a:headEnd/>
                      <a:tailEnd/>
                    </a:ln>
                  </pic:spPr>
                </pic:pic>
              </a:graphicData>
            </a:graphic>
          </wp:inline>
        </w:drawing>
      </w:r>
    </w:p>
    <w:p w:rsidR="00674C7C" w:rsidRDefault="00674C7C">
      <w:r w:rsidRPr="006D3DBC">
        <w:t xml:space="preserve">In a clinical study in high risk acute coronary syndrome patients, as characterised by advanced age and multiple cardiac and non-cardiac co-morbidities (e.g., diabetes, heart failure), receiving apixaban 5 mg twice daily versus placebo, a significant increase in bleeding risk, including gastrointestinal and intracranial bleeding, was reported with the triple combination of apixaban, ASA and clopidogrel (see INTERACTIONS WITH OTHER MEDICINES, Effect of Other Medicines on </w:t>
      </w:r>
      <w:proofErr w:type="spellStart"/>
      <w:r w:rsidRPr="006D3DBC">
        <w:t>apixaban</w:t>
      </w:r>
      <w:proofErr w:type="spellEnd"/>
      <w:r w:rsidRPr="006D3DBC">
        <w:t>).</w:t>
      </w:r>
    </w:p>
    <w:p w:rsidR="00674C7C" w:rsidRDefault="00674C7C" w:rsidP="00674C7C">
      <w:pPr>
        <w:pStyle w:val="Heading1"/>
      </w:pPr>
      <w:r w:rsidRPr="006D3DBC">
        <w:t>INDICATIONS</w:t>
      </w:r>
    </w:p>
    <w:p w:rsidR="00674C7C" w:rsidRDefault="00674C7C">
      <w:r w:rsidRPr="006D3DBC">
        <w:t>ELIQUIS is indicated for the prevention of venous thromboembolic events (VTE) in adult patients who have undergone elective total hip or total knee replacement surgery.</w:t>
      </w:r>
    </w:p>
    <w:p w:rsidR="00674C7C" w:rsidRPr="006D3DBC" w:rsidRDefault="00674C7C" w:rsidP="00674C7C">
      <w:r w:rsidRPr="006D3DBC">
        <w:t xml:space="preserve">ELIQUIS is indicated </w:t>
      </w:r>
      <w:r w:rsidRPr="00547BF8">
        <w:t>for the prevention</w:t>
      </w:r>
      <w:r w:rsidRPr="006D3DBC">
        <w:t xml:space="preserve"> of stroke and systemic embolism in patients with non-valvular atrial fibrillation </w:t>
      </w:r>
      <w:r>
        <w:t xml:space="preserve">and </w:t>
      </w:r>
      <w:r w:rsidRPr="006D3DBC">
        <w:t>at least one additional risk factor for stroke.</w:t>
      </w:r>
    </w:p>
    <w:p w:rsidR="00674C7C" w:rsidRDefault="00674C7C" w:rsidP="00674C7C">
      <w:pPr>
        <w:pStyle w:val="Heading1"/>
      </w:pPr>
      <w:r w:rsidRPr="006D3DBC">
        <w:lastRenderedPageBreak/>
        <w:t>CONTRAINDICATIONS</w:t>
      </w:r>
    </w:p>
    <w:p w:rsidR="00674C7C" w:rsidRPr="00FD4436" w:rsidRDefault="00674C7C" w:rsidP="00674C7C">
      <w:r w:rsidRPr="00FD4436">
        <w:t>ELIQUIS is contraindicated in patients:</w:t>
      </w:r>
    </w:p>
    <w:p w:rsidR="00674C7C" w:rsidRPr="00FD4436" w:rsidRDefault="00674C7C" w:rsidP="00674C7C">
      <w:pPr>
        <w:pStyle w:val="BMSBodyText0"/>
        <w:numPr>
          <w:ilvl w:val="0"/>
          <w:numId w:val="1"/>
        </w:numPr>
        <w:rPr>
          <w:color w:val="auto"/>
          <w:lang w:val="en-AU"/>
        </w:rPr>
      </w:pPr>
      <w:r w:rsidRPr="00FD4436">
        <w:rPr>
          <w:color w:val="auto"/>
          <w:lang w:val="en-AU"/>
        </w:rPr>
        <w:t xml:space="preserve">with hypersensitivity to </w:t>
      </w:r>
      <w:proofErr w:type="spellStart"/>
      <w:r w:rsidRPr="00FD4436">
        <w:rPr>
          <w:color w:val="auto"/>
          <w:lang w:val="en-AU"/>
        </w:rPr>
        <w:t>apixaban</w:t>
      </w:r>
      <w:proofErr w:type="spellEnd"/>
      <w:r w:rsidRPr="00FD4436">
        <w:rPr>
          <w:color w:val="auto"/>
          <w:lang w:val="en-AU"/>
        </w:rPr>
        <w:t xml:space="preserve"> or to any of the </w:t>
      </w:r>
      <w:proofErr w:type="spellStart"/>
      <w:r w:rsidRPr="00FD4436">
        <w:rPr>
          <w:color w:val="auto"/>
          <w:lang w:val="en-AU"/>
        </w:rPr>
        <w:t>excipients</w:t>
      </w:r>
      <w:proofErr w:type="spellEnd"/>
      <w:r w:rsidRPr="00FD4436">
        <w:rPr>
          <w:color w:val="auto"/>
          <w:lang w:val="en-AU"/>
        </w:rPr>
        <w:t>;</w:t>
      </w:r>
    </w:p>
    <w:p w:rsidR="00674C7C" w:rsidRPr="00FD4436" w:rsidRDefault="00674C7C" w:rsidP="00674C7C">
      <w:pPr>
        <w:pStyle w:val="BMSBodyText0"/>
        <w:numPr>
          <w:ilvl w:val="0"/>
          <w:numId w:val="1"/>
        </w:numPr>
        <w:rPr>
          <w:color w:val="auto"/>
          <w:lang w:val="en-AU"/>
        </w:rPr>
      </w:pPr>
      <w:r w:rsidRPr="00FD4436">
        <w:rPr>
          <w:color w:val="auto"/>
          <w:lang w:val="en-AU"/>
        </w:rPr>
        <w:t>with spontaneous or pharmacological impairment of haemostasis;</w:t>
      </w:r>
    </w:p>
    <w:p w:rsidR="00674C7C" w:rsidRPr="00FD4436" w:rsidRDefault="00674C7C" w:rsidP="00674C7C">
      <w:pPr>
        <w:pStyle w:val="BMSBodyText0"/>
        <w:numPr>
          <w:ilvl w:val="0"/>
          <w:numId w:val="1"/>
        </w:numPr>
        <w:rPr>
          <w:color w:val="auto"/>
          <w:lang w:val="en-AU"/>
        </w:rPr>
      </w:pPr>
      <w:r w:rsidRPr="00401AA0">
        <w:rPr>
          <w:color w:val="auto"/>
          <w:lang w:val="en-AU"/>
        </w:rPr>
        <w:t>with clinically significant active bleeding (e.g. intracranial bleeding, gastrointestinal bleeding);</w:t>
      </w:r>
    </w:p>
    <w:p w:rsidR="00674C7C" w:rsidRPr="00FD4436" w:rsidRDefault="00674C7C" w:rsidP="00674C7C">
      <w:pPr>
        <w:pStyle w:val="BMSBodyText0"/>
        <w:numPr>
          <w:ilvl w:val="0"/>
          <w:numId w:val="1"/>
        </w:numPr>
        <w:rPr>
          <w:color w:val="auto"/>
          <w:lang w:val="en-AU"/>
        </w:rPr>
      </w:pPr>
      <w:r w:rsidRPr="00401AA0">
        <w:rPr>
          <w:color w:val="auto"/>
          <w:lang w:val="en-AU"/>
        </w:rPr>
        <w:t xml:space="preserve">with hepatic disease associated with </w:t>
      </w:r>
      <w:proofErr w:type="spellStart"/>
      <w:r w:rsidRPr="00401AA0">
        <w:rPr>
          <w:color w:val="auto"/>
          <w:lang w:val="en-AU"/>
        </w:rPr>
        <w:t>coagulopathy</w:t>
      </w:r>
      <w:proofErr w:type="spellEnd"/>
      <w:r w:rsidRPr="00401AA0">
        <w:rPr>
          <w:color w:val="auto"/>
          <w:lang w:val="en-AU"/>
        </w:rPr>
        <w:t xml:space="preserve"> and clinically relevant bleeding risk, including severe hepatic impairment (Child-Pugh C) (see PHARMACOLOGY, Pharmacokinetics);</w:t>
      </w:r>
    </w:p>
    <w:p w:rsidR="00674C7C" w:rsidRPr="00F07028" w:rsidRDefault="00674C7C" w:rsidP="00674C7C">
      <w:pPr>
        <w:pStyle w:val="BMSBodyText0"/>
        <w:numPr>
          <w:ilvl w:val="0"/>
          <w:numId w:val="1"/>
        </w:numPr>
        <w:rPr>
          <w:color w:val="auto"/>
          <w:lang w:val="en-AU"/>
        </w:rPr>
      </w:pPr>
      <w:r w:rsidRPr="00026AD5">
        <w:rPr>
          <w:color w:val="auto"/>
          <w:lang w:val="en-AU"/>
        </w:rPr>
        <w:t xml:space="preserve">with renal impairment </w:t>
      </w:r>
      <w:proofErr w:type="spellStart"/>
      <w:r w:rsidRPr="00026AD5">
        <w:rPr>
          <w:color w:val="auto"/>
          <w:lang w:val="en-AU"/>
        </w:rPr>
        <w:t>creatinine</w:t>
      </w:r>
      <w:proofErr w:type="spellEnd"/>
      <w:r w:rsidRPr="00026AD5">
        <w:rPr>
          <w:color w:val="auto"/>
          <w:lang w:val="en-AU"/>
        </w:rPr>
        <w:t xml:space="preserve"> clearance &lt; 25 </w:t>
      </w:r>
      <w:proofErr w:type="spellStart"/>
      <w:r w:rsidRPr="00026AD5">
        <w:rPr>
          <w:color w:val="auto"/>
          <w:lang w:val="en-AU"/>
        </w:rPr>
        <w:t>mL</w:t>
      </w:r>
      <w:proofErr w:type="spellEnd"/>
      <w:r w:rsidRPr="00026AD5">
        <w:rPr>
          <w:color w:val="auto"/>
          <w:lang w:val="en-AU"/>
        </w:rPr>
        <w:t>/min</w:t>
      </w:r>
      <w:r w:rsidRPr="00401AA0">
        <w:rPr>
          <w:color w:val="auto"/>
          <w:lang w:val="en-AU"/>
        </w:rPr>
        <w:t xml:space="preserve"> (see PHARMACOLOGY, Pharmacokinetics</w:t>
      </w:r>
      <w:r w:rsidRPr="00FD4436">
        <w:rPr>
          <w:color w:val="auto"/>
          <w:lang w:val="en-AU"/>
        </w:rPr>
        <w:t>);</w:t>
      </w:r>
      <w:r w:rsidRPr="00FD4436">
        <w:rPr>
          <w:szCs w:val="24"/>
        </w:rPr>
        <w:t xml:space="preserve"> </w:t>
      </w:r>
    </w:p>
    <w:p w:rsidR="00674C7C" w:rsidRPr="00FD4436" w:rsidRDefault="00674C7C" w:rsidP="00674C7C">
      <w:pPr>
        <w:pStyle w:val="BMSBodyText0"/>
        <w:numPr>
          <w:ilvl w:val="0"/>
          <w:numId w:val="1"/>
        </w:numPr>
        <w:rPr>
          <w:color w:val="auto"/>
          <w:lang w:val="en-AU"/>
        </w:rPr>
      </w:pPr>
      <w:r w:rsidRPr="00FD4436">
        <w:rPr>
          <w:color w:val="auto"/>
          <w:lang w:val="en-AU"/>
        </w:rPr>
        <w:t>receiving concomitant treatment with strong inhibitors of both CYP3A4 and P-</w:t>
      </w:r>
      <w:proofErr w:type="spellStart"/>
      <w:r w:rsidRPr="00FD4436">
        <w:rPr>
          <w:color w:val="auto"/>
          <w:lang w:val="en-AU"/>
        </w:rPr>
        <w:t>gp</w:t>
      </w:r>
      <w:proofErr w:type="spellEnd"/>
      <w:r w:rsidRPr="00FD4436">
        <w:rPr>
          <w:color w:val="auto"/>
          <w:lang w:val="en-AU"/>
        </w:rPr>
        <w:t xml:space="preserve">, such as systemic treatment with </w:t>
      </w:r>
      <w:proofErr w:type="spellStart"/>
      <w:r w:rsidRPr="00FD4436">
        <w:rPr>
          <w:color w:val="auto"/>
          <w:lang w:val="en-AU"/>
        </w:rPr>
        <w:t>azole-antimycotics</w:t>
      </w:r>
      <w:proofErr w:type="spellEnd"/>
      <w:r w:rsidRPr="00FD4436">
        <w:rPr>
          <w:color w:val="auto"/>
          <w:lang w:val="en-AU"/>
        </w:rPr>
        <w:t xml:space="preserve"> (e.g., </w:t>
      </w:r>
      <w:proofErr w:type="spellStart"/>
      <w:r w:rsidRPr="00FD4436">
        <w:rPr>
          <w:color w:val="auto"/>
          <w:lang w:val="en-AU"/>
        </w:rPr>
        <w:t>ketoconazole</w:t>
      </w:r>
      <w:proofErr w:type="spellEnd"/>
      <w:r w:rsidRPr="00FD4436">
        <w:rPr>
          <w:color w:val="auto"/>
          <w:lang w:val="en-AU"/>
        </w:rPr>
        <w:t xml:space="preserve">) or HIV protease inhibitors (e.g., </w:t>
      </w:r>
      <w:proofErr w:type="spellStart"/>
      <w:r w:rsidRPr="00FD4436">
        <w:rPr>
          <w:color w:val="auto"/>
          <w:lang w:val="en-AU"/>
        </w:rPr>
        <w:t>ritonavir</w:t>
      </w:r>
      <w:proofErr w:type="spellEnd"/>
      <w:r w:rsidRPr="00FD4436">
        <w:rPr>
          <w:color w:val="auto"/>
          <w:lang w:val="en-AU"/>
        </w:rPr>
        <w:t>) (see INTERACTIONS WITH OTHER MEDICINES);</w:t>
      </w:r>
    </w:p>
    <w:p w:rsidR="00674C7C" w:rsidRPr="00FD4436" w:rsidRDefault="00674C7C" w:rsidP="00674C7C">
      <w:pPr>
        <w:pStyle w:val="EMEABodyText"/>
        <w:numPr>
          <w:ilvl w:val="0"/>
          <w:numId w:val="9"/>
        </w:numPr>
        <w:spacing w:before="120" w:after="120" w:line="300" w:lineRule="auto"/>
        <w:ind w:left="714" w:hanging="357"/>
        <w:rPr>
          <w:sz w:val="24"/>
          <w:szCs w:val="24"/>
        </w:rPr>
      </w:pPr>
      <w:r w:rsidRPr="00401AA0">
        <w:rPr>
          <w:sz w:val="24"/>
          <w:szCs w:val="24"/>
        </w:rPr>
        <w:t xml:space="preserve">with a lesion or condition at significant risk of major bleeding such as current or recent gastrointestinal ulceration, presence of malignant </w:t>
      </w:r>
      <w:proofErr w:type="spellStart"/>
      <w:r w:rsidRPr="00401AA0">
        <w:rPr>
          <w:sz w:val="24"/>
          <w:szCs w:val="24"/>
        </w:rPr>
        <w:t>neoplasms</w:t>
      </w:r>
      <w:proofErr w:type="spellEnd"/>
      <w:r w:rsidRPr="00401AA0">
        <w:rPr>
          <w:sz w:val="24"/>
          <w:szCs w:val="24"/>
        </w:rPr>
        <w:t xml:space="preserve"> at high risk of bleeding, recent brain or spinal injury, recent brain, spinal or ophthalmic surgery, recent intracranial haemorrhage, known or suspected oesophageal </w:t>
      </w:r>
      <w:proofErr w:type="spellStart"/>
      <w:r w:rsidRPr="00401AA0">
        <w:rPr>
          <w:sz w:val="24"/>
          <w:szCs w:val="24"/>
        </w:rPr>
        <w:t>varices</w:t>
      </w:r>
      <w:proofErr w:type="spellEnd"/>
      <w:r w:rsidRPr="00401AA0">
        <w:rPr>
          <w:sz w:val="24"/>
          <w:szCs w:val="24"/>
        </w:rPr>
        <w:t xml:space="preserve">, </w:t>
      </w:r>
      <w:proofErr w:type="spellStart"/>
      <w:r w:rsidRPr="00401AA0">
        <w:rPr>
          <w:sz w:val="24"/>
          <w:szCs w:val="24"/>
        </w:rPr>
        <w:t>arteriovenous</w:t>
      </w:r>
      <w:proofErr w:type="spellEnd"/>
      <w:r w:rsidRPr="00401AA0">
        <w:rPr>
          <w:sz w:val="24"/>
          <w:szCs w:val="24"/>
        </w:rPr>
        <w:t xml:space="preserve"> malformations, vascular aneurysms or major </w:t>
      </w:r>
      <w:proofErr w:type="spellStart"/>
      <w:r w:rsidRPr="00401AA0">
        <w:rPr>
          <w:sz w:val="24"/>
          <w:szCs w:val="24"/>
        </w:rPr>
        <w:t>intraspinal</w:t>
      </w:r>
      <w:proofErr w:type="spellEnd"/>
      <w:r w:rsidRPr="00401AA0">
        <w:rPr>
          <w:sz w:val="24"/>
          <w:szCs w:val="24"/>
        </w:rPr>
        <w:t xml:space="preserve"> or </w:t>
      </w:r>
      <w:proofErr w:type="spellStart"/>
      <w:r w:rsidRPr="00401AA0">
        <w:rPr>
          <w:sz w:val="24"/>
          <w:szCs w:val="24"/>
        </w:rPr>
        <w:t>intracerebral</w:t>
      </w:r>
      <w:proofErr w:type="spellEnd"/>
      <w:r w:rsidRPr="00401AA0">
        <w:rPr>
          <w:sz w:val="24"/>
          <w:szCs w:val="24"/>
        </w:rPr>
        <w:t xml:space="preserve"> vascular abnormalities; </w:t>
      </w:r>
    </w:p>
    <w:p w:rsidR="00674C7C" w:rsidRPr="00FD4436" w:rsidRDefault="00674C7C" w:rsidP="00674C7C">
      <w:pPr>
        <w:pStyle w:val="EMEABodyText"/>
        <w:numPr>
          <w:ilvl w:val="0"/>
          <w:numId w:val="9"/>
        </w:numPr>
        <w:spacing w:before="120" w:after="120" w:line="300" w:lineRule="auto"/>
        <w:ind w:left="714" w:hanging="357"/>
        <w:rPr>
          <w:sz w:val="24"/>
          <w:szCs w:val="24"/>
        </w:rPr>
      </w:pPr>
      <w:r w:rsidRPr="00401AA0">
        <w:rPr>
          <w:sz w:val="24"/>
          <w:szCs w:val="24"/>
        </w:rPr>
        <w:t xml:space="preserve">receiving concomitant treatment with any other anticoagulant agent e.g. </w:t>
      </w:r>
      <w:proofErr w:type="spellStart"/>
      <w:r w:rsidRPr="00401AA0">
        <w:rPr>
          <w:sz w:val="24"/>
          <w:szCs w:val="24"/>
        </w:rPr>
        <w:t>unfractionated</w:t>
      </w:r>
      <w:proofErr w:type="spellEnd"/>
      <w:r w:rsidRPr="00401AA0">
        <w:rPr>
          <w:sz w:val="24"/>
          <w:szCs w:val="24"/>
        </w:rPr>
        <w:t xml:space="preserve"> heparin (UFH), low molecular weight heparins (</w:t>
      </w:r>
      <w:proofErr w:type="spellStart"/>
      <w:r w:rsidRPr="00401AA0">
        <w:rPr>
          <w:sz w:val="24"/>
          <w:szCs w:val="24"/>
        </w:rPr>
        <w:t>enoxaparin</w:t>
      </w:r>
      <w:proofErr w:type="spellEnd"/>
      <w:r w:rsidRPr="00401AA0">
        <w:rPr>
          <w:sz w:val="24"/>
          <w:szCs w:val="24"/>
        </w:rPr>
        <w:t xml:space="preserve">, </w:t>
      </w:r>
      <w:proofErr w:type="spellStart"/>
      <w:r w:rsidRPr="00401AA0">
        <w:rPr>
          <w:sz w:val="24"/>
          <w:szCs w:val="24"/>
        </w:rPr>
        <w:t>dalteparin</w:t>
      </w:r>
      <w:proofErr w:type="spellEnd"/>
      <w:r w:rsidRPr="00401AA0">
        <w:rPr>
          <w:sz w:val="24"/>
          <w:szCs w:val="24"/>
        </w:rPr>
        <w:t>, etc.), heparin derivatives (</w:t>
      </w:r>
      <w:proofErr w:type="spellStart"/>
      <w:r w:rsidRPr="00401AA0">
        <w:rPr>
          <w:sz w:val="24"/>
          <w:szCs w:val="24"/>
        </w:rPr>
        <w:t>fondaparinux</w:t>
      </w:r>
      <w:proofErr w:type="spellEnd"/>
      <w:r w:rsidRPr="00401AA0">
        <w:rPr>
          <w:sz w:val="24"/>
          <w:szCs w:val="24"/>
        </w:rPr>
        <w:t>, etc.), oral anticoagulants (</w:t>
      </w:r>
      <w:proofErr w:type="spellStart"/>
      <w:r w:rsidRPr="00401AA0">
        <w:rPr>
          <w:sz w:val="24"/>
          <w:szCs w:val="24"/>
        </w:rPr>
        <w:t>warfarin</w:t>
      </w:r>
      <w:proofErr w:type="spellEnd"/>
      <w:r w:rsidRPr="00401AA0">
        <w:rPr>
          <w:sz w:val="24"/>
          <w:szCs w:val="24"/>
        </w:rPr>
        <w:t xml:space="preserve">, </w:t>
      </w:r>
      <w:proofErr w:type="spellStart"/>
      <w:r w:rsidRPr="00401AA0">
        <w:rPr>
          <w:sz w:val="24"/>
          <w:szCs w:val="24"/>
        </w:rPr>
        <w:t>rivaroxaban</w:t>
      </w:r>
      <w:proofErr w:type="spellEnd"/>
      <w:r w:rsidRPr="00401AA0">
        <w:rPr>
          <w:sz w:val="24"/>
          <w:szCs w:val="24"/>
        </w:rPr>
        <w:t xml:space="preserve">, </w:t>
      </w:r>
      <w:proofErr w:type="spellStart"/>
      <w:r w:rsidRPr="00401AA0">
        <w:rPr>
          <w:sz w:val="24"/>
          <w:szCs w:val="24"/>
        </w:rPr>
        <w:t>dabigatran</w:t>
      </w:r>
      <w:proofErr w:type="spellEnd"/>
      <w:r w:rsidRPr="00401AA0">
        <w:rPr>
          <w:sz w:val="24"/>
          <w:szCs w:val="24"/>
        </w:rPr>
        <w:t xml:space="preserve">, etc.) except under the circumstances of switching therapy to or from </w:t>
      </w:r>
      <w:proofErr w:type="spellStart"/>
      <w:r w:rsidRPr="00401AA0">
        <w:rPr>
          <w:sz w:val="24"/>
          <w:szCs w:val="24"/>
        </w:rPr>
        <w:t>apixaban</w:t>
      </w:r>
      <w:proofErr w:type="spellEnd"/>
      <w:r w:rsidRPr="00401AA0">
        <w:rPr>
          <w:sz w:val="24"/>
          <w:szCs w:val="24"/>
        </w:rPr>
        <w:t xml:space="preserve"> (see DOSAGE AND ADMINISTRATION) or when UHF is given at doses necessary to maintain a patent central venous or arterial catheter</w:t>
      </w:r>
      <w:r>
        <w:rPr>
          <w:lang w:val="en-AU"/>
        </w:rPr>
        <w:t>.</w:t>
      </w:r>
    </w:p>
    <w:p w:rsidR="00674C7C" w:rsidRDefault="00674C7C" w:rsidP="00674C7C">
      <w:pPr>
        <w:pStyle w:val="Heading1"/>
      </w:pPr>
      <w:r w:rsidRPr="006D3DBC">
        <w:t>PRECAUTIONS</w:t>
      </w:r>
    </w:p>
    <w:p w:rsidR="00674C7C" w:rsidRDefault="00674C7C" w:rsidP="00674C7C">
      <w:pPr>
        <w:pStyle w:val="Heading2"/>
      </w:pPr>
      <w:r w:rsidRPr="006D3DBC">
        <w:t>Haemorrhage Risk</w:t>
      </w:r>
    </w:p>
    <w:p w:rsidR="00674C7C" w:rsidRPr="005F2924" w:rsidRDefault="00674C7C" w:rsidP="00674C7C">
      <w:proofErr w:type="gramStart"/>
      <w:r w:rsidRPr="005F2924">
        <w:t>As with all anticoagulants, ELIQUIS should be used with caution in circumstances associated with increased risk of bleeding.</w:t>
      </w:r>
      <w:proofErr w:type="gramEnd"/>
      <w:r w:rsidRPr="005F2924">
        <w:t xml:space="preserve">  ELIQUIS increases the risk of bleeding and can cause serious, potentially fatal bleeding.</w:t>
      </w:r>
    </w:p>
    <w:p w:rsidR="00674C7C" w:rsidRDefault="00674C7C" w:rsidP="00674C7C">
      <w:r w:rsidRPr="005F2924">
        <w:t>Patients taking ELIQUIS are to be carefully observed for signs of bleeding complications after initiation of treatment.  Any unexplained fall in haemoglobin or blood pressure should lead to a search for a bleeding site.</w:t>
      </w:r>
    </w:p>
    <w:p w:rsidR="00674C7C" w:rsidRPr="005F2924" w:rsidRDefault="00674C7C" w:rsidP="00674C7C">
      <w:r w:rsidRPr="005F2924">
        <w:lastRenderedPageBreak/>
        <w:t>ELIQUIS administration should be discontinued if severe haemorrhage occurs (see OVERDOSAGE).</w:t>
      </w:r>
    </w:p>
    <w:p w:rsidR="00674C7C" w:rsidRPr="005F2924" w:rsidRDefault="00674C7C" w:rsidP="00674C7C">
      <w:r w:rsidRPr="005F2924">
        <w:t>Whilst ELIQUIS is contraindicated in a number of patients (see CONTRAINDICATIONS), cautious use is recommended in patients with increased risk of haemorrhage such as:</w:t>
      </w:r>
    </w:p>
    <w:p w:rsidR="00674C7C" w:rsidRPr="005F2924" w:rsidRDefault="00674C7C" w:rsidP="00674C7C">
      <w:pPr>
        <w:pStyle w:val="ListParagraph"/>
        <w:numPr>
          <w:ilvl w:val="0"/>
          <w:numId w:val="11"/>
        </w:numPr>
      </w:pPr>
      <w:r w:rsidRPr="005F2924">
        <w:t>congenital or acquired bleeding disorders;</w:t>
      </w:r>
    </w:p>
    <w:p w:rsidR="00674C7C" w:rsidRPr="005F2924" w:rsidRDefault="00674C7C" w:rsidP="00674C7C">
      <w:pPr>
        <w:pStyle w:val="ListParagraph"/>
        <w:numPr>
          <w:ilvl w:val="0"/>
          <w:numId w:val="11"/>
        </w:numPr>
      </w:pPr>
      <w:r w:rsidRPr="005F2924">
        <w:t>bacterial endocarditis;</w:t>
      </w:r>
    </w:p>
    <w:p w:rsidR="00674C7C" w:rsidRPr="005F2924" w:rsidRDefault="00674C7C" w:rsidP="00674C7C">
      <w:pPr>
        <w:pStyle w:val="ListParagraph"/>
        <w:numPr>
          <w:ilvl w:val="0"/>
          <w:numId w:val="11"/>
        </w:numPr>
      </w:pPr>
      <w:r w:rsidRPr="005F2924">
        <w:t>thrombocytopenia;</w:t>
      </w:r>
    </w:p>
    <w:p w:rsidR="00674C7C" w:rsidRPr="005F2924" w:rsidRDefault="00674C7C" w:rsidP="00674C7C">
      <w:pPr>
        <w:pStyle w:val="ListParagraph"/>
        <w:numPr>
          <w:ilvl w:val="0"/>
          <w:numId w:val="11"/>
        </w:numPr>
      </w:pPr>
      <w:r w:rsidRPr="005F2924">
        <w:t>platelet disorders;</w:t>
      </w:r>
    </w:p>
    <w:p w:rsidR="00674C7C" w:rsidRPr="005F2924" w:rsidRDefault="00674C7C" w:rsidP="00674C7C">
      <w:pPr>
        <w:pStyle w:val="ListParagraph"/>
        <w:numPr>
          <w:ilvl w:val="0"/>
          <w:numId w:val="11"/>
        </w:numPr>
      </w:pPr>
      <w:r w:rsidRPr="005F2924">
        <w:t>history of haemorrhagic stroke;</w:t>
      </w:r>
    </w:p>
    <w:p w:rsidR="00674C7C" w:rsidRPr="005F2924" w:rsidRDefault="00674C7C" w:rsidP="00674C7C">
      <w:pPr>
        <w:pStyle w:val="ListParagraph"/>
        <w:numPr>
          <w:ilvl w:val="0"/>
          <w:numId w:val="11"/>
        </w:numPr>
      </w:pPr>
      <w:r w:rsidRPr="005F2924">
        <w:t>severe uncontrolled hypertension;</w:t>
      </w:r>
    </w:p>
    <w:p w:rsidR="00674C7C" w:rsidRPr="005F2924" w:rsidRDefault="00674C7C" w:rsidP="00674C7C">
      <w:pPr>
        <w:pStyle w:val="ListParagraph"/>
        <w:numPr>
          <w:ilvl w:val="0"/>
          <w:numId w:val="11"/>
        </w:numPr>
      </w:pPr>
      <w:r w:rsidRPr="005F2924">
        <w:t>age greater than 75 years;</w:t>
      </w:r>
    </w:p>
    <w:p w:rsidR="00674C7C" w:rsidRPr="005F2924" w:rsidRDefault="00674C7C" w:rsidP="00674C7C">
      <w:pPr>
        <w:pStyle w:val="ListParagraph"/>
        <w:numPr>
          <w:ilvl w:val="0"/>
          <w:numId w:val="11"/>
        </w:numPr>
      </w:pPr>
      <w:r w:rsidRPr="005F2924">
        <w:t xml:space="preserve">concomitant use of medications affecting </w:t>
      </w:r>
      <w:r w:rsidRPr="005F2924">
        <w:rPr>
          <w:szCs w:val="20"/>
        </w:rPr>
        <w:t>haemostasis</w:t>
      </w:r>
      <w:r w:rsidRPr="005F2924">
        <w:t>;</w:t>
      </w:r>
    </w:p>
    <w:p w:rsidR="00674C7C" w:rsidRPr="005F2924" w:rsidRDefault="00674C7C" w:rsidP="00674C7C">
      <w:pPr>
        <w:pStyle w:val="ListParagraph"/>
        <w:numPr>
          <w:ilvl w:val="0"/>
          <w:numId w:val="11"/>
        </w:numPr>
      </w:pPr>
      <w:proofErr w:type="gramStart"/>
      <w:r w:rsidRPr="005F2924">
        <w:t>bronchiectasis</w:t>
      </w:r>
      <w:proofErr w:type="gramEnd"/>
      <w:r w:rsidRPr="005F2924">
        <w:t xml:space="preserve"> or history of pulmonary bleeding.</w:t>
      </w:r>
    </w:p>
    <w:p w:rsidR="00674C7C" w:rsidRPr="005F2924" w:rsidRDefault="00674C7C" w:rsidP="00674C7C">
      <w:r w:rsidRPr="005F2924">
        <w:t xml:space="preserve">An increased risk of bleeding has been observed with increasing age (See PRECAUTIONS, Use in the Elderly) and with increased serum creatinine (see PRECAUTIONS, Renal Impairment) when apixaban was used in these patients.  </w:t>
      </w:r>
      <w:r w:rsidRPr="005F2924">
        <w:rPr>
          <w:rStyle w:val="CommentReference"/>
        </w:rPr>
        <w:t>.</w:t>
      </w:r>
      <w:r w:rsidRPr="005F2924">
        <w:t>Patients should be made aware of signs and symptoms of blood loss and instructed to report them immediately or go to Accident and Emergency of the nearest hospital.</w:t>
      </w:r>
    </w:p>
    <w:p w:rsidR="00674C7C" w:rsidRPr="005F2924" w:rsidRDefault="00674C7C" w:rsidP="00674C7C">
      <w:r w:rsidRPr="005F2924">
        <w:t>There is no established way to reverse the anticoagulant effect of apixaban, which can be expected to persist at least 24 hours after the last dose, i.e., for about two half lives.  A specific antidote for ELIQUIS is not available.  Activated oral charcoal reduces absorption of apixaban, thereby lowering apixaban plasma concentration (see OVERDOSAGE).  Protamine sulphate and vitamin K would not be expected to affect the anticoagulant activity of apixaban.  Because of high plasma protein binding, apixaban is not expected to be dialyzable (see PHARMACOLOGY, Pharmacokinetics).</w:t>
      </w:r>
    </w:p>
    <w:p w:rsidR="00674C7C" w:rsidRDefault="00674C7C" w:rsidP="00674C7C">
      <w:r w:rsidRPr="005F2924">
        <w:t>In the event of haemorrhagic complications, treatment must be discontinued and the source of bleeding investigated.  The initiation of appropriate symptomatic treatments, e.g., surgical haemostasis, fluid replacement or the transfusion of fresh frozen plasma or blood products should be considered.  If life-threatening bleeding cannot be controlled by the above measures, administration of recombinant Factor VIIa may be considered.  However, there is currently no experience with the use of recombinant Factor VIIa in individuals receiving apixaban.  Re-dosing of recombinant Factor VIIa could be considered and titrated depending on improvement of bleeding.</w:t>
      </w:r>
    </w:p>
    <w:p w:rsidR="00674C7C" w:rsidRDefault="00674C7C" w:rsidP="00674C7C">
      <w:r w:rsidRPr="005F2924">
        <w:t xml:space="preserve">There is no scientific experience with antifibrinolytic agents (tranexamic acid, aminocaproic acid) in individuals receiving apixaban.  There is no scientific rationale for reversal </w:t>
      </w:r>
      <w:proofErr w:type="gramStart"/>
      <w:r w:rsidRPr="005F2924">
        <w:t>nor</w:t>
      </w:r>
      <w:proofErr w:type="gramEnd"/>
      <w:r w:rsidRPr="005F2924">
        <w:t xml:space="preserve"> experience with systemic haemostastics (desmopressin, and aprotinin) in individuals receiving apixaban.  Use of procoagulant reversal agents such as prothrombin complex concentrate, activated prothrombin complex concentrate, or recombinant factor VIIa may be considered but has not been evaluated in clinical studies.  These agents may be associated with a risk of </w:t>
      </w:r>
      <w:proofErr w:type="spellStart"/>
      <w:r w:rsidRPr="005F2924">
        <w:t>thromboembolic</w:t>
      </w:r>
      <w:proofErr w:type="spellEnd"/>
      <w:r w:rsidRPr="005F2924">
        <w:t xml:space="preserve"> complications.</w:t>
      </w:r>
    </w:p>
    <w:p w:rsidR="00674C7C" w:rsidRDefault="00674C7C" w:rsidP="00674C7C">
      <w:pPr>
        <w:pStyle w:val="Heading2"/>
      </w:pPr>
      <w:r w:rsidRPr="00547BF8">
        <w:t>Use of T</w:t>
      </w:r>
      <w:r>
        <w:t>hrombolytic Agents in the Treat</w:t>
      </w:r>
      <w:r w:rsidRPr="00547BF8">
        <w:t xml:space="preserve">ment of Acute </w:t>
      </w:r>
      <w:proofErr w:type="spellStart"/>
      <w:r w:rsidRPr="00547BF8">
        <w:t>Ischaemic</w:t>
      </w:r>
      <w:proofErr w:type="spellEnd"/>
      <w:r w:rsidRPr="00547BF8">
        <w:t xml:space="preserve"> Stroke</w:t>
      </w:r>
    </w:p>
    <w:p w:rsidR="00674C7C" w:rsidRDefault="00674C7C" w:rsidP="00674C7C">
      <w:r>
        <w:t xml:space="preserve">There is very limited experience with the use of thrombolytic agents in the treatment of acute ischaemic stroke in patients administered </w:t>
      </w:r>
      <w:proofErr w:type="spellStart"/>
      <w:r>
        <w:t>apixaban</w:t>
      </w:r>
      <w:proofErr w:type="spellEnd"/>
      <w:r>
        <w:t>.</w:t>
      </w:r>
    </w:p>
    <w:p w:rsidR="00674C7C" w:rsidRDefault="00674C7C" w:rsidP="00674C7C">
      <w:pPr>
        <w:pStyle w:val="Heading2"/>
      </w:pPr>
      <w:r w:rsidRPr="00547BF8">
        <w:lastRenderedPageBreak/>
        <w:t>Surgery and Invasive Procedures</w:t>
      </w:r>
    </w:p>
    <w:p w:rsidR="00674C7C" w:rsidRDefault="00674C7C" w:rsidP="00674C7C">
      <w:r>
        <w:t>(</w:t>
      </w:r>
      <w:proofErr w:type="gramStart"/>
      <w:r>
        <w:t>see</w:t>
      </w:r>
      <w:proofErr w:type="gramEnd"/>
      <w:r>
        <w:t xml:space="preserve"> DOSAGE AND ADMINISTRATION, </w:t>
      </w:r>
      <w:r w:rsidRPr="006D3DBC">
        <w:t>Surgery and Invasive Procedures</w:t>
      </w:r>
      <w:r>
        <w:t>).</w:t>
      </w:r>
    </w:p>
    <w:p w:rsidR="00674C7C" w:rsidRDefault="00674C7C" w:rsidP="00674C7C">
      <w:pPr>
        <w:pStyle w:val="Heading2"/>
      </w:pPr>
      <w:r w:rsidRPr="00135AFD">
        <w:t>Increased Risk of Stroke with Discontinuation of ELIQUIS</w:t>
      </w:r>
    </w:p>
    <w:p w:rsidR="00674C7C" w:rsidRDefault="00674C7C" w:rsidP="00674C7C">
      <w:r w:rsidRPr="004602B0">
        <w:t xml:space="preserve">An increased risk of stroke was observed during the transition from ELIQUIS to warfarin in clinical trials in patients with non-valvular atrial fibrillation.  </w:t>
      </w:r>
      <w:r w:rsidRPr="00C42B06">
        <w:rPr>
          <w:szCs w:val="24"/>
        </w:rPr>
        <w:t>Discontinuation of apixaban prior to the onset of an effective antithrombotic effect of VKA could result in an increased risk of thrombosis.</w:t>
      </w:r>
      <w:r>
        <w:rPr>
          <w:rFonts w:ascii="Arial" w:hAnsi="Arial" w:cs="Arial"/>
          <w:szCs w:val="24"/>
        </w:rPr>
        <w:t xml:space="preserve">  </w:t>
      </w:r>
      <w:r>
        <w:t>I</w:t>
      </w:r>
      <w:r w:rsidRPr="004602B0">
        <w:t>f anticoagulation with ELIQUIS must be discontinued for any reason other than pathological bleeding, consider coverage with another anticoagulant</w:t>
      </w:r>
      <w:r>
        <w:t xml:space="preserve"> </w:t>
      </w:r>
      <w:r w:rsidRPr="00C42B06">
        <w:t>(see DOSAGE</w:t>
      </w:r>
      <w:r>
        <w:t xml:space="preserve"> and ADMINISTRATION, Converting from or to Warfarin or </w:t>
      </w:r>
      <w:r w:rsidRPr="00C42B06">
        <w:t>Other Vitamin K Antagonists</w:t>
      </w:r>
      <w:r>
        <w:t xml:space="preserve"> (VKA)).</w:t>
      </w:r>
    </w:p>
    <w:p w:rsidR="00674C7C" w:rsidRDefault="00674C7C" w:rsidP="00674C7C">
      <w:pPr>
        <w:pStyle w:val="Heading2"/>
      </w:pPr>
      <w:r w:rsidRPr="006D3DBC">
        <w:t>Patients with Valvular Disease</w:t>
      </w:r>
    </w:p>
    <w:p w:rsidR="00674C7C" w:rsidRDefault="00674C7C" w:rsidP="00674C7C">
      <w:r w:rsidRPr="006D3DBC">
        <w:t>The safety and efficacy of ELIQUIS have not been studied in patients with prosthetic heart valves or those with haemodynamically significant rheumatic heart disease, especially mitral stenosis.  As there are no data to support that ELIQUIS provides adequate anticoagulation in patients with prosthetic heart valves, with or without atrial fibrillation, the use of ELIQUIS is not recommended in these patients.</w:t>
      </w:r>
    </w:p>
    <w:p w:rsidR="00674C7C" w:rsidRDefault="00674C7C" w:rsidP="00674C7C">
      <w:pPr>
        <w:pStyle w:val="Heading2"/>
      </w:pPr>
      <w:r w:rsidRPr="00FD221A">
        <w:t>Renal Impairment</w:t>
      </w:r>
    </w:p>
    <w:p w:rsidR="00674C7C" w:rsidRDefault="00674C7C" w:rsidP="00674C7C">
      <w:r>
        <w:t>N</w:t>
      </w:r>
      <w:r w:rsidRPr="006D3DBC">
        <w:t>o dose adjustment is necessary in patients with mild or moderate renal impairment</w:t>
      </w:r>
      <w:r>
        <w:t>.</w:t>
      </w:r>
    </w:p>
    <w:p w:rsidR="00674C7C" w:rsidRPr="005F2924" w:rsidRDefault="00674C7C" w:rsidP="00674C7C">
      <w:r w:rsidRPr="005F2924">
        <w:t>As there is no clinical experience in patients with renal impairment &lt; 15 mL/min or in patients undergoing dialysis ELIQUIS is contraindicated in these patients.  There is limited experience in patients with renal impairment 15 mL to &lt; 25 mL/min with increased apixaban exposure, therefore, ELIQUIS is also contraindicated in these patients (see CONTRAINDICATIONS).</w:t>
      </w:r>
    </w:p>
    <w:p w:rsidR="00674C7C" w:rsidRDefault="00674C7C" w:rsidP="00674C7C">
      <w:r w:rsidRPr="005F2924">
        <w:t xml:space="preserve">In patients </w:t>
      </w:r>
      <w:proofErr w:type="gramStart"/>
      <w:r w:rsidRPr="005F2924">
        <w:t>with serum creatinine ≥ 133 µmol/L,</w:t>
      </w:r>
      <w:proofErr w:type="gramEnd"/>
      <w:r w:rsidRPr="005F2924">
        <w:t xml:space="preserve"> the bleeding event rate of apixaban was 4.05%/years vs warfarin 5.89%/ years.</w:t>
      </w:r>
    </w:p>
    <w:p w:rsidR="00674C7C" w:rsidRDefault="00674C7C" w:rsidP="00674C7C">
      <w:r>
        <w:t>D</w:t>
      </w:r>
      <w:r w:rsidRPr="006D3DBC">
        <w:t xml:space="preserve">ose adjustment is recommended in atrial fibrillation patients with </w:t>
      </w:r>
      <w:r>
        <w:t xml:space="preserve">two of the following criteria; </w:t>
      </w:r>
      <w:r w:rsidRPr="006D3DBC">
        <w:t>serum creatinine ≥</w:t>
      </w:r>
      <w:r>
        <w:t xml:space="preserve"> </w:t>
      </w:r>
      <w:r w:rsidRPr="006D3DBC">
        <w:t>133 µmol/L</w:t>
      </w:r>
      <w:r>
        <w:t xml:space="preserve">, age </w:t>
      </w:r>
      <w:r w:rsidRPr="006D3DBC">
        <w:t>≥</w:t>
      </w:r>
      <w:r>
        <w:t xml:space="preserve"> </w:t>
      </w:r>
      <w:r w:rsidRPr="006D3DBC">
        <w:t>80 years</w:t>
      </w:r>
      <w:r>
        <w:t xml:space="preserve">, </w:t>
      </w:r>
      <w:r w:rsidRPr="006D3DBC">
        <w:t>body weight ≤</w:t>
      </w:r>
      <w:r>
        <w:t xml:space="preserve"> </w:t>
      </w:r>
      <w:r w:rsidRPr="006D3DBC">
        <w:t>60 kg</w:t>
      </w:r>
      <w:r>
        <w:t xml:space="preserve"> </w:t>
      </w:r>
      <w:r w:rsidRPr="006D3DBC" w:rsidDel="00321199">
        <w:t>(see DOS</w:t>
      </w:r>
      <w:r w:rsidRPr="00DC232E" w:rsidDel="00321199">
        <w:t>AGE</w:t>
      </w:r>
      <w:r w:rsidRPr="006D3DBC" w:rsidDel="00321199">
        <w:t xml:space="preserve"> AND ADMINISTRATION, </w:t>
      </w:r>
      <w:r w:rsidRPr="00FC0F1E">
        <w:t>Prevention of Stroke</w:t>
      </w:r>
      <w:r w:rsidRPr="005D2D08">
        <w:rPr>
          <w:b/>
          <w:i/>
        </w:rPr>
        <w:t xml:space="preserve"> </w:t>
      </w:r>
      <w:r>
        <w:t xml:space="preserve">and Systemic Embolism: </w:t>
      </w:r>
      <w:r w:rsidRPr="00FC0F1E">
        <w:t>Non-valvular Atrial Fibrillation</w:t>
      </w:r>
      <w:r>
        <w:t xml:space="preserve">, </w:t>
      </w:r>
      <w:r w:rsidRPr="006D3DBC" w:rsidDel="00321199">
        <w:t>Use in Renal Impairment</w:t>
      </w:r>
      <w:r>
        <w:t>,</w:t>
      </w:r>
      <w:r w:rsidRPr="006D3DBC" w:rsidDel="00321199">
        <w:t xml:space="preserve"> and PHARMACOLOGY, Pharmacokinetics)</w:t>
      </w:r>
      <w:r>
        <w:t>.</w:t>
      </w:r>
    </w:p>
    <w:p w:rsidR="00674C7C" w:rsidRDefault="00674C7C" w:rsidP="00674C7C">
      <w:pPr>
        <w:pStyle w:val="Heading2"/>
      </w:pPr>
      <w:r w:rsidRPr="006D3DBC">
        <w:t>Hepatic Impairment</w:t>
      </w:r>
    </w:p>
    <w:p w:rsidR="00674C7C" w:rsidRPr="006D3DBC" w:rsidRDefault="00674C7C" w:rsidP="00674C7C">
      <w:pPr>
        <w:tabs>
          <w:tab w:val="left" w:pos="7851"/>
        </w:tabs>
      </w:pPr>
      <w:r w:rsidRPr="006D3DBC">
        <w:t>ELIQUIS is contraindicated in patients with hepatic disease associated with coagulopathy and clinically relevant bleeding risk, including severe hepatic impairment (Child-Pugh C) (see CONTRAINDICATIONS).</w:t>
      </w:r>
    </w:p>
    <w:p w:rsidR="00674C7C" w:rsidRPr="006D3DBC" w:rsidRDefault="00674C7C" w:rsidP="00674C7C">
      <w:pPr>
        <w:tabs>
          <w:tab w:val="left" w:pos="7851"/>
        </w:tabs>
      </w:pPr>
      <w:r w:rsidRPr="006D3DBC">
        <w:t>ELIQUIS may be used with caution in patients with mild or moderate hepatic impairment (Child-Pugh A or B) (see DOSAGE AND ADMINISTRATION, Use in Hepatic Impairment</w:t>
      </w:r>
      <w:r>
        <w:t xml:space="preserve"> and </w:t>
      </w:r>
      <w:r w:rsidRPr="006D3DBC">
        <w:t>PHARMACOLOGY, Pharmacokinetics).</w:t>
      </w:r>
    </w:p>
    <w:p w:rsidR="00674C7C" w:rsidRDefault="00674C7C" w:rsidP="00674C7C">
      <w:proofErr w:type="gramStart"/>
      <w:r w:rsidRPr="006D3DBC">
        <w:t>Patients with elevated liver enzymes ALT/AST &gt; 2 x ULN or total bilirubin ≥ 1.5 x ULN were excluded in clinical trials.</w:t>
      </w:r>
      <w:proofErr w:type="gramEnd"/>
      <w:r w:rsidRPr="006D3DBC">
        <w:t xml:space="preserve">  Therefore ELIQUIS should be used cautiously in this population.  </w:t>
      </w:r>
      <w:r>
        <w:t>Prior to initiating ELIQUIS, liver function testing should be performed.</w:t>
      </w:r>
    </w:p>
    <w:p w:rsidR="00674C7C" w:rsidRDefault="00674C7C" w:rsidP="00674C7C">
      <w:pPr>
        <w:pStyle w:val="Heading2"/>
      </w:pPr>
      <w:r w:rsidRPr="006D3DBC">
        <w:lastRenderedPageBreak/>
        <w:t>Interaction with Other Medicines Affecting Haemostasis</w:t>
      </w:r>
    </w:p>
    <w:p w:rsidR="00674C7C" w:rsidRPr="00FF06B9" w:rsidRDefault="00674C7C" w:rsidP="00674C7C">
      <w:pPr>
        <w:rPr>
          <w:b/>
          <w:noProof/>
        </w:rPr>
      </w:pPr>
      <w:r w:rsidRPr="00FF06B9">
        <w:rPr>
          <w:b/>
          <w:szCs w:val="20"/>
        </w:rPr>
        <w:t>Due to an increased bleeding risk</w:t>
      </w:r>
      <w:r w:rsidRPr="00FF06B9" w:rsidDel="00F95796">
        <w:rPr>
          <w:b/>
          <w:noProof/>
        </w:rPr>
        <w:t>, concomitant</w:t>
      </w:r>
      <w:r w:rsidRPr="00FF06B9">
        <w:rPr>
          <w:b/>
          <w:noProof/>
        </w:rPr>
        <w:t xml:space="preserve"> treatment</w:t>
      </w:r>
      <w:r w:rsidRPr="00FF06B9" w:rsidDel="00F95796">
        <w:rPr>
          <w:b/>
          <w:noProof/>
        </w:rPr>
        <w:t xml:space="preserve"> with any other anticoagulants</w:t>
      </w:r>
      <w:r w:rsidRPr="00FF06B9">
        <w:rPr>
          <w:b/>
          <w:noProof/>
        </w:rPr>
        <w:t xml:space="preserve"> is contraindicated</w:t>
      </w:r>
      <w:r w:rsidRPr="00FF06B9" w:rsidDel="00F95796">
        <w:rPr>
          <w:b/>
          <w:noProof/>
        </w:rPr>
        <w:t xml:space="preserve"> (see </w:t>
      </w:r>
      <w:r w:rsidRPr="00FF06B9">
        <w:rPr>
          <w:b/>
          <w:noProof/>
        </w:rPr>
        <w:t>CONTRAINDICATIONS</w:t>
      </w:r>
      <w:r w:rsidRPr="00FF06B9" w:rsidDel="00F95796">
        <w:rPr>
          <w:b/>
          <w:noProof/>
        </w:rPr>
        <w:t>).</w:t>
      </w:r>
    </w:p>
    <w:p w:rsidR="00FF06B9" w:rsidRDefault="00FF06B9" w:rsidP="00674C7C">
      <w:pPr>
        <w:rPr>
          <w:noProof/>
        </w:rPr>
      </w:pPr>
      <w:r w:rsidRPr="006D3DBC">
        <w:t xml:space="preserve">The concomitant use of ELIQUIS with antiplatelet agents increases the risk of bleeding.  Care is to be taken if patients are treated concomitantly with non-steroidal anti-inflammatory drugs (NSAIDs), including acetylsalicylic acid (ASA), </w:t>
      </w:r>
      <w:r>
        <w:t xml:space="preserve">selective serotonin reuptake inhibitors, and selective noradrenaline reuptake inhibitors </w:t>
      </w:r>
      <w:r w:rsidRPr="006D3DBC">
        <w:t>because these medicines may impact haemostasis.  Other platelet aggregation inhibitors or other antithrombotic agents are not recommended concomitantly with ELIQUIS following surgery.</w:t>
      </w:r>
    </w:p>
    <w:p w:rsidR="00FF06B9" w:rsidRDefault="00FF06B9" w:rsidP="00674C7C">
      <w:pPr>
        <w:rPr>
          <w:noProof/>
        </w:rPr>
      </w:pPr>
      <w:r w:rsidRPr="006D3DBC">
        <w:t xml:space="preserve">In patients with </w:t>
      </w:r>
      <w:proofErr w:type="spellStart"/>
      <w:r w:rsidRPr="006D3DBC">
        <w:t>atrial</w:t>
      </w:r>
      <w:proofErr w:type="spellEnd"/>
      <w:r w:rsidRPr="006D3DBC">
        <w:t xml:space="preserve"> fibrillation and a condition that warrants mono or dual antiplatelet therapy, a careful assessment of the potential benefits against the potential risks should be made before combining this therapy with ELIQUIS.  In a clinical trial of patients with atrial fibrillation, concomitant use of ASA increased the major bleeding risk on apixaban from 1.8% per year to 3.4% per year and increased the bleeding risk on warfarin from 2.7% per year to 4.6% per year.  In this clinical trial, there was limited (2.3%) use of concomitant dual </w:t>
      </w:r>
      <w:proofErr w:type="spellStart"/>
      <w:r w:rsidRPr="006D3DBC">
        <w:t>antiplatelet</w:t>
      </w:r>
      <w:proofErr w:type="spellEnd"/>
      <w:r w:rsidRPr="006D3DBC">
        <w:t xml:space="preserve"> therapy with </w:t>
      </w:r>
      <w:proofErr w:type="spellStart"/>
      <w:r w:rsidRPr="006D3DBC">
        <w:t>apixaban</w:t>
      </w:r>
      <w:proofErr w:type="spellEnd"/>
      <w:r w:rsidRPr="006D3DBC">
        <w:t>.</w:t>
      </w:r>
    </w:p>
    <w:p w:rsidR="00FF06B9" w:rsidRDefault="00FF06B9" w:rsidP="00674C7C">
      <w:r w:rsidRPr="006D3DBC">
        <w:t xml:space="preserve">An increased risk in bleeding was </w:t>
      </w:r>
      <w:r w:rsidRPr="006D3DBC">
        <w:rPr>
          <w:lang w:eastAsia="en-GB"/>
        </w:rPr>
        <w:t xml:space="preserve">reported with the triple combination of </w:t>
      </w:r>
      <w:proofErr w:type="gramStart"/>
      <w:r w:rsidRPr="006D3DBC">
        <w:rPr>
          <w:lang w:eastAsia="en-GB"/>
        </w:rPr>
        <w:t>apixaban,</w:t>
      </w:r>
      <w:proofErr w:type="gramEnd"/>
      <w:r w:rsidRPr="006D3DBC">
        <w:rPr>
          <w:lang w:eastAsia="en-GB"/>
        </w:rPr>
        <w:t xml:space="preserve"> ASA and clopidogrel in a clinical study in patients with recent acute coronary syndrome</w:t>
      </w:r>
      <w:r w:rsidRPr="006D3DBC">
        <w:t xml:space="preserve"> (see INTERACTIONS WITH OTHER MEDICINES and CLINICAL TRIALS).</w:t>
      </w:r>
    </w:p>
    <w:p w:rsidR="00FF06B9" w:rsidRDefault="00FF06B9" w:rsidP="00FF06B9">
      <w:pPr>
        <w:pStyle w:val="Heading2"/>
      </w:pPr>
      <w:bookmarkStart w:id="1" w:name="_Toc253491542"/>
      <w:r w:rsidRPr="006D3DBC">
        <w:t>Spinal/Epidural Anaesthesia or Puncture</w:t>
      </w:r>
      <w:bookmarkEnd w:id="1"/>
    </w:p>
    <w:p w:rsidR="00FF06B9" w:rsidRPr="006D3DBC" w:rsidRDefault="00FF06B9" w:rsidP="00FF06B9">
      <w:r w:rsidRPr="006D3DBC">
        <w:t xml:space="preserve">When </w:t>
      </w:r>
      <w:proofErr w:type="spellStart"/>
      <w:r w:rsidRPr="006D3DBC">
        <w:t>neuraxial</w:t>
      </w:r>
      <w:proofErr w:type="spellEnd"/>
      <w:r w:rsidRPr="006D3DBC">
        <w:t xml:space="preserve"> anaesthesia (spinal/epidural anaesthesia) or spinal/epidural puncture is employed, patients treated with antithrombotic agents for prevention of thromboembolic complications are at risk of developing an epidural or spinal haematoma which can result in long-term or permanent paralysis.  The risk of these events may be increased by the post-operative use of indwelling epidural catheters or the concomitant use of medicinal products affecting haemostasis.  Indwelling epidural or intrathecal catheters must be removed at least 5 hours prior to the first dose of ELIQUIS.  The risk may also be increased by traumatic or repeated epidural or spinal puncture.  Patients are to be frequently monitored for signs and symptoms of neurological impairment (e.g., numbness or weakness of the legs, bowel or bladder dysfunction).  If neurological compromise is noted, urgent diagnosis and treatment is necessary.  Prior to neuraxial intervention the physician should consider the potential benefit versus the risk in anticoagulated patients or in patients to be anticoagulated for thromboprophylaxis.</w:t>
      </w:r>
    </w:p>
    <w:p w:rsidR="00FF06B9" w:rsidRDefault="00FF06B9" w:rsidP="00674C7C">
      <w:r w:rsidRPr="006D3DBC">
        <w:t xml:space="preserve">There is no clinical experience with the use of apixaban with indwelling intrathecal or epidural catheters.  In case of such need and based on pharmacokinetic data, </w:t>
      </w:r>
      <w:r w:rsidRPr="006D3DBC">
        <w:rPr>
          <w:bCs/>
          <w:iCs/>
        </w:rPr>
        <w:t>a time interval of 20</w:t>
      </w:r>
      <w:r w:rsidRPr="006D3DBC">
        <w:rPr>
          <w:bCs/>
          <w:iCs/>
        </w:rPr>
        <w:noBreakHyphen/>
        <w:t xml:space="preserve">30 hours (i.e., twice the half-life) between the last dose of apixaban and catheter withdrawal should elapse, and at least one dose should be omitted before catheter withdrawal.  The next dose of apixaban may be given </w:t>
      </w:r>
      <w:r w:rsidRPr="006D3DBC">
        <w:t>at least 5 hours after catheter removal</w:t>
      </w:r>
      <w:r w:rsidRPr="006D3DBC">
        <w:rPr>
          <w:bCs/>
          <w:iCs/>
        </w:rPr>
        <w:t xml:space="preserve">.  Experience with neuraxial blockade is limited and extreme caution is therefore recommended when using apixaban in the presence of </w:t>
      </w:r>
      <w:proofErr w:type="spellStart"/>
      <w:r w:rsidRPr="006D3DBC">
        <w:rPr>
          <w:bCs/>
          <w:iCs/>
        </w:rPr>
        <w:t>neuraxial</w:t>
      </w:r>
      <w:proofErr w:type="spellEnd"/>
      <w:r w:rsidRPr="006D3DBC">
        <w:rPr>
          <w:bCs/>
          <w:iCs/>
        </w:rPr>
        <w:t xml:space="preserve"> blockade.</w:t>
      </w:r>
    </w:p>
    <w:p w:rsidR="00FF06B9" w:rsidRDefault="00FF06B9" w:rsidP="00FF06B9">
      <w:pPr>
        <w:pStyle w:val="Heading2"/>
      </w:pPr>
      <w:r w:rsidRPr="006D3DBC">
        <w:t>Hip Fracture Surgery</w:t>
      </w:r>
    </w:p>
    <w:p w:rsidR="00FF06B9" w:rsidRDefault="00FF06B9" w:rsidP="00674C7C">
      <w:proofErr w:type="spellStart"/>
      <w:r w:rsidRPr="006D3DBC">
        <w:t>Apixaban</w:t>
      </w:r>
      <w:proofErr w:type="spellEnd"/>
      <w:r w:rsidRPr="006D3DBC">
        <w:t xml:space="preserve"> has not been studied in clinical trials in patients undergoing hip fracture surgery to evaluate efficacy and safety in these patients.  Therefore, ELIQUIS is not recommended in these patients.</w:t>
      </w:r>
    </w:p>
    <w:p w:rsidR="00FF06B9" w:rsidRDefault="00FF06B9" w:rsidP="00FF06B9">
      <w:pPr>
        <w:pStyle w:val="Heading2"/>
      </w:pPr>
      <w:r w:rsidRPr="006D3DBC">
        <w:lastRenderedPageBreak/>
        <w:t>Effects on Fertility</w:t>
      </w:r>
    </w:p>
    <w:p w:rsidR="00FF06B9" w:rsidRDefault="00FF06B9" w:rsidP="00FF06B9">
      <w:r w:rsidRPr="006D3DBC">
        <w:t xml:space="preserve">Studies in adult rats dosed with apixaban at up to 600 mg/kg/day (up to 10 times the clinical exposure at 2.5 mg twice daily, or </w:t>
      </w:r>
      <w:r>
        <w:t>3</w:t>
      </w:r>
      <w:r w:rsidRPr="006D3DBC">
        <w:t xml:space="preserve"> times at 5 mg twice daily, based on free fraction AUC) showed no effect on fertility.  In the offspring of rats treated with apixaban from gestation day 6 to lactation day 20, there were decreases in female mating and fertility at ≥ 200 mg/kg/day (12 times at 2.5 mg twice daily, or 4 times at 5 mg twice daily of the human exposure based on free fraction AUC).  Fertility of the female offspring was unaffected at the maternal dose of 25 mg/kg/day (3 times at 2.5 mg twice daily, or 1.2 times at 5 mg twice daily of the human exposure).  There were no effects on mating or fertility of male offspring at ≥ 1000 mg/kg/day (13 times at 2.5 mg twice daily, or 5 times at 5 mg twice daily of the human exposure based on free fraction AUC).  Plasma apixaban concentrations in the offspring were not measured, but high apixaban concentrations (30 times the maternal plasma AUC) were detected in milk.</w:t>
      </w:r>
    </w:p>
    <w:p w:rsidR="00FF06B9" w:rsidRDefault="00FF06B9" w:rsidP="00FF06B9">
      <w:pPr>
        <w:pStyle w:val="Heading2"/>
      </w:pPr>
      <w:r w:rsidRPr="006D3DBC">
        <w:t>Use in Pregnancy</w:t>
      </w:r>
    </w:p>
    <w:p w:rsidR="00FF06B9" w:rsidRDefault="00FF06B9" w:rsidP="00FF06B9">
      <w:r w:rsidRPr="006D3DBC">
        <w:t>Category C</w:t>
      </w:r>
    </w:p>
    <w:p w:rsidR="00FF06B9" w:rsidRPr="006D3DBC" w:rsidRDefault="00FF06B9" w:rsidP="00FF06B9">
      <w:r w:rsidRPr="006D3DBC">
        <w:t>Anticoagulants and thrombolytic agents can produce placental haemorrhage and subsequent prematurity and foetal loss.  There are limited data from the use of apixaban in pregnant women.  Apixaban is not recommended during pregnancy.</w:t>
      </w:r>
    </w:p>
    <w:p w:rsidR="00FF06B9" w:rsidRDefault="00FF06B9" w:rsidP="00FF06B9">
      <w:r w:rsidRPr="006D3DBC">
        <w:t>Embryo-foetal development studies at oral doses up to 1500, 3000 and 1500 mg/kg/day in mice, rats and rabbits, respectively, and IV doses up to 5 mg/kg/day in rabbits showed no evidence of effects on embryo-foetal development in the 3 animal species tested.  Maternal exposures to apixaban in the animal studies were 20 times (mouse), 4 times (rat) and 0.3 times (rabbit) the human exposure at 5 mg twice daily, based on free fraction AUC.  Very low exposure to apixaban was detected in the foetus (8-11% of the maternal plasma concentration in mice, 7% in rats and &lt;1% in rabbits).</w:t>
      </w:r>
    </w:p>
    <w:p w:rsidR="00FF06B9" w:rsidRDefault="00FF06B9" w:rsidP="00FF06B9">
      <w:pPr>
        <w:pStyle w:val="Heading2"/>
      </w:pPr>
      <w:r w:rsidRPr="006D3DBC">
        <w:t>Use in Lactation</w:t>
      </w:r>
    </w:p>
    <w:p w:rsidR="00FF06B9" w:rsidRPr="006D3DBC" w:rsidRDefault="00FF06B9" w:rsidP="00FF06B9">
      <w:r w:rsidRPr="006D3DBC">
        <w:t>There are no human data on the excretion of apixaban in milk.  Apixaban is a substrate of BCRP, an active transporter expressed in tissues including mammary gland alveolar epithelium.  Available data in animals have shown excretion of apixaban in rat milk (milk/plasma ratio: 30).  Apixaban may be excreted in human milk and a risk to newborns and infants (especially their bleeding risk) cannot be excluded.  This risk does not apply to many other oral anticoagulants.  A decision must be made to either discontinue breast-feeding or to discontinue/abstain from apixaban therapy.</w:t>
      </w:r>
    </w:p>
    <w:p w:rsidR="00FF06B9" w:rsidRDefault="00FF06B9" w:rsidP="00FF06B9">
      <w:r w:rsidRPr="006D3DBC">
        <w:t xml:space="preserve">In a pre/postnatal study in rats dosed from gestation day 6 to postnatal day 20, mating and fertility of female offspring were reduced (see Effects on Fertility).  Otherwise, postnatal development was unaffected at maternal doses up to 1000 mg/kg/day, with exposures up to </w:t>
      </w:r>
      <w:r>
        <w:t>5</w:t>
      </w:r>
      <w:r w:rsidRPr="006D3DBC">
        <w:t xml:space="preserve"> times the human exposure at 5 mg twice daily based on free fraction AUC.</w:t>
      </w:r>
    </w:p>
    <w:p w:rsidR="00FF06B9" w:rsidRDefault="00FF06B9" w:rsidP="00FF06B9">
      <w:pPr>
        <w:pStyle w:val="Heading2"/>
      </w:pPr>
      <w:r w:rsidRPr="006D3DBC">
        <w:t>Paediatric Use</w:t>
      </w:r>
    </w:p>
    <w:p w:rsidR="00FF06B9" w:rsidRDefault="00FF06B9" w:rsidP="00FF06B9">
      <w:r w:rsidRPr="006D3DBC">
        <w:t xml:space="preserve">The pharmacokinetics, efficacy and safety of ELIQUIS in children </w:t>
      </w:r>
      <w:r>
        <w:t xml:space="preserve">and adolescents </w:t>
      </w:r>
      <w:r w:rsidRPr="006D3DBC">
        <w:t>below age 18 have not been established, therefore the use of apixaban is not recommended in children</w:t>
      </w:r>
      <w:r>
        <w:t xml:space="preserve"> and adolescents</w:t>
      </w:r>
      <w:r w:rsidRPr="006D3DBC">
        <w:t>.</w:t>
      </w:r>
    </w:p>
    <w:p w:rsidR="00FF06B9" w:rsidRDefault="00FF06B9" w:rsidP="00FF06B9">
      <w:pPr>
        <w:pStyle w:val="Heading2"/>
        <w:rPr>
          <w:rFonts w:eastAsia="Calibri"/>
        </w:rPr>
      </w:pPr>
      <w:r w:rsidRPr="006D3DBC">
        <w:rPr>
          <w:rFonts w:eastAsia="Calibri"/>
        </w:rPr>
        <w:lastRenderedPageBreak/>
        <w:t>Use in the Elderly</w:t>
      </w:r>
    </w:p>
    <w:p w:rsidR="00FF06B9" w:rsidRPr="005F2924" w:rsidRDefault="00FF06B9" w:rsidP="00FF06B9">
      <w:pPr>
        <w:pStyle w:val="Heading2"/>
        <w:keepLines w:val="0"/>
        <w:rPr>
          <w:rFonts w:eastAsia="TimesNewRoman"/>
          <w:b w:val="0"/>
          <w:szCs w:val="24"/>
          <w:lang w:val="en-US"/>
        </w:rPr>
      </w:pPr>
      <w:r w:rsidRPr="005F2924">
        <w:rPr>
          <w:rFonts w:eastAsia="TimesNewRoman"/>
          <w:b w:val="0"/>
          <w:szCs w:val="24"/>
          <w:lang w:val="en-US"/>
        </w:rPr>
        <w:t>The co-administration of ELIQUIS with acetylsalicylic acid in elderly patients should be used cautiously because of a pot</w:t>
      </w:r>
      <w:r>
        <w:rPr>
          <w:rFonts w:eastAsia="TimesNewRoman"/>
          <w:b w:val="0"/>
          <w:szCs w:val="24"/>
          <w:lang w:val="en-US"/>
        </w:rPr>
        <w:t>entially higher bleeding risk.</w:t>
      </w:r>
    </w:p>
    <w:p w:rsidR="00FF06B9" w:rsidRPr="005F2924" w:rsidRDefault="00FF06B9" w:rsidP="00FF06B9">
      <w:pPr>
        <w:rPr>
          <w:lang w:val="en-US"/>
        </w:rPr>
      </w:pPr>
      <w:r w:rsidRPr="005F2924">
        <w:rPr>
          <w:lang w:val="en-US"/>
        </w:rPr>
        <w:t xml:space="preserve">The event rate of stroke in patients </w:t>
      </w:r>
      <w:r w:rsidRPr="005F2924">
        <w:t>&gt;75 years old</w:t>
      </w:r>
      <w:r w:rsidRPr="005F2924">
        <w:rPr>
          <w:lang w:val="en-US"/>
        </w:rPr>
        <w:t xml:space="preserve"> was greater than those &lt; 75 years old.  Increasing age, &gt; 75 years old, is associated with a greater risk of bleeding (all, major and CRNM)</w:t>
      </w:r>
      <w:r w:rsidRPr="005F2924">
        <w:t xml:space="preserve"> including ocular and gastrointestinal bleeding.</w:t>
      </w:r>
      <w:r w:rsidRPr="005F2924">
        <w:rPr>
          <w:lang w:val="en-US"/>
        </w:rPr>
        <w:t xml:space="preserve">  The event rate of bleeding in patients &gt; 80 years old with apixaban 3.62%/year vs. warfarin 4.89%/year.</w:t>
      </w:r>
    </w:p>
    <w:p w:rsidR="00FF06B9" w:rsidRPr="005F2924" w:rsidRDefault="00FF06B9" w:rsidP="00FF06B9">
      <w:pPr>
        <w:rPr>
          <w:lang w:val="en-US"/>
        </w:rPr>
      </w:pPr>
      <w:r w:rsidRPr="005F2924">
        <w:rPr>
          <w:lang w:val="en-US"/>
        </w:rPr>
        <w:t>The benefit of apixaban in this age group was preserved for stroke, systemic embolism and risk of bleeding when compared to warfarin.</w:t>
      </w:r>
    </w:p>
    <w:p w:rsidR="00FF06B9" w:rsidRDefault="00FF06B9" w:rsidP="00FF06B9">
      <w:r w:rsidRPr="005F2924">
        <w:rPr>
          <w:lang w:val="en-US"/>
        </w:rPr>
        <w:t>It should be taken into consideration that increasing age may be associated with declining renal function.</w:t>
      </w:r>
    </w:p>
    <w:p w:rsidR="00FF06B9" w:rsidRDefault="00FF06B9" w:rsidP="00FF06B9">
      <w:pPr>
        <w:pStyle w:val="Heading3"/>
      </w:pPr>
      <w:r w:rsidRPr="006D3DBC">
        <w:t>Prevention of VTE: Elective Total Hip or Total Knee Replacement Surgery</w:t>
      </w:r>
    </w:p>
    <w:p w:rsidR="00FF06B9" w:rsidRDefault="00FF06B9" w:rsidP="00FF06B9"/>
    <w:p w:rsidR="00FF06B9" w:rsidRDefault="00FF06B9" w:rsidP="00FF06B9">
      <w:r w:rsidRPr="006D3DBC">
        <w:t>No dose adjustment is necessary in elderly patients.  Of the total number of subjects in clinical studies of apixaban, 50% were 65 and older, while 16 %were 75 and older.  No clinically significant differences in safety or effectiveness were observed when comparing subjects in different age groups.</w:t>
      </w:r>
    </w:p>
    <w:p w:rsidR="00FF06B9" w:rsidRDefault="00FF06B9" w:rsidP="00FF06B9">
      <w:pPr>
        <w:pStyle w:val="Heading3"/>
      </w:pPr>
      <w:r w:rsidRPr="006D3DBC">
        <w:t xml:space="preserve">Prevention of Stroke and Systemic Embolism: Non-valvular </w:t>
      </w:r>
      <w:proofErr w:type="spellStart"/>
      <w:r w:rsidRPr="006D3DBC">
        <w:t>Atrial</w:t>
      </w:r>
      <w:proofErr w:type="spellEnd"/>
      <w:r w:rsidRPr="006D3DBC">
        <w:t xml:space="preserve"> Fibrillation</w:t>
      </w:r>
    </w:p>
    <w:p w:rsidR="00FF06B9" w:rsidRDefault="00FF06B9" w:rsidP="00FF06B9">
      <w:r w:rsidRPr="00604A09">
        <w:rPr>
          <w:szCs w:val="24"/>
        </w:rPr>
        <w:t xml:space="preserve">The efficacy and safety results in elderly patients (including those ≥75 years) in both studies were consistent with the overall population (see CLINICAL TRIALS). </w:t>
      </w:r>
      <w:r>
        <w:rPr>
          <w:szCs w:val="24"/>
        </w:rPr>
        <w:t xml:space="preserve"> I</w:t>
      </w:r>
      <w:r w:rsidRPr="00604A09">
        <w:rPr>
          <w:szCs w:val="24"/>
        </w:rPr>
        <w:t>n subjects ≥ 75 years of age in the pivotal study (ARISTOTLE) the Hazard Ratio for the primary efficacy endpoint of stroke and systemic embolus was 0.71 (95% CI 0.53, 0.95) in favour of apixaban compared with warfarin and the Hazard Ratio for the primary safety endpoint of ISTH Major Bleeding was 0.64 (95% CI 0.52, 0.79) also in favour of apixaban.</w:t>
      </w:r>
      <w:r>
        <w:rPr>
          <w:szCs w:val="24"/>
        </w:rPr>
        <w:t xml:space="preserve"> </w:t>
      </w:r>
      <w:r w:rsidRPr="00604A09">
        <w:rPr>
          <w:szCs w:val="24"/>
        </w:rPr>
        <w:t xml:space="preserve"> </w:t>
      </w:r>
      <w:r>
        <w:rPr>
          <w:szCs w:val="24"/>
        </w:rPr>
        <w:t>N</w:t>
      </w:r>
      <w:r w:rsidRPr="00604A09">
        <w:rPr>
          <w:szCs w:val="24"/>
        </w:rPr>
        <w:t>o dose adjustment is required, except for patients</w:t>
      </w:r>
      <w:r>
        <w:rPr>
          <w:szCs w:val="24"/>
        </w:rPr>
        <w:t xml:space="preserve"> with two of the following criteria; age </w:t>
      </w:r>
      <w:r w:rsidRPr="00604A09">
        <w:rPr>
          <w:szCs w:val="24"/>
        </w:rPr>
        <w:t>≥</w:t>
      </w:r>
      <w:r>
        <w:rPr>
          <w:szCs w:val="24"/>
        </w:rPr>
        <w:t xml:space="preserve"> </w:t>
      </w:r>
      <w:r w:rsidRPr="00604A09">
        <w:rPr>
          <w:szCs w:val="24"/>
        </w:rPr>
        <w:t>80 years</w:t>
      </w:r>
      <w:r>
        <w:rPr>
          <w:szCs w:val="24"/>
        </w:rPr>
        <w:t>,</w:t>
      </w:r>
      <w:r w:rsidRPr="00604A09">
        <w:rPr>
          <w:szCs w:val="24"/>
        </w:rPr>
        <w:t xml:space="preserve"> body weight ≤</w:t>
      </w:r>
      <w:r>
        <w:rPr>
          <w:szCs w:val="24"/>
        </w:rPr>
        <w:t xml:space="preserve"> </w:t>
      </w:r>
      <w:r w:rsidRPr="00604A09">
        <w:rPr>
          <w:szCs w:val="24"/>
        </w:rPr>
        <w:t>60 kg</w:t>
      </w:r>
      <w:r>
        <w:rPr>
          <w:szCs w:val="24"/>
        </w:rPr>
        <w:t xml:space="preserve">, </w:t>
      </w:r>
      <w:proofErr w:type="gramStart"/>
      <w:r>
        <w:rPr>
          <w:szCs w:val="24"/>
        </w:rPr>
        <w:t>s</w:t>
      </w:r>
      <w:r w:rsidRPr="00604A09">
        <w:rPr>
          <w:szCs w:val="24"/>
        </w:rPr>
        <w:t>erum creatinine ≥</w:t>
      </w:r>
      <w:r>
        <w:rPr>
          <w:szCs w:val="24"/>
        </w:rPr>
        <w:t xml:space="preserve"> </w:t>
      </w:r>
      <w:r w:rsidRPr="00604A09">
        <w:rPr>
          <w:szCs w:val="24"/>
        </w:rPr>
        <w:t>133 μmol/L (see DOSAGE AND ADMINISTRATION, Use in the Elderly)</w:t>
      </w:r>
      <w:proofErr w:type="gramEnd"/>
      <w:r>
        <w:rPr>
          <w:szCs w:val="24"/>
        </w:rPr>
        <w:t>.</w:t>
      </w:r>
    </w:p>
    <w:p w:rsidR="00FF06B9" w:rsidRDefault="00FF06B9" w:rsidP="00FF06B9">
      <w:pPr>
        <w:pStyle w:val="Heading2"/>
      </w:pPr>
      <w:proofErr w:type="spellStart"/>
      <w:r w:rsidRPr="006D3DBC">
        <w:t>Genotoxicity</w:t>
      </w:r>
      <w:proofErr w:type="spellEnd"/>
    </w:p>
    <w:p w:rsidR="00FF06B9" w:rsidRDefault="00FF06B9" w:rsidP="00FF06B9">
      <w:proofErr w:type="spellStart"/>
      <w:r w:rsidRPr="006D3DBC">
        <w:t>Apixaban</w:t>
      </w:r>
      <w:proofErr w:type="spellEnd"/>
      <w:r w:rsidRPr="006D3DBC">
        <w:t xml:space="preserve"> did not induce gene mutations in bacteria (</w:t>
      </w:r>
      <w:r w:rsidRPr="006D3DBC">
        <w:rPr>
          <w:i/>
        </w:rPr>
        <w:t>Salmonella typhimurium</w:t>
      </w:r>
      <w:r w:rsidRPr="006D3DBC">
        <w:t xml:space="preserve">) or chromosomal damage in mammalian cells (Chinese hamster ovary cells) </w:t>
      </w:r>
      <w:r w:rsidRPr="006D3DBC">
        <w:rPr>
          <w:i/>
        </w:rPr>
        <w:t>in vitro</w:t>
      </w:r>
      <w:r w:rsidRPr="006D3DBC">
        <w:t xml:space="preserve"> and lymphocytes in rats </w:t>
      </w:r>
      <w:r w:rsidRPr="006D3DBC">
        <w:rPr>
          <w:i/>
        </w:rPr>
        <w:t>in vivo</w:t>
      </w:r>
      <w:r w:rsidRPr="006D3DBC">
        <w:t xml:space="preserve">.  There was no evidence of genotoxic potential in a micronucleus test in rats.  The oral doses in the rat lymphocyte chromosome aberration study at up to 600 mg/kg/day for 30 days resulted in plasma apixaban concentrations 4 times the human exposure at 5 mg twice daily based on free fraction </w:t>
      </w:r>
      <w:proofErr w:type="spellStart"/>
      <w:r w:rsidRPr="006D3DBC">
        <w:t>Cmax</w:t>
      </w:r>
      <w:proofErr w:type="spellEnd"/>
      <w:r w:rsidRPr="006D3DBC">
        <w:t>.</w:t>
      </w:r>
    </w:p>
    <w:p w:rsidR="00FF06B9" w:rsidRDefault="00FF06B9" w:rsidP="00FF06B9">
      <w:pPr>
        <w:pStyle w:val="Heading2"/>
      </w:pPr>
      <w:r w:rsidRPr="006D3DBC">
        <w:t>Carcinogenicity</w:t>
      </w:r>
    </w:p>
    <w:p w:rsidR="00FF06B9" w:rsidRDefault="00FF06B9" w:rsidP="00FF06B9">
      <w:r w:rsidRPr="006D3DBC">
        <w:t>Long term studies in mice and rats at dietary doses up to 1500 and 600 mg/kg/day, respectively, did not show any evidence of carcinogenic potential.  These doses resulted in plasma apixaban concentrations 42 times (mice) and 8 times (rat) human values at 2.5 mg twice daily, or 9 to 21 times (mouse) and 3 times (rat) human values at 5 mg twice daily based on free fraction AUC.</w:t>
      </w:r>
    </w:p>
    <w:p w:rsidR="00FF06B9" w:rsidRDefault="00FF06B9" w:rsidP="00FF06B9">
      <w:pPr>
        <w:pStyle w:val="Heading2"/>
      </w:pPr>
      <w:r w:rsidRPr="006D3DBC">
        <w:lastRenderedPageBreak/>
        <w:t>Effects on Laboratory Tests</w:t>
      </w:r>
    </w:p>
    <w:p w:rsidR="00FF06B9" w:rsidRDefault="00FF06B9" w:rsidP="00FF06B9">
      <w:r w:rsidRPr="006D3DBC">
        <w:t xml:space="preserve">Clotting tests (e.g. PT, INR, and aPTT) are affected as expected by the mechanism of action of apixaban (see PHARMACOLOGY, Mechanism of Action).  Changes observed in these clotting tests at the expected therapeutic dose are small and subject to a high degree of variability (see PHARMACOLOGY, </w:t>
      </w:r>
      <w:proofErr w:type="spellStart"/>
      <w:r w:rsidRPr="006D3DBC">
        <w:t>Pharmacodynamics</w:t>
      </w:r>
      <w:proofErr w:type="spellEnd"/>
      <w:r w:rsidRPr="006D3DBC">
        <w:t>).</w:t>
      </w:r>
    </w:p>
    <w:p w:rsidR="00FF06B9" w:rsidRDefault="00FF06B9" w:rsidP="00FF06B9">
      <w:pPr>
        <w:pStyle w:val="Heading2"/>
      </w:pPr>
      <w:r w:rsidRPr="006D3DBC">
        <w:t>Effects on Ability to Drive and Use Machines</w:t>
      </w:r>
    </w:p>
    <w:p w:rsidR="00FF06B9" w:rsidRDefault="00FF06B9" w:rsidP="00FF06B9">
      <w:r w:rsidRPr="006D3DBC">
        <w:t>ELIQUIS has no or negligible influence on the ability to drive and use machines.</w:t>
      </w:r>
    </w:p>
    <w:p w:rsidR="00FF06B9" w:rsidRPr="00FF06B9" w:rsidRDefault="00FF06B9" w:rsidP="00FF06B9">
      <w:pPr>
        <w:pStyle w:val="Heading1"/>
      </w:pPr>
      <w:r w:rsidRPr="00FF06B9">
        <w:t>Interactions with Other Medicines</w:t>
      </w:r>
    </w:p>
    <w:p w:rsidR="00FF06B9" w:rsidRPr="006D3DBC" w:rsidRDefault="00FF06B9" w:rsidP="00FF06B9">
      <w:pPr>
        <w:rPr>
          <w:bCs/>
        </w:rPr>
      </w:pPr>
      <w:proofErr w:type="spellStart"/>
      <w:r w:rsidRPr="006D3DBC">
        <w:t>Apixaban</w:t>
      </w:r>
      <w:proofErr w:type="spellEnd"/>
      <w:r w:rsidRPr="006D3DBC">
        <w:t xml:space="preserve"> is eliminated by renal and non-renal pathways, including metabolism and biliary excretion.  Metabolism occurs mainly via CYP3A4/5.  Apixaban is a substrate of efflux transport proteins; P-gp and BCRP (see PHARMACOLOGY, Pharmacokinetics).</w:t>
      </w:r>
    </w:p>
    <w:p w:rsidR="00FF06B9" w:rsidRDefault="00FF06B9" w:rsidP="00FF06B9">
      <w:pPr>
        <w:pStyle w:val="Heading2"/>
      </w:pPr>
      <w:r w:rsidRPr="006D3DBC">
        <w:t xml:space="preserve">Effect of Other Medicines on </w:t>
      </w:r>
      <w:proofErr w:type="spellStart"/>
      <w:r w:rsidRPr="006D3DBC">
        <w:t>Apixaban</w:t>
      </w:r>
      <w:proofErr w:type="spellEnd"/>
    </w:p>
    <w:p w:rsidR="00FF06B9" w:rsidRDefault="00FF06B9" w:rsidP="00FF06B9">
      <w:pPr>
        <w:pStyle w:val="Heading3"/>
      </w:pPr>
      <w:r w:rsidRPr="006D3DBC">
        <w:t>Strong Inhibitors of CYP3A4 and P-</w:t>
      </w:r>
      <w:proofErr w:type="spellStart"/>
      <w:r w:rsidRPr="006D3DBC">
        <w:t>gp</w:t>
      </w:r>
      <w:proofErr w:type="spellEnd"/>
    </w:p>
    <w:p w:rsidR="00FF06B9" w:rsidRDefault="00FF06B9" w:rsidP="00FF06B9">
      <w:r w:rsidRPr="006D3DBC">
        <w:t xml:space="preserve">Co-administration of </w:t>
      </w:r>
      <w:proofErr w:type="spellStart"/>
      <w:r w:rsidRPr="006D3DBC">
        <w:t>apixaban</w:t>
      </w:r>
      <w:proofErr w:type="spellEnd"/>
      <w:r w:rsidRPr="006D3DBC">
        <w:t xml:space="preserve"> with ketoconazole (400 mg once a day), a strong inhibitor of both CYP3A4 and P-gp, led to a 2-fold increase in mean apixaban AUC and a 1.6-fold increase in mean </w:t>
      </w:r>
      <w:proofErr w:type="spellStart"/>
      <w:r w:rsidRPr="006D3DBC">
        <w:t>apixaban</w:t>
      </w:r>
      <w:proofErr w:type="spellEnd"/>
      <w:r w:rsidRPr="006D3DBC">
        <w:t xml:space="preserve"> </w:t>
      </w:r>
      <w:proofErr w:type="spellStart"/>
      <w:r w:rsidRPr="006D3DBC">
        <w:t>Cmax</w:t>
      </w:r>
      <w:proofErr w:type="spellEnd"/>
      <w:r w:rsidRPr="006D3DBC">
        <w:t>.</w:t>
      </w:r>
    </w:p>
    <w:p w:rsidR="00FF06B9" w:rsidRDefault="00FF06B9" w:rsidP="00FF06B9">
      <w:r w:rsidRPr="006D3DBC">
        <w:t xml:space="preserve">Two-fold increases in </w:t>
      </w:r>
      <w:proofErr w:type="spellStart"/>
      <w:r w:rsidRPr="006D3DBC">
        <w:t>apixaban</w:t>
      </w:r>
      <w:proofErr w:type="spellEnd"/>
      <w:r w:rsidRPr="006D3DBC">
        <w:t xml:space="preserve"> plasma concentrations may lead to an increased bleeding risk and, therefore, apixaban is contraindicated in patients who are receiving concomitant treatment with strong inhibitors of both CYP3A4 and P-gp, such as systemic treatment with azole-antimycotics (e.g., ketoconazole, itraconazole, voriconazole or posaconazole) or HIV protease inhibitors (e.g., </w:t>
      </w:r>
      <w:proofErr w:type="spellStart"/>
      <w:r w:rsidRPr="006D3DBC">
        <w:t>ritonavir</w:t>
      </w:r>
      <w:proofErr w:type="spellEnd"/>
      <w:r w:rsidRPr="006D3DBC">
        <w:t>) (see CONTRAINDICATIONS).</w:t>
      </w:r>
    </w:p>
    <w:p w:rsidR="00FF06B9" w:rsidRDefault="00FF06B9" w:rsidP="00FF06B9">
      <w:pPr>
        <w:pStyle w:val="Heading3"/>
      </w:pPr>
      <w:r w:rsidRPr="006D3DBC">
        <w:t>Other Inhibitors of CYP3A4 and P-</w:t>
      </w:r>
      <w:proofErr w:type="spellStart"/>
      <w:r w:rsidRPr="006D3DBC">
        <w:t>gp</w:t>
      </w:r>
      <w:proofErr w:type="spellEnd"/>
    </w:p>
    <w:p w:rsidR="00FF06B9" w:rsidRDefault="00FF06B9" w:rsidP="00FF06B9">
      <w:proofErr w:type="gramStart"/>
      <w:r w:rsidRPr="006D3DBC">
        <w:t>Active substances that are not considered strong inhibitors of both CYP3A4 and P-gp (e.g., diltiazem, naproxen, amiodarone, verapamil</w:t>
      </w:r>
      <w:r>
        <w:t>, clarithromycin, quinidine</w:t>
      </w:r>
      <w:r w:rsidRPr="006D3DBC">
        <w:t>), are expected to increase apixaban plasma concentration to a lesser extent.</w:t>
      </w:r>
      <w:proofErr w:type="gramEnd"/>
      <w:r w:rsidRPr="006D3DBC">
        <w:t xml:space="preserve">  Diltiazem (360 mg once a day), for instance, considered a moderate CYP3A4 and a weak P-gp inhibitor, led to a 1.4-fold increase in mean apixaban AUC and a 1.3-fold increase in Cmax.  Naproxen (500 mg, single dose) an inhibitor of P-gp but not an inhibitor of CYP3A4, led to a 1.5-fold and 1.6-fold increase in mean apixaban AUC and Cmax, respectively.  No dose adjustment for apixaban is required when co-administered with less potent inhibitors of CYP3A4 and/or P-</w:t>
      </w:r>
      <w:proofErr w:type="spellStart"/>
      <w:r w:rsidRPr="006D3DBC">
        <w:t>gp</w:t>
      </w:r>
      <w:proofErr w:type="spellEnd"/>
      <w:r w:rsidRPr="006D3DBC">
        <w:t>.</w:t>
      </w:r>
    </w:p>
    <w:p w:rsidR="00FF06B9" w:rsidRDefault="00FF06B9" w:rsidP="00FF06B9">
      <w:pPr>
        <w:pStyle w:val="Heading3"/>
      </w:pPr>
      <w:r w:rsidRPr="006D3DBC">
        <w:t>Inducers of CYP3A4 and P-</w:t>
      </w:r>
      <w:proofErr w:type="spellStart"/>
      <w:r w:rsidRPr="006D3DBC">
        <w:t>gp</w:t>
      </w:r>
      <w:proofErr w:type="spellEnd"/>
    </w:p>
    <w:p w:rsidR="00FF06B9" w:rsidRDefault="00FF06B9" w:rsidP="00FF06B9">
      <w:r w:rsidRPr="006D3DBC">
        <w:t xml:space="preserve">Co-administration of </w:t>
      </w:r>
      <w:proofErr w:type="spellStart"/>
      <w:r w:rsidRPr="006D3DBC">
        <w:t>apixaban</w:t>
      </w:r>
      <w:proofErr w:type="spellEnd"/>
      <w:r w:rsidRPr="006D3DBC">
        <w:t xml:space="preserve"> with rifampin, a strong inducer of both CYP3A4 and P-gp, led to an approximate 54% and 42% decrease in mean apixaban AUC and Cmax, respectively.  The concomitant use of apixaban with other strong CYP3A4 and P-gp inducers (e.g., phenytoin, carbamazepine, phenobarbital or St. John’s Wort) may also lead to reduced apixaban plasma concentrations.  No dose adjustment for apixaban is required during concomitant therapy with such agents, however strong inducers of both CYP3A4 and P-gp should be co-administered with caution.</w:t>
      </w:r>
    </w:p>
    <w:p w:rsidR="00FF06B9" w:rsidRDefault="00FF06B9" w:rsidP="00FF06B9">
      <w:r>
        <w:t xml:space="preserve">Increased stroke rates have been noted in atrial fibrillation patients taking these medicines with either </w:t>
      </w:r>
      <w:proofErr w:type="spellStart"/>
      <w:r>
        <w:t>apixaban</w:t>
      </w:r>
      <w:proofErr w:type="spellEnd"/>
      <w:r>
        <w:t xml:space="preserve"> or </w:t>
      </w:r>
      <w:proofErr w:type="spellStart"/>
      <w:r>
        <w:t>warfarin</w:t>
      </w:r>
      <w:proofErr w:type="spellEnd"/>
      <w:r>
        <w:t>.</w:t>
      </w:r>
    </w:p>
    <w:p w:rsidR="00FF06B9" w:rsidRDefault="00FF06B9" w:rsidP="00FF06B9">
      <w:pPr>
        <w:pStyle w:val="Heading3"/>
      </w:pPr>
      <w:r w:rsidRPr="006D3DBC">
        <w:lastRenderedPageBreak/>
        <w:t>Anticoagulants, Platelet Aggregation Inhibitors and NSAIDs</w:t>
      </w:r>
    </w:p>
    <w:p w:rsidR="00FF06B9" w:rsidRDefault="00FF06B9" w:rsidP="00FF06B9">
      <w:r w:rsidRPr="006D3DBC" w:rsidDel="00F95796">
        <w:rPr>
          <w:noProof/>
        </w:rPr>
        <w:t>Due to an increased bleeding risk, concomitant</w:t>
      </w:r>
      <w:r w:rsidRPr="006D3DBC">
        <w:rPr>
          <w:noProof/>
        </w:rPr>
        <w:t xml:space="preserve"> treatment</w:t>
      </w:r>
      <w:r w:rsidRPr="006D3DBC" w:rsidDel="00F95796">
        <w:rPr>
          <w:noProof/>
        </w:rPr>
        <w:t xml:space="preserve"> with any other anticoagulants</w:t>
      </w:r>
      <w:r w:rsidRPr="006D3DBC">
        <w:rPr>
          <w:noProof/>
        </w:rPr>
        <w:t xml:space="preserve"> is contraindicated</w:t>
      </w:r>
      <w:r w:rsidRPr="006D3DBC" w:rsidDel="00F95796">
        <w:rPr>
          <w:noProof/>
        </w:rPr>
        <w:t xml:space="preserve"> (see </w:t>
      </w:r>
      <w:r w:rsidRPr="006D3DBC">
        <w:rPr>
          <w:noProof/>
        </w:rPr>
        <w:t>CONTRAINDICATIONS</w:t>
      </w:r>
      <w:r w:rsidRPr="006D3DBC" w:rsidDel="00F95796">
        <w:rPr>
          <w:noProof/>
        </w:rPr>
        <w:t>).</w:t>
      </w:r>
    </w:p>
    <w:p w:rsidR="00FF06B9" w:rsidRDefault="00FF06B9" w:rsidP="00FF06B9">
      <w:r w:rsidRPr="006D3DBC">
        <w:t>After combined administration of enoxaparin (40 mg single dose) with apixaban (5 mg single dose), an additive effect on anti-</w:t>
      </w:r>
      <w:proofErr w:type="spellStart"/>
      <w:r w:rsidRPr="006D3DBC">
        <w:t>FXa</w:t>
      </w:r>
      <w:proofErr w:type="spellEnd"/>
      <w:r w:rsidRPr="006D3DBC">
        <w:t xml:space="preserve"> activity was observed.</w:t>
      </w:r>
    </w:p>
    <w:p w:rsidR="00FF06B9" w:rsidRDefault="00FF06B9" w:rsidP="00FF06B9">
      <w:r w:rsidRPr="006D3DBC">
        <w:t xml:space="preserve">Pharmacokinetic or </w:t>
      </w:r>
      <w:proofErr w:type="spellStart"/>
      <w:r w:rsidRPr="006D3DBC">
        <w:t>pharmacodynamic</w:t>
      </w:r>
      <w:proofErr w:type="spellEnd"/>
      <w:r w:rsidRPr="006D3DBC">
        <w:t xml:space="preserve"> interactions were not evident in healthy subjects when apixaban was co-administered with ASA325 mg once a day.</w:t>
      </w:r>
    </w:p>
    <w:p w:rsidR="00FF06B9" w:rsidRDefault="00FF06B9" w:rsidP="00FF06B9">
      <w:proofErr w:type="spellStart"/>
      <w:r w:rsidRPr="006D3DBC">
        <w:t>Apixaban</w:t>
      </w:r>
      <w:proofErr w:type="spellEnd"/>
      <w:r w:rsidRPr="006D3DBC">
        <w:t xml:space="preserve"> co-administered with </w:t>
      </w:r>
      <w:proofErr w:type="spellStart"/>
      <w:r w:rsidRPr="006D3DBC">
        <w:t>clopidogrel</w:t>
      </w:r>
      <w:proofErr w:type="spellEnd"/>
      <w:r w:rsidRPr="006D3DBC">
        <w:t xml:space="preserve"> (75 mg once a day) or with the combination of clopidogrel 75 mg and ASA162 mg once daily in phase 1 studies did not show a relevant increase in bleeding time or further inhibition of platelet aggregation compared to administration of the antiplatelet agents without apixaban.  Increases in clotting tests (PT, INR, and aPTT) were consistent with the effects of </w:t>
      </w:r>
      <w:proofErr w:type="spellStart"/>
      <w:r w:rsidRPr="006D3DBC">
        <w:t>apixaban</w:t>
      </w:r>
      <w:proofErr w:type="spellEnd"/>
      <w:r w:rsidRPr="006D3DBC">
        <w:t xml:space="preserve"> alone.</w:t>
      </w:r>
    </w:p>
    <w:p w:rsidR="00FF06B9" w:rsidRDefault="00FF06B9" w:rsidP="00FF06B9">
      <w:r w:rsidRPr="006D3DBC">
        <w:t xml:space="preserve">Naproxen (500 mg), an inhibitor of P-gp, led to a 1.5-fold and 1.6-fold increase in mean apixaban AUC and Cmax in healthy subjects, respectively.  Corresponding increases in clotting tests were observed for apixaban.  No changes were observed in the effect of naproxen on arachidonic acid-induced platelet aggregation and no clinically relevant prolongation of bleeding time was observed after concomitant administration of </w:t>
      </w:r>
      <w:proofErr w:type="spellStart"/>
      <w:r w:rsidRPr="006D3DBC">
        <w:t>apixaban</w:t>
      </w:r>
      <w:proofErr w:type="spellEnd"/>
      <w:r w:rsidRPr="006D3DBC">
        <w:t xml:space="preserve"> and naproxen.</w:t>
      </w:r>
    </w:p>
    <w:p w:rsidR="00FF06B9" w:rsidRDefault="00FF06B9" w:rsidP="00FF06B9">
      <w:r w:rsidRPr="006D3DBC">
        <w:t xml:space="preserve">Despite these findings, ELIQUIS should be used with caution when co-administered with NSAIDs (including ASA) because these medicinal products typically increase the bleeding risk.  </w:t>
      </w:r>
      <w:r w:rsidRPr="006D3DBC">
        <w:rPr>
          <w:szCs w:val="24"/>
          <w:lang w:eastAsia="en-GB"/>
        </w:rPr>
        <w:t>A significant increase in bleeding risk was reported with the triple combination of apixaban, acetylsalicylic acid and clopidogrel in a clinical study in patients with acute coronary syndrome.</w:t>
      </w:r>
      <w:r w:rsidRPr="006D3DBC">
        <w:rPr>
          <w:i/>
          <w:szCs w:val="24"/>
          <w:lang w:eastAsia="en-GB"/>
        </w:rPr>
        <w:t xml:space="preserve">  </w:t>
      </w:r>
      <w:r w:rsidRPr="006D3DBC">
        <w:t>Agents associated with serious bleeding are not recommended concomitantly with ELIQUIS, such as: thrombolytic agents, GPIIb/IIIa receptor antagonists, thienopyridines (e.g., clopidogrel) in surgical patients, dipyridamole, and dextran.  It should be noted that unfractionated heparin can be administered at doses necessary to maintain a patent central venous or arterial catheter</w:t>
      </w:r>
      <w:r>
        <w:t>.</w:t>
      </w:r>
      <w:r w:rsidRPr="006D3DBC">
        <w:t xml:space="preserve"> (</w:t>
      </w:r>
      <w:proofErr w:type="gramStart"/>
      <w:r w:rsidRPr="006D3DBC">
        <w:t>see</w:t>
      </w:r>
      <w:proofErr w:type="gramEnd"/>
      <w:r w:rsidRPr="006D3DBC">
        <w:t xml:space="preserve"> PRECAUTIONS, Interaction with Other Medicines affecting Haemostasis).</w:t>
      </w:r>
    </w:p>
    <w:p w:rsidR="00FF06B9" w:rsidRDefault="00FF06B9" w:rsidP="00FF06B9">
      <w:r w:rsidRPr="006D3DBC">
        <w:t xml:space="preserve">In patients with </w:t>
      </w:r>
      <w:proofErr w:type="spellStart"/>
      <w:r w:rsidRPr="006D3DBC">
        <w:t>atrial</w:t>
      </w:r>
      <w:proofErr w:type="spellEnd"/>
      <w:r w:rsidRPr="006D3DBC">
        <w:t xml:space="preserve"> fibrillation and a condition that warrants mono or dual antiplatelet therapy, a careful assessment of the potential benefits against the potential risks should be made before combining this therapy with ELIQUIS (see PRECAUTIONS, Interaction with Other Medicines affecting Haemostasis).</w:t>
      </w:r>
    </w:p>
    <w:p w:rsidR="00FF06B9" w:rsidRDefault="00FF06B9" w:rsidP="00FF06B9">
      <w:pPr>
        <w:pStyle w:val="Heading3"/>
      </w:pPr>
      <w:r w:rsidRPr="006D3DBC">
        <w:t>Other Concomitant Therapies</w:t>
      </w:r>
    </w:p>
    <w:p w:rsidR="00FF06B9" w:rsidRDefault="00FF06B9" w:rsidP="00FF06B9">
      <w:r w:rsidRPr="006D3DBC">
        <w:t xml:space="preserve">No clinically significant pharmacokinetic or pharmacodynamic interactions were observed when apixaban was co-administered with atenolol or famotidine.  Co-administration of apixaban 10 mg with atenolol 100 mg did not have a clinically relevant effect on the pharmacokinetics of apixaban.  Following administration of the two drugs together, mean apixaban AUC and Cmax were 15% and 18% lower than when administered alone.  The administration of apixaban 10 mg with famotidine 40 mg had no effect on </w:t>
      </w:r>
      <w:proofErr w:type="spellStart"/>
      <w:r w:rsidRPr="006D3DBC">
        <w:t>apixaban</w:t>
      </w:r>
      <w:proofErr w:type="spellEnd"/>
      <w:r w:rsidRPr="006D3DBC">
        <w:t xml:space="preserve"> AUC or </w:t>
      </w:r>
      <w:proofErr w:type="spellStart"/>
      <w:r w:rsidRPr="006D3DBC">
        <w:t>Cmax</w:t>
      </w:r>
      <w:proofErr w:type="spellEnd"/>
      <w:r w:rsidRPr="006D3DBC">
        <w:t>.</w:t>
      </w:r>
    </w:p>
    <w:p w:rsidR="00FF06B9" w:rsidRDefault="00FF06B9" w:rsidP="00FF06B9">
      <w:pPr>
        <w:pStyle w:val="Heading3"/>
      </w:pPr>
      <w:r w:rsidRPr="004D3461">
        <w:t>Concomitant Therapies Affecting Bleeding</w:t>
      </w:r>
    </w:p>
    <w:p w:rsidR="00FF06B9" w:rsidRDefault="00FF06B9" w:rsidP="00FF06B9">
      <w:r>
        <w:t xml:space="preserve">Patients taking </w:t>
      </w:r>
      <w:proofErr w:type="spellStart"/>
      <w:r>
        <w:t>apixaban</w:t>
      </w:r>
      <w:proofErr w:type="spellEnd"/>
      <w:r>
        <w:t xml:space="preserve"> may be at increased risk of bleeding when taking certain concomitant medications i.e. NSAIDs, Platelet Aggregation Inhibitors, </w:t>
      </w:r>
      <w:r w:rsidRPr="006D3DBC">
        <w:t xml:space="preserve">diltiazem, amiodarone, </w:t>
      </w:r>
      <w:proofErr w:type="spellStart"/>
      <w:r w:rsidRPr="006D3DBC">
        <w:t>verapamil</w:t>
      </w:r>
      <w:proofErr w:type="spellEnd"/>
      <w:r>
        <w:t xml:space="preserve">, </w:t>
      </w:r>
      <w:proofErr w:type="spellStart"/>
      <w:r>
        <w:t>clarithromycin</w:t>
      </w:r>
      <w:proofErr w:type="spellEnd"/>
      <w:r>
        <w:t xml:space="preserve"> and </w:t>
      </w:r>
      <w:proofErr w:type="spellStart"/>
      <w:r>
        <w:t>quinidine</w:t>
      </w:r>
      <w:proofErr w:type="spellEnd"/>
      <w:r>
        <w:t>.</w:t>
      </w:r>
    </w:p>
    <w:p w:rsidR="00FF06B9" w:rsidRDefault="00FF06B9" w:rsidP="00FF06B9">
      <w:pPr>
        <w:pStyle w:val="Heading3"/>
      </w:pPr>
      <w:r w:rsidRPr="006D3DBC">
        <w:lastRenderedPageBreak/>
        <w:t>Paediatric Population</w:t>
      </w:r>
    </w:p>
    <w:p w:rsidR="00FF06B9" w:rsidRDefault="00FF06B9" w:rsidP="00FF06B9">
      <w:r w:rsidRPr="006D3DBC">
        <w:t>Interaction studies have only been performed in adults.</w:t>
      </w:r>
    </w:p>
    <w:p w:rsidR="00FF06B9" w:rsidRDefault="00FF06B9" w:rsidP="00FF06B9">
      <w:pPr>
        <w:pStyle w:val="Heading2"/>
      </w:pPr>
      <w:r w:rsidRPr="006D3DBC">
        <w:t xml:space="preserve">Effect of </w:t>
      </w:r>
      <w:proofErr w:type="spellStart"/>
      <w:r w:rsidRPr="006D3DBC">
        <w:t>Apixaban</w:t>
      </w:r>
      <w:proofErr w:type="spellEnd"/>
      <w:r w:rsidRPr="006D3DBC">
        <w:t xml:space="preserve"> on Other Medicines</w:t>
      </w:r>
    </w:p>
    <w:p w:rsidR="00FF06B9" w:rsidRDefault="00FF06B9" w:rsidP="00FF06B9">
      <w:r w:rsidRPr="006D3DBC">
        <w:rPr>
          <w:i/>
        </w:rPr>
        <w:t>In vitro</w:t>
      </w:r>
      <w:r w:rsidRPr="006D3DBC">
        <w:t xml:space="preserve"> </w:t>
      </w:r>
      <w:proofErr w:type="spellStart"/>
      <w:r w:rsidRPr="006D3DBC">
        <w:t>apixaban</w:t>
      </w:r>
      <w:proofErr w:type="spellEnd"/>
      <w:r w:rsidRPr="006D3DBC">
        <w:t xml:space="preserve"> studies showed no inhibitory effect on the activity of CYP1A2, CYP2A6, CYP2B6, CYP2C8, CYP2C9, CYP2D6 or CYP3A4 (IC50 &gt; 45 </w:t>
      </w:r>
      <w:r w:rsidRPr="006D3DBC">
        <w:rPr>
          <w:szCs w:val="24"/>
        </w:rPr>
        <w:sym w:font="Symbol" w:char="F06D"/>
      </w:r>
      <w:r w:rsidRPr="006D3DBC">
        <w:t xml:space="preserve">M) and weak inhibitory effect on the activity of CYP2C19 (IC50 &gt; 20 </w:t>
      </w:r>
      <w:r w:rsidRPr="006D3DBC">
        <w:rPr>
          <w:szCs w:val="24"/>
        </w:rPr>
        <w:sym w:font="Symbol" w:char="F06D"/>
      </w:r>
      <w:r w:rsidRPr="006D3DBC">
        <w:t xml:space="preserve">M) at concentrations that are significantly greater than peak plasma concentrations observed in patients.  Apixaban did not induce CYP1A2, CYP2B6, </w:t>
      </w:r>
      <w:proofErr w:type="gramStart"/>
      <w:r w:rsidRPr="006D3DBC">
        <w:t>CYP3A4</w:t>
      </w:r>
      <w:proofErr w:type="gramEnd"/>
      <w:r w:rsidRPr="006D3DBC">
        <w:t xml:space="preserve">/5 at a concentration up to 20 </w:t>
      </w:r>
      <w:r w:rsidRPr="006D3DBC">
        <w:rPr>
          <w:szCs w:val="24"/>
        </w:rPr>
        <w:sym w:font="Symbol" w:char="F06D"/>
      </w:r>
      <w:r w:rsidRPr="006D3DBC">
        <w:t>M.  Therefore, apixaban is not expected to alter the metabolic clearance of co</w:t>
      </w:r>
      <w:r w:rsidRPr="006D3DBC">
        <w:noBreakHyphen/>
        <w:t>administered drugs that are metabolised by these enzymes.  Apixaban is not a significant inhibitor of P-</w:t>
      </w:r>
      <w:proofErr w:type="spellStart"/>
      <w:r w:rsidRPr="006D3DBC">
        <w:t>gp</w:t>
      </w:r>
      <w:proofErr w:type="spellEnd"/>
      <w:r w:rsidRPr="006D3DBC">
        <w:t>.</w:t>
      </w:r>
    </w:p>
    <w:p w:rsidR="00FF06B9" w:rsidRDefault="00FF06B9" w:rsidP="00FF06B9">
      <w:r w:rsidRPr="006D3DBC">
        <w:t xml:space="preserve">In studies conducted in healthy subjects, as described below, apixaban did not meaningfully alter the pharmacokinetics of </w:t>
      </w:r>
      <w:proofErr w:type="spellStart"/>
      <w:r w:rsidRPr="006D3DBC">
        <w:t>digoxin</w:t>
      </w:r>
      <w:proofErr w:type="spellEnd"/>
      <w:r w:rsidRPr="006D3DBC">
        <w:t xml:space="preserve">, naproxen, or </w:t>
      </w:r>
      <w:proofErr w:type="spellStart"/>
      <w:r w:rsidRPr="006D3DBC">
        <w:t>atenolol</w:t>
      </w:r>
      <w:proofErr w:type="spellEnd"/>
      <w:r w:rsidRPr="006D3DBC">
        <w:t>.</w:t>
      </w:r>
    </w:p>
    <w:p w:rsidR="00FF06B9" w:rsidRDefault="00FF06B9" w:rsidP="00FF06B9">
      <w:pPr>
        <w:pStyle w:val="Heading3"/>
      </w:pPr>
      <w:proofErr w:type="spellStart"/>
      <w:r w:rsidRPr="006D3DBC">
        <w:t>Digoxin</w:t>
      </w:r>
      <w:proofErr w:type="spellEnd"/>
    </w:p>
    <w:p w:rsidR="00FF06B9" w:rsidRDefault="00FF06B9" w:rsidP="00FF06B9">
      <w:proofErr w:type="spellStart"/>
      <w:r w:rsidRPr="006D3DBC">
        <w:t>Co</w:t>
      </w:r>
      <w:r w:rsidRPr="006D3DBC">
        <w:noBreakHyphen/>
        <w:t>administration</w:t>
      </w:r>
      <w:proofErr w:type="spellEnd"/>
      <w:r w:rsidRPr="006D3DBC">
        <w:t xml:space="preserve"> of </w:t>
      </w:r>
      <w:proofErr w:type="spellStart"/>
      <w:r w:rsidRPr="006D3DBC">
        <w:t>apixaban</w:t>
      </w:r>
      <w:proofErr w:type="spellEnd"/>
      <w:r w:rsidRPr="006D3DBC">
        <w:t xml:space="preserve"> (20 mg once a day) and digoxin (0.25 mg once a day), a P-gp substrate, did not affect digoxin AUC or Cmax.  Therefore, apixaban does not inhibit P-</w:t>
      </w:r>
      <w:proofErr w:type="spellStart"/>
      <w:r w:rsidRPr="006D3DBC">
        <w:t>gp</w:t>
      </w:r>
      <w:proofErr w:type="spellEnd"/>
      <w:r w:rsidRPr="006D3DBC">
        <w:t xml:space="preserve"> mediated substrate transport.</w:t>
      </w:r>
    </w:p>
    <w:p w:rsidR="00FF06B9" w:rsidRDefault="00FF06B9" w:rsidP="00FF06B9">
      <w:pPr>
        <w:pStyle w:val="Heading3"/>
      </w:pPr>
      <w:r w:rsidRPr="006D3DBC">
        <w:t>Naproxen</w:t>
      </w:r>
    </w:p>
    <w:p w:rsidR="00FF06B9" w:rsidRDefault="00FF06B9" w:rsidP="00FF06B9">
      <w:proofErr w:type="spellStart"/>
      <w:r w:rsidRPr="006D3DBC">
        <w:t>Co</w:t>
      </w:r>
      <w:r w:rsidRPr="006D3DBC">
        <w:noBreakHyphen/>
        <w:t>administration</w:t>
      </w:r>
      <w:proofErr w:type="spellEnd"/>
      <w:r w:rsidRPr="006D3DBC">
        <w:t xml:space="preserve"> of single doses of apixaban (10 mg) and naproxen (500 mg), a commonly used NSAID, did not have any effect on the naproxen AUC or </w:t>
      </w:r>
      <w:proofErr w:type="spellStart"/>
      <w:r w:rsidRPr="006D3DBC">
        <w:t>Cmax</w:t>
      </w:r>
      <w:proofErr w:type="spellEnd"/>
      <w:r w:rsidRPr="006D3DBC">
        <w:t>.</w:t>
      </w:r>
    </w:p>
    <w:p w:rsidR="00FF06B9" w:rsidRDefault="00FF06B9" w:rsidP="00FF06B9">
      <w:pPr>
        <w:pStyle w:val="Heading3"/>
      </w:pPr>
      <w:proofErr w:type="spellStart"/>
      <w:r w:rsidRPr="006D3DBC">
        <w:t>Atenolol</w:t>
      </w:r>
      <w:proofErr w:type="spellEnd"/>
    </w:p>
    <w:p w:rsidR="00FF06B9" w:rsidRDefault="00FF06B9" w:rsidP="00FF06B9">
      <w:proofErr w:type="spellStart"/>
      <w:r w:rsidRPr="006D3DBC">
        <w:t>Co</w:t>
      </w:r>
      <w:r w:rsidRPr="006D3DBC">
        <w:noBreakHyphen/>
        <w:t>administration</w:t>
      </w:r>
      <w:proofErr w:type="spellEnd"/>
      <w:r w:rsidRPr="006D3DBC">
        <w:t xml:space="preserve"> of a single dose of apixaban (10 mg) and atenolol (100 mg), a common beta-blocker, did not alter the pharmacokinetics of </w:t>
      </w:r>
      <w:proofErr w:type="spellStart"/>
      <w:r w:rsidRPr="006D3DBC">
        <w:t>atenolol</w:t>
      </w:r>
      <w:proofErr w:type="spellEnd"/>
      <w:r w:rsidRPr="006D3DBC">
        <w:t>.</w:t>
      </w:r>
    </w:p>
    <w:p w:rsidR="00FF06B9" w:rsidRDefault="00FF06B9" w:rsidP="00FF06B9">
      <w:pPr>
        <w:pStyle w:val="Heading1"/>
      </w:pPr>
      <w:r w:rsidRPr="006D3DBC">
        <w:t>ADVERSE EFFECTS</w:t>
      </w:r>
    </w:p>
    <w:p w:rsidR="00FF06B9" w:rsidRDefault="00FF06B9" w:rsidP="00FF06B9">
      <w:pPr>
        <w:pStyle w:val="Heading2"/>
      </w:pPr>
      <w:r w:rsidRPr="006D3DBC">
        <w:t>Prevention of VTE: Elective Total Hip or Total Knee Replacement Surgery</w:t>
      </w:r>
    </w:p>
    <w:p w:rsidR="00FF06B9" w:rsidRDefault="00FF06B9" w:rsidP="00FF06B9">
      <w:r w:rsidRPr="006D3DBC">
        <w:t xml:space="preserve">The safety of </w:t>
      </w:r>
      <w:proofErr w:type="spellStart"/>
      <w:r w:rsidRPr="006D3DBC">
        <w:t>apixaban</w:t>
      </w:r>
      <w:proofErr w:type="spellEnd"/>
      <w:r w:rsidRPr="006D3DBC">
        <w:t xml:space="preserve"> has been evaluated in one phase II and three phase III studies including 5,924 patients exposed to apixaban 2.5 mg twice daily undergoing major orthopaedic surgery of the lower limbs (elective hip replacement or elective knee replacement) treated for up to 38 days.  Of these, 2,673 patients undergoing hip replacement were treated for a mean duration of 34 days and 3,251 patients undergoing knee replacement were treated for a mean duration of 10 and 12 days in the phase II and III studies, respectively.</w:t>
      </w:r>
    </w:p>
    <w:p w:rsidR="00FF06B9" w:rsidRDefault="00F30B67" w:rsidP="00FF06B9">
      <w:r w:rsidRPr="006D3DBC">
        <w:t>In total, 11% of the patients treated with apixaban 2.5 mg twice daily experienced adverse reactions.  Bleeding may occur during apixaban therapy in the presence of associated risk factors such as organic lesions liable to bleed.  Common adverse reactions were anaemia, haemorrhage, contusion and nausea.  The overall incidences of adverse reactions of bleeding, anaemia and abnormalities of transaminases (e.g., alanine aminotransferase levels) were similar between treatment groups in the phase II and phase III studies in elective hip and knee replacement surgery.  The adverse reactions should be interpreted within the surgical setting.</w:t>
      </w:r>
    </w:p>
    <w:p w:rsidR="00F30B67" w:rsidRDefault="00F30B67" w:rsidP="00FF06B9">
      <w:r w:rsidRPr="006D3DBC">
        <w:t xml:space="preserve">The use of ELIQUIS may be associated with an increased risk of occult or overt bleeding from any tissue or organ, which may result in posthaemorrhagic anaemia.  The signs, symptoms and severity will vary according to the location and degree or extent of the </w:t>
      </w:r>
      <w:r w:rsidRPr="006D3DBC">
        <w:lastRenderedPageBreak/>
        <w:t>bleeding (see PRECAUTIONS, Haemorrhage Risk and CLINICAL TRIALS).  Bleeding was assessed as a safety endpoint in the clinical trials.  Similar rates were seen for major bleeding, the composite of major and clinically relevant non-major bleeding, and all bleeding in patients treated with apixaban 2.5 mg compared with enoxaparin 40 mg (see CLINICAL TRIALS, Table 2).</w:t>
      </w:r>
    </w:p>
    <w:p w:rsidR="00F30B67" w:rsidRDefault="00F30B67" w:rsidP="00FF06B9">
      <w:r w:rsidRPr="006D3DBC">
        <w:t xml:space="preserve">Adverse events from the pivotal phase III studies (ADVANCE-2 and ADVANCE-3) are listed in Table </w:t>
      </w:r>
      <w:r>
        <w:t>7</w:t>
      </w:r>
      <w:r w:rsidRPr="006D3DBC">
        <w:t xml:space="preserve"> by system organ classification (</w:t>
      </w:r>
      <w:proofErr w:type="spellStart"/>
      <w:r w:rsidRPr="006D3DBC">
        <w:t>MedDRA</w:t>
      </w:r>
      <w:proofErr w:type="spellEnd"/>
      <w:r w:rsidRPr="006D3DBC">
        <w:t>) and by frequency.</w:t>
      </w:r>
    </w:p>
    <w:p w:rsidR="00F30B67" w:rsidRDefault="00F30B67" w:rsidP="00F30B67">
      <w:pPr>
        <w:pStyle w:val="BMSTableTitle"/>
        <w:tabs>
          <w:tab w:val="clear" w:pos="2160"/>
          <w:tab w:val="left" w:pos="0"/>
        </w:tabs>
        <w:ind w:left="0" w:firstLine="0"/>
      </w:pPr>
      <w:r w:rsidRPr="006D3DBC">
        <w:t xml:space="preserve">Table </w:t>
      </w:r>
      <w:r>
        <w:t>7</w:t>
      </w:r>
      <w:r w:rsidRPr="006D3DBC">
        <w:t>: Common adverse events occurring in ≥ 1% of patients in either group undergoing hip or knee replacement surgery, regardless of causality</w:t>
      </w:r>
    </w:p>
    <w:tbl>
      <w:tblPr>
        <w:tblW w:w="88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3888"/>
        <w:gridCol w:w="2520"/>
        <w:gridCol w:w="2448"/>
      </w:tblGrid>
      <w:tr w:rsidR="00F30B67" w:rsidRPr="006D3DBC" w:rsidTr="00F30B67">
        <w:trPr>
          <w:tblHeader/>
          <w:jc w:val="center"/>
        </w:trPr>
        <w:tc>
          <w:tcPr>
            <w:tcW w:w="3888" w:type="dxa"/>
            <w:shd w:val="clear" w:color="auto" w:fill="FFFFFF"/>
          </w:tcPr>
          <w:p w:rsidR="00F30B67" w:rsidRPr="006D3DBC" w:rsidRDefault="00F30B67" w:rsidP="00F30B67">
            <w:pPr>
              <w:pStyle w:val="BMSTableHeader"/>
              <w:spacing w:before="0" w:after="0" w:line="276" w:lineRule="auto"/>
              <w:rPr>
                <w:lang w:val="en-AU"/>
              </w:rPr>
            </w:pPr>
            <w:r w:rsidRPr="006D3DBC">
              <w:rPr>
                <w:lang w:val="en-AU"/>
              </w:rPr>
              <w:t>System Organ Classification / Preferred Term</w:t>
            </w:r>
          </w:p>
        </w:tc>
        <w:tc>
          <w:tcPr>
            <w:tcW w:w="2520" w:type="dxa"/>
            <w:shd w:val="clear" w:color="auto" w:fill="FFFFFF"/>
          </w:tcPr>
          <w:p w:rsidR="00F30B67" w:rsidRPr="006D3DBC" w:rsidRDefault="00F30B67" w:rsidP="00F30B67">
            <w:pPr>
              <w:pStyle w:val="BMSTableHeader"/>
              <w:spacing w:before="0" w:after="0" w:line="276" w:lineRule="auto"/>
              <w:rPr>
                <w:lang w:val="en-AU"/>
              </w:rPr>
            </w:pPr>
            <w:proofErr w:type="spellStart"/>
            <w:r w:rsidRPr="006D3DBC">
              <w:rPr>
                <w:lang w:val="en-AU"/>
              </w:rPr>
              <w:t>Apixaban</w:t>
            </w:r>
            <w:proofErr w:type="spellEnd"/>
          </w:p>
          <w:p w:rsidR="00F30B67" w:rsidRPr="006D3DBC" w:rsidRDefault="00F30B67" w:rsidP="00F30B67">
            <w:pPr>
              <w:pStyle w:val="BMSTableHeader"/>
              <w:spacing w:before="0" w:after="0" w:line="276" w:lineRule="auto"/>
              <w:rPr>
                <w:lang w:val="en-AU"/>
              </w:rPr>
            </w:pPr>
            <w:r w:rsidRPr="006D3DBC">
              <w:rPr>
                <w:lang w:val="en-AU"/>
              </w:rPr>
              <w:t xml:space="preserve">2.5 mg </w:t>
            </w:r>
            <w:proofErr w:type="spellStart"/>
            <w:r w:rsidRPr="006D3DBC">
              <w:rPr>
                <w:lang w:val="en-AU"/>
              </w:rPr>
              <w:t>po</w:t>
            </w:r>
            <w:proofErr w:type="spellEnd"/>
            <w:r w:rsidRPr="006D3DBC">
              <w:rPr>
                <w:lang w:val="en-AU"/>
              </w:rPr>
              <w:t xml:space="preserve"> twice daily</w:t>
            </w:r>
          </w:p>
          <w:p w:rsidR="00F30B67" w:rsidRPr="006D3DBC" w:rsidRDefault="00F30B67" w:rsidP="00F30B67">
            <w:pPr>
              <w:pStyle w:val="BMSTableText"/>
              <w:spacing w:before="0" w:after="0" w:line="276" w:lineRule="auto"/>
              <w:rPr>
                <w:b/>
                <w:bCs/>
                <w:lang w:val="en-AU"/>
              </w:rPr>
            </w:pPr>
            <w:proofErr w:type="gramStart"/>
            <w:r w:rsidRPr="006D3DBC">
              <w:rPr>
                <w:b/>
                <w:bCs/>
                <w:lang w:val="en-AU"/>
              </w:rPr>
              <w:t>n</w:t>
            </w:r>
            <w:proofErr w:type="gramEnd"/>
            <w:r w:rsidRPr="006D3DBC">
              <w:rPr>
                <w:b/>
                <w:bCs/>
                <w:lang w:val="en-AU"/>
              </w:rPr>
              <w:t xml:space="preserve"> (%)</w:t>
            </w:r>
          </w:p>
        </w:tc>
        <w:tc>
          <w:tcPr>
            <w:tcW w:w="2448" w:type="dxa"/>
            <w:shd w:val="clear" w:color="auto" w:fill="FFFFFF"/>
          </w:tcPr>
          <w:p w:rsidR="00F30B67" w:rsidRPr="006D3DBC" w:rsidRDefault="00F30B67" w:rsidP="00F30B67">
            <w:pPr>
              <w:pStyle w:val="BMSTableHeader"/>
              <w:spacing w:before="0" w:after="0" w:line="276" w:lineRule="auto"/>
              <w:rPr>
                <w:lang w:val="en-AU"/>
              </w:rPr>
            </w:pPr>
            <w:proofErr w:type="spellStart"/>
            <w:r w:rsidRPr="006D3DBC">
              <w:rPr>
                <w:lang w:val="en-AU"/>
              </w:rPr>
              <w:t>Enoxaparin</w:t>
            </w:r>
            <w:proofErr w:type="spellEnd"/>
          </w:p>
          <w:p w:rsidR="00F30B67" w:rsidRPr="006D3DBC" w:rsidRDefault="00F30B67" w:rsidP="00F30B67">
            <w:pPr>
              <w:pStyle w:val="BMSTableHeader"/>
              <w:spacing w:before="0" w:after="0" w:line="276" w:lineRule="auto"/>
              <w:rPr>
                <w:lang w:val="en-AU"/>
              </w:rPr>
            </w:pPr>
            <w:r w:rsidRPr="006D3DBC">
              <w:rPr>
                <w:lang w:val="en-AU"/>
              </w:rPr>
              <w:t>40 mg sc once daily</w:t>
            </w:r>
          </w:p>
          <w:p w:rsidR="00F30B67" w:rsidRPr="006D3DBC" w:rsidRDefault="00F30B67" w:rsidP="00F30B67">
            <w:pPr>
              <w:pStyle w:val="BMSTableText"/>
              <w:spacing w:before="0" w:after="0" w:line="276" w:lineRule="auto"/>
              <w:rPr>
                <w:lang w:val="en-AU"/>
              </w:rPr>
            </w:pPr>
            <w:proofErr w:type="gramStart"/>
            <w:r w:rsidRPr="006D3DBC">
              <w:rPr>
                <w:b/>
                <w:bCs/>
                <w:lang w:val="en-AU"/>
              </w:rPr>
              <w:t>n</w:t>
            </w:r>
            <w:proofErr w:type="gramEnd"/>
            <w:r w:rsidRPr="006D3DBC">
              <w:rPr>
                <w:b/>
                <w:bCs/>
                <w:lang w:val="en-AU"/>
              </w:rPr>
              <w:t xml:space="preserve"> (%) </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jc w:val="left"/>
              <w:rPr>
                <w:lang w:val="en-AU"/>
              </w:rPr>
            </w:pPr>
            <w:r w:rsidRPr="006D3DBC">
              <w:rPr>
                <w:lang w:val="en-AU"/>
              </w:rPr>
              <w:t>Number treated</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4174 (100)</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4167 (100)</w:t>
            </w:r>
          </w:p>
        </w:tc>
      </w:tr>
      <w:tr w:rsidR="00F30B67" w:rsidRPr="006D3DBC" w:rsidTr="00F30B67">
        <w:trPr>
          <w:jc w:val="center"/>
        </w:trPr>
        <w:tc>
          <w:tcPr>
            <w:tcW w:w="8856" w:type="dxa"/>
            <w:gridSpan w:val="3"/>
            <w:shd w:val="clear" w:color="auto" w:fill="FFFFFF"/>
          </w:tcPr>
          <w:p w:rsidR="00F30B67" w:rsidRPr="006D3DBC" w:rsidRDefault="00F30B67" w:rsidP="00F30B67">
            <w:pPr>
              <w:pStyle w:val="BMSTableText"/>
              <w:spacing w:line="276" w:lineRule="auto"/>
              <w:jc w:val="left"/>
              <w:rPr>
                <w:lang w:val="en-AU"/>
              </w:rPr>
            </w:pPr>
            <w:r w:rsidRPr="006D3DBC">
              <w:rPr>
                <w:i/>
                <w:iCs/>
                <w:lang w:val="en-AU"/>
              </w:rPr>
              <w:t>Gastrointestinal disorders</w:t>
            </w:r>
          </w:p>
        </w:tc>
      </w:tr>
      <w:tr w:rsidR="00F30B67" w:rsidRPr="006D3DBC" w:rsidTr="00F30B67">
        <w:trPr>
          <w:jc w:val="center"/>
        </w:trPr>
        <w:tc>
          <w:tcPr>
            <w:tcW w:w="3888" w:type="dxa"/>
            <w:shd w:val="clear" w:color="auto" w:fill="FFFFFF"/>
          </w:tcPr>
          <w:p w:rsidR="00F30B67" w:rsidRPr="006D3DBC" w:rsidRDefault="00F30B67" w:rsidP="00F30B67">
            <w:pPr>
              <w:pStyle w:val="BMSTableText"/>
              <w:tabs>
                <w:tab w:val="clear" w:pos="360"/>
              </w:tabs>
              <w:spacing w:line="276" w:lineRule="auto"/>
              <w:ind w:left="450"/>
              <w:jc w:val="left"/>
              <w:rPr>
                <w:lang w:val="en-AU"/>
              </w:rPr>
            </w:pPr>
            <w:r w:rsidRPr="006D3DBC">
              <w:rPr>
                <w:lang w:val="en-AU"/>
              </w:rPr>
              <w:t>Nausea</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587 (14.1)</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649 (15.6)</w:t>
            </w:r>
          </w:p>
        </w:tc>
      </w:tr>
      <w:tr w:rsidR="00F30B67" w:rsidRPr="006D3DBC" w:rsidTr="00F30B67">
        <w:trPr>
          <w:jc w:val="center"/>
        </w:trPr>
        <w:tc>
          <w:tcPr>
            <w:tcW w:w="3888" w:type="dxa"/>
            <w:shd w:val="clear" w:color="auto" w:fill="FFFFFF"/>
          </w:tcPr>
          <w:p w:rsidR="00F30B67" w:rsidRPr="006D3DBC" w:rsidRDefault="00F30B67" w:rsidP="00F30B67">
            <w:pPr>
              <w:pStyle w:val="BMSTableText"/>
              <w:tabs>
                <w:tab w:val="clear" w:pos="360"/>
              </w:tabs>
              <w:spacing w:line="276" w:lineRule="auto"/>
              <w:ind w:left="450"/>
              <w:jc w:val="left"/>
              <w:rPr>
                <w:lang w:val="en-AU"/>
              </w:rPr>
            </w:pPr>
            <w:r w:rsidRPr="006D3DBC">
              <w:rPr>
                <w:lang w:val="en-AU"/>
              </w:rPr>
              <w:t>Constipation</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392 (9.4)</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441 (10.6)</w:t>
            </w:r>
          </w:p>
        </w:tc>
      </w:tr>
      <w:tr w:rsidR="00F30B67" w:rsidRPr="006D3DBC" w:rsidTr="00F30B67">
        <w:trPr>
          <w:jc w:val="center"/>
        </w:trPr>
        <w:tc>
          <w:tcPr>
            <w:tcW w:w="3888" w:type="dxa"/>
            <w:shd w:val="clear" w:color="auto" w:fill="FFFFFF"/>
          </w:tcPr>
          <w:p w:rsidR="00F30B67" w:rsidRPr="006D3DBC" w:rsidRDefault="00F30B67" w:rsidP="00F30B67">
            <w:pPr>
              <w:pStyle w:val="BMSTableText"/>
              <w:tabs>
                <w:tab w:val="clear" w:pos="360"/>
              </w:tabs>
              <w:spacing w:line="276" w:lineRule="auto"/>
              <w:ind w:left="450"/>
              <w:jc w:val="left"/>
              <w:rPr>
                <w:lang w:val="en-AU"/>
              </w:rPr>
            </w:pPr>
            <w:r w:rsidRPr="006D3DBC">
              <w:rPr>
                <w:lang w:val="en-AU"/>
              </w:rPr>
              <w:t>Vomiting</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288 (6.9)</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350 (8.4)</w:t>
            </w:r>
          </w:p>
        </w:tc>
      </w:tr>
      <w:tr w:rsidR="00F30B67" w:rsidRPr="006D3DBC" w:rsidTr="00F30B67">
        <w:trPr>
          <w:jc w:val="center"/>
        </w:trPr>
        <w:tc>
          <w:tcPr>
            <w:tcW w:w="3888" w:type="dxa"/>
            <w:shd w:val="clear" w:color="auto" w:fill="FFFFFF"/>
          </w:tcPr>
          <w:p w:rsidR="00F30B67" w:rsidRPr="006D3DBC" w:rsidRDefault="00F30B67" w:rsidP="00F30B67">
            <w:pPr>
              <w:pStyle w:val="BMSTableText"/>
              <w:tabs>
                <w:tab w:val="clear" w:pos="360"/>
              </w:tabs>
              <w:spacing w:line="276" w:lineRule="auto"/>
              <w:ind w:left="450"/>
              <w:jc w:val="left"/>
              <w:rPr>
                <w:lang w:val="en-AU"/>
              </w:rPr>
            </w:pPr>
            <w:r w:rsidRPr="006D3DBC">
              <w:rPr>
                <w:lang w:val="en-AU"/>
              </w:rPr>
              <w:t>Diarrhoea</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96 (2.3)</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110 (2.6)</w:t>
            </w:r>
          </w:p>
        </w:tc>
      </w:tr>
      <w:tr w:rsidR="00F30B67" w:rsidRPr="006D3DBC" w:rsidTr="00F30B67">
        <w:trPr>
          <w:jc w:val="center"/>
        </w:trPr>
        <w:tc>
          <w:tcPr>
            <w:tcW w:w="3888" w:type="dxa"/>
            <w:shd w:val="clear" w:color="auto" w:fill="FFFFFF"/>
          </w:tcPr>
          <w:p w:rsidR="00F30B67" w:rsidRPr="006D3DBC" w:rsidRDefault="00F30B67" w:rsidP="00F30B67">
            <w:pPr>
              <w:pStyle w:val="BMSTableText"/>
              <w:tabs>
                <w:tab w:val="clear" w:pos="360"/>
              </w:tabs>
              <w:spacing w:line="276" w:lineRule="auto"/>
              <w:ind w:left="450"/>
              <w:jc w:val="left"/>
              <w:rPr>
                <w:lang w:val="en-AU"/>
              </w:rPr>
            </w:pPr>
            <w:r w:rsidRPr="006D3DBC">
              <w:rPr>
                <w:lang w:val="en-AU"/>
              </w:rPr>
              <w:t>Dyspepsia</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48 (1.2)</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60 (1.4)</w:t>
            </w:r>
          </w:p>
        </w:tc>
      </w:tr>
      <w:tr w:rsidR="00F30B67" w:rsidRPr="006D3DBC" w:rsidTr="00F30B67">
        <w:trPr>
          <w:jc w:val="center"/>
        </w:trPr>
        <w:tc>
          <w:tcPr>
            <w:tcW w:w="8856" w:type="dxa"/>
            <w:gridSpan w:val="3"/>
            <w:shd w:val="clear" w:color="auto" w:fill="FFFFFF"/>
          </w:tcPr>
          <w:p w:rsidR="00F30B67" w:rsidRPr="006D3DBC" w:rsidRDefault="00F30B67" w:rsidP="00F30B67">
            <w:pPr>
              <w:pStyle w:val="BMSTableText"/>
              <w:spacing w:line="276" w:lineRule="auto"/>
              <w:jc w:val="left"/>
              <w:rPr>
                <w:lang w:val="en-AU"/>
              </w:rPr>
            </w:pPr>
            <w:r w:rsidRPr="006D3DBC">
              <w:rPr>
                <w:i/>
                <w:iCs/>
                <w:lang w:val="en-AU"/>
              </w:rPr>
              <w:t>Injury, poisoning and procedural complications</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t>Procedural pain</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431 (10.3)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433 (10.4)</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t>Anaemia postoperative</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194 (4.6)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196 (4.7)</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t>Contusion</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63 (1.5)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86 (2.1)</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t>Procedural hypotension</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62 (1.5)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58 (1.4)</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t>Wound secretion</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58 (1.4)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54 (1.3)</w:t>
            </w:r>
          </w:p>
        </w:tc>
      </w:tr>
      <w:tr w:rsidR="00F30B67" w:rsidRPr="006D3DBC" w:rsidTr="00F30B67">
        <w:trPr>
          <w:jc w:val="center"/>
        </w:trPr>
        <w:tc>
          <w:tcPr>
            <w:tcW w:w="8856" w:type="dxa"/>
            <w:gridSpan w:val="3"/>
            <w:shd w:val="clear" w:color="auto" w:fill="FFFFFF"/>
          </w:tcPr>
          <w:p w:rsidR="00F30B67" w:rsidRPr="006D3DBC" w:rsidRDefault="00F30B67" w:rsidP="00F30B67">
            <w:pPr>
              <w:pStyle w:val="BMSTableText"/>
              <w:spacing w:line="276" w:lineRule="auto"/>
              <w:jc w:val="left"/>
              <w:rPr>
                <w:lang w:val="en-AU"/>
              </w:rPr>
            </w:pPr>
            <w:r w:rsidRPr="006D3DBC">
              <w:rPr>
                <w:i/>
                <w:iCs/>
                <w:lang w:val="en-AU"/>
              </w:rPr>
              <w:t>General disorders and administration site conditions</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t xml:space="preserve">Pyrexia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307 (7.4)</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313 (7.5)</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t xml:space="preserve">Oedema peripheral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222 (5.3)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201 (4.8)</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t xml:space="preserve">Pain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93 (2.2)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96 (2.3)</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t xml:space="preserve">Chest pain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46 (1.1)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40 (1.0)</w:t>
            </w:r>
          </w:p>
        </w:tc>
      </w:tr>
      <w:tr w:rsidR="00F30B67" w:rsidRPr="006D3DBC" w:rsidTr="00F30B67">
        <w:trPr>
          <w:jc w:val="center"/>
        </w:trPr>
        <w:tc>
          <w:tcPr>
            <w:tcW w:w="8856" w:type="dxa"/>
            <w:gridSpan w:val="3"/>
            <w:shd w:val="clear" w:color="auto" w:fill="FFFFFF"/>
          </w:tcPr>
          <w:p w:rsidR="00F30B67" w:rsidRPr="006D3DBC" w:rsidRDefault="00F30B67" w:rsidP="00F30B67">
            <w:pPr>
              <w:pStyle w:val="BMSTableText"/>
              <w:spacing w:line="276" w:lineRule="auto"/>
              <w:jc w:val="left"/>
              <w:rPr>
                <w:lang w:val="en-AU"/>
              </w:rPr>
            </w:pPr>
            <w:r w:rsidRPr="006D3DBC">
              <w:rPr>
                <w:i/>
                <w:iCs/>
                <w:lang w:val="en-AU"/>
              </w:rPr>
              <w:t>Vascular disorders</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t xml:space="preserve">Hypotension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299 (7.2)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296 (7.1)</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t xml:space="preserve">Deep vein thrombosis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144 (3.5)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217 (5.2)</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t xml:space="preserve">Hypertension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70 (1.7)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71 (1.7)</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t xml:space="preserve">Thrombosis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70 (1.7)</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71 (1.7)</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t xml:space="preserve">Haematoma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58 (1.4)</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66 (1.6)</w:t>
            </w:r>
          </w:p>
        </w:tc>
      </w:tr>
      <w:tr w:rsidR="00F30B67" w:rsidRPr="006D3DBC" w:rsidTr="00F30B67">
        <w:trPr>
          <w:jc w:val="center"/>
        </w:trPr>
        <w:tc>
          <w:tcPr>
            <w:tcW w:w="8856" w:type="dxa"/>
            <w:gridSpan w:val="3"/>
            <w:shd w:val="clear" w:color="auto" w:fill="FFFFFF"/>
          </w:tcPr>
          <w:p w:rsidR="00F30B67" w:rsidRPr="006D3DBC" w:rsidRDefault="00F30B67" w:rsidP="00F30B67">
            <w:pPr>
              <w:pStyle w:val="BMSTableText"/>
              <w:spacing w:line="276" w:lineRule="auto"/>
              <w:jc w:val="left"/>
              <w:rPr>
                <w:lang w:val="en-AU"/>
              </w:rPr>
            </w:pPr>
            <w:r w:rsidRPr="006D3DBC">
              <w:rPr>
                <w:i/>
                <w:iCs/>
                <w:lang w:val="en-AU"/>
              </w:rPr>
              <w:t>Investigations</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lastRenderedPageBreak/>
              <w:t xml:space="preserve">Haemoglobin decreased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142 (3.4)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171 (4.1)</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t xml:space="preserve">Blood </w:t>
            </w:r>
            <w:proofErr w:type="spellStart"/>
            <w:r w:rsidRPr="006D3DBC">
              <w:rPr>
                <w:lang w:val="en-AU"/>
              </w:rPr>
              <w:t>creatine</w:t>
            </w:r>
            <w:proofErr w:type="spellEnd"/>
            <w:r w:rsidRPr="006D3DBC">
              <w:rPr>
                <w:lang w:val="en-AU"/>
              </w:rPr>
              <w:t xml:space="preserve"> </w:t>
            </w:r>
            <w:proofErr w:type="spellStart"/>
            <w:r w:rsidRPr="006D3DBC">
              <w:rPr>
                <w:lang w:val="en-AU"/>
              </w:rPr>
              <w:t>phosphokinase</w:t>
            </w:r>
            <w:proofErr w:type="spellEnd"/>
            <w:r w:rsidRPr="006D3DBC">
              <w:rPr>
                <w:lang w:val="en-AU"/>
              </w:rPr>
              <w:t xml:space="preserve"> increased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102 (2.4)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104 (2.5)</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t xml:space="preserve">Body temperature increased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85 (2.0)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88 (2.1)</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proofErr w:type="spellStart"/>
            <w:r w:rsidRPr="006D3DBC">
              <w:rPr>
                <w:lang w:val="en-AU"/>
              </w:rPr>
              <w:t>Aspartate</w:t>
            </w:r>
            <w:proofErr w:type="spellEnd"/>
            <w:r w:rsidRPr="006D3DBC">
              <w:rPr>
                <w:lang w:val="en-AU"/>
              </w:rPr>
              <w:t xml:space="preserve"> </w:t>
            </w:r>
            <w:proofErr w:type="spellStart"/>
            <w:r w:rsidRPr="006D3DBC">
              <w:rPr>
                <w:lang w:val="en-AU"/>
              </w:rPr>
              <w:t>aminotransferase</w:t>
            </w:r>
            <w:proofErr w:type="spellEnd"/>
            <w:r w:rsidRPr="006D3DBC">
              <w:rPr>
                <w:lang w:val="en-AU"/>
              </w:rPr>
              <w:t xml:space="preserve"> increased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56 (1.3)</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78 (1.9)</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proofErr w:type="spellStart"/>
            <w:r w:rsidRPr="006D3DBC">
              <w:rPr>
                <w:lang w:val="en-AU"/>
              </w:rPr>
              <w:t>Alanine</w:t>
            </w:r>
            <w:proofErr w:type="spellEnd"/>
            <w:r w:rsidRPr="006D3DBC">
              <w:rPr>
                <w:lang w:val="en-AU"/>
              </w:rPr>
              <w:t xml:space="preserve"> </w:t>
            </w:r>
            <w:proofErr w:type="spellStart"/>
            <w:r w:rsidRPr="006D3DBC">
              <w:rPr>
                <w:lang w:val="en-AU"/>
              </w:rPr>
              <w:t>aminotransferase</w:t>
            </w:r>
            <w:proofErr w:type="spellEnd"/>
            <w:r w:rsidRPr="006D3DBC">
              <w:rPr>
                <w:lang w:val="en-AU"/>
              </w:rPr>
              <w:t xml:space="preserve"> increased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50 (1.2)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77 (1.8)</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t>Gamma-</w:t>
            </w:r>
            <w:proofErr w:type="spellStart"/>
            <w:r w:rsidRPr="006D3DBC">
              <w:rPr>
                <w:lang w:val="en-AU"/>
              </w:rPr>
              <w:t>glutamyltransferase</w:t>
            </w:r>
            <w:proofErr w:type="spellEnd"/>
            <w:r w:rsidRPr="006D3DBC">
              <w:rPr>
                <w:lang w:val="en-AU"/>
              </w:rPr>
              <w:t xml:space="preserve"> increased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41 (1.0)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72 (1.7)</w:t>
            </w:r>
          </w:p>
        </w:tc>
      </w:tr>
      <w:tr w:rsidR="00F30B67" w:rsidRPr="006D3DBC" w:rsidTr="00F30B67">
        <w:trPr>
          <w:jc w:val="center"/>
        </w:trPr>
        <w:tc>
          <w:tcPr>
            <w:tcW w:w="8856" w:type="dxa"/>
            <w:gridSpan w:val="3"/>
            <w:shd w:val="clear" w:color="auto" w:fill="FFFFFF"/>
          </w:tcPr>
          <w:p w:rsidR="00F30B67" w:rsidRPr="006D3DBC" w:rsidRDefault="00F30B67" w:rsidP="00F30B67">
            <w:pPr>
              <w:pStyle w:val="BMSTableText"/>
              <w:spacing w:line="276" w:lineRule="auto"/>
              <w:jc w:val="left"/>
              <w:rPr>
                <w:lang w:val="en-AU"/>
              </w:rPr>
            </w:pPr>
            <w:r w:rsidRPr="006D3DBC">
              <w:rPr>
                <w:i/>
                <w:iCs/>
                <w:lang w:val="en-AU"/>
              </w:rPr>
              <w:t>Nervous system disorders</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t xml:space="preserve">Dizziness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207 (5.0)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176 (4.2)</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t xml:space="preserve">Headache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87 (2.1)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90 (2.2)</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t xml:space="preserve">Somnolence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33 (0.8)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47 (1.1)</w:t>
            </w:r>
          </w:p>
        </w:tc>
      </w:tr>
      <w:tr w:rsidR="00F30B67" w:rsidRPr="006D3DBC" w:rsidTr="00F30B67">
        <w:trPr>
          <w:jc w:val="center"/>
        </w:trPr>
        <w:tc>
          <w:tcPr>
            <w:tcW w:w="8856" w:type="dxa"/>
            <w:gridSpan w:val="3"/>
            <w:shd w:val="clear" w:color="auto" w:fill="FFFFFF"/>
          </w:tcPr>
          <w:p w:rsidR="00F30B67" w:rsidRPr="006D3DBC" w:rsidRDefault="00F30B67" w:rsidP="00F30B67">
            <w:pPr>
              <w:pStyle w:val="BMSTableText"/>
              <w:spacing w:line="276" w:lineRule="auto"/>
              <w:jc w:val="left"/>
              <w:rPr>
                <w:lang w:val="en-AU"/>
              </w:rPr>
            </w:pPr>
            <w:r w:rsidRPr="006D3DBC">
              <w:rPr>
                <w:i/>
                <w:iCs/>
                <w:lang w:val="en-AU"/>
              </w:rPr>
              <w:t>Skin and subcutaneous tissue disorders</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proofErr w:type="spellStart"/>
            <w:r w:rsidRPr="006D3DBC">
              <w:rPr>
                <w:lang w:val="en-AU"/>
              </w:rPr>
              <w:t>Pruritus</w:t>
            </w:r>
            <w:proofErr w:type="spellEnd"/>
            <w:r w:rsidRPr="006D3DBC">
              <w:rPr>
                <w:lang w:val="en-AU"/>
              </w:rPr>
              <w:t xml:space="preserve">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145 (3.5)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137 (3.3)</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t xml:space="preserve">Rash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65 (1.6)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67 (1.6)</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proofErr w:type="spellStart"/>
            <w:r w:rsidRPr="006D3DBC">
              <w:rPr>
                <w:lang w:val="en-AU"/>
              </w:rPr>
              <w:t>Erythema</w:t>
            </w:r>
            <w:proofErr w:type="spellEnd"/>
            <w:r w:rsidRPr="006D3DBC">
              <w:rPr>
                <w:lang w:val="en-AU"/>
              </w:rPr>
              <w:t xml:space="preserve">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49 (1.2)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46 (1.1)</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t xml:space="preserve">Blister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44 (1.1)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42 (1.0)</w:t>
            </w:r>
          </w:p>
        </w:tc>
      </w:tr>
      <w:tr w:rsidR="00F30B67" w:rsidRPr="006D3DBC" w:rsidTr="00F30B67">
        <w:trPr>
          <w:jc w:val="center"/>
        </w:trPr>
        <w:tc>
          <w:tcPr>
            <w:tcW w:w="8856" w:type="dxa"/>
            <w:gridSpan w:val="3"/>
            <w:shd w:val="clear" w:color="auto" w:fill="FFFFFF"/>
          </w:tcPr>
          <w:p w:rsidR="00F30B67" w:rsidRPr="006D3DBC" w:rsidRDefault="00F30B67" w:rsidP="00F30B67">
            <w:pPr>
              <w:pStyle w:val="BMSTableText"/>
              <w:spacing w:line="276" w:lineRule="auto"/>
              <w:jc w:val="left"/>
              <w:rPr>
                <w:lang w:val="en-AU"/>
              </w:rPr>
            </w:pPr>
            <w:r w:rsidRPr="006D3DBC">
              <w:rPr>
                <w:i/>
                <w:iCs/>
                <w:lang w:val="en-AU"/>
              </w:rPr>
              <w:t>Musculoskeletal and connective tissue disorders</w:t>
            </w:r>
            <w:r w:rsidRPr="006D3DBC">
              <w:rPr>
                <w:lang w:val="en-AU"/>
              </w:rPr>
              <w:t xml:space="preserve">         </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proofErr w:type="spellStart"/>
            <w:r w:rsidRPr="006D3DBC">
              <w:rPr>
                <w:lang w:val="en-AU"/>
              </w:rPr>
              <w:t>Arthralgia</w:t>
            </w:r>
            <w:proofErr w:type="spellEnd"/>
            <w:r w:rsidRPr="006D3DBC">
              <w:rPr>
                <w:lang w:val="en-AU"/>
              </w:rPr>
              <w:t xml:space="preserve">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108 (2.6)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87 (2.1)</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t xml:space="preserve">Pain in extremity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100 (2.4)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79 (1.9)</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t xml:space="preserve">Muscle spasms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82 (2.0)</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85 (2.0)</w:t>
            </w:r>
          </w:p>
        </w:tc>
      </w:tr>
      <w:tr w:rsidR="00F30B67" w:rsidRPr="006D3DBC" w:rsidTr="00F30B67">
        <w:trPr>
          <w:jc w:val="center"/>
        </w:trPr>
        <w:tc>
          <w:tcPr>
            <w:tcW w:w="8856" w:type="dxa"/>
            <w:gridSpan w:val="3"/>
            <w:shd w:val="clear" w:color="auto" w:fill="FFFFFF"/>
          </w:tcPr>
          <w:p w:rsidR="00F30B67" w:rsidRPr="006D3DBC" w:rsidRDefault="00F30B67" w:rsidP="00F30B67">
            <w:pPr>
              <w:pStyle w:val="BMSTableText"/>
              <w:spacing w:line="276" w:lineRule="auto"/>
              <w:jc w:val="left"/>
              <w:rPr>
                <w:i/>
                <w:lang w:val="en-AU"/>
              </w:rPr>
            </w:pPr>
            <w:r w:rsidRPr="006D3DBC">
              <w:rPr>
                <w:i/>
                <w:iCs/>
                <w:lang w:val="en-AU"/>
              </w:rPr>
              <w:t>Renal and urinary disorders</w:t>
            </w:r>
            <w:r w:rsidRPr="006D3DBC">
              <w:rPr>
                <w:lang w:val="en-AU"/>
              </w:rPr>
              <w:t xml:space="preserve">                             </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t xml:space="preserve">Urinary retention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184 (4.4)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169 (4.1)</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proofErr w:type="spellStart"/>
            <w:r w:rsidRPr="006D3DBC">
              <w:rPr>
                <w:lang w:val="en-AU"/>
              </w:rPr>
              <w:t>Haematuria</w:t>
            </w:r>
            <w:proofErr w:type="spellEnd"/>
            <w:r w:rsidRPr="006D3DBC">
              <w:rPr>
                <w:lang w:val="en-AU"/>
              </w:rPr>
              <w:t xml:space="preserve">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51 (1.2)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58 (1.4)</w:t>
            </w:r>
          </w:p>
        </w:tc>
      </w:tr>
      <w:tr w:rsidR="00F30B67" w:rsidRPr="006D3DBC" w:rsidTr="00F30B67">
        <w:trPr>
          <w:jc w:val="center"/>
        </w:trPr>
        <w:tc>
          <w:tcPr>
            <w:tcW w:w="8856" w:type="dxa"/>
            <w:gridSpan w:val="3"/>
            <w:shd w:val="clear" w:color="auto" w:fill="FFFFFF"/>
          </w:tcPr>
          <w:p w:rsidR="00F30B67" w:rsidRPr="006D3DBC" w:rsidRDefault="00F30B67" w:rsidP="00F30B67">
            <w:pPr>
              <w:pStyle w:val="BMSTableText"/>
              <w:spacing w:line="276" w:lineRule="auto"/>
              <w:jc w:val="left"/>
              <w:rPr>
                <w:i/>
                <w:lang w:val="en-AU"/>
              </w:rPr>
            </w:pPr>
            <w:r w:rsidRPr="006D3DBC">
              <w:rPr>
                <w:i/>
                <w:iCs/>
                <w:lang w:val="en-AU"/>
              </w:rPr>
              <w:t>Psychiatric disorders</w:t>
            </w:r>
            <w:r w:rsidRPr="006D3DBC">
              <w:rPr>
                <w:lang w:val="en-AU"/>
              </w:rPr>
              <w:t xml:space="preserve">                                   </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t xml:space="preserve">Insomnia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167 (4.0)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163 (3.9)</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t xml:space="preserve">Anxiety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30 (0.7)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44 (1.1)</w:t>
            </w:r>
          </w:p>
        </w:tc>
      </w:tr>
      <w:tr w:rsidR="00F30B67" w:rsidRPr="006D3DBC" w:rsidTr="00F30B67">
        <w:trPr>
          <w:jc w:val="center"/>
        </w:trPr>
        <w:tc>
          <w:tcPr>
            <w:tcW w:w="8856" w:type="dxa"/>
            <w:gridSpan w:val="3"/>
            <w:shd w:val="clear" w:color="auto" w:fill="FFFFFF"/>
          </w:tcPr>
          <w:p w:rsidR="00F30B67" w:rsidRPr="006D3DBC" w:rsidRDefault="00F30B67" w:rsidP="00F30B67">
            <w:pPr>
              <w:pStyle w:val="BMSTableText"/>
              <w:spacing w:line="276" w:lineRule="auto"/>
              <w:jc w:val="left"/>
              <w:rPr>
                <w:lang w:val="en-AU"/>
              </w:rPr>
            </w:pPr>
            <w:r w:rsidRPr="006D3DBC">
              <w:rPr>
                <w:i/>
                <w:iCs/>
                <w:lang w:val="en-AU"/>
              </w:rPr>
              <w:t>Infections and infestations</w:t>
            </w:r>
            <w:r w:rsidRPr="006D3DBC">
              <w:rPr>
                <w:lang w:val="en-AU"/>
              </w:rPr>
              <w:t xml:space="preserve">                             </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t xml:space="preserve">Urinary tract infection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80 (1.9)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82 (2.0)</w:t>
            </w:r>
          </w:p>
        </w:tc>
      </w:tr>
      <w:tr w:rsidR="00F30B67" w:rsidRPr="006D3DBC" w:rsidTr="00F30B67">
        <w:trPr>
          <w:jc w:val="center"/>
        </w:trPr>
        <w:tc>
          <w:tcPr>
            <w:tcW w:w="8856" w:type="dxa"/>
            <w:gridSpan w:val="3"/>
            <w:shd w:val="clear" w:color="auto" w:fill="FFFFFF"/>
          </w:tcPr>
          <w:p w:rsidR="00F30B67" w:rsidRPr="006D3DBC" w:rsidRDefault="00F30B67" w:rsidP="00F30B67">
            <w:pPr>
              <w:pStyle w:val="BMSTableText"/>
              <w:spacing w:line="276" w:lineRule="auto"/>
              <w:jc w:val="left"/>
              <w:rPr>
                <w:lang w:val="en-AU"/>
              </w:rPr>
            </w:pPr>
            <w:r w:rsidRPr="006D3DBC">
              <w:rPr>
                <w:i/>
                <w:iCs/>
                <w:lang w:val="en-AU"/>
              </w:rPr>
              <w:t>Cardiac disorders</w:t>
            </w:r>
            <w:r w:rsidRPr="006D3DBC">
              <w:rPr>
                <w:lang w:val="en-AU"/>
              </w:rPr>
              <w:t xml:space="preserve">                                       </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t xml:space="preserve">Tachycardia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135 (3.2)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147 (3.5)</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proofErr w:type="spellStart"/>
            <w:r w:rsidRPr="006D3DBC">
              <w:rPr>
                <w:lang w:val="en-AU"/>
              </w:rPr>
              <w:t>Bradycardia</w:t>
            </w:r>
            <w:proofErr w:type="spellEnd"/>
            <w:r w:rsidRPr="006D3DBC">
              <w:rPr>
                <w:lang w:val="en-AU"/>
              </w:rPr>
              <w:t xml:space="preserve">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49 (1.2)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48 (1.2)</w:t>
            </w:r>
          </w:p>
        </w:tc>
      </w:tr>
      <w:tr w:rsidR="00F30B67" w:rsidRPr="006D3DBC" w:rsidTr="00F30B67">
        <w:trPr>
          <w:jc w:val="center"/>
        </w:trPr>
        <w:tc>
          <w:tcPr>
            <w:tcW w:w="8856" w:type="dxa"/>
            <w:gridSpan w:val="3"/>
            <w:shd w:val="clear" w:color="auto" w:fill="FFFFFF"/>
          </w:tcPr>
          <w:p w:rsidR="00F30B67" w:rsidRPr="006D3DBC" w:rsidRDefault="00F30B67" w:rsidP="00F30B67">
            <w:pPr>
              <w:pStyle w:val="BMSTableText"/>
              <w:spacing w:line="276" w:lineRule="auto"/>
              <w:jc w:val="left"/>
              <w:rPr>
                <w:lang w:val="en-AU"/>
              </w:rPr>
            </w:pPr>
            <w:r w:rsidRPr="006D3DBC">
              <w:rPr>
                <w:i/>
                <w:iCs/>
                <w:lang w:val="en-AU"/>
              </w:rPr>
              <w:t xml:space="preserve">Respiratory, thoracic and </w:t>
            </w:r>
            <w:proofErr w:type="spellStart"/>
            <w:r w:rsidRPr="006D3DBC">
              <w:rPr>
                <w:i/>
                <w:iCs/>
                <w:lang w:val="en-AU"/>
              </w:rPr>
              <w:t>mediastinal</w:t>
            </w:r>
            <w:proofErr w:type="spellEnd"/>
            <w:r w:rsidRPr="006D3DBC">
              <w:rPr>
                <w:i/>
                <w:iCs/>
                <w:lang w:val="en-AU"/>
              </w:rPr>
              <w:t xml:space="preserve"> disorders         </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t xml:space="preserve">Cough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45 (1.1)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41 (1.0)</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lastRenderedPageBreak/>
              <w:t xml:space="preserve">Dyspnoea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33 (0.8)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43 (1.0)</w:t>
            </w:r>
          </w:p>
        </w:tc>
      </w:tr>
      <w:tr w:rsidR="00F30B67" w:rsidRPr="006D3DBC" w:rsidTr="00F30B67">
        <w:trPr>
          <w:jc w:val="center"/>
        </w:trPr>
        <w:tc>
          <w:tcPr>
            <w:tcW w:w="8856" w:type="dxa"/>
            <w:gridSpan w:val="3"/>
            <w:shd w:val="clear" w:color="auto" w:fill="FFFFFF"/>
          </w:tcPr>
          <w:p w:rsidR="00F30B67" w:rsidRPr="006D3DBC" w:rsidRDefault="00F30B67" w:rsidP="00F30B67">
            <w:pPr>
              <w:pStyle w:val="BMSTableText"/>
              <w:spacing w:line="276" w:lineRule="auto"/>
              <w:jc w:val="left"/>
              <w:rPr>
                <w:lang w:val="en-AU"/>
              </w:rPr>
            </w:pPr>
            <w:r w:rsidRPr="006D3DBC">
              <w:rPr>
                <w:i/>
                <w:iCs/>
                <w:lang w:val="en-AU"/>
              </w:rPr>
              <w:t>Blood and lymphatic system disorders</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r w:rsidRPr="006D3DBC">
              <w:rPr>
                <w:lang w:val="en-AU"/>
              </w:rPr>
              <w:t xml:space="preserve">Anaemia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110 (2.6)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131 (3.1)</w:t>
            </w:r>
          </w:p>
        </w:tc>
      </w:tr>
      <w:tr w:rsidR="00F30B67" w:rsidRPr="006D3DBC" w:rsidTr="00F30B67">
        <w:trPr>
          <w:jc w:val="center"/>
        </w:trPr>
        <w:tc>
          <w:tcPr>
            <w:tcW w:w="8856" w:type="dxa"/>
            <w:gridSpan w:val="3"/>
            <w:shd w:val="clear" w:color="auto" w:fill="FFFFFF"/>
          </w:tcPr>
          <w:p w:rsidR="00F30B67" w:rsidRPr="006D3DBC" w:rsidRDefault="00F30B67" w:rsidP="00F30B67">
            <w:pPr>
              <w:pStyle w:val="BMSTableText"/>
              <w:spacing w:line="276" w:lineRule="auto"/>
              <w:jc w:val="left"/>
              <w:rPr>
                <w:lang w:val="en-AU"/>
              </w:rPr>
            </w:pPr>
            <w:r w:rsidRPr="006D3DBC">
              <w:rPr>
                <w:i/>
                <w:iCs/>
                <w:lang w:val="en-AU"/>
              </w:rPr>
              <w:t>Metabolism and nutrition disorders</w:t>
            </w:r>
            <w:r w:rsidRPr="006D3DBC">
              <w:rPr>
                <w:lang w:val="en-AU"/>
              </w:rPr>
              <w:t xml:space="preserve">                      </w:t>
            </w:r>
          </w:p>
        </w:tc>
      </w:tr>
      <w:tr w:rsidR="00F30B67" w:rsidRPr="006D3DBC" w:rsidTr="00F30B67">
        <w:trPr>
          <w:jc w:val="center"/>
        </w:trPr>
        <w:tc>
          <w:tcPr>
            <w:tcW w:w="3888" w:type="dxa"/>
            <w:shd w:val="clear" w:color="auto" w:fill="FFFFFF"/>
          </w:tcPr>
          <w:p w:rsidR="00F30B67" w:rsidRPr="006D3DBC" w:rsidRDefault="00F30B67" w:rsidP="00F30B67">
            <w:pPr>
              <w:pStyle w:val="BMSTableText"/>
              <w:spacing w:line="276" w:lineRule="auto"/>
              <w:ind w:left="450"/>
              <w:jc w:val="left"/>
              <w:rPr>
                <w:lang w:val="en-AU"/>
              </w:rPr>
            </w:pPr>
            <w:proofErr w:type="spellStart"/>
            <w:r w:rsidRPr="006D3DBC">
              <w:rPr>
                <w:lang w:val="en-AU"/>
              </w:rPr>
              <w:t>Hypokalaemia</w:t>
            </w:r>
            <w:proofErr w:type="spellEnd"/>
            <w:r w:rsidRPr="006D3DBC">
              <w:rPr>
                <w:lang w:val="en-AU"/>
              </w:rPr>
              <w:t xml:space="preserve">                                           </w:t>
            </w:r>
          </w:p>
        </w:tc>
        <w:tc>
          <w:tcPr>
            <w:tcW w:w="2520" w:type="dxa"/>
            <w:shd w:val="clear" w:color="auto" w:fill="FFFFFF"/>
          </w:tcPr>
          <w:p w:rsidR="00F30B67" w:rsidRPr="006D3DBC" w:rsidRDefault="00F30B67" w:rsidP="00F30B67">
            <w:pPr>
              <w:pStyle w:val="BMSTableText"/>
              <w:spacing w:line="276" w:lineRule="auto"/>
              <w:rPr>
                <w:lang w:val="en-AU"/>
              </w:rPr>
            </w:pPr>
            <w:r w:rsidRPr="006D3DBC">
              <w:rPr>
                <w:lang w:val="en-AU"/>
              </w:rPr>
              <w:t xml:space="preserve">50 (1.2)         </w:t>
            </w:r>
          </w:p>
        </w:tc>
        <w:tc>
          <w:tcPr>
            <w:tcW w:w="2448" w:type="dxa"/>
            <w:shd w:val="clear" w:color="auto" w:fill="FFFFFF"/>
          </w:tcPr>
          <w:p w:rsidR="00F30B67" w:rsidRPr="006D3DBC" w:rsidRDefault="00F30B67" w:rsidP="00F30B67">
            <w:pPr>
              <w:pStyle w:val="BMSTableText"/>
              <w:spacing w:line="276" w:lineRule="auto"/>
              <w:rPr>
                <w:lang w:val="en-AU"/>
              </w:rPr>
            </w:pPr>
            <w:r w:rsidRPr="006D3DBC">
              <w:rPr>
                <w:lang w:val="en-AU"/>
              </w:rPr>
              <w:t>52 (1.2)</w:t>
            </w:r>
          </w:p>
        </w:tc>
      </w:tr>
    </w:tbl>
    <w:p w:rsidR="00F30B67" w:rsidRPr="006D3DBC" w:rsidRDefault="00F30B67" w:rsidP="00F30B67">
      <w:pPr>
        <w:rPr>
          <w:bCs/>
        </w:rPr>
      </w:pPr>
      <w:r w:rsidRPr="006D3DBC">
        <w:rPr>
          <w:bCs/>
        </w:rPr>
        <w:t xml:space="preserve">Common adverse reactions </w:t>
      </w:r>
      <w:r w:rsidRPr="006D3DBC">
        <w:t>in apixaban-treated patients undergoing hip or knee replacement surgery occurring at a frequency of ≥ 1% to &lt; 10% (≥ 1/100 to &lt; 1/10):</w:t>
      </w:r>
    </w:p>
    <w:p w:rsidR="00F30B67" w:rsidRPr="006D3DBC" w:rsidRDefault="00F30B67" w:rsidP="00F30B67">
      <w:r w:rsidRPr="00F30B67">
        <w:rPr>
          <w:i/>
        </w:rPr>
        <w:t>Blood and lymphatic system disorders</w:t>
      </w:r>
      <w:r w:rsidRPr="006D3DBC">
        <w:t>: anaemia (including postoperative and haemorrhagic anaemia, and respective laboratory parameters)</w:t>
      </w:r>
    </w:p>
    <w:p w:rsidR="00F30B67" w:rsidRPr="006D3DBC" w:rsidRDefault="00F30B67" w:rsidP="00F30B67">
      <w:r w:rsidRPr="00F30B67">
        <w:rPr>
          <w:i/>
        </w:rPr>
        <w:t>Vascular disorders</w:t>
      </w:r>
      <w:r w:rsidRPr="006D3DBC">
        <w:t>: haemorrhage (including haematoma, and vaginal and urethral haemorrhage)</w:t>
      </w:r>
    </w:p>
    <w:p w:rsidR="00F30B67" w:rsidRPr="006D3DBC" w:rsidRDefault="00F30B67" w:rsidP="00F30B67">
      <w:r w:rsidRPr="00F30B67">
        <w:rPr>
          <w:i/>
        </w:rPr>
        <w:t>Gastrointestinal disorders:</w:t>
      </w:r>
      <w:r w:rsidRPr="006D3DBC">
        <w:t xml:space="preserve"> nausea</w:t>
      </w:r>
    </w:p>
    <w:p w:rsidR="00F30B67" w:rsidRPr="006D3DBC" w:rsidRDefault="00F30B67" w:rsidP="00F30B67">
      <w:r w:rsidRPr="00F30B67">
        <w:rPr>
          <w:i/>
        </w:rPr>
        <w:t>Injury, poisoning and procedural complications:</w:t>
      </w:r>
      <w:r w:rsidRPr="006D3DBC">
        <w:t xml:space="preserve"> </w:t>
      </w:r>
      <w:r w:rsidRPr="00F30B67">
        <w:rPr>
          <w:rFonts w:eastAsia="MS Mincho"/>
          <w:noProof/>
        </w:rPr>
        <w:t>contusion</w:t>
      </w:r>
    </w:p>
    <w:p w:rsidR="00F30B67" w:rsidRPr="00F30B67" w:rsidRDefault="00F30B67" w:rsidP="00F30B67">
      <w:pPr>
        <w:rPr>
          <w:bCs/>
        </w:rPr>
      </w:pPr>
      <w:r w:rsidRPr="00F30B67">
        <w:rPr>
          <w:bCs/>
        </w:rPr>
        <w:t xml:space="preserve">Uncommon adverse reactions </w:t>
      </w:r>
      <w:r w:rsidRPr="006D3DBC">
        <w:t>in apixaban-treated patients undergoing hip or knee replacement surgery occurring at a frequency of ≥ 0.1% to &lt; 1% (≥ 1/1,000 to &lt; 1/100):</w:t>
      </w:r>
    </w:p>
    <w:p w:rsidR="00F30B67" w:rsidRPr="006D3DBC" w:rsidRDefault="00F30B67" w:rsidP="00F30B67">
      <w:r w:rsidRPr="00F30B67">
        <w:rPr>
          <w:i/>
        </w:rPr>
        <w:t>Blood and lymphatic system disorders:</w:t>
      </w:r>
      <w:r w:rsidRPr="006D3DBC">
        <w:t xml:space="preserve"> thrombocytopenia (including platelet count decreases)</w:t>
      </w:r>
    </w:p>
    <w:p w:rsidR="00F30B67" w:rsidRPr="006D3DBC" w:rsidRDefault="00F30B67" w:rsidP="00F30B67">
      <w:r w:rsidRPr="00F30B67">
        <w:rPr>
          <w:i/>
        </w:rPr>
        <w:t>Vascular disorders:</w:t>
      </w:r>
      <w:r w:rsidRPr="006D3DBC">
        <w:t xml:space="preserve"> hypotension (including procedural hypotension)</w:t>
      </w:r>
    </w:p>
    <w:p w:rsidR="00F30B67" w:rsidRPr="006D3DBC" w:rsidRDefault="00F30B67" w:rsidP="00F30B67">
      <w:r w:rsidRPr="00F30B67">
        <w:rPr>
          <w:i/>
        </w:rPr>
        <w:t>Respiratory, thoracic and mediastinal disorders:</w:t>
      </w:r>
      <w:r w:rsidRPr="006D3DBC">
        <w:t xml:space="preserve"> epistaxis</w:t>
      </w:r>
    </w:p>
    <w:p w:rsidR="00F30B67" w:rsidRPr="006D3DBC" w:rsidRDefault="00F30B67" w:rsidP="00F30B67">
      <w:r w:rsidRPr="00F30B67">
        <w:rPr>
          <w:i/>
        </w:rPr>
        <w:t>Gastrointestinal disorders:</w:t>
      </w:r>
      <w:r w:rsidRPr="006D3DBC">
        <w:t xml:space="preserve"> gastrointestinal haemorrhage (including haematemesis and melaena), haematochezia</w:t>
      </w:r>
    </w:p>
    <w:p w:rsidR="00F30B67" w:rsidRPr="006D3DBC" w:rsidRDefault="00F30B67" w:rsidP="00F30B67">
      <w:r w:rsidRPr="00F30B67">
        <w:rPr>
          <w:i/>
        </w:rPr>
        <w:t>Hepatobiliary disorders:</w:t>
      </w:r>
      <w:r w:rsidRPr="006D3DBC">
        <w:t xml:space="preserve"> transaminases increased (including alanine aminotransferase increased and alanine aminotransferase abnormal), aspartate aminotransferase increased, gamma-glutamyltransferase increased, liver function test abnormal, blood alkaline phosphatase</w:t>
      </w:r>
      <w:r>
        <w:t xml:space="preserve"> </w:t>
      </w:r>
      <w:r w:rsidRPr="006D3DBC">
        <w:t>increased, blood bilirubin increased</w:t>
      </w:r>
    </w:p>
    <w:p w:rsidR="00F30B67" w:rsidRPr="006D3DBC" w:rsidRDefault="00F30B67" w:rsidP="00F30B67">
      <w:r w:rsidRPr="00F30B67">
        <w:rPr>
          <w:i/>
          <w:iCs/>
        </w:rPr>
        <w:t>Renal and urinary disorders</w:t>
      </w:r>
      <w:r w:rsidRPr="00F30B67">
        <w:rPr>
          <w:iCs/>
        </w:rPr>
        <w:t xml:space="preserve">: </w:t>
      </w:r>
      <w:r w:rsidRPr="006D3DBC">
        <w:t>haematuria (including respective laboratory parameters)</w:t>
      </w:r>
    </w:p>
    <w:p w:rsidR="00F30B67" w:rsidRPr="006D3DBC" w:rsidRDefault="00F30B67" w:rsidP="00F30B67">
      <w:r w:rsidRPr="00F30B67">
        <w:rPr>
          <w:i/>
        </w:rPr>
        <w:t>Injury, poisoning and procedural complications</w:t>
      </w:r>
      <w:r w:rsidRPr="006D3DBC">
        <w:t xml:space="preserve">: </w:t>
      </w:r>
      <w:r w:rsidRPr="00F30B67">
        <w:rPr>
          <w:rFonts w:eastAsia="MS Mincho"/>
          <w:noProof/>
        </w:rPr>
        <w:t xml:space="preserve">post procedural haemorrhage (including post procedural haematoma, wound haemorrhage, vessel puncture site haematoma and catheter site haemorrhage), </w:t>
      </w:r>
      <w:r w:rsidRPr="006D3DBC">
        <w:t xml:space="preserve">wound secretion, incision site haemorrhage (including incision site haematoma), </w:t>
      </w:r>
      <w:proofErr w:type="gramStart"/>
      <w:r w:rsidRPr="006D3DBC">
        <w:t>operative</w:t>
      </w:r>
      <w:proofErr w:type="gramEnd"/>
      <w:r w:rsidRPr="006D3DBC">
        <w:t xml:space="preserve"> haemorrhage</w:t>
      </w:r>
    </w:p>
    <w:p w:rsidR="00F30B67" w:rsidRPr="006D3DBC" w:rsidRDefault="00F30B67" w:rsidP="00F30B67">
      <w:r w:rsidRPr="006D3DBC">
        <w:t xml:space="preserve">Rare or very rare </w:t>
      </w:r>
      <w:r w:rsidRPr="006D3DBC">
        <w:rPr>
          <w:bCs/>
        </w:rPr>
        <w:t xml:space="preserve">adverse reactions </w:t>
      </w:r>
      <w:r w:rsidRPr="006D3DBC">
        <w:t>in apixaban-treated patients undergoing hip or knee replacement surgery occurring at a frequency of &lt; 0.1% (&lt; 1 / 1,000):</w:t>
      </w:r>
    </w:p>
    <w:p w:rsidR="00F30B67" w:rsidRPr="006D3DBC" w:rsidRDefault="00F30B67" w:rsidP="00F30B67">
      <w:pPr>
        <w:rPr>
          <w:szCs w:val="24"/>
        </w:rPr>
      </w:pPr>
      <w:r w:rsidRPr="006D3DBC">
        <w:rPr>
          <w:szCs w:val="24"/>
        </w:rPr>
        <w:t>Gingival bleeding, haemoptysis, hypersensitivity, muscle haemorrhage, ocular haemorrhage (including conjunctival haemorrhage), rectal haemorrhage.</w:t>
      </w:r>
    </w:p>
    <w:p w:rsidR="00F30B67" w:rsidRDefault="00F30B67" w:rsidP="00F30B67">
      <w:r w:rsidRPr="006D3DBC">
        <w:t>In the knee replacement surgery study during the intended treatment period, in the apixaban arm 4 cases of PE were diagnosed against no cases in the enoxaparin arm.  No explanation can be given to this higher incidence of PE.  In the hip replacement surgery study during the intended treatment period, in the apixaban arm 3 cases of PE were diagnosed against 5 cases in the enoxaparin arm (see CLINICAL TRIALS, Table 1).</w:t>
      </w:r>
    </w:p>
    <w:p w:rsidR="00F30B67" w:rsidRDefault="00F30B67" w:rsidP="00F30B67">
      <w:pPr>
        <w:pStyle w:val="Heading2"/>
      </w:pPr>
      <w:r w:rsidRPr="006D3DBC">
        <w:lastRenderedPageBreak/>
        <w:t xml:space="preserve">Prevention of Stroke and Systemic Embolism: Non-valvular </w:t>
      </w:r>
      <w:proofErr w:type="spellStart"/>
      <w:r w:rsidRPr="006D3DBC">
        <w:t>Atrial</w:t>
      </w:r>
      <w:proofErr w:type="spellEnd"/>
      <w:r w:rsidRPr="006D3DBC">
        <w:t xml:space="preserve"> Fibrillation</w:t>
      </w:r>
    </w:p>
    <w:p w:rsidR="00F30B67" w:rsidRDefault="00F30B67" w:rsidP="00F30B67">
      <w:r w:rsidRPr="006D3DBC">
        <w:t xml:space="preserve">The safety of </w:t>
      </w:r>
      <w:proofErr w:type="spellStart"/>
      <w:r w:rsidRPr="006D3DBC">
        <w:t>apixaban</w:t>
      </w:r>
      <w:proofErr w:type="spellEnd"/>
      <w:r w:rsidRPr="006D3DBC">
        <w:t xml:space="preserve"> has been evaluated in the ARISTOTLE and AVERROES phase III studies, including 11,284 patients exposed to apixaban 5 mg twice daily and 602 patients to 2.5 mg twice daily.  The apixaban exposures were </w:t>
      </w:r>
      <w:r w:rsidRPr="006D3DBC">
        <w:sym w:font="Symbol" w:char="F0B3"/>
      </w:r>
      <w:r w:rsidRPr="006D3DBC">
        <w:t xml:space="preserve">12 months for 9,375 patients and </w:t>
      </w:r>
      <w:r w:rsidRPr="006D3DBC">
        <w:sym w:font="Symbol" w:char="F0B3"/>
      </w:r>
      <w:r w:rsidRPr="006D3DBC">
        <w:t>24 months for 3,369 patients in the two studies.  In ARISTOTLE, the mean duration of exposure was 89.2 weeks on apixaban and 87.5 weeks on warfarin; total patient-years for exposure was 15,534 on apixaban and 15,184 on warfarin.  In AVERROES, the mean duration of exposure was approximately 59 weeks in both treatment groups; total patient-years for exposure was 3,193 on apixaban and 3,150 on ASA.</w:t>
      </w:r>
    </w:p>
    <w:p w:rsidR="00F30B67" w:rsidRDefault="00F30B67" w:rsidP="00F30B67">
      <w:r w:rsidRPr="006D3DBC">
        <w:t>The overall discontinuation rate due to adverse reactions was 1.8% for apixaban and 2.6% for warfarin in the ARISTOTLE study, and was 1.5% for apixaban and 1.3% for ASA in the AVERROES study.  The overall incidence of adverse reactions related to bleeding was numerically lower in patients on apixaban compared to warfarin in the ARISTOTLE study (24.3% vs. 31.0%) and was similar in patients on apixaban compared to ASA in the AVERROES study (9.6% vs. 8.5%).</w:t>
      </w:r>
    </w:p>
    <w:p w:rsidR="00F30B67" w:rsidRDefault="00F30B67" w:rsidP="00F30B67">
      <w:pPr>
        <w:pStyle w:val="Heading2"/>
      </w:pPr>
      <w:r w:rsidRPr="00547BF8">
        <w:t>Bleeding</w:t>
      </w:r>
    </w:p>
    <w:p w:rsidR="00F30B67" w:rsidRDefault="00F30B67" w:rsidP="00F30B67">
      <w:r w:rsidRPr="006D3DBC">
        <w:t>Bleeding was assessed as a safety endpoint in the clinical trials.</w:t>
      </w:r>
      <w:r>
        <w:t xml:space="preserve">  Major bleeding was defined as clinically overt bleeding that was accompanied by one or more of the following:  a decrease in haemoglobin of 1.24 mmol/L or more; transfusion of 2 or more units of packed blood cells; bleeding that occurred in at least one of the following critical sites: intracranial, intraspinal, intraocular, pericardial, intra-articular, intramuscular with compartment syndrome, retroperitoneal; or bleeding that was fatal,  Intracranial haemorrhage included intracerebral (haemorrhagic stroke), subarachnoid, and subdural bleeds(see CLINICAL TRIALS).</w:t>
      </w:r>
    </w:p>
    <w:p w:rsidR="00F30B67" w:rsidRDefault="00F30B67" w:rsidP="00F30B67">
      <w:r w:rsidRPr="006D3DBC">
        <w:rPr>
          <w:b/>
        </w:rPr>
        <w:t>ARISTOTLE Study</w:t>
      </w:r>
      <w:r w:rsidRPr="006D3DBC">
        <w:t>: There was a statistically superior reduction in the incidence of ISTH major bleeding in the apixaban treatment group compared to the warfarin treatment group</w:t>
      </w:r>
      <w:r>
        <w:t xml:space="preserve">. </w:t>
      </w:r>
      <w:r w:rsidRPr="006D3DBC">
        <w:t xml:space="preserve"> There was also a significant reduction in the incidence of ISTH </w:t>
      </w:r>
      <w:proofErr w:type="spellStart"/>
      <w:r w:rsidRPr="006D3DBC">
        <w:t>major+CRNM</w:t>
      </w:r>
      <w:proofErr w:type="spellEnd"/>
      <w:r w:rsidRPr="006D3DBC">
        <w:t xml:space="preserve"> and all bleeding.</w:t>
      </w:r>
    </w:p>
    <w:p w:rsidR="00F30B67" w:rsidRDefault="00F30B67" w:rsidP="00F30B67">
      <w:pPr>
        <w:pStyle w:val="BMSTableTitle"/>
      </w:pPr>
      <w:r w:rsidRPr="006D3DBC">
        <w:t xml:space="preserve">Table </w:t>
      </w:r>
      <w:r>
        <w:t>8</w:t>
      </w:r>
      <w:r w:rsidRPr="006D3DBC">
        <w:t>: Bleeding events in patients with atrial fibrillation in the ARISTOTLE study</w:t>
      </w:r>
    </w:p>
    <w:tbl>
      <w:tblPr>
        <w:tblW w:w="8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4"/>
        <w:gridCol w:w="1649"/>
        <w:gridCol w:w="1672"/>
        <w:gridCol w:w="1924"/>
        <w:gridCol w:w="1263"/>
      </w:tblGrid>
      <w:tr w:rsidR="00F30B67" w:rsidRPr="006D3DBC" w:rsidTr="00F30B67">
        <w:trPr>
          <w:trHeight w:val="233"/>
        </w:trPr>
        <w:tc>
          <w:tcPr>
            <w:tcW w:w="1104" w:type="pct"/>
          </w:tcPr>
          <w:p w:rsidR="00F30B67" w:rsidRPr="006D3DBC" w:rsidRDefault="00F30B67" w:rsidP="00F30B67">
            <w:pPr>
              <w:pStyle w:val="BMSTableText"/>
            </w:pPr>
          </w:p>
        </w:tc>
        <w:tc>
          <w:tcPr>
            <w:tcW w:w="987" w:type="pct"/>
          </w:tcPr>
          <w:p w:rsidR="00F30B67" w:rsidRPr="006D3DBC" w:rsidRDefault="00F30B67" w:rsidP="00F30B67">
            <w:pPr>
              <w:pStyle w:val="BMSTableText"/>
              <w:rPr>
                <w:b/>
              </w:rPr>
            </w:pPr>
            <w:proofErr w:type="spellStart"/>
            <w:r w:rsidRPr="006D3DBC">
              <w:rPr>
                <w:b/>
              </w:rPr>
              <w:t>Apixaban</w:t>
            </w:r>
            <w:proofErr w:type="spellEnd"/>
          </w:p>
          <w:p w:rsidR="00F30B67" w:rsidRPr="006D3DBC" w:rsidRDefault="00F30B67" w:rsidP="00F30B67">
            <w:pPr>
              <w:pStyle w:val="BMSTableText"/>
              <w:rPr>
                <w:b/>
              </w:rPr>
            </w:pPr>
            <w:r w:rsidRPr="006D3DBC">
              <w:rPr>
                <w:b/>
              </w:rPr>
              <w:t>N=9088</w:t>
            </w:r>
          </w:p>
          <w:p w:rsidR="00F30B67" w:rsidRPr="006D3DBC" w:rsidRDefault="00F30B67" w:rsidP="00F30B67">
            <w:pPr>
              <w:pStyle w:val="BMSTableText"/>
              <w:rPr>
                <w:b/>
              </w:rPr>
            </w:pPr>
            <w:r w:rsidRPr="006D3DBC">
              <w:rPr>
                <w:b/>
              </w:rPr>
              <w:t>n (%/year)</w:t>
            </w:r>
          </w:p>
        </w:tc>
        <w:tc>
          <w:tcPr>
            <w:tcW w:w="1001" w:type="pct"/>
          </w:tcPr>
          <w:p w:rsidR="00F30B67" w:rsidRPr="006D3DBC" w:rsidRDefault="00F30B67" w:rsidP="00F30B67">
            <w:pPr>
              <w:pStyle w:val="BMSTableText"/>
              <w:rPr>
                <w:b/>
              </w:rPr>
            </w:pPr>
            <w:proofErr w:type="spellStart"/>
            <w:r w:rsidRPr="006D3DBC">
              <w:rPr>
                <w:b/>
              </w:rPr>
              <w:t>Warfarin</w:t>
            </w:r>
            <w:proofErr w:type="spellEnd"/>
          </w:p>
          <w:p w:rsidR="00F30B67" w:rsidRPr="006D3DBC" w:rsidRDefault="00F30B67" w:rsidP="00F30B67">
            <w:pPr>
              <w:pStyle w:val="BMSTableText"/>
              <w:rPr>
                <w:b/>
              </w:rPr>
            </w:pPr>
            <w:r w:rsidRPr="006D3DBC">
              <w:rPr>
                <w:b/>
              </w:rPr>
              <w:t>N=9052</w:t>
            </w:r>
          </w:p>
          <w:p w:rsidR="00F30B67" w:rsidRPr="006D3DBC" w:rsidRDefault="00F30B67" w:rsidP="00F30B67">
            <w:pPr>
              <w:pStyle w:val="BMSTableText"/>
              <w:rPr>
                <w:b/>
              </w:rPr>
            </w:pPr>
            <w:r w:rsidRPr="006D3DBC">
              <w:rPr>
                <w:b/>
              </w:rPr>
              <w:t>n (%/year)</w:t>
            </w:r>
          </w:p>
        </w:tc>
        <w:tc>
          <w:tcPr>
            <w:tcW w:w="1152" w:type="pct"/>
          </w:tcPr>
          <w:p w:rsidR="00F30B67" w:rsidRPr="006D3DBC" w:rsidRDefault="00F30B67" w:rsidP="00F30B67">
            <w:pPr>
              <w:pStyle w:val="BMSTableText"/>
              <w:rPr>
                <w:b/>
              </w:rPr>
            </w:pPr>
            <w:r w:rsidRPr="006D3DBC">
              <w:rPr>
                <w:b/>
              </w:rPr>
              <w:t>Hazard Ratio</w:t>
            </w:r>
          </w:p>
          <w:p w:rsidR="00F30B67" w:rsidRPr="006D3DBC" w:rsidRDefault="00F30B67" w:rsidP="00F30B67">
            <w:pPr>
              <w:pStyle w:val="BMSTableText"/>
              <w:rPr>
                <w:b/>
              </w:rPr>
            </w:pPr>
            <w:r w:rsidRPr="006D3DBC">
              <w:rPr>
                <w:b/>
              </w:rPr>
              <w:t>(95% CI)</w:t>
            </w:r>
          </w:p>
        </w:tc>
        <w:tc>
          <w:tcPr>
            <w:tcW w:w="756" w:type="pct"/>
          </w:tcPr>
          <w:p w:rsidR="00F30B67" w:rsidRPr="006D3DBC" w:rsidRDefault="00F30B67" w:rsidP="00F30B67">
            <w:pPr>
              <w:pStyle w:val="BMSTableText"/>
              <w:rPr>
                <w:b/>
              </w:rPr>
            </w:pPr>
            <w:r>
              <w:rPr>
                <w:b/>
              </w:rPr>
              <w:t>P</w:t>
            </w:r>
            <w:r w:rsidRPr="006D3DBC">
              <w:rPr>
                <w:b/>
              </w:rPr>
              <w:t>-</w:t>
            </w:r>
            <w:r>
              <w:rPr>
                <w:b/>
              </w:rPr>
              <w:t>V</w:t>
            </w:r>
            <w:r w:rsidRPr="006D3DBC">
              <w:rPr>
                <w:b/>
              </w:rPr>
              <w:t>alue</w:t>
            </w:r>
          </w:p>
        </w:tc>
      </w:tr>
      <w:tr w:rsidR="00F30B67" w:rsidRPr="006D3DBC" w:rsidTr="00F30B67">
        <w:trPr>
          <w:trHeight w:val="279"/>
        </w:trPr>
        <w:tc>
          <w:tcPr>
            <w:tcW w:w="1104" w:type="pct"/>
          </w:tcPr>
          <w:p w:rsidR="00F30B67" w:rsidRPr="006D3DBC" w:rsidRDefault="00F30B67" w:rsidP="00F30B67">
            <w:pPr>
              <w:pStyle w:val="BMSTableText"/>
              <w:jc w:val="left"/>
              <w:rPr>
                <w:b/>
              </w:rPr>
            </w:pPr>
            <w:r w:rsidRPr="006D3DBC">
              <w:rPr>
                <w:b/>
              </w:rPr>
              <w:t>Major*</w:t>
            </w:r>
          </w:p>
        </w:tc>
        <w:tc>
          <w:tcPr>
            <w:tcW w:w="987" w:type="pct"/>
          </w:tcPr>
          <w:p w:rsidR="00F30B67" w:rsidRPr="006D3DBC" w:rsidRDefault="00F30B67" w:rsidP="00F30B67">
            <w:pPr>
              <w:pStyle w:val="BMSTableText"/>
            </w:pPr>
            <w:r w:rsidRPr="006D3DBC">
              <w:t>327 (2.13)</w:t>
            </w:r>
          </w:p>
        </w:tc>
        <w:tc>
          <w:tcPr>
            <w:tcW w:w="1001" w:type="pct"/>
          </w:tcPr>
          <w:p w:rsidR="00F30B67" w:rsidRPr="006D3DBC" w:rsidRDefault="00F30B67" w:rsidP="00F30B67">
            <w:pPr>
              <w:pStyle w:val="BMSTableText"/>
            </w:pPr>
            <w:r w:rsidRPr="006D3DBC">
              <w:t>462 (3.09)</w:t>
            </w:r>
          </w:p>
        </w:tc>
        <w:tc>
          <w:tcPr>
            <w:tcW w:w="1152" w:type="pct"/>
          </w:tcPr>
          <w:p w:rsidR="00F30B67" w:rsidRPr="006D3DBC" w:rsidRDefault="00F30B67" w:rsidP="00F30B67">
            <w:pPr>
              <w:pStyle w:val="BMSTableText"/>
            </w:pPr>
            <w:r w:rsidRPr="006D3DBC">
              <w:t>0.69 (0.60, 0.80)</w:t>
            </w:r>
          </w:p>
        </w:tc>
        <w:tc>
          <w:tcPr>
            <w:tcW w:w="756" w:type="pct"/>
          </w:tcPr>
          <w:p w:rsidR="00F30B67" w:rsidRPr="006D3DBC" w:rsidRDefault="00F30B67" w:rsidP="00F30B67">
            <w:pPr>
              <w:pStyle w:val="BMSTableText"/>
            </w:pPr>
            <w:r w:rsidRPr="006D3DBC">
              <w:t>&lt;0.0001</w:t>
            </w:r>
          </w:p>
        </w:tc>
      </w:tr>
      <w:tr w:rsidR="00F30B67" w:rsidRPr="006D3DBC" w:rsidTr="00F30B67">
        <w:trPr>
          <w:trHeight w:val="270"/>
        </w:trPr>
        <w:tc>
          <w:tcPr>
            <w:tcW w:w="1104" w:type="pct"/>
          </w:tcPr>
          <w:p w:rsidR="00F30B67" w:rsidRPr="006D3DBC" w:rsidRDefault="00F30B67" w:rsidP="00F30B67">
            <w:pPr>
              <w:pStyle w:val="BMSTableText"/>
              <w:ind w:left="360"/>
              <w:jc w:val="left"/>
            </w:pPr>
            <w:r w:rsidRPr="006D3DBC">
              <w:t>Fatal</w:t>
            </w:r>
            <w:r>
              <w:t>#</w:t>
            </w:r>
          </w:p>
        </w:tc>
        <w:tc>
          <w:tcPr>
            <w:tcW w:w="987" w:type="pct"/>
          </w:tcPr>
          <w:p w:rsidR="00F30B67" w:rsidRPr="006D3DBC" w:rsidRDefault="00F30B67" w:rsidP="00F30B67">
            <w:pPr>
              <w:pStyle w:val="BMSTableText"/>
            </w:pPr>
            <w:r w:rsidRPr="006D3DBC">
              <w:t>10 (0.06)</w:t>
            </w:r>
          </w:p>
        </w:tc>
        <w:tc>
          <w:tcPr>
            <w:tcW w:w="1001" w:type="pct"/>
          </w:tcPr>
          <w:p w:rsidR="00F30B67" w:rsidRPr="006D3DBC" w:rsidRDefault="00F30B67" w:rsidP="00F30B67">
            <w:pPr>
              <w:pStyle w:val="BMSTableText"/>
            </w:pPr>
            <w:r w:rsidRPr="006D3DBC">
              <w:t>37 (0.24)</w:t>
            </w:r>
          </w:p>
        </w:tc>
        <w:tc>
          <w:tcPr>
            <w:tcW w:w="1152" w:type="pct"/>
          </w:tcPr>
          <w:p w:rsidR="00F30B67" w:rsidRPr="006D3DBC" w:rsidRDefault="00F30B67" w:rsidP="00F30B67">
            <w:pPr>
              <w:pStyle w:val="BMSTableText"/>
            </w:pPr>
            <w:r w:rsidRPr="006D3DBC">
              <w:t>0.27 (0.13, 0.53)</w:t>
            </w:r>
          </w:p>
        </w:tc>
        <w:tc>
          <w:tcPr>
            <w:tcW w:w="756" w:type="pct"/>
          </w:tcPr>
          <w:p w:rsidR="00F30B67" w:rsidRPr="006D3DBC" w:rsidRDefault="00F30B67" w:rsidP="00F30B67">
            <w:pPr>
              <w:pStyle w:val="BMSTableText"/>
            </w:pPr>
            <w:r w:rsidRPr="006D3DBC">
              <w:t>-</w:t>
            </w:r>
          </w:p>
        </w:tc>
      </w:tr>
      <w:tr w:rsidR="00F30B67" w:rsidRPr="006D3DBC" w:rsidTr="00F30B67">
        <w:trPr>
          <w:trHeight w:val="248"/>
        </w:trPr>
        <w:tc>
          <w:tcPr>
            <w:tcW w:w="1104" w:type="pct"/>
          </w:tcPr>
          <w:p w:rsidR="00F30B67" w:rsidRPr="006D3DBC" w:rsidRDefault="00F30B67" w:rsidP="00F30B67">
            <w:pPr>
              <w:pStyle w:val="BMSTableText"/>
              <w:ind w:left="360"/>
              <w:jc w:val="left"/>
            </w:pPr>
            <w:r w:rsidRPr="006D3DBC">
              <w:t>Intracranial</w:t>
            </w:r>
          </w:p>
        </w:tc>
        <w:tc>
          <w:tcPr>
            <w:tcW w:w="987" w:type="pct"/>
          </w:tcPr>
          <w:p w:rsidR="00F30B67" w:rsidRPr="006D3DBC" w:rsidRDefault="00F30B67" w:rsidP="00F30B67">
            <w:pPr>
              <w:pStyle w:val="BMSTableText"/>
            </w:pPr>
            <w:r w:rsidRPr="006D3DBC">
              <w:t>52 (0.33)</w:t>
            </w:r>
          </w:p>
        </w:tc>
        <w:tc>
          <w:tcPr>
            <w:tcW w:w="1001" w:type="pct"/>
          </w:tcPr>
          <w:p w:rsidR="00F30B67" w:rsidRPr="006D3DBC" w:rsidRDefault="00F30B67" w:rsidP="00F30B67">
            <w:pPr>
              <w:pStyle w:val="BMSTableText"/>
            </w:pPr>
            <w:r w:rsidRPr="006D3DBC">
              <w:t>125 (0.82)</w:t>
            </w:r>
          </w:p>
        </w:tc>
        <w:tc>
          <w:tcPr>
            <w:tcW w:w="1152" w:type="pct"/>
          </w:tcPr>
          <w:p w:rsidR="00F30B67" w:rsidRPr="006D3DBC" w:rsidRDefault="00F30B67" w:rsidP="00F30B67">
            <w:pPr>
              <w:pStyle w:val="BMSTableText"/>
            </w:pPr>
            <w:r w:rsidRPr="006D3DBC">
              <w:t>0.41 (0.30, 0.57)</w:t>
            </w:r>
          </w:p>
        </w:tc>
        <w:tc>
          <w:tcPr>
            <w:tcW w:w="756" w:type="pct"/>
          </w:tcPr>
          <w:p w:rsidR="00F30B67" w:rsidRPr="006D3DBC" w:rsidRDefault="00F30B67" w:rsidP="00F30B67">
            <w:pPr>
              <w:pStyle w:val="BMSTableText"/>
            </w:pPr>
            <w:r w:rsidRPr="006D3DBC">
              <w:t>-</w:t>
            </w:r>
          </w:p>
        </w:tc>
      </w:tr>
      <w:tr w:rsidR="00F30B67" w:rsidRPr="006D3DBC" w:rsidTr="00F30B67">
        <w:trPr>
          <w:trHeight w:val="248"/>
        </w:trPr>
        <w:tc>
          <w:tcPr>
            <w:tcW w:w="1104" w:type="pct"/>
          </w:tcPr>
          <w:p w:rsidR="00F30B67" w:rsidRPr="006D3DBC" w:rsidRDefault="00F30B67" w:rsidP="00F30B67">
            <w:pPr>
              <w:pStyle w:val="BMSTableText"/>
              <w:ind w:left="360"/>
              <w:jc w:val="left"/>
            </w:pPr>
            <w:r>
              <w:t>Intraocular+</w:t>
            </w:r>
          </w:p>
        </w:tc>
        <w:tc>
          <w:tcPr>
            <w:tcW w:w="987" w:type="pct"/>
          </w:tcPr>
          <w:p w:rsidR="00F30B67" w:rsidRPr="006D3DBC" w:rsidRDefault="00F30B67" w:rsidP="00F30B67">
            <w:pPr>
              <w:pStyle w:val="BMSTableText"/>
            </w:pPr>
            <w:r>
              <w:t>32 (0.21)</w:t>
            </w:r>
          </w:p>
        </w:tc>
        <w:tc>
          <w:tcPr>
            <w:tcW w:w="1001" w:type="pct"/>
          </w:tcPr>
          <w:p w:rsidR="00F30B67" w:rsidRPr="006D3DBC" w:rsidRDefault="00F30B67" w:rsidP="00F30B67">
            <w:pPr>
              <w:pStyle w:val="BMSTableText"/>
            </w:pPr>
            <w:r>
              <w:t>22 (0.14)</w:t>
            </w:r>
          </w:p>
        </w:tc>
        <w:tc>
          <w:tcPr>
            <w:tcW w:w="1152" w:type="pct"/>
          </w:tcPr>
          <w:p w:rsidR="00F30B67" w:rsidRPr="006D3DBC" w:rsidRDefault="00F30B67" w:rsidP="00F30B67">
            <w:pPr>
              <w:pStyle w:val="BMSTableText"/>
            </w:pPr>
            <w:r>
              <w:t>1.42 (0.83, 2.45)</w:t>
            </w:r>
          </w:p>
        </w:tc>
        <w:tc>
          <w:tcPr>
            <w:tcW w:w="756" w:type="pct"/>
          </w:tcPr>
          <w:p w:rsidR="00F30B67" w:rsidRPr="006D3DBC" w:rsidRDefault="00F30B67" w:rsidP="00F30B67">
            <w:pPr>
              <w:pStyle w:val="BMSTableText"/>
            </w:pPr>
            <w:r>
              <w:t>-</w:t>
            </w:r>
          </w:p>
        </w:tc>
      </w:tr>
      <w:tr w:rsidR="00F30B67" w:rsidRPr="006D3DBC" w:rsidTr="00F30B67">
        <w:trPr>
          <w:trHeight w:val="248"/>
        </w:trPr>
        <w:tc>
          <w:tcPr>
            <w:tcW w:w="1104" w:type="pct"/>
          </w:tcPr>
          <w:p w:rsidR="00F30B67" w:rsidRDefault="00F30B67" w:rsidP="00F30B67">
            <w:pPr>
              <w:pStyle w:val="BMSTableText"/>
              <w:ind w:left="360"/>
              <w:jc w:val="left"/>
            </w:pPr>
            <w:r>
              <w:t>Gastrointestinal (GI)‡</w:t>
            </w:r>
          </w:p>
        </w:tc>
        <w:tc>
          <w:tcPr>
            <w:tcW w:w="987" w:type="pct"/>
          </w:tcPr>
          <w:p w:rsidR="00F30B67" w:rsidRDefault="00F30B67" w:rsidP="00F30B67">
            <w:pPr>
              <w:pStyle w:val="BMSTableText"/>
            </w:pPr>
            <w:r>
              <w:t>128 (0.83)</w:t>
            </w:r>
          </w:p>
        </w:tc>
        <w:tc>
          <w:tcPr>
            <w:tcW w:w="1001" w:type="pct"/>
          </w:tcPr>
          <w:p w:rsidR="00F30B67" w:rsidRDefault="00F30B67" w:rsidP="00F30B67">
            <w:pPr>
              <w:pStyle w:val="BMSTableText"/>
            </w:pPr>
            <w:r>
              <w:t>141 (0.93)</w:t>
            </w:r>
          </w:p>
        </w:tc>
        <w:tc>
          <w:tcPr>
            <w:tcW w:w="1152" w:type="pct"/>
          </w:tcPr>
          <w:p w:rsidR="00F30B67" w:rsidRDefault="00F30B67" w:rsidP="00F30B67">
            <w:pPr>
              <w:pStyle w:val="BMSTableText"/>
            </w:pPr>
            <w:r>
              <w:t>0.89 (0.70, 1.14)</w:t>
            </w:r>
          </w:p>
        </w:tc>
        <w:tc>
          <w:tcPr>
            <w:tcW w:w="756" w:type="pct"/>
          </w:tcPr>
          <w:p w:rsidR="00F30B67" w:rsidRDefault="00F30B67" w:rsidP="00F30B67">
            <w:pPr>
              <w:pStyle w:val="BMSTableText"/>
            </w:pPr>
            <w:r>
              <w:t>-</w:t>
            </w:r>
          </w:p>
        </w:tc>
      </w:tr>
      <w:tr w:rsidR="00F30B67" w:rsidRPr="006D3DBC" w:rsidTr="00F30B67">
        <w:trPr>
          <w:trHeight w:val="278"/>
        </w:trPr>
        <w:tc>
          <w:tcPr>
            <w:tcW w:w="1104" w:type="pct"/>
          </w:tcPr>
          <w:p w:rsidR="00F30B67" w:rsidRPr="006D3DBC" w:rsidRDefault="00F30B67" w:rsidP="00F30B67">
            <w:pPr>
              <w:pStyle w:val="BMSTableText"/>
              <w:jc w:val="left"/>
              <w:rPr>
                <w:b/>
              </w:rPr>
            </w:pPr>
            <w:r w:rsidRPr="006D3DBC">
              <w:rPr>
                <w:b/>
              </w:rPr>
              <w:t>Major + CRNM</w:t>
            </w:r>
          </w:p>
        </w:tc>
        <w:tc>
          <w:tcPr>
            <w:tcW w:w="987" w:type="pct"/>
          </w:tcPr>
          <w:p w:rsidR="00F30B67" w:rsidRPr="006D3DBC" w:rsidRDefault="00F30B67" w:rsidP="00F30B67">
            <w:pPr>
              <w:pStyle w:val="BMSTableText"/>
            </w:pPr>
            <w:r w:rsidRPr="006D3DBC">
              <w:t>613 (4.07)</w:t>
            </w:r>
          </w:p>
        </w:tc>
        <w:tc>
          <w:tcPr>
            <w:tcW w:w="1001" w:type="pct"/>
          </w:tcPr>
          <w:p w:rsidR="00F30B67" w:rsidRPr="006D3DBC" w:rsidRDefault="00F30B67" w:rsidP="00F30B67">
            <w:pPr>
              <w:pStyle w:val="BMSTableText"/>
            </w:pPr>
            <w:r w:rsidRPr="006D3DBC">
              <w:t>877 (6.01)</w:t>
            </w:r>
          </w:p>
        </w:tc>
        <w:tc>
          <w:tcPr>
            <w:tcW w:w="1152" w:type="pct"/>
          </w:tcPr>
          <w:p w:rsidR="00F30B67" w:rsidRPr="006D3DBC" w:rsidRDefault="00F30B67" w:rsidP="00F30B67">
            <w:pPr>
              <w:pStyle w:val="BMSTableText"/>
            </w:pPr>
            <w:r w:rsidRPr="006D3DBC">
              <w:t>0.68 (0.61, 0.75)</w:t>
            </w:r>
          </w:p>
        </w:tc>
        <w:tc>
          <w:tcPr>
            <w:tcW w:w="756" w:type="pct"/>
          </w:tcPr>
          <w:p w:rsidR="00F30B67" w:rsidRPr="006D3DBC" w:rsidRDefault="00F30B67" w:rsidP="00F30B67">
            <w:pPr>
              <w:pStyle w:val="BMSTableText"/>
            </w:pPr>
            <w:r w:rsidRPr="006D3DBC">
              <w:t>&lt;0.0001</w:t>
            </w:r>
          </w:p>
        </w:tc>
      </w:tr>
      <w:tr w:rsidR="00F30B67" w:rsidRPr="006D3DBC" w:rsidTr="00F30B67">
        <w:trPr>
          <w:trHeight w:val="248"/>
        </w:trPr>
        <w:tc>
          <w:tcPr>
            <w:tcW w:w="1104" w:type="pct"/>
          </w:tcPr>
          <w:p w:rsidR="00F30B67" w:rsidRPr="006D3DBC" w:rsidRDefault="00F30B67" w:rsidP="00F30B67">
            <w:pPr>
              <w:pStyle w:val="BMSTableText"/>
              <w:jc w:val="left"/>
              <w:rPr>
                <w:b/>
              </w:rPr>
            </w:pPr>
            <w:r w:rsidRPr="006D3DBC">
              <w:rPr>
                <w:b/>
              </w:rPr>
              <w:t>All</w:t>
            </w:r>
          </w:p>
        </w:tc>
        <w:tc>
          <w:tcPr>
            <w:tcW w:w="987" w:type="pct"/>
          </w:tcPr>
          <w:p w:rsidR="00F30B67" w:rsidRPr="006D3DBC" w:rsidRDefault="00F30B67" w:rsidP="00F30B67">
            <w:pPr>
              <w:pStyle w:val="BMSTableText"/>
            </w:pPr>
            <w:r w:rsidRPr="006D3DBC">
              <w:t>2356 (18.1)</w:t>
            </w:r>
          </w:p>
        </w:tc>
        <w:tc>
          <w:tcPr>
            <w:tcW w:w="1001" w:type="pct"/>
          </w:tcPr>
          <w:p w:rsidR="00F30B67" w:rsidRPr="006D3DBC" w:rsidRDefault="00F30B67" w:rsidP="00F30B67">
            <w:pPr>
              <w:pStyle w:val="BMSTableText"/>
            </w:pPr>
            <w:r w:rsidRPr="006D3DBC">
              <w:t>3060 (25.8)</w:t>
            </w:r>
          </w:p>
        </w:tc>
        <w:tc>
          <w:tcPr>
            <w:tcW w:w="1152" w:type="pct"/>
          </w:tcPr>
          <w:p w:rsidR="00F30B67" w:rsidRPr="006D3DBC" w:rsidRDefault="00F30B67" w:rsidP="00F30B67">
            <w:pPr>
              <w:pStyle w:val="BMSTableText"/>
            </w:pPr>
            <w:r w:rsidRPr="006D3DBC">
              <w:t>0.71 (0.68, 0.75)</w:t>
            </w:r>
          </w:p>
        </w:tc>
        <w:tc>
          <w:tcPr>
            <w:tcW w:w="756" w:type="pct"/>
          </w:tcPr>
          <w:p w:rsidR="00F30B67" w:rsidRPr="006D3DBC" w:rsidRDefault="00F30B67" w:rsidP="00F30B67">
            <w:pPr>
              <w:pStyle w:val="BMSTableText"/>
            </w:pPr>
            <w:r w:rsidRPr="006D3DBC">
              <w:t>&lt;0.0001</w:t>
            </w:r>
          </w:p>
        </w:tc>
      </w:tr>
    </w:tbl>
    <w:p w:rsidR="00F30B67" w:rsidRDefault="00F30B67" w:rsidP="00F30B67">
      <w:pPr>
        <w:pStyle w:val="BMSBodyText0"/>
        <w:spacing w:before="0" w:after="0" w:line="240" w:lineRule="auto"/>
        <w:rPr>
          <w:rStyle w:val="BMSTableNote"/>
          <w:sz w:val="20"/>
          <w:vertAlign w:val="baseline"/>
        </w:rPr>
      </w:pPr>
      <w:r w:rsidRPr="006D3DBC">
        <w:rPr>
          <w:rStyle w:val="BMSTableNote"/>
          <w:sz w:val="20"/>
          <w:vertAlign w:val="baseline"/>
        </w:rPr>
        <w:t xml:space="preserve">*Assessed by sequential testing strategy for superiority designed to control the overall Type I error in the trial. </w:t>
      </w:r>
    </w:p>
    <w:p w:rsidR="00F30B67" w:rsidRDefault="00F30B67" w:rsidP="00F30B67">
      <w:pPr>
        <w:pStyle w:val="BMSBodyText0"/>
        <w:spacing w:before="0" w:after="0" w:line="240" w:lineRule="auto"/>
        <w:rPr>
          <w:rStyle w:val="BMSTableNote"/>
          <w:sz w:val="20"/>
          <w:vertAlign w:val="baseline"/>
        </w:rPr>
      </w:pPr>
      <w:r>
        <w:rPr>
          <w:rStyle w:val="BMSTableNote"/>
          <w:sz w:val="20"/>
          <w:vertAlign w:val="baseline"/>
        </w:rPr>
        <w:t># Fatal bleed is an adjudicated death because of bleeding during the treatment period and includes both fatal and extracranial bleeds and fatal haemorrhagic stroke.</w:t>
      </w:r>
    </w:p>
    <w:p w:rsidR="00F30B67" w:rsidRDefault="00F30B67" w:rsidP="00F30B67">
      <w:pPr>
        <w:pStyle w:val="BMSBodyText0"/>
        <w:spacing w:before="0" w:after="0" w:line="240" w:lineRule="auto"/>
        <w:rPr>
          <w:rStyle w:val="BMSTableNote"/>
          <w:sz w:val="20"/>
          <w:vertAlign w:val="baseline"/>
        </w:rPr>
      </w:pPr>
      <w:r>
        <w:rPr>
          <w:rStyle w:val="BMSTableNote"/>
          <w:sz w:val="20"/>
          <w:vertAlign w:val="baseline"/>
        </w:rPr>
        <w:t>+ Intraocular bleed is within the corpus of the eye (a conjunctival bleed in not an intraocular bleed).</w:t>
      </w:r>
    </w:p>
    <w:p w:rsidR="00F30B67" w:rsidRPr="006D3DBC" w:rsidRDefault="00F30B67" w:rsidP="00F30B67">
      <w:pPr>
        <w:pStyle w:val="BMSBodyText0"/>
        <w:spacing w:before="0" w:after="0" w:line="240" w:lineRule="auto"/>
        <w:rPr>
          <w:rStyle w:val="BMSTableNote"/>
          <w:sz w:val="20"/>
          <w:vertAlign w:val="baseline"/>
        </w:rPr>
      </w:pPr>
      <w:r>
        <w:rPr>
          <w:rStyle w:val="BMSTableNote"/>
          <w:sz w:val="20"/>
          <w:vertAlign w:val="baseline"/>
        </w:rPr>
        <w:t>‡ GI bleed includes upper GI, lower GI, and rectal bleeding.</w:t>
      </w:r>
    </w:p>
    <w:p w:rsidR="00F30B67" w:rsidRDefault="00F30B67" w:rsidP="00F30B67">
      <w:r w:rsidRPr="006D3DBC">
        <w:rPr>
          <w:rStyle w:val="BMSTableNote"/>
          <w:sz w:val="20"/>
          <w:vertAlign w:val="baseline"/>
        </w:rPr>
        <w:lastRenderedPageBreak/>
        <w:t>Events associated with each endpoint were counted once per subject but subjects may have contributed events to multiple endpoints.</w:t>
      </w:r>
    </w:p>
    <w:p w:rsidR="00F30B67" w:rsidRPr="006D3DBC" w:rsidRDefault="00F30B67" w:rsidP="00F30B67">
      <w:r w:rsidRPr="006D3DBC">
        <w:t xml:space="preserve">Intracranial haemorrhage was reduced &gt;50% with apixaban.  GUSTO severe and TIMI major bleeding were reduced &gt;40% with apixaban.  Fatal bleeding </w:t>
      </w:r>
      <w:r>
        <w:t xml:space="preserve">was reduced &gt;70% with </w:t>
      </w:r>
      <w:proofErr w:type="spellStart"/>
      <w:r>
        <w:t>apixaban</w:t>
      </w:r>
      <w:proofErr w:type="spellEnd"/>
      <w:r>
        <w:t>.</w:t>
      </w:r>
    </w:p>
    <w:p w:rsidR="00F30B67" w:rsidRDefault="00F30B67" w:rsidP="00F30B67">
      <w:r w:rsidRPr="006D3DBC">
        <w:t xml:space="preserve">Treatment discontinuation due to bleeding related adverse reactions occurred in 1.7% and 2.5% of patients treated with </w:t>
      </w:r>
      <w:proofErr w:type="spellStart"/>
      <w:r w:rsidRPr="006D3DBC">
        <w:t>apixaban</w:t>
      </w:r>
      <w:proofErr w:type="spellEnd"/>
      <w:r w:rsidRPr="006D3DBC">
        <w:t xml:space="preserve"> and </w:t>
      </w:r>
      <w:proofErr w:type="spellStart"/>
      <w:r w:rsidRPr="006D3DBC">
        <w:t>warfarin</w:t>
      </w:r>
      <w:proofErr w:type="spellEnd"/>
      <w:r w:rsidRPr="006D3DBC">
        <w:t>, respectively.</w:t>
      </w:r>
    </w:p>
    <w:p w:rsidR="00F30B67" w:rsidRDefault="00F30B67" w:rsidP="00F30B67">
      <w:r w:rsidRPr="006D3DBC">
        <w:rPr>
          <w:b/>
          <w:szCs w:val="24"/>
        </w:rPr>
        <w:t xml:space="preserve">AVERROES Study: </w:t>
      </w:r>
      <w:r w:rsidRPr="006D3DBC">
        <w:rPr>
          <w:szCs w:val="24"/>
        </w:rPr>
        <w:t>T</w:t>
      </w:r>
      <w:r w:rsidRPr="006D3DBC">
        <w:t>here was an increase in the incidence of major bleeding in the apixaban treatment group compared to the ASA treatment group, which was not statistically significant.  Furthermore, there was a significant increase in the Major + CRNM and all bleeding events in the subjects treated with apixaban compared with ASA.  The frequency of fatal and intracranial bleeding was similar in the two treatment groups</w:t>
      </w:r>
      <w:r>
        <w:t>.</w:t>
      </w:r>
    </w:p>
    <w:p w:rsidR="00F30B67" w:rsidRPr="00F30B67" w:rsidRDefault="00F30B67" w:rsidP="00F30B67">
      <w:pPr>
        <w:pStyle w:val="BMSTableTitle"/>
      </w:pPr>
      <w:r w:rsidRPr="00F30B67">
        <w:t xml:space="preserve">Table 9: Bleeding events in patients with </w:t>
      </w:r>
      <w:proofErr w:type="spellStart"/>
      <w:r w:rsidRPr="00F30B67">
        <w:t>atrial</w:t>
      </w:r>
      <w:proofErr w:type="spellEnd"/>
      <w:r w:rsidRPr="00F30B67">
        <w:t xml:space="preserve"> fibrillation in the AVERROES study</w:t>
      </w:r>
    </w:p>
    <w:tbl>
      <w:tblPr>
        <w:tblW w:w="8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843"/>
        <w:gridCol w:w="1559"/>
        <w:gridCol w:w="1985"/>
        <w:gridCol w:w="990"/>
      </w:tblGrid>
      <w:tr w:rsidR="00F30B67" w:rsidRPr="006D3DBC" w:rsidTr="00F30B67">
        <w:trPr>
          <w:trHeight w:val="233"/>
        </w:trPr>
        <w:tc>
          <w:tcPr>
            <w:tcW w:w="1701" w:type="dxa"/>
            <w:tcBorders>
              <w:top w:val="nil"/>
              <w:left w:val="nil"/>
            </w:tcBorders>
          </w:tcPr>
          <w:p w:rsidR="00F30B67" w:rsidRPr="006D3DBC" w:rsidRDefault="00F30B67" w:rsidP="00F30B67">
            <w:pPr>
              <w:pStyle w:val="BMSTableText"/>
            </w:pPr>
          </w:p>
        </w:tc>
        <w:tc>
          <w:tcPr>
            <w:tcW w:w="1843" w:type="dxa"/>
          </w:tcPr>
          <w:p w:rsidR="00F30B67" w:rsidRPr="006D3DBC" w:rsidRDefault="00F30B67" w:rsidP="00F30B67">
            <w:pPr>
              <w:pStyle w:val="BMSTableText"/>
              <w:rPr>
                <w:b/>
              </w:rPr>
            </w:pPr>
            <w:proofErr w:type="spellStart"/>
            <w:r w:rsidRPr="006D3DBC">
              <w:rPr>
                <w:b/>
              </w:rPr>
              <w:t>Apixaban</w:t>
            </w:r>
            <w:proofErr w:type="spellEnd"/>
          </w:p>
          <w:p w:rsidR="00F30B67" w:rsidRPr="006D3DBC" w:rsidRDefault="00F30B67" w:rsidP="00F30B67">
            <w:pPr>
              <w:pStyle w:val="BMSTableText"/>
              <w:rPr>
                <w:b/>
              </w:rPr>
            </w:pPr>
            <w:r w:rsidRPr="006D3DBC">
              <w:rPr>
                <w:b/>
              </w:rPr>
              <w:t>N=2798</w:t>
            </w:r>
          </w:p>
          <w:p w:rsidR="00F30B67" w:rsidRPr="006D3DBC" w:rsidRDefault="00F30B67" w:rsidP="00F30B67">
            <w:pPr>
              <w:pStyle w:val="BMSTableText"/>
              <w:rPr>
                <w:b/>
              </w:rPr>
            </w:pPr>
            <w:r w:rsidRPr="006D3DBC">
              <w:rPr>
                <w:b/>
              </w:rPr>
              <w:t>n (%/year)</w:t>
            </w:r>
          </w:p>
        </w:tc>
        <w:tc>
          <w:tcPr>
            <w:tcW w:w="1559" w:type="dxa"/>
          </w:tcPr>
          <w:p w:rsidR="00F30B67" w:rsidRPr="006D3DBC" w:rsidRDefault="00F30B67" w:rsidP="00F30B67">
            <w:pPr>
              <w:pStyle w:val="BMSTableText"/>
              <w:rPr>
                <w:b/>
              </w:rPr>
            </w:pPr>
            <w:r w:rsidRPr="006D3DBC">
              <w:rPr>
                <w:b/>
              </w:rPr>
              <w:t>ASA</w:t>
            </w:r>
          </w:p>
          <w:p w:rsidR="00F30B67" w:rsidRPr="006D3DBC" w:rsidRDefault="00F30B67" w:rsidP="00F30B67">
            <w:pPr>
              <w:pStyle w:val="BMSTableText"/>
              <w:rPr>
                <w:b/>
              </w:rPr>
            </w:pPr>
            <w:r w:rsidRPr="006D3DBC">
              <w:rPr>
                <w:b/>
              </w:rPr>
              <w:t>N=2780</w:t>
            </w:r>
          </w:p>
          <w:p w:rsidR="00F30B67" w:rsidRPr="006D3DBC" w:rsidRDefault="00F30B67" w:rsidP="00F30B67">
            <w:pPr>
              <w:pStyle w:val="BMSTableText"/>
              <w:rPr>
                <w:b/>
              </w:rPr>
            </w:pPr>
            <w:r w:rsidRPr="006D3DBC">
              <w:rPr>
                <w:b/>
              </w:rPr>
              <w:t>n (%/year)</w:t>
            </w:r>
          </w:p>
        </w:tc>
        <w:tc>
          <w:tcPr>
            <w:tcW w:w="1985" w:type="dxa"/>
          </w:tcPr>
          <w:p w:rsidR="00F30B67" w:rsidRPr="006D3DBC" w:rsidRDefault="00F30B67" w:rsidP="00F30B67">
            <w:pPr>
              <w:pStyle w:val="BMSTableText"/>
              <w:rPr>
                <w:b/>
              </w:rPr>
            </w:pPr>
            <w:r w:rsidRPr="006D3DBC">
              <w:rPr>
                <w:b/>
              </w:rPr>
              <w:t>Hazard Ratio (95%CI)</w:t>
            </w:r>
          </w:p>
        </w:tc>
        <w:tc>
          <w:tcPr>
            <w:tcW w:w="990" w:type="dxa"/>
          </w:tcPr>
          <w:p w:rsidR="00F30B67" w:rsidRPr="006D3DBC" w:rsidRDefault="00F30B67" w:rsidP="00F30B67">
            <w:pPr>
              <w:pStyle w:val="BMSTableText"/>
              <w:rPr>
                <w:b/>
              </w:rPr>
            </w:pPr>
            <w:r w:rsidRPr="006D3DBC">
              <w:rPr>
                <w:b/>
              </w:rPr>
              <w:t>p-value</w:t>
            </w:r>
          </w:p>
        </w:tc>
      </w:tr>
      <w:tr w:rsidR="00F30B67" w:rsidRPr="006D3DBC" w:rsidTr="00F30B67">
        <w:trPr>
          <w:trHeight w:val="279"/>
        </w:trPr>
        <w:tc>
          <w:tcPr>
            <w:tcW w:w="1701" w:type="dxa"/>
          </w:tcPr>
          <w:p w:rsidR="00F30B67" w:rsidRPr="006D3DBC" w:rsidRDefault="00F30B67" w:rsidP="00F30B67">
            <w:pPr>
              <w:pStyle w:val="BMSTableText"/>
              <w:jc w:val="left"/>
              <w:rPr>
                <w:b/>
              </w:rPr>
            </w:pPr>
            <w:r w:rsidRPr="006D3DBC">
              <w:rPr>
                <w:b/>
              </w:rPr>
              <w:t>Major</w:t>
            </w:r>
          </w:p>
        </w:tc>
        <w:tc>
          <w:tcPr>
            <w:tcW w:w="1843" w:type="dxa"/>
          </w:tcPr>
          <w:p w:rsidR="00F30B67" w:rsidRPr="006D3DBC" w:rsidRDefault="00F30B67" w:rsidP="00F30B67">
            <w:pPr>
              <w:pStyle w:val="BMSTableText"/>
            </w:pPr>
            <w:r w:rsidRPr="006D3DBC">
              <w:t>45 (1.41)</w:t>
            </w:r>
          </w:p>
        </w:tc>
        <w:tc>
          <w:tcPr>
            <w:tcW w:w="1559" w:type="dxa"/>
          </w:tcPr>
          <w:p w:rsidR="00F30B67" w:rsidRPr="006D3DBC" w:rsidRDefault="00F30B67" w:rsidP="00F30B67">
            <w:pPr>
              <w:pStyle w:val="BMSTableText"/>
            </w:pPr>
            <w:r w:rsidRPr="006D3DBC">
              <w:t>29 (0.92)</w:t>
            </w:r>
          </w:p>
        </w:tc>
        <w:tc>
          <w:tcPr>
            <w:tcW w:w="1985" w:type="dxa"/>
          </w:tcPr>
          <w:p w:rsidR="00F30B67" w:rsidRPr="006D3DBC" w:rsidRDefault="00F30B67" w:rsidP="00F30B67">
            <w:pPr>
              <w:pStyle w:val="BMSTableText"/>
            </w:pPr>
            <w:r w:rsidRPr="006D3DBC">
              <w:t xml:space="preserve">1.54 (0.96, 2.45) </w:t>
            </w:r>
          </w:p>
        </w:tc>
        <w:tc>
          <w:tcPr>
            <w:tcW w:w="990" w:type="dxa"/>
          </w:tcPr>
          <w:p w:rsidR="00F30B67" w:rsidRPr="006D3DBC" w:rsidRDefault="00F30B67" w:rsidP="00F30B67">
            <w:pPr>
              <w:pStyle w:val="BMSTableText"/>
            </w:pPr>
            <w:r w:rsidRPr="006D3DBC">
              <w:t>0.0716</w:t>
            </w:r>
          </w:p>
        </w:tc>
      </w:tr>
      <w:tr w:rsidR="00F30B67" w:rsidRPr="006D3DBC" w:rsidTr="00F30B67">
        <w:trPr>
          <w:trHeight w:val="270"/>
        </w:trPr>
        <w:tc>
          <w:tcPr>
            <w:tcW w:w="1701" w:type="dxa"/>
          </w:tcPr>
          <w:p w:rsidR="00F30B67" w:rsidRPr="006D3DBC" w:rsidRDefault="00F30B67" w:rsidP="00F30B67">
            <w:pPr>
              <w:pStyle w:val="BMSTableText"/>
              <w:ind w:left="360"/>
              <w:jc w:val="left"/>
            </w:pPr>
            <w:r w:rsidRPr="006D3DBC">
              <w:t>Fatal</w:t>
            </w:r>
          </w:p>
        </w:tc>
        <w:tc>
          <w:tcPr>
            <w:tcW w:w="1843" w:type="dxa"/>
          </w:tcPr>
          <w:p w:rsidR="00F30B67" w:rsidRPr="006D3DBC" w:rsidRDefault="00F30B67" w:rsidP="00F30B67">
            <w:pPr>
              <w:pStyle w:val="BMSTableText"/>
            </w:pPr>
            <w:r w:rsidRPr="006D3DBC">
              <w:t>5 (0.16)</w:t>
            </w:r>
          </w:p>
        </w:tc>
        <w:tc>
          <w:tcPr>
            <w:tcW w:w="1559" w:type="dxa"/>
          </w:tcPr>
          <w:p w:rsidR="00F30B67" w:rsidRPr="006D3DBC" w:rsidRDefault="00F30B67" w:rsidP="00F30B67">
            <w:pPr>
              <w:pStyle w:val="BMSTableText"/>
            </w:pPr>
            <w:r w:rsidRPr="006D3DBC">
              <w:t>5 (0.16)</w:t>
            </w:r>
          </w:p>
        </w:tc>
        <w:tc>
          <w:tcPr>
            <w:tcW w:w="1985" w:type="dxa"/>
            <w:shd w:val="clear" w:color="auto" w:fill="EEECE1"/>
          </w:tcPr>
          <w:p w:rsidR="00F30B67" w:rsidRPr="006D3DBC" w:rsidRDefault="00F30B67" w:rsidP="00F30B67">
            <w:pPr>
              <w:pStyle w:val="BMSTableText"/>
              <w:jc w:val="left"/>
            </w:pPr>
          </w:p>
        </w:tc>
        <w:tc>
          <w:tcPr>
            <w:tcW w:w="990" w:type="dxa"/>
            <w:shd w:val="clear" w:color="auto" w:fill="EEECE1"/>
          </w:tcPr>
          <w:p w:rsidR="00F30B67" w:rsidRPr="006D3DBC" w:rsidRDefault="00F30B67" w:rsidP="00F30B67">
            <w:pPr>
              <w:pStyle w:val="BMSTableText"/>
            </w:pPr>
          </w:p>
        </w:tc>
      </w:tr>
      <w:tr w:rsidR="00F30B67" w:rsidRPr="006D3DBC" w:rsidTr="00F30B67">
        <w:trPr>
          <w:trHeight w:val="248"/>
        </w:trPr>
        <w:tc>
          <w:tcPr>
            <w:tcW w:w="1701" w:type="dxa"/>
          </w:tcPr>
          <w:p w:rsidR="00F30B67" w:rsidRPr="006D3DBC" w:rsidRDefault="00F30B67" w:rsidP="00F30B67">
            <w:pPr>
              <w:pStyle w:val="BMSTableText"/>
              <w:ind w:left="360"/>
              <w:jc w:val="left"/>
            </w:pPr>
            <w:r w:rsidRPr="006D3DBC">
              <w:t>Intracranial</w:t>
            </w:r>
          </w:p>
        </w:tc>
        <w:tc>
          <w:tcPr>
            <w:tcW w:w="1843" w:type="dxa"/>
          </w:tcPr>
          <w:p w:rsidR="00F30B67" w:rsidRPr="006D3DBC" w:rsidRDefault="00F30B67" w:rsidP="00F30B67">
            <w:pPr>
              <w:pStyle w:val="BMSTableText"/>
            </w:pPr>
            <w:r w:rsidRPr="006D3DBC">
              <w:t>11 (0.34)</w:t>
            </w:r>
          </w:p>
        </w:tc>
        <w:tc>
          <w:tcPr>
            <w:tcW w:w="1559" w:type="dxa"/>
          </w:tcPr>
          <w:p w:rsidR="00F30B67" w:rsidRPr="006D3DBC" w:rsidRDefault="00F30B67" w:rsidP="00F30B67">
            <w:pPr>
              <w:pStyle w:val="BMSTableText"/>
            </w:pPr>
            <w:r w:rsidRPr="006D3DBC">
              <w:t>11 (0.35)</w:t>
            </w:r>
          </w:p>
        </w:tc>
        <w:tc>
          <w:tcPr>
            <w:tcW w:w="1985" w:type="dxa"/>
            <w:shd w:val="clear" w:color="auto" w:fill="EEECE1"/>
          </w:tcPr>
          <w:p w:rsidR="00F30B67" w:rsidRPr="006D3DBC" w:rsidRDefault="00F30B67" w:rsidP="00F30B67">
            <w:pPr>
              <w:pStyle w:val="BMSTableText"/>
              <w:jc w:val="left"/>
            </w:pPr>
          </w:p>
        </w:tc>
        <w:tc>
          <w:tcPr>
            <w:tcW w:w="990" w:type="dxa"/>
            <w:shd w:val="clear" w:color="auto" w:fill="EEECE1"/>
          </w:tcPr>
          <w:p w:rsidR="00F30B67" w:rsidRPr="006D3DBC" w:rsidRDefault="00F30B67" w:rsidP="00F30B67">
            <w:pPr>
              <w:pStyle w:val="BMSTableText"/>
            </w:pPr>
          </w:p>
        </w:tc>
      </w:tr>
      <w:tr w:rsidR="00F30B67" w:rsidRPr="006D3DBC" w:rsidTr="00F30B67">
        <w:trPr>
          <w:trHeight w:val="278"/>
        </w:trPr>
        <w:tc>
          <w:tcPr>
            <w:tcW w:w="1701" w:type="dxa"/>
          </w:tcPr>
          <w:p w:rsidR="00F30B67" w:rsidRPr="006D3DBC" w:rsidRDefault="00F30B67" w:rsidP="00F30B67">
            <w:pPr>
              <w:pStyle w:val="BMSTableText"/>
              <w:jc w:val="left"/>
              <w:rPr>
                <w:b/>
              </w:rPr>
            </w:pPr>
            <w:r w:rsidRPr="006D3DBC">
              <w:rPr>
                <w:b/>
              </w:rPr>
              <w:t>Major + CRNM</w:t>
            </w:r>
          </w:p>
        </w:tc>
        <w:tc>
          <w:tcPr>
            <w:tcW w:w="1843" w:type="dxa"/>
          </w:tcPr>
          <w:p w:rsidR="00F30B67" w:rsidRPr="006D3DBC" w:rsidRDefault="00F30B67" w:rsidP="00F30B67">
            <w:pPr>
              <w:pStyle w:val="BMSTableText"/>
            </w:pPr>
            <w:r w:rsidRPr="006D3DBC">
              <w:t>140 (4.46)</w:t>
            </w:r>
          </w:p>
        </w:tc>
        <w:tc>
          <w:tcPr>
            <w:tcW w:w="1559" w:type="dxa"/>
          </w:tcPr>
          <w:p w:rsidR="00F30B67" w:rsidRPr="006D3DBC" w:rsidRDefault="00F30B67" w:rsidP="00F30B67">
            <w:pPr>
              <w:pStyle w:val="BMSTableText"/>
            </w:pPr>
            <w:r w:rsidRPr="006D3DBC">
              <w:t>101 (3.24)</w:t>
            </w:r>
          </w:p>
        </w:tc>
        <w:tc>
          <w:tcPr>
            <w:tcW w:w="1985" w:type="dxa"/>
          </w:tcPr>
          <w:p w:rsidR="00F30B67" w:rsidRPr="006D3DBC" w:rsidRDefault="00F30B67" w:rsidP="00F30B67">
            <w:pPr>
              <w:pStyle w:val="BMSTableText"/>
            </w:pPr>
            <w:r w:rsidRPr="006D3DBC">
              <w:t>1.38 (1.07, 1.78)</w:t>
            </w:r>
          </w:p>
        </w:tc>
        <w:tc>
          <w:tcPr>
            <w:tcW w:w="990" w:type="dxa"/>
          </w:tcPr>
          <w:p w:rsidR="00F30B67" w:rsidRPr="006D3DBC" w:rsidRDefault="00F30B67" w:rsidP="00F30B67">
            <w:pPr>
              <w:pStyle w:val="BMSTableText"/>
            </w:pPr>
            <w:r w:rsidRPr="006D3DBC">
              <w:t>0.0144</w:t>
            </w:r>
          </w:p>
        </w:tc>
      </w:tr>
      <w:tr w:rsidR="00F30B67" w:rsidRPr="006D3DBC" w:rsidTr="00F30B67">
        <w:trPr>
          <w:trHeight w:val="248"/>
        </w:trPr>
        <w:tc>
          <w:tcPr>
            <w:tcW w:w="1701" w:type="dxa"/>
          </w:tcPr>
          <w:p w:rsidR="00F30B67" w:rsidRPr="006D3DBC" w:rsidRDefault="00F30B67" w:rsidP="00F30B67">
            <w:pPr>
              <w:pStyle w:val="BMSTableText"/>
              <w:jc w:val="left"/>
              <w:rPr>
                <w:b/>
              </w:rPr>
            </w:pPr>
            <w:r w:rsidRPr="006D3DBC">
              <w:rPr>
                <w:b/>
              </w:rPr>
              <w:t>All</w:t>
            </w:r>
          </w:p>
        </w:tc>
        <w:tc>
          <w:tcPr>
            <w:tcW w:w="1843" w:type="dxa"/>
          </w:tcPr>
          <w:p w:rsidR="00F30B67" w:rsidRPr="006D3DBC" w:rsidRDefault="00F30B67" w:rsidP="00F30B67">
            <w:pPr>
              <w:pStyle w:val="BMSTableText"/>
            </w:pPr>
            <w:r w:rsidRPr="006D3DBC">
              <w:t>325 (10.85)</w:t>
            </w:r>
          </w:p>
        </w:tc>
        <w:tc>
          <w:tcPr>
            <w:tcW w:w="1559" w:type="dxa"/>
          </w:tcPr>
          <w:p w:rsidR="00F30B67" w:rsidRPr="006D3DBC" w:rsidRDefault="00F30B67" w:rsidP="00F30B67">
            <w:pPr>
              <w:pStyle w:val="BMSTableText"/>
            </w:pPr>
            <w:r w:rsidRPr="006D3DBC">
              <w:t>250 (8.32)</w:t>
            </w:r>
          </w:p>
        </w:tc>
        <w:tc>
          <w:tcPr>
            <w:tcW w:w="1985" w:type="dxa"/>
          </w:tcPr>
          <w:p w:rsidR="00F30B67" w:rsidRPr="006D3DBC" w:rsidRDefault="00F30B67" w:rsidP="00F30B67">
            <w:pPr>
              <w:pStyle w:val="BMSTableText"/>
            </w:pPr>
            <w:r w:rsidRPr="006D3DBC">
              <w:t>1.30 (1.10, 1.53)</w:t>
            </w:r>
          </w:p>
        </w:tc>
        <w:tc>
          <w:tcPr>
            <w:tcW w:w="990" w:type="dxa"/>
          </w:tcPr>
          <w:p w:rsidR="00F30B67" w:rsidRPr="006D3DBC" w:rsidRDefault="00F30B67" w:rsidP="00F30B67">
            <w:pPr>
              <w:pStyle w:val="BMSTableText"/>
            </w:pPr>
            <w:r w:rsidRPr="006D3DBC">
              <w:t>0.0017</w:t>
            </w:r>
          </w:p>
        </w:tc>
      </w:tr>
    </w:tbl>
    <w:p w:rsidR="00F30B67" w:rsidRDefault="00F30B67" w:rsidP="00F30B67">
      <w:r w:rsidRPr="006D3DBC">
        <w:rPr>
          <w:rStyle w:val="BMSTableNote"/>
          <w:sz w:val="20"/>
          <w:vertAlign w:val="baseline"/>
        </w:rPr>
        <w:t>Events associated with each endpoint were counted once per subject but subjects may have contributed events to multiple endpoints.</w:t>
      </w:r>
    </w:p>
    <w:p w:rsidR="00F30B67" w:rsidRDefault="00F30B67" w:rsidP="00F30B67">
      <w:r w:rsidRPr="006D3DBC">
        <w:t xml:space="preserve">Treatment discontinuation due to bleeding related adverse reactions occurred in 1.5% and 1.3% of patients treated with </w:t>
      </w:r>
      <w:proofErr w:type="spellStart"/>
      <w:r w:rsidRPr="006D3DBC">
        <w:t>apixaban</w:t>
      </w:r>
      <w:proofErr w:type="spellEnd"/>
      <w:r w:rsidRPr="006D3DBC">
        <w:t xml:space="preserve"> and ASA, respectively.</w:t>
      </w:r>
    </w:p>
    <w:p w:rsidR="00F30B67" w:rsidRDefault="00F30B67" w:rsidP="00F30B67">
      <w:r w:rsidRPr="006D3DBC">
        <w:t>Adverse events from the ARISTOTLE and AVERROES studies are listed by system organ classification (MedDRA) and by frequency, in Table 10.</w:t>
      </w:r>
    </w:p>
    <w:p w:rsidR="00F30B67" w:rsidRDefault="00F30B67" w:rsidP="00F30B67">
      <w:pPr>
        <w:pStyle w:val="BMSTableTitle"/>
        <w:tabs>
          <w:tab w:val="clear" w:pos="2160"/>
        </w:tabs>
        <w:ind w:left="0" w:firstLine="0"/>
      </w:pPr>
      <w:r w:rsidRPr="006D3DBC">
        <w:t xml:space="preserve">Table </w:t>
      </w:r>
      <w:r>
        <w:t>10</w:t>
      </w:r>
      <w:r w:rsidRPr="006D3DBC">
        <w:t>: Common adverse events occurring in ≥ 1% of patients in the ARISTOTLE and AVERROES studies, regardless of causality</w:t>
      </w:r>
    </w:p>
    <w:tbl>
      <w:tblPr>
        <w:tblW w:w="79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167"/>
        <w:gridCol w:w="1136"/>
        <w:gridCol w:w="1134"/>
        <w:gridCol w:w="1276"/>
        <w:gridCol w:w="1275"/>
      </w:tblGrid>
      <w:tr w:rsidR="00F30B67" w:rsidRPr="006D3DBC" w:rsidTr="00F30B67">
        <w:trPr>
          <w:tblHeader/>
          <w:jc w:val="center"/>
        </w:trPr>
        <w:tc>
          <w:tcPr>
            <w:tcW w:w="3167" w:type="dxa"/>
            <w:tcBorders>
              <w:top w:val="nil"/>
              <w:left w:val="nil"/>
            </w:tcBorders>
            <w:shd w:val="clear" w:color="auto" w:fill="auto"/>
          </w:tcPr>
          <w:p w:rsidR="00F30B67" w:rsidRPr="006D3DBC" w:rsidRDefault="00F30B67" w:rsidP="00F30B67">
            <w:pPr>
              <w:pStyle w:val="BMSTableHeader"/>
              <w:spacing w:before="0" w:after="0" w:line="276" w:lineRule="auto"/>
              <w:rPr>
                <w:lang w:val="en-AU"/>
              </w:rPr>
            </w:pPr>
          </w:p>
        </w:tc>
        <w:tc>
          <w:tcPr>
            <w:tcW w:w="2270" w:type="dxa"/>
            <w:gridSpan w:val="2"/>
            <w:shd w:val="clear" w:color="auto" w:fill="auto"/>
          </w:tcPr>
          <w:p w:rsidR="00F30B67" w:rsidRPr="006D3DBC" w:rsidRDefault="00F30B67" w:rsidP="00F30B67">
            <w:pPr>
              <w:pStyle w:val="BMSTableText"/>
              <w:spacing w:before="0" w:after="0" w:line="276" w:lineRule="auto"/>
              <w:rPr>
                <w:b/>
                <w:bCs/>
                <w:lang w:val="en-AU"/>
              </w:rPr>
            </w:pPr>
            <w:r w:rsidRPr="006D3DBC">
              <w:rPr>
                <w:b/>
                <w:bCs/>
                <w:lang w:val="en-AU"/>
              </w:rPr>
              <w:t>ARISTOTLE</w:t>
            </w:r>
          </w:p>
          <w:p w:rsidR="00F30B67" w:rsidRPr="006D3DBC" w:rsidRDefault="00F30B67" w:rsidP="00F30B67">
            <w:pPr>
              <w:pStyle w:val="BMSTableText"/>
              <w:spacing w:before="0" w:after="0" w:line="276" w:lineRule="auto"/>
              <w:rPr>
                <w:lang w:val="en-AU"/>
              </w:rPr>
            </w:pPr>
            <w:r w:rsidRPr="006D3DBC">
              <w:rPr>
                <w:b/>
                <w:bCs/>
                <w:lang w:val="en-AU"/>
              </w:rPr>
              <w:t>CV185030</w:t>
            </w:r>
          </w:p>
        </w:tc>
        <w:tc>
          <w:tcPr>
            <w:tcW w:w="2551" w:type="dxa"/>
            <w:gridSpan w:val="2"/>
            <w:shd w:val="clear" w:color="auto" w:fill="auto"/>
          </w:tcPr>
          <w:p w:rsidR="00F30B67" w:rsidRPr="006D3DBC" w:rsidRDefault="00F30B67" w:rsidP="00F30B67">
            <w:pPr>
              <w:pStyle w:val="BMSTableText"/>
              <w:spacing w:before="0" w:after="0" w:line="276" w:lineRule="auto"/>
              <w:rPr>
                <w:b/>
                <w:bCs/>
                <w:lang w:val="en-AU"/>
              </w:rPr>
            </w:pPr>
            <w:r w:rsidRPr="006D3DBC">
              <w:rPr>
                <w:b/>
                <w:bCs/>
                <w:lang w:val="en-AU"/>
              </w:rPr>
              <w:t>AVERROES</w:t>
            </w:r>
          </w:p>
          <w:p w:rsidR="00F30B67" w:rsidRPr="006D3DBC" w:rsidRDefault="00F30B67" w:rsidP="00F30B67">
            <w:pPr>
              <w:pStyle w:val="BMSTableText"/>
              <w:spacing w:before="0" w:after="0" w:line="276" w:lineRule="auto"/>
              <w:rPr>
                <w:b/>
                <w:bCs/>
                <w:lang w:val="en-AU"/>
              </w:rPr>
            </w:pPr>
            <w:r w:rsidRPr="006D3DBC">
              <w:rPr>
                <w:b/>
                <w:bCs/>
                <w:lang w:val="en-AU"/>
              </w:rPr>
              <w:t xml:space="preserve">CV185048 </w:t>
            </w:r>
          </w:p>
        </w:tc>
      </w:tr>
      <w:tr w:rsidR="00F30B67" w:rsidRPr="006D3DBC" w:rsidTr="00F30B67">
        <w:trPr>
          <w:tblHeader/>
          <w:jc w:val="center"/>
        </w:trPr>
        <w:tc>
          <w:tcPr>
            <w:tcW w:w="3167" w:type="dxa"/>
            <w:shd w:val="clear" w:color="auto" w:fill="auto"/>
          </w:tcPr>
          <w:p w:rsidR="00F30B67" w:rsidRPr="006D3DBC" w:rsidRDefault="00F30B67" w:rsidP="00F30B67">
            <w:pPr>
              <w:pStyle w:val="BMSTableHeader"/>
              <w:spacing w:before="0" w:after="0" w:line="276" w:lineRule="auto"/>
              <w:rPr>
                <w:lang w:val="en-AU"/>
              </w:rPr>
            </w:pPr>
            <w:r w:rsidRPr="006D3DBC">
              <w:rPr>
                <w:lang w:val="en-AU"/>
              </w:rPr>
              <w:t>System Organ Classification / Preferred Term</w:t>
            </w:r>
          </w:p>
        </w:tc>
        <w:tc>
          <w:tcPr>
            <w:tcW w:w="1136" w:type="dxa"/>
            <w:shd w:val="clear" w:color="auto" w:fill="auto"/>
          </w:tcPr>
          <w:p w:rsidR="00F30B67" w:rsidRPr="006D3DBC" w:rsidRDefault="00F30B67" w:rsidP="00F30B67">
            <w:pPr>
              <w:pStyle w:val="BMSTableHeader"/>
              <w:spacing w:before="0" w:after="0" w:line="276" w:lineRule="auto"/>
              <w:rPr>
                <w:lang w:val="en-AU"/>
              </w:rPr>
            </w:pPr>
            <w:proofErr w:type="spellStart"/>
            <w:r w:rsidRPr="006D3DBC">
              <w:rPr>
                <w:lang w:val="en-AU"/>
              </w:rPr>
              <w:t>Apixaban</w:t>
            </w:r>
            <w:proofErr w:type="spellEnd"/>
          </w:p>
          <w:p w:rsidR="00F30B67" w:rsidRPr="006D3DBC" w:rsidRDefault="00F30B67" w:rsidP="00F30B67">
            <w:pPr>
              <w:pStyle w:val="BMSTableText"/>
              <w:spacing w:before="0" w:after="0" w:line="276" w:lineRule="auto"/>
              <w:rPr>
                <w:b/>
                <w:bCs/>
                <w:lang w:val="en-AU"/>
              </w:rPr>
            </w:pPr>
            <w:proofErr w:type="gramStart"/>
            <w:r w:rsidRPr="006D3DBC">
              <w:rPr>
                <w:b/>
                <w:bCs/>
                <w:lang w:val="en-AU"/>
              </w:rPr>
              <w:t>n</w:t>
            </w:r>
            <w:proofErr w:type="gramEnd"/>
            <w:r w:rsidRPr="006D3DBC">
              <w:rPr>
                <w:b/>
                <w:bCs/>
                <w:lang w:val="en-AU"/>
              </w:rPr>
              <w:t xml:space="preserve"> (%)</w:t>
            </w:r>
          </w:p>
        </w:tc>
        <w:tc>
          <w:tcPr>
            <w:tcW w:w="1134" w:type="dxa"/>
            <w:shd w:val="clear" w:color="auto" w:fill="auto"/>
          </w:tcPr>
          <w:p w:rsidR="00F30B67" w:rsidRPr="006D3DBC" w:rsidRDefault="00F30B67" w:rsidP="00F30B67">
            <w:pPr>
              <w:pStyle w:val="BMSTableHeader"/>
              <w:spacing w:before="0" w:after="0" w:line="276" w:lineRule="auto"/>
              <w:rPr>
                <w:lang w:val="en-AU"/>
              </w:rPr>
            </w:pPr>
            <w:proofErr w:type="spellStart"/>
            <w:r w:rsidRPr="006D3DBC">
              <w:rPr>
                <w:lang w:val="en-AU"/>
              </w:rPr>
              <w:t>Warfarin</w:t>
            </w:r>
            <w:proofErr w:type="spellEnd"/>
          </w:p>
          <w:p w:rsidR="00F30B67" w:rsidRPr="006D3DBC" w:rsidRDefault="00F30B67" w:rsidP="00F30B67">
            <w:pPr>
              <w:pStyle w:val="BMSTableText"/>
              <w:spacing w:before="0" w:after="0" w:line="276" w:lineRule="auto"/>
              <w:rPr>
                <w:lang w:val="en-AU"/>
              </w:rPr>
            </w:pPr>
            <w:proofErr w:type="gramStart"/>
            <w:r w:rsidRPr="006D3DBC">
              <w:rPr>
                <w:b/>
                <w:bCs/>
                <w:lang w:val="en-AU"/>
              </w:rPr>
              <w:t>n</w:t>
            </w:r>
            <w:proofErr w:type="gramEnd"/>
            <w:r w:rsidRPr="006D3DBC">
              <w:rPr>
                <w:b/>
                <w:bCs/>
                <w:lang w:val="en-AU"/>
              </w:rPr>
              <w:t xml:space="preserve"> (%) </w:t>
            </w:r>
          </w:p>
        </w:tc>
        <w:tc>
          <w:tcPr>
            <w:tcW w:w="1276" w:type="dxa"/>
            <w:shd w:val="clear" w:color="auto" w:fill="auto"/>
          </w:tcPr>
          <w:p w:rsidR="00F30B67" w:rsidRPr="006D3DBC" w:rsidRDefault="00F30B67" w:rsidP="00F30B67">
            <w:pPr>
              <w:pStyle w:val="BMSTableHeader"/>
              <w:spacing w:before="0" w:after="0" w:line="276" w:lineRule="auto"/>
              <w:rPr>
                <w:lang w:val="en-AU"/>
              </w:rPr>
            </w:pPr>
            <w:proofErr w:type="spellStart"/>
            <w:r w:rsidRPr="006D3DBC">
              <w:rPr>
                <w:lang w:val="en-AU"/>
              </w:rPr>
              <w:t>Apixaban</w:t>
            </w:r>
            <w:proofErr w:type="spellEnd"/>
          </w:p>
          <w:p w:rsidR="00F30B67" w:rsidRPr="006D3DBC" w:rsidRDefault="00F30B67" w:rsidP="00F30B67">
            <w:pPr>
              <w:pStyle w:val="BMSTableText"/>
              <w:spacing w:before="0" w:after="0" w:line="276" w:lineRule="auto"/>
              <w:rPr>
                <w:b/>
                <w:bCs/>
                <w:lang w:val="en-AU"/>
              </w:rPr>
            </w:pPr>
            <w:proofErr w:type="gramStart"/>
            <w:r w:rsidRPr="006D3DBC">
              <w:rPr>
                <w:b/>
                <w:bCs/>
                <w:lang w:val="en-AU"/>
              </w:rPr>
              <w:t>n</w:t>
            </w:r>
            <w:proofErr w:type="gramEnd"/>
            <w:r w:rsidRPr="006D3DBC">
              <w:rPr>
                <w:b/>
                <w:bCs/>
                <w:lang w:val="en-AU"/>
              </w:rPr>
              <w:t xml:space="preserve"> (%)</w:t>
            </w:r>
          </w:p>
        </w:tc>
        <w:tc>
          <w:tcPr>
            <w:tcW w:w="1275" w:type="dxa"/>
            <w:shd w:val="clear" w:color="auto" w:fill="auto"/>
          </w:tcPr>
          <w:p w:rsidR="00F30B67" w:rsidRPr="006D3DBC" w:rsidRDefault="00F30B67" w:rsidP="00F30B67">
            <w:pPr>
              <w:pStyle w:val="BMSTableHeader"/>
              <w:spacing w:before="0" w:after="0" w:line="276" w:lineRule="auto"/>
              <w:rPr>
                <w:lang w:val="en-AU"/>
              </w:rPr>
            </w:pPr>
            <w:r w:rsidRPr="006D3DBC">
              <w:rPr>
                <w:lang w:val="en-AU"/>
              </w:rPr>
              <w:t>ASA</w:t>
            </w:r>
          </w:p>
          <w:p w:rsidR="00F30B67" w:rsidRPr="006D3DBC" w:rsidRDefault="00F30B67" w:rsidP="00F30B67">
            <w:pPr>
              <w:pStyle w:val="BMSTableText"/>
              <w:spacing w:before="0" w:after="0" w:line="276" w:lineRule="auto"/>
              <w:rPr>
                <w:lang w:val="en-AU"/>
              </w:rPr>
            </w:pPr>
            <w:proofErr w:type="gramStart"/>
            <w:r w:rsidRPr="006D3DBC">
              <w:rPr>
                <w:b/>
                <w:bCs/>
                <w:lang w:val="en-AU"/>
              </w:rPr>
              <w:t>n</w:t>
            </w:r>
            <w:proofErr w:type="gramEnd"/>
            <w:r w:rsidRPr="006D3DBC">
              <w:rPr>
                <w:b/>
                <w:bCs/>
                <w:lang w:val="en-AU"/>
              </w:rPr>
              <w:t xml:space="preserve"> (%) </w:t>
            </w:r>
          </w:p>
        </w:tc>
      </w:tr>
      <w:tr w:rsidR="00F30B67" w:rsidRPr="006D3DBC" w:rsidTr="00F30B67">
        <w:trPr>
          <w:jc w:val="center"/>
        </w:trPr>
        <w:tc>
          <w:tcPr>
            <w:tcW w:w="3167" w:type="dxa"/>
            <w:shd w:val="clear" w:color="auto" w:fill="auto"/>
          </w:tcPr>
          <w:p w:rsidR="00F30B67" w:rsidRPr="006D3DBC" w:rsidRDefault="00F30B67" w:rsidP="00F30B67">
            <w:pPr>
              <w:pStyle w:val="BMSTableText"/>
              <w:spacing w:line="276" w:lineRule="auto"/>
              <w:jc w:val="left"/>
              <w:rPr>
                <w:lang w:val="en-AU"/>
              </w:rPr>
            </w:pPr>
            <w:r w:rsidRPr="006D3DBC">
              <w:rPr>
                <w:lang w:val="en-AU"/>
              </w:rPr>
              <w:t>Number treated</w:t>
            </w:r>
          </w:p>
        </w:tc>
        <w:tc>
          <w:tcPr>
            <w:tcW w:w="1136" w:type="dxa"/>
            <w:shd w:val="clear" w:color="auto" w:fill="auto"/>
          </w:tcPr>
          <w:p w:rsidR="00F30B67" w:rsidRPr="006D3DBC" w:rsidRDefault="00F30B67" w:rsidP="00F30B67">
            <w:pPr>
              <w:pStyle w:val="BMSTableText"/>
              <w:spacing w:line="276" w:lineRule="auto"/>
              <w:rPr>
                <w:lang w:val="en-AU"/>
              </w:rPr>
            </w:pPr>
            <w:r w:rsidRPr="006D3DBC">
              <w:rPr>
                <w:lang w:val="en-AU"/>
              </w:rPr>
              <w:t>9,088</w:t>
            </w:r>
          </w:p>
        </w:tc>
        <w:tc>
          <w:tcPr>
            <w:tcW w:w="1134" w:type="dxa"/>
            <w:shd w:val="clear" w:color="auto" w:fill="auto"/>
          </w:tcPr>
          <w:p w:rsidR="00F30B67" w:rsidRPr="006D3DBC" w:rsidRDefault="00F30B67" w:rsidP="00F30B67">
            <w:pPr>
              <w:pStyle w:val="BMSTableText"/>
              <w:spacing w:line="276" w:lineRule="auto"/>
              <w:rPr>
                <w:lang w:val="en-AU"/>
              </w:rPr>
            </w:pPr>
            <w:r w:rsidRPr="006D3DBC">
              <w:rPr>
                <w:lang w:val="en-AU"/>
              </w:rPr>
              <w:t>9,052</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2,798</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2,780</w:t>
            </w:r>
          </w:p>
        </w:tc>
      </w:tr>
      <w:tr w:rsidR="00F30B67" w:rsidRPr="006D3DBC" w:rsidTr="00F30B67">
        <w:trPr>
          <w:jc w:val="center"/>
        </w:trPr>
        <w:tc>
          <w:tcPr>
            <w:tcW w:w="7988" w:type="dxa"/>
            <w:gridSpan w:val="5"/>
            <w:shd w:val="clear" w:color="auto" w:fill="auto"/>
          </w:tcPr>
          <w:p w:rsidR="00F30B67" w:rsidRPr="006D3DBC" w:rsidRDefault="00F30B67" w:rsidP="00F30B67">
            <w:pPr>
              <w:pStyle w:val="BMSTableText"/>
              <w:tabs>
                <w:tab w:val="clear" w:pos="360"/>
              </w:tabs>
              <w:spacing w:line="276" w:lineRule="auto"/>
              <w:jc w:val="left"/>
              <w:rPr>
                <w:i/>
                <w:iCs/>
                <w:lang w:val="en-AU"/>
              </w:rPr>
            </w:pPr>
            <w:r w:rsidRPr="006D3DBC">
              <w:rPr>
                <w:i/>
              </w:rPr>
              <w:t>Infections and infestations</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proofErr w:type="spellStart"/>
            <w:r w:rsidRPr="006D3DBC">
              <w:t>Nasopharyngitis</w:t>
            </w:r>
            <w:proofErr w:type="spellEnd"/>
            <w:r w:rsidRPr="006D3DBC">
              <w:t xml:space="preserve">                                                       </w:t>
            </w:r>
          </w:p>
        </w:tc>
        <w:tc>
          <w:tcPr>
            <w:tcW w:w="1136" w:type="dxa"/>
            <w:shd w:val="clear" w:color="auto" w:fill="auto"/>
          </w:tcPr>
          <w:p w:rsidR="00F30B67" w:rsidRPr="006D3DBC" w:rsidRDefault="00F30B67" w:rsidP="00F30B67">
            <w:pPr>
              <w:pStyle w:val="BMSTableText"/>
              <w:spacing w:line="276" w:lineRule="auto"/>
              <w:rPr>
                <w:lang w:val="en-AU"/>
              </w:rPr>
            </w:pPr>
            <w:r w:rsidRPr="006D3DBC">
              <w:t xml:space="preserve">763 ( 8.4)             </w:t>
            </w:r>
          </w:p>
        </w:tc>
        <w:tc>
          <w:tcPr>
            <w:tcW w:w="1134" w:type="dxa"/>
            <w:shd w:val="clear" w:color="auto" w:fill="auto"/>
          </w:tcPr>
          <w:p w:rsidR="00F30B67" w:rsidRPr="006D3DBC" w:rsidRDefault="00F30B67" w:rsidP="00F30B67">
            <w:pPr>
              <w:pStyle w:val="BMSTableText"/>
              <w:spacing w:line="276" w:lineRule="auto"/>
              <w:rPr>
                <w:lang w:val="en-AU"/>
              </w:rPr>
            </w:pPr>
            <w:r w:rsidRPr="006D3DBC">
              <w:t>779 ( 8.6)</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89 ( 3.2)              </w:t>
            </w:r>
          </w:p>
        </w:tc>
        <w:tc>
          <w:tcPr>
            <w:tcW w:w="1275" w:type="dxa"/>
            <w:shd w:val="clear" w:color="auto" w:fill="auto"/>
          </w:tcPr>
          <w:p w:rsidR="00F30B67" w:rsidRPr="006D3DBC" w:rsidRDefault="00F30B67" w:rsidP="00F30B67">
            <w:pPr>
              <w:pStyle w:val="BMSTableText"/>
              <w:spacing w:line="276" w:lineRule="auto"/>
              <w:rPr>
                <w:lang w:val="en-AU"/>
              </w:rPr>
            </w:pPr>
            <w:r w:rsidRPr="006D3DBC">
              <w:t>80 ( 2.9)</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Urinary tract infection                                               </w:t>
            </w:r>
          </w:p>
        </w:tc>
        <w:tc>
          <w:tcPr>
            <w:tcW w:w="1136" w:type="dxa"/>
            <w:shd w:val="clear" w:color="auto" w:fill="auto"/>
          </w:tcPr>
          <w:p w:rsidR="00F30B67" w:rsidRPr="006D3DBC" w:rsidRDefault="00F30B67" w:rsidP="00F30B67">
            <w:pPr>
              <w:pStyle w:val="BMSTableText"/>
              <w:spacing w:line="276" w:lineRule="auto"/>
              <w:rPr>
                <w:lang w:val="en-AU"/>
              </w:rPr>
            </w:pPr>
            <w:r w:rsidRPr="006D3DBC">
              <w:t xml:space="preserve">512 ( 5.6)             </w:t>
            </w:r>
          </w:p>
        </w:tc>
        <w:tc>
          <w:tcPr>
            <w:tcW w:w="1134" w:type="dxa"/>
            <w:shd w:val="clear" w:color="auto" w:fill="auto"/>
          </w:tcPr>
          <w:p w:rsidR="00F30B67" w:rsidRPr="006D3DBC" w:rsidRDefault="00F30B67" w:rsidP="00F30B67">
            <w:pPr>
              <w:pStyle w:val="BMSTableText"/>
              <w:spacing w:line="276" w:lineRule="auto"/>
              <w:rPr>
                <w:lang w:val="en-AU"/>
              </w:rPr>
            </w:pPr>
            <w:r w:rsidRPr="006D3DBC">
              <w:t>532 ( 5.9)</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71 ( 2.5)              </w:t>
            </w:r>
          </w:p>
        </w:tc>
        <w:tc>
          <w:tcPr>
            <w:tcW w:w="1275" w:type="dxa"/>
            <w:shd w:val="clear" w:color="auto" w:fill="auto"/>
          </w:tcPr>
          <w:p w:rsidR="00F30B67" w:rsidRPr="006D3DBC" w:rsidRDefault="00F30B67" w:rsidP="00F30B67">
            <w:pPr>
              <w:pStyle w:val="BMSTableText"/>
              <w:spacing w:line="276" w:lineRule="auto"/>
              <w:rPr>
                <w:lang w:val="en-AU"/>
              </w:rPr>
            </w:pPr>
            <w:r w:rsidRPr="006D3DBC">
              <w:t>57 ( 2.1)</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b/>
                <w:lang w:val="en-AU"/>
              </w:rPr>
            </w:pPr>
            <w:r w:rsidRPr="006D3DBC">
              <w:t>Bronchitis</w:t>
            </w:r>
          </w:p>
        </w:tc>
        <w:tc>
          <w:tcPr>
            <w:tcW w:w="1136" w:type="dxa"/>
            <w:shd w:val="clear" w:color="auto" w:fill="auto"/>
          </w:tcPr>
          <w:p w:rsidR="00F30B67" w:rsidRPr="006D3DBC" w:rsidRDefault="00F30B67" w:rsidP="00F30B67">
            <w:pPr>
              <w:pStyle w:val="BMSTableText"/>
              <w:spacing w:line="276" w:lineRule="auto"/>
              <w:rPr>
                <w:lang w:val="en-AU"/>
              </w:rPr>
            </w:pPr>
            <w:r w:rsidRPr="006D3DBC">
              <w:t xml:space="preserve">503 ( 5.5)             </w:t>
            </w:r>
          </w:p>
        </w:tc>
        <w:tc>
          <w:tcPr>
            <w:tcW w:w="1134" w:type="dxa"/>
            <w:shd w:val="clear" w:color="auto" w:fill="auto"/>
          </w:tcPr>
          <w:p w:rsidR="00F30B67" w:rsidRPr="006D3DBC" w:rsidRDefault="00F30B67" w:rsidP="00F30B67">
            <w:pPr>
              <w:pStyle w:val="BMSTableText"/>
              <w:spacing w:line="276" w:lineRule="auto"/>
              <w:rPr>
                <w:lang w:val="en-AU"/>
              </w:rPr>
            </w:pPr>
            <w:r w:rsidRPr="006D3DBC">
              <w:t>516 ( 5.7)</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80 ( 2.9)  </w:t>
            </w:r>
          </w:p>
        </w:tc>
        <w:tc>
          <w:tcPr>
            <w:tcW w:w="1275" w:type="dxa"/>
            <w:shd w:val="clear" w:color="auto" w:fill="auto"/>
          </w:tcPr>
          <w:p w:rsidR="00F30B67" w:rsidRPr="006D3DBC" w:rsidRDefault="00F30B67" w:rsidP="00F30B67">
            <w:pPr>
              <w:pStyle w:val="BMSTableText"/>
              <w:spacing w:line="276" w:lineRule="auto"/>
              <w:rPr>
                <w:lang w:val="en-AU"/>
              </w:rPr>
            </w:pPr>
            <w:r w:rsidRPr="006D3DBC">
              <w:t>68 ( 2.4)</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Upper respiratory tract infection                                     </w:t>
            </w:r>
          </w:p>
        </w:tc>
        <w:tc>
          <w:tcPr>
            <w:tcW w:w="1136" w:type="dxa"/>
            <w:shd w:val="clear" w:color="auto" w:fill="auto"/>
          </w:tcPr>
          <w:p w:rsidR="00F30B67" w:rsidRPr="006D3DBC" w:rsidRDefault="00F30B67" w:rsidP="00F30B67">
            <w:pPr>
              <w:pStyle w:val="BMSTableText"/>
              <w:spacing w:line="276" w:lineRule="auto"/>
              <w:rPr>
                <w:lang w:val="en-AU"/>
              </w:rPr>
            </w:pPr>
            <w:r w:rsidRPr="006D3DBC">
              <w:t xml:space="preserve"> 436 ( 4.8)             </w:t>
            </w:r>
          </w:p>
        </w:tc>
        <w:tc>
          <w:tcPr>
            <w:tcW w:w="1134" w:type="dxa"/>
            <w:shd w:val="clear" w:color="auto" w:fill="auto"/>
          </w:tcPr>
          <w:p w:rsidR="00F30B67" w:rsidRPr="006D3DBC" w:rsidRDefault="00F30B67" w:rsidP="00F30B67">
            <w:pPr>
              <w:pStyle w:val="BMSTableText"/>
              <w:spacing w:line="276" w:lineRule="auto"/>
              <w:rPr>
                <w:lang w:val="en-AU"/>
              </w:rPr>
            </w:pPr>
            <w:r w:rsidRPr="006D3DBC">
              <w:t>456 ( 5.0)</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57 ( 2.0)              </w:t>
            </w:r>
          </w:p>
        </w:tc>
        <w:tc>
          <w:tcPr>
            <w:tcW w:w="1275" w:type="dxa"/>
            <w:shd w:val="clear" w:color="auto" w:fill="auto"/>
          </w:tcPr>
          <w:p w:rsidR="00F30B67" w:rsidRPr="006D3DBC" w:rsidRDefault="00F30B67" w:rsidP="00F30B67">
            <w:pPr>
              <w:pStyle w:val="BMSTableText"/>
              <w:spacing w:line="276" w:lineRule="auto"/>
              <w:rPr>
                <w:lang w:val="en-AU"/>
              </w:rPr>
            </w:pPr>
            <w:r w:rsidRPr="006D3DBC">
              <w:t>55 ( 2.0)</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Influenza                                                             </w:t>
            </w:r>
          </w:p>
        </w:tc>
        <w:tc>
          <w:tcPr>
            <w:tcW w:w="1136" w:type="dxa"/>
            <w:shd w:val="clear" w:color="auto" w:fill="auto"/>
          </w:tcPr>
          <w:p w:rsidR="00F30B67" w:rsidRPr="006D3DBC" w:rsidRDefault="00F30B67" w:rsidP="00F30B67">
            <w:pPr>
              <w:pStyle w:val="BMSTableText"/>
              <w:spacing w:line="276" w:lineRule="auto"/>
              <w:rPr>
                <w:lang w:val="en-AU"/>
              </w:rPr>
            </w:pPr>
            <w:r w:rsidRPr="006D3DBC">
              <w:t xml:space="preserve">362 ( 4.0)             </w:t>
            </w:r>
          </w:p>
        </w:tc>
        <w:tc>
          <w:tcPr>
            <w:tcW w:w="1134" w:type="dxa"/>
            <w:shd w:val="clear" w:color="auto" w:fill="auto"/>
          </w:tcPr>
          <w:p w:rsidR="00F30B67" w:rsidRPr="006D3DBC" w:rsidRDefault="00F30B67" w:rsidP="00F30B67">
            <w:pPr>
              <w:pStyle w:val="BMSTableText"/>
              <w:spacing w:line="276" w:lineRule="auto"/>
              <w:rPr>
                <w:lang w:val="en-AU"/>
              </w:rPr>
            </w:pPr>
            <w:r w:rsidRPr="006D3DBC">
              <w:t>333 ( 3.7)</w:t>
            </w:r>
          </w:p>
        </w:tc>
        <w:tc>
          <w:tcPr>
            <w:tcW w:w="1276" w:type="dxa"/>
            <w:shd w:val="clear" w:color="auto" w:fill="auto"/>
          </w:tcPr>
          <w:p w:rsidR="00F30B67" w:rsidRPr="006D3DBC" w:rsidRDefault="00F30B67" w:rsidP="00F30B67">
            <w:pPr>
              <w:pStyle w:val="BMSTableText"/>
              <w:spacing w:line="276" w:lineRule="auto"/>
              <w:rPr>
                <w:lang w:val="en-AU"/>
              </w:rPr>
            </w:pPr>
            <w:r w:rsidRPr="006D3DBC">
              <w:t>59 ( 2.1)</w:t>
            </w:r>
          </w:p>
        </w:tc>
        <w:tc>
          <w:tcPr>
            <w:tcW w:w="1275" w:type="dxa"/>
            <w:shd w:val="clear" w:color="auto" w:fill="auto"/>
          </w:tcPr>
          <w:p w:rsidR="00F30B67" w:rsidRPr="006D3DBC" w:rsidRDefault="00F30B67" w:rsidP="00F30B67">
            <w:pPr>
              <w:pStyle w:val="BMSTableText"/>
              <w:spacing w:line="276" w:lineRule="auto"/>
              <w:rPr>
                <w:lang w:val="en-AU"/>
              </w:rPr>
            </w:pPr>
            <w:r w:rsidRPr="006D3DBC">
              <w:t>56 ( 2.0)</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lastRenderedPageBreak/>
              <w:t xml:space="preserve">Pneumonia                                                             </w:t>
            </w:r>
          </w:p>
        </w:tc>
        <w:tc>
          <w:tcPr>
            <w:tcW w:w="1136" w:type="dxa"/>
            <w:shd w:val="clear" w:color="auto" w:fill="auto"/>
          </w:tcPr>
          <w:p w:rsidR="00F30B67" w:rsidRPr="006D3DBC" w:rsidRDefault="00F30B67" w:rsidP="00F30B67">
            <w:pPr>
              <w:pStyle w:val="BMSTableText"/>
              <w:spacing w:line="276" w:lineRule="auto"/>
              <w:rPr>
                <w:lang w:val="en-AU"/>
              </w:rPr>
            </w:pPr>
            <w:r w:rsidRPr="006D3DBC">
              <w:t xml:space="preserve">324 ( 3.6)             </w:t>
            </w:r>
          </w:p>
        </w:tc>
        <w:tc>
          <w:tcPr>
            <w:tcW w:w="1134" w:type="dxa"/>
            <w:shd w:val="clear" w:color="auto" w:fill="auto"/>
          </w:tcPr>
          <w:p w:rsidR="00F30B67" w:rsidRPr="006D3DBC" w:rsidRDefault="00F30B67" w:rsidP="00F30B67">
            <w:pPr>
              <w:pStyle w:val="BMSTableText"/>
              <w:spacing w:line="276" w:lineRule="auto"/>
              <w:rPr>
                <w:lang w:val="en-AU"/>
              </w:rPr>
            </w:pPr>
            <w:r w:rsidRPr="006D3DBC">
              <w:t>385 ( 4.3)</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61 ( 2.2)              </w:t>
            </w:r>
          </w:p>
        </w:tc>
        <w:tc>
          <w:tcPr>
            <w:tcW w:w="1275" w:type="dxa"/>
            <w:shd w:val="clear" w:color="auto" w:fill="auto"/>
          </w:tcPr>
          <w:p w:rsidR="00F30B67" w:rsidRPr="006D3DBC" w:rsidRDefault="00F30B67" w:rsidP="00F30B67">
            <w:pPr>
              <w:pStyle w:val="BMSTableText"/>
              <w:spacing w:line="276" w:lineRule="auto"/>
              <w:rPr>
                <w:lang w:val="en-AU"/>
              </w:rPr>
            </w:pPr>
            <w:r w:rsidRPr="006D3DBC">
              <w:t>79 ( 2.8)</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Sinusitis                                                             </w:t>
            </w:r>
          </w:p>
        </w:tc>
        <w:tc>
          <w:tcPr>
            <w:tcW w:w="1136" w:type="dxa"/>
            <w:shd w:val="clear" w:color="auto" w:fill="auto"/>
          </w:tcPr>
          <w:p w:rsidR="00F30B67" w:rsidRPr="006D3DBC" w:rsidRDefault="00F30B67" w:rsidP="00F30B67">
            <w:pPr>
              <w:pStyle w:val="BMSTableText"/>
              <w:spacing w:line="276" w:lineRule="auto"/>
              <w:rPr>
                <w:lang w:val="en-AU"/>
              </w:rPr>
            </w:pPr>
            <w:r w:rsidRPr="006D3DBC">
              <w:t xml:space="preserve">180 ( 2.0)             </w:t>
            </w:r>
          </w:p>
        </w:tc>
        <w:tc>
          <w:tcPr>
            <w:tcW w:w="1134" w:type="dxa"/>
            <w:shd w:val="clear" w:color="auto" w:fill="auto"/>
          </w:tcPr>
          <w:p w:rsidR="00F30B67" w:rsidRPr="006D3DBC" w:rsidRDefault="00F30B67" w:rsidP="00F30B67">
            <w:pPr>
              <w:pStyle w:val="BMSTableText"/>
              <w:spacing w:line="276" w:lineRule="auto"/>
              <w:rPr>
                <w:lang w:val="en-AU"/>
              </w:rPr>
            </w:pPr>
            <w:r w:rsidRPr="006D3DBC">
              <w:t>161 ( 1.8)</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Gastroenteritis</w:t>
            </w:r>
          </w:p>
        </w:tc>
        <w:tc>
          <w:tcPr>
            <w:tcW w:w="1136" w:type="dxa"/>
            <w:shd w:val="clear" w:color="auto" w:fill="auto"/>
          </w:tcPr>
          <w:p w:rsidR="00F30B67" w:rsidRPr="006D3DBC" w:rsidRDefault="00F30B67" w:rsidP="00F30B67">
            <w:pPr>
              <w:pStyle w:val="BMSTableText"/>
              <w:spacing w:line="276" w:lineRule="auto"/>
              <w:rPr>
                <w:lang w:val="en-AU"/>
              </w:rPr>
            </w:pPr>
            <w:r w:rsidRPr="006D3DBC">
              <w:t xml:space="preserve">145 ( 1.6)             </w:t>
            </w:r>
          </w:p>
        </w:tc>
        <w:tc>
          <w:tcPr>
            <w:tcW w:w="1134" w:type="dxa"/>
            <w:shd w:val="clear" w:color="auto" w:fill="auto"/>
          </w:tcPr>
          <w:p w:rsidR="00F30B67" w:rsidRPr="006D3DBC" w:rsidRDefault="00F30B67" w:rsidP="00F30B67">
            <w:pPr>
              <w:pStyle w:val="BMSTableText"/>
              <w:spacing w:line="276" w:lineRule="auto"/>
              <w:rPr>
                <w:lang w:val="en-AU"/>
              </w:rPr>
            </w:pPr>
            <w:r w:rsidRPr="006D3DBC">
              <w:t>157 ( 1.7)</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proofErr w:type="spellStart"/>
            <w:r w:rsidRPr="006D3DBC">
              <w:t>Cellulitis</w:t>
            </w:r>
            <w:proofErr w:type="spellEnd"/>
          </w:p>
        </w:tc>
        <w:tc>
          <w:tcPr>
            <w:tcW w:w="1136" w:type="dxa"/>
            <w:shd w:val="clear" w:color="auto" w:fill="auto"/>
          </w:tcPr>
          <w:p w:rsidR="00F30B67" w:rsidRPr="006D3DBC" w:rsidRDefault="00F30B67" w:rsidP="00F30B67">
            <w:pPr>
              <w:pStyle w:val="BMSTableText"/>
              <w:spacing w:line="276" w:lineRule="auto"/>
              <w:rPr>
                <w:lang w:val="en-AU"/>
              </w:rPr>
            </w:pPr>
            <w:r w:rsidRPr="006D3DBC">
              <w:t xml:space="preserve">139 ( 1.5)             </w:t>
            </w:r>
          </w:p>
        </w:tc>
        <w:tc>
          <w:tcPr>
            <w:tcW w:w="1134" w:type="dxa"/>
            <w:shd w:val="clear" w:color="auto" w:fill="auto"/>
          </w:tcPr>
          <w:p w:rsidR="00F30B67" w:rsidRPr="006D3DBC" w:rsidRDefault="00F30B67" w:rsidP="00F30B67">
            <w:pPr>
              <w:pStyle w:val="BMSTableText"/>
              <w:spacing w:line="276" w:lineRule="auto"/>
              <w:rPr>
                <w:lang w:val="en-AU"/>
              </w:rPr>
            </w:pPr>
            <w:r w:rsidRPr="006D3DBC">
              <w:t>179 ( 2.0)</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28 ( 1.0)</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18 ( 0.6)</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rPr>
                <w:lang w:val="en-AU"/>
              </w:rPr>
              <w:t>Lower respiratory tract infection</w:t>
            </w:r>
          </w:p>
        </w:tc>
        <w:tc>
          <w:tcPr>
            <w:tcW w:w="1136" w:type="dxa"/>
            <w:shd w:val="clear" w:color="auto" w:fill="auto"/>
          </w:tcPr>
          <w:p w:rsidR="00F30B67" w:rsidRPr="006D3DBC" w:rsidRDefault="00F30B67" w:rsidP="00F30B67">
            <w:pPr>
              <w:pStyle w:val="BMSTableText"/>
              <w:spacing w:line="276" w:lineRule="auto"/>
              <w:rPr>
                <w:lang w:val="en-AU"/>
              </w:rPr>
            </w:pPr>
            <w:r w:rsidRPr="006D3DBC">
              <w:t xml:space="preserve">126 ( 1.4)             </w:t>
            </w:r>
          </w:p>
        </w:tc>
        <w:tc>
          <w:tcPr>
            <w:tcW w:w="1134" w:type="dxa"/>
            <w:shd w:val="clear" w:color="auto" w:fill="auto"/>
          </w:tcPr>
          <w:p w:rsidR="00F30B67" w:rsidRPr="006D3DBC" w:rsidRDefault="00F30B67" w:rsidP="00F30B67">
            <w:pPr>
              <w:pStyle w:val="BMSTableText"/>
              <w:spacing w:line="276" w:lineRule="auto"/>
              <w:rPr>
                <w:lang w:val="en-AU"/>
              </w:rPr>
            </w:pPr>
            <w:r w:rsidRPr="006D3DBC">
              <w:t>118 ( 1.3)</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rPr>
                <w:lang w:val="en-AU"/>
              </w:rPr>
              <w:t>Respiratory tract infection</w:t>
            </w:r>
          </w:p>
        </w:tc>
        <w:tc>
          <w:tcPr>
            <w:tcW w:w="1136" w:type="dxa"/>
            <w:shd w:val="clear" w:color="auto" w:fill="auto"/>
          </w:tcPr>
          <w:p w:rsidR="00F30B67" w:rsidRPr="006D3DBC" w:rsidRDefault="00F30B67" w:rsidP="00F30B67">
            <w:pPr>
              <w:pStyle w:val="BMSTableText"/>
              <w:spacing w:line="276" w:lineRule="auto"/>
              <w:rPr>
                <w:lang w:val="en-AU"/>
              </w:rPr>
            </w:pPr>
            <w:r w:rsidRPr="006D3DBC">
              <w:t xml:space="preserve">95 ( 1.0)             </w:t>
            </w:r>
          </w:p>
        </w:tc>
        <w:tc>
          <w:tcPr>
            <w:tcW w:w="1134" w:type="dxa"/>
            <w:shd w:val="clear" w:color="auto" w:fill="auto"/>
          </w:tcPr>
          <w:p w:rsidR="00F30B67" w:rsidRPr="006D3DBC" w:rsidRDefault="00F30B67" w:rsidP="00F30B67">
            <w:pPr>
              <w:pStyle w:val="BMSTableText"/>
              <w:spacing w:line="276" w:lineRule="auto"/>
              <w:rPr>
                <w:lang w:val="en-AU"/>
              </w:rPr>
            </w:pPr>
            <w:r w:rsidRPr="006D3DBC">
              <w:t>101 ( 1.1)</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rPr>
                <w:lang w:val="en-AU"/>
              </w:rPr>
              <w:t>Herpes zoster</w:t>
            </w:r>
          </w:p>
        </w:tc>
        <w:tc>
          <w:tcPr>
            <w:tcW w:w="1136" w:type="dxa"/>
            <w:shd w:val="clear" w:color="auto" w:fill="auto"/>
          </w:tcPr>
          <w:p w:rsidR="00F30B67" w:rsidRPr="006D3DBC" w:rsidRDefault="00F30B67" w:rsidP="00F30B67">
            <w:pPr>
              <w:pStyle w:val="BMSTableText"/>
              <w:spacing w:line="276" w:lineRule="auto"/>
              <w:rPr>
                <w:lang w:val="en-AU"/>
              </w:rPr>
            </w:pPr>
            <w:r w:rsidRPr="006D3DBC">
              <w:t xml:space="preserve">81 ( 0.9)              </w:t>
            </w:r>
          </w:p>
        </w:tc>
        <w:tc>
          <w:tcPr>
            <w:tcW w:w="1134" w:type="dxa"/>
            <w:shd w:val="clear" w:color="auto" w:fill="auto"/>
          </w:tcPr>
          <w:p w:rsidR="00F30B67" w:rsidRPr="006D3DBC" w:rsidRDefault="00F30B67" w:rsidP="00F30B67">
            <w:pPr>
              <w:pStyle w:val="BMSTableText"/>
              <w:spacing w:line="276" w:lineRule="auto"/>
              <w:rPr>
                <w:lang w:val="en-AU"/>
              </w:rPr>
            </w:pPr>
            <w:r w:rsidRPr="006D3DBC">
              <w:t>91 ( 1.0)</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w:t>
            </w:r>
          </w:p>
        </w:tc>
      </w:tr>
      <w:tr w:rsidR="00F30B67" w:rsidRPr="006D3DBC" w:rsidTr="00F30B67">
        <w:trPr>
          <w:jc w:val="center"/>
        </w:trPr>
        <w:tc>
          <w:tcPr>
            <w:tcW w:w="7988" w:type="dxa"/>
            <w:gridSpan w:val="5"/>
            <w:shd w:val="clear" w:color="auto" w:fill="auto"/>
          </w:tcPr>
          <w:p w:rsidR="00F30B67" w:rsidRPr="006D3DBC" w:rsidRDefault="00F30B67" w:rsidP="00F30B67">
            <w:pPr>
              <w:pStyle w:val="BMSTableText"/>
              <w:spacing w:line="276" w:lineRule="auto"/>
              <w:jc w:val="left"/>
              <w:rPr>
                <w:i/>
                <w:lang w:val="en-AU"/>
              </w:rPr>
            </w:pPr>
            <w:r w:rsidRPr="006D3DBC">
              <w:rPr>
                <w:i/>
                <w:lang w:val="en-AU"/>
              </w:rPr>
              <w:t>Gastrointestinal Disorders</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proofErr w:type="spellStart"/>
            <w:r w:rsidRPr="006D3DBC">
              <w:t>Diarrhoea</w:t>
            </w:r>
            <w:proofErr w:type="spellEnd"/>
          </w:p>
        </w:tc>
        <w:tc>
          <w:tcPr>
            <w:tcW w:w="1136" w:type="dxa"/>
            <w:shd w:val="clear" w:color="auto" w:fill="auto"/>
          </w:tcPr>
          <w:p w:rsidR="00F30B67" w:rsidRPr="006D3DBC" w:rsidRDefault="00F30B67" w:rsidP="00F30B67">
            <w:pPr>
              <w:pStyle w:val="BMSTableText"/>
              <w:spacing w:line="276" w:lineRule="auto"/>
              <w:rPr>
                <w:lang w:val="en-AU"/>
              </w:rPr>
            </w:pPr>
            <w:r w:rsidRPr="006D3DBC">
              <w:t xml:space="preserve">585 ( 6.4)             </w:t>
            </w:r>
          </w:p>
        </w:tc>
        <w:tc>
          <w:tcPr>
            <w:tcW w:w="1134" w:type="dxa"/>
            <w:shd w:val="clear" w:color="auto" w:fill="auto"/>
          </w:tcPr>
          <w:p w:rsidR="00F30B67" w:rsidRPr="006D3DBC" w:rsidRDefault="00F30B67" w:rsidP="00F30B67">
            <w:pPr>
              <w:pStyle w:val="BMSTableText"/>
              <w:spacing w:line="276" w:lineRule="auto"/>
              <w:rPr>
                <w:lang w:val="en-AU"/>
              </w:rPr>
            </w:pPr>
            <w:r w:rsidRPr="006D3DBC">
              <w:t>584 ( 6.5)</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77 ( 2.8)              </w:t>
            </w:r>
          </w:p>
        </w:tc>
        <w:tc>
          <w:tcPr>
            <w:tcW w:w="1275" w:type="dxa"/>
            <w:shd w:val="clear" w:color="auto" w:fill="auto"/>
          </w:tcPr>
          <w:p w:rsidR="00F30B67" w:rsidRPr="006D3DBC" w:rsidRDefault="00F30B67" w:rsidP="00F30B67">
            <w:pPr>
              <w:pStyle w:val="BMSTableText"/>
              <w:spacing w:line="276" w:lineRule="auto"/>
              <w:rPr>
                <w:lang w:val="en-AU"/>
              </w:rPr>
            </w:pPr>
            <w:r w:rsidRPr="006D3DBC">
              <w:t>80 ( 2.9)</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rPr>
                <w:lang w:val="en-AU"/>
              </w:rPr>
              <w:t>Nausea</w:t>
            </w:r>
          </w:p>
        </w:tc>
        <w:tc>
          <w:tcPr>
            <w:tcW w:w="1136" w:type="dxa"/>
            <w:shd w:val="clear" w:color="auto" w:fill="auto"/>
          </w:tcPr>
          <w:p w:rsidR="00F30B67" w:rsidRPr="006D3DBC" w:rsidRDefault="00F30B67" w:rsidP="00F30B67">
            <w:pPr>
              <w:pStyle w:val="BMSTableText"/>
              <w:spacing w:line="276" w:lineRule="auto"/>
              <w:rPr>
                <w:lang w:val="en-AU"/>
              </w:rPr>
            </w:pPr>
            <w:r w:rsidRPr="006D3DBC">
              <w:t xml:space="preserve">282 ( 3.1)             </w:t>
            </w:r>
          </w:p>
        </w:tc>
        <w:tc>
          <w:tcPr>
            <w:tcW w:w="1134" w:type="dxa"/>
            <w:shd w:val="clear" w:color="auto" w:fill="auto"/>
          </w:tcPr>
          <w:p w:rsidR="00F30B67" w:rsidRPr="006D3DBC" w:rsidRDefault="00F30B67" w:rsidP="00F30B67">
            <w:pPr>
              <w:pStyle w:val="BMSTableText"/>
              <w:spacing w:line="276" w:lineRule="auto"/>
              <w:rPr>
                <w:lang w:val="en-AU"/>
              </w:rPr>
            </w:pPr>
            <w:r w:rsidRPr="006D3DBC">
              <w:t>286 ( 3.2)</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42 ( 1.5)              </w:t>
            </w:r>
          </w:p>
        </w:tc>
        <w:tc>
          <w:tcPr>
            <w:tcW w:w="1275" w:type="dxa"/>
            <w:shd w:val="clear" w:color="auto" w:fill="auto"/>
          </w:tcPr>
          <w:p w:rsidR="00F30B67" w:rsidRPr="006D3DBC" w:rsidRDefault="00F30B67" w:rsidP="00F30B67">
            <w:pPr>
              <w:pStyle w:val="BMSTableText"/>
              <w:spacing w:line="276" w:lineRule="auto"/>
              <w:rPr>
                <w:lang w:val="en-AU"/>
              </w:rPr>
            </w:pPr>
            <w:r w:rsidRPr="006D3DBC">
              <w:t>48 ( 1.7)</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rPr>
                <w:lang w:val="en-AU"/>
              </w:rPr>
              <w:t>Constipation</w:t>
            </w:r>
          </w:p>
        </w:tc>
        <w:tc>
          <w:tcPr>
            <w:tcW w:w="1136" w:type="dxa"/>
            <w:shd w:val="clear" w:color="auto" w:fill="auto"/>
          </w:tcPr>
          <w:p w:rsidR="00F30B67" w:rsidRPr="006D3DBC" w:rsidRDefault="00F30B67" w:rsidP="00F30B67">
            <w:pPr>
              <w:pStyle w:val="BMSTableText"/>
              <w:spacing w:line="276" w:lineRule="auto"/>
              <w:rPr>
                <w:lang w:val="en-AU"/>
              </w:rPr>
            </w:pPr>
            <w:r w:rsidRPr="006D3DBC">
              <w:t xml:space="preserve">207 ( 2.3)             </w:t>
            </w:r>
          </w:p>
        </w:tc>
        <w:tc>
          <w:tcPr>
            <w:tcW w:w="1134" w:type="dxa"/>
            <w:shd w:val="clear" w:color="auto" w:fill="auto"/>
          </w:tcPr>
          <w:p w:rsidR="00F30B67" w:rsidRPr="006D3DBC" w:rsidRDefault="00F30B67" w:rsidP="00F30B67">
            <w:pPr>
              <w:pStyle w:val="BMSTableText"/>
              <w:spacing w:line="276" w:lineRule="auto"/>
              <w:rPr>
                <w:lang w:val="en-AU"/>
              </w:rPr>
            </w:pPr>
            <w:r w:rsidRPr="006D3DBC">
              <w:t>225 ( 2.5)</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35 ( 1.3)              </w:t>
            </w:r>
          </w:p>
        </w:tc>
        <w:tc>
          <w:tcPr>
            <w:tcW w:w="1275" w:type="dxa"/>
            <w:shd w:val="clear" w:color="auto" w:fill="auto"/>
          </w:tcPr>
          <w:p w:rsidR="00F30B67" w:rsidRPr="006D3DBC" w:rsidRDefault="00F30B67" w:rsidP="00F30B67">
            <w:pPr>
              <w:pStyle w:val="BMSTableText"/>
              <w:spacing w:line="276" w:lineRule="auto"/>
              <w:rPr>
                <w:lang w:val="en-AU"/>
              </w:rPr>
            </w:pPr>
            <w:r w:rsidRPr="006D3DBC">
              <w:t>64 ( 2.3)</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rPr>
                <w:lang w:val="en-AU"/>
              </w:rPr>
              <w:t>Vomiting</w:t>
            </w:r>
          </w:p>
        </w:tc>
        <w:tc>
          <w:tcPr>
            <w:tcW w:w="1136" w:type="dxa"/>
            <w:shd w:val="clear" w:color="auto" w:fill="auto"/>
          </w:tcPr>
          <w:p w:rsidR="00F30B67" w:rsidRPr="006D3DBC" w:rsidRDefault="00F30B67" w:rsidP="00F30B67">
            <w:pPr>
              <w:pStyle w:val="BMSTableText"/>
              <w:spacing w:line="276" w:lineRule="auto"/>
              <w:rPr>
                <w:lang w:val="en-AU"/>
              </w:rPr>
            </w:pPr>
            <w:r w:rsidRPr="006D3DBC">
              <w:t xml:space="preserve">197 ( 2.2)             </w:t>
            </w:r>
          </w:p>
        </w:tc>
        <w:tc>
          <w:tcPr>
            <w:tcW w:w="1134" w:type="dxa"/>
            <w:shd w:val="clear" w:color="auto" w:fill="auto"/>
          </w:tcPr>
          <w:p w:rsidR="00F30B67" w:rsidRPr="006D3DBC" w:rsidRDefault="00F30B67" w:rsidP="00F30B67">
            <w:pPr>
              <w:pStyle w:val="BMSTableText"/>
              <w:spacing w:line="276" w:lineRule="auto"/>
              <w:rPr>
                <w:lang w:val="en-AU"/>
              </w:rPr>
            </w:pPr>
            <w:r w:rsidRPr="006D3DBC">
              <w:t>163 ( 1.8)</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21 ( 0.8)              </w:t>
            </w:r>
          </w:p>
        </w:tc>
        <w:tc>
          <w:tcPr>
            <w:tcW w:w="1275" w:type="dxa"/>
            <w:shd w:val="clear" w:color="auto" w:fill="auto"/>
          </w:tcPr>
          <w:p w:rsidR="00F30B67" w:rsidRPr="006D3DBC" w:rsidRDefault="00F30B67" w:rsidP="00F30B67">
            <w:pPr>
              <w:pStyle w:val="BMSTableText"/>
              <w:spacing w:line="276" w:lineRule="auto"/>
              <w:rPr>
                <w:lang w:val="en-AU"/>
              </w:rPr>
            </w:pPr>
            <w:r w:rsidRPr="006D3DBC">
              <w:t>31 ( 1.1)</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rPr>
                <w:lang w:val="en-AU"/>
              </w:rPr>
              <w:t>Abdominal pain upper</w:t>
            </w:r>
          </w:p>
        </w:tc>
        <w:tc>
          <w:tcPr>
            <w:tcW w:w="1136" w:type="dxa"/>
            <w:shd w:val="clear" w:color="auto" w:fill="auto"/>
          </w:tcPr>
          <w:p w:rsidR="00F30B67" w:rsidRPr="006D3DBC" w:rsidRDefault="00F30B67" w:rsidP="00F30B67">
            <w:pPr>
              <w:pStyle w:val="BMSTableText"/>
              <w:spacing w:line="276" w:lineRule="auto"/>
              <w:rPr>
                <w:lang w:val="en-AU"/>
              </w:rPr>
            </w:pPr>
            <w:r w:rsidRPr="006D3DBC">
              <w:t xml:space="preserve">176 ( 1.9)             </w:t>
            </w:r>
          </w:p>
        </w:tc>
        <w:tc>
          <w:tcPr>
            <w:tcW w:w="1134" w:type="dxa"/>
            <w:shd w:val="clear" w:color="auto" w:fill="auto"/>
          </w:tcPr>
          <w:p w:rsidR="00F30B67" w:rsidRPr="006D3DBC" w:rsidRDefault="00F30B67" w:rsidP="00F30B67">
            <w:pPr>
              <w:pStyle w:val="BMSTableText"/>
              <w:spacing w:line="276" w:lineRule="auto"/>
              <w:rPr>
                <w:lang w:val="en-AU"/>
              </w:rPr>
            </w:pPr>
            <w:r w:rsidRPr="006D3DBC">
              <w:t>177 ( 2.0)</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50 ( 1.8)              </w:t>
            </w:r>
          </w:p>
        </w:tc>
        <w:tc>
          <w:tcPr>
            <w:tcW w:w="1275" w:type="dxa"/>
            <w:shd w:val="clear" w:color="auto" w:fill="auto"/>
          </w:tcPr>
          <w:p w:rsidR="00F30B67" w:rsidRPr="006D3DBC" w:rsidRDefault="00F30B67" w:rsidP="00F30B67">
            <w:pPr>
              <w:pStyle w:val="BMSTableText"/>
              <w:spacing w:line="276" w:lineRule="auto"/>
              <w:rPr>
                <w:lang w:val="en-AU"/>
              </w:rPr>
            </w:pPr>
            <w:r w:rsidRPr="006D3DBC">
              <w:t>56 ( 2.0)</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rPr>
                <w:lang w:val="en-AU"/>
              </w:rPr>
              <w:t>Abdominal pain</w:t>
            </w:r>
          </w:p>
        </w:tc>
        <w:tc>
          <w:tcPr>
            <w:tcW w:w="1136" w:type="dxa"/>
            <w:shd w:val="clear" w:color="auto" w:fill="auto"/>
          </w:tcPr>
          <w:p w:rsidR="00F30B67" w:rsidRPr="006D3DBC" w:rsidRDefault="00F30B67" w:rsidP="00F30B67">
            <w:pPr>
              <w:pStyle w:val="BMSTableText"/>
              <w:spacing w:line="276" w:lineRule="auto"/>
              <w:rPr>
                <w:lang w:val="en-AU"/>
              </w:rPr>
            </w:pPr>
            <w:r w:rsidRPr="006D3DBC">
              <w:t xml:space="preserve">172 ( 1.9)             </w:t>
            </w:r>
          </w:p>
        </w:tc>
        <w:tc>
          <w:tcPr>
            <w:tcW w:w="1134" w:type="dxa"/>
            <w:shd w:val="clear" w:color="auto" w:fill="auto"/>
          </w:tcPr>
          <w:p w:rsidR="00F30B67" w:rsidRPr="006D3DBC" w:rsidRDefault="00F30B67" w:rsidP="00F30B67">
            <w:pPr>
              <w:pStyle w:val="BMSTableText"/>
              <w:spacing w:line="276" w:lineRule="auto"/>
              <w:rPr>
                <w:lang w:val="en-AU"/>
              </w:rPr>
            </w:pPr>
            <w:r w:rsidRPr="006D3DBC">
              <w:t>192 ( 2.1)</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39 ( 1.4)              </w:t>
            </w:r>
          </w:p>
        </w:tc>
        <w:tc>
          <w:tcPr>
            <w:tcW w:w="1275" w:type="dxa"/>
            <w:shd w:val="clear" w:color="auto" w:fill="auto"/>
          </w:tcPr>
          <w:p w:rsidR="00F30B67" w:rsidRPr="006D3DBC" w:rsidRDefault="00F30B67" w:rsidP="00F30B67">
            <w:pPr>
              <w:pStyle w:val="BMSTableText"/>
              <w:spacing w:line="276" w:lineRule="auto"/>
              <w:rPr>
                <w:lang w:val="en-AU"/>
              </w:rPr>
            </w:pPr>
            <w:r w:rsidRPr="006D3DBC">
              <w:t>30 ( 1.1)</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rPr>
                <w:lang w:val="en-AU"/>
              </w:rPr>
              <w:t>Dyspepsia</w:t>
            </w:r>
          </w:p>
        </w:tc>
        <w:tc>
          <w:tcPr>
            <w:tcW w:w="1136" w:type="dxa"/>
            <w:shd w:val="clear" w:color="auto" w:fill="auto"/>
          </w:tcPr>
          <w:p w:rsidR="00F30B67" w:rsidRPr="006D3DBC" w:rsidRDefault="00F30B67" w:rsidP="00F30B67">
            <w:pPr>
              <w:pStyle w:val="BMSTableText"/>
              <w:spacing w:line="276" w:lineRule="auto"/>
              <w:rPr>
                <w:lang w:val="en-AU"/>
              </w:rPr>
            </w:pPr>
            <w:r w:rsidRPr="006D3DBC">
              <w:t xml:space="preserve">152 ( 1.7)             </w:t>
            </w:r>
          </w:p>
        </w:tc>
        <w:tc>
          <w:tcPr>
            <w:tcW w:w="1134" w:type="dxa"/>
            <w:shd w:val="clear" w:color="auto" w:fill="auto"/>
          </w:tcPr>
          <w:p w:rsidR="00F30B67" w:rsidRPr="006D3DBC" w:rsidRDefault="00F30B67" w:rsidP="00F30B67">
            <w:pPr>
              <w:pStyle w:val="BMSTableText"/>
              <w:spacing w:line="276" w:lineRule="auto"/>
              <w:rPr>
                <w:lang w:val="en-AU"/>
              </w:rPr>
            </w:pPr>
            <w:r w:rsidRPr="006D3DBC">
              <w:t>164 ( 1.8)</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26 ( 0.9)              </w:t>
            </w:r>
          </w:p>
        </w:tc>
        <w:tc>
          <w:tcPr>
            <w:tcW w:w="1275" w:type="dxa"/>
            <w:shd w:val="clear" w:color="auto" w:fill="auto"/>
          </w:tcPr>
          <w:p w:rsidR="00F30B67" w:rsidRPr="006D3DBC" w:rsidRDefault="00F30B67" w:rsidP="00F30B67">
            <w:pPr>
              <w:pStyle w:val="BMSTableText"/>
              <w:spacing w:line="276" w:lineRule="auto"/>
              <w:rPr>
                <w:lang w:val="en-AU"/>
              </w:rPr>
            </w:pPr>
            <w:r w:rsidRPr="006D3DBC">
              <w:t>44 ( 1.6)</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rPr>
                <w:lang w:val="en-AU"/>
              </w:rPr>
              <w:t>Gastritis</w:t>
            </w:r>
          </w:p>
        </w:tc>
        <w:tc>
          <w:tcPr>
            <w:tcW w:w="1136" w:type="dxa"/>
            <w:shd w:val="clear" w:color="auto" w:fill="auto"/>
          </w:tcPr>
          <w:p w:rsidR="00F30B67" w:rsidRPr="006D3DBC" w:rsidRDefault="00F30B67" w:rsidP="00F30B67">
            <w:pPr>
              <w:pStyle w:val="BMSTableText"/>
              <w:spacing w:line="276" w:lineRule="auto"/>
              <w:rPr>
                <w:lang w:val="en-AU"/>
              </w:rPr>
            </w:pPr>
            <w:r w:rsidRPr="006D3DBC">
              <w:t xml:space="preserve">144 ( 1.6)             </w:t>
            </w:r>
          </w:p>
        </w:tc>
        <w:tc>
          <w:tcPr>
            <w:tcW w:w="1134" w:type="dxa"/>
            <w:shd w:val="clear" w:color="auto" w:fill="auto"/>
          </w:tcPr>
          <w:p w:rsidR="00F30B67" w:rsidRPr="006D3DBC" w:rsidRDefault="00F30B67" w:rsidP="00F30B67">
            <w:pPr>
              <w:pStyle w:val="BMSTableText"/>
              <w:spacing w:line="276" w:lineRule="auto"/>
              <w:rPr>
                <w:lang w:val="en-AU"/>
              </w:rPr>
            </w:pPr>
            <w:r w:rsidRPr="006D3DBC">
              <w:t>159 ( 1.8)</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46 ( 1.6)              </w:t>
            </w:r>
          </w:p>
        </w:tc>
        <w:tc>
          <w:tcPr>
            <w:tcW w:w="1275" w:type="dxa"/>
            <w:shd w:val="clear" w:color="auto" w:fill="auto"/>
          </w:tcPr>
          <w:p w:rsidR="00F30B67" w:rsidRPr="006D3DBC" w:rsidRDefault="00F30B67" w:rsidP="00F30B67">
            <w:pPr>
              <w:pStyle w:val="BMSTableText"/>
              <w:spacing w:line="276" w:lineRule="auto"/>
              <w:rPr>
                <w:lang w:val="en-AU"/>
              </w:rPr>
            </w:pPr>
            <w:r w:rsidRPr="006D3DBC">
              <w:t>35 ( 1.3)</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rPr>
                <w:lang w:val="en-AU"/>
              </w:rPr>
              <w:t>Toothache</w:t>
            </w:r>
          </w:p>
        </w:tc>
        <w:tc>
          <w:tcPr>
            <w:tcW w:w="1136" w:type="dxa"/>
            <w:shd w:val="clear" w:color="auto" w:fill="auto"/>
          </w:tcPr>
          <w:p w:rsidR="00F30B67" w:rsidRPr="006D3DBC" w:rsidRDefault="00F30B67" w:rsidP="00F30B67">
            <w:pPr>
              <w:pStyle w:val="BMSTableText"/>
              <w:spacing w:line="276" w:lineRule="auto"/>
              <w:rPr>
                <w:lang w:val="en-AU"/>
              </w:rPr>
            </w:pPr>
            <w:r w:rsidRPr="006D3DBC">
              <w:t xml:space="preserve">134 ( 1.5)             </w:t>
            </w:r>
          </w:p>
        </w:tc>
        <w:tc>
          <w:tcPr>
            <w:tcW w:w="1134" w:type="dxa"/>
            <w:shd w:val="clear" w:color="auto" w:fill="auto"/>
          </w:tcPr>
          <w:p w:rsidR="00F30B67" w:rsidRPr="006D3DBC" w:rsidRDefault="00F30B67" w:rsidP="00F30B67">
            <w:pPr>
              <w:pStyle w:val="BMSTableText"/>
              <w:spacing w:line="276" w:lineRule="auto"/>
              <w:rPr>
                <w:lang w:val="en-AU"/>
              </w:rPr>
            </w:pPr>
            <w:r w:rsidRPr="006D3DBC">
              <w:t>121 ( 1.3)</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rPr>
                <w:lang w:val="en-AU"/>
              </w:rPr>
              <w:t>Rectal haemorrhage</w:t>
            </w:r>
          </w:p>
        </w:tc>
        <w:tc>
          <w:tcPr>
            <w:tcW w:w="1136" w:type="dxa"/>
            <w:shd w:val="clear" w:color="auto" w:fill="auto"/>
          </w:tcPr>
          <w:p w:rsidR="00F30B67" w:rsidRPr="006D3DBC" w:rsidRDefault="00F30B67" w:rsidP="00F30B67">
            <w:pPr>
              <w:pStyle w:val="BMSTableText"/>
              <w:spacing w:line="276" w:lineRule="auto"/>
              <w:rPr>
                <w:lang w:val="en-AU"/>
              </w:rPr>
            </w:pPr>
            <w:r w:rsidRPr="006D3DBC">
              <w:t xml:space="preserve">125 ( 1.4)             </w:t>
            </w:r>
          </w:p>
        </w:tc>
        <w:tc>
          <w:tcPr>
            <w:tcW w:w="1134" w:type="dxa"/>
            <w:shd w:val="clear" w:color="auto" w:fill="auto"/>
          </w:tcPr>
          <w:p w:rsidR="00F30B67" w:rsidRPr="006D3DBC" w:rsidRDefault="00F30B67" w:rsidP="00F30B67">
            <w:pPr>
              <w:pStyle w:val="BMSTableText"/>
              <w:spacing w:line="276" w:lineRule="auto"/>
              <w:rPr>
                <w:lang w:val="en-AU"/>
              </w:rPr>
            </w:pPr>
            <w:r w:rsidRPr="006D3DBC">
              <w:t>142 ( 1.6)</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rPr>
                <w:lang w:val="en-AU"/>
              </w:rPr>
              <w:t>Gingival bleeding</w:t>
            </w:r>
          </w:p>
        </w:tc>
        <w:tc>
          <w:tcPr>
            <w:tcW w:w="1136" w:type="dxa"/>
            <w:shd w:val="clear" w:color="auto" w:fill="auto"/>
          </w:tcPr>
          <w:p w:rsidR="00F30B67" w:rsidRPr="006D3DBC" w:rsidRDefault="00F30B67" w:rsidP="00F30B67">
            <w:pPr>
              <w:pStyle w:val="BMSTableText"/>
              <w:spacing w:line="276" w:lineRule="auto"/>
              <w:rPr>
                <w:lang w:val="en-AU"/>
              </w:rPr>
            </w:pPr>
            <w:r w:rsidRPr="006D3DBC">
              <w:t xml:space="preserve">113 ( 1.2)             </w:t>
            </w:r>
          </w:p>
        </w:tc>
        <w:tc>
          <w:tcPr>
            <w:tcW w:w="1134" w:type="dxa"/>
            <w:shd w:val="clear" w:color="auto" w:fill="auto"/>
          </w:tcPr>
          <w:p w:rsidR="00F30B67" w:rsidRPr="006D3DBC" w:rsidRDefault="00F30B67" w:rsidP="00F30B67">
            <w:pPr>
              <w:pStyle w:val="BMSTableText"/>
              <w:spacing w:line="276" w:lineRule="auto"/>
              <w:rPr>
                <w:lang w:val="en-AU"/>
              </w:rPr>
            </w:pPr>
            <w:r w:rsidRPr="006D3DBC">
              <w:t>223 ( 2.5)</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w:t>
            </w:r>
          </w:p>
        </w:tc>
      </w:tr>
      <w:tr w:rsidR="00F30B67" w:rsidRPr="006D3DBC" w:rsidTr="00F30B67">
        <w:trPr>
          <w:jc w:val="center"/>
        </w:trPr>
        <w:tc>
          <w:tcPr>
            <w:tcW w:w="7988" w:type="dxa"/>
            <w:gridSpan w:val="5"/>
            <w:shd w:val="clear" w:color="auto" w:fill="auto"/>
          </w:tcPr>
          <w:p w:rsidR="00F30B67" w:rsidRPr="006D3DBC" w:rsidRDefault="00F30B67" w:rsidP="00F30B67">
            <w:pPr>
              <w:pStyle w:val="BMSTableText"/>
              <w:spacing w:line="276" w:lineRule="auto"/>
              <w:jc w:val="left"/>
              <w:rPr>
                <w:i/>
                <w:lang w:val="en-AU"/>
              </w:rPr>
            </w:pPr>
            <w:r w:rsidRPr="006D3DBC">
              <w:rPr>
                <w:i/>
              </w:rPr>
              <w:t xml:space="preserve">Respiratory, Thoracic and </w:t>
            </w:r>
            <w:proofErr w:type="spellStart"/>
            <w:r w:rsidRPr="006D3DBC">
              <w:rPr>
                <w:i/>
              </w:rPr>
              <w:t>Mediastinal</w:t>
            </w:r>
            <w:proofErr w:type="spellEnd"/>
            <w:r w:rsidRPr="006D3DBC">
              <w:rPr>
                <w:i/>
              </w:rPr>
              <w:t xml:space="preserve"> Disorders</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rPr>
                <w:lang w:val="en-AU"/>
              </w:rPr>
              <w:t>Dyspnoea</w:t>
            </w:r>
          </w:p>
        </w:tc>
        <w:tc>
          <w:tcPr>
            <w:tcW w:w="1136" w:type="dxa"/>
            <w:shd w:val="clear" w:color="auto" w:fill="auto"/>
          </w:tcPr>
          <w:p w:rsidR="00F30B67" w:rsidRPr="006D3DBC" w:rsidRDefault="00F30B67" w:rsidP="00F30B67">
            <w:pPr>
              <w:pStyle w:val="BMSTableText"/>
              <w:spacing w:line="276" w:lineRule="auto"/>
            </w:pPr>
            <w:r w:rsidRPr="006D3DBC">
              <w:t xml:space="preserve">605 ( 6.7)             </w:t>
            </w:r>
          </w:p>
        </w:tc>
        <w:tc>
          <w:tcPr>
            <w:tcW w:w="1134" w:type="dxa"/>
            <w:shd w:val="clear" w:color="auto" w:fill="auto"/>
          </w:tcPr>
          <w:p w:rsidR="00F30B67" w:rsidRPr="006D3DBC" w:rsidRDefault="00F30B67" w:rsidP="00F30B67">
            <w:pPr>
              <w:pStyle w:val="BMSTableText"/>
              <w:spacing w:line="276" w:lineRule="auto"/>
            </w:pPr>
            <w:r w:rsidRPr="006D3DBC">
              <w:t>649 ( 7.2)</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109 ( 3.9)             </w:t>
            </w:r>
          </w:p>
        </w:tc>
        <w:tc>
          <w:tcPr>
            <w:tcW w:w="1275" w:type="dxa"/>
            <w:shd w:val="clear" w:color="auto" w:fill="auto"/>
          </w:tcPr>
          <w:p w:rsidR="00F30B67" w:rsidRPr="006D3DBC" w:rsidRDefault="00F30B67" w:rsidP="00F30B67">
            <w:pPr>
              <w:pStyle w:val="BMSTableText"/>
              <w:spacing w:line="276" w:lineRule="auto"/>
              <w:rPr>
                <w:lang w:val="en-AU"/>
              </w:rPr>
            </w:pPr>
            <w:r w:rsidRPr="006D3DBC">
              <w:t>141 ( 5.1)</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proofErr w:type="spellStart"/>
            <w:r w:rsidRPr="006D3DBC">
              <w:rPr>
                <w:lang w:val="en-AU"/>
              </w:rPr>
              <w:t>Epistaxis</w:t>
            </w:r>
            <w:proofErr w:type="spellEnd"/>
          </w:p>
        </w:tc>
        <w:tc>
          <w:tcPr>
            <w:tcW w:w="1136" w:type="dxa"/>
            <w:shd w:val="clear" w:color="auto" w:fill="auto"/>
          </w:tcPr>
          <w:p w:rsidR="00F30B67" w:rsidRPr="006D3DBC" w:rsidRDefault="00F30B67" w:rsidP="00F30B67">
            <w:pPr>
              <w:pStyle w:val="BMSTableText"/>
              <w:spacing w:line="276" w:lineRule="auto"/>
            </w:pPr>
            <w:r w:rsidRPr="006D3DBC">
              <w:t xml:space="preserve">560 ( 6.2)             </w:t>
            </w:r>
          </w:p>
        </w:tc>
        <w:tc>
          <w:tcPr>
            <w:tcW w:w="1134" w:type="dxa"/>
            <w:shd w:val="clear" w:color="auto" w:fill="auto"/>
          </w:tcPr>
          <w:p w:rsidR="00F30B67" w:rsidRPr="006D3DBC" w:rsidRDefault="00F30B67" w:rsidP="00F30B67">
            <w:pPr>
              <w:pStyle w:val="BMSTableText"/>
              <w:spacing w:line="276" w:lineRule="auto"/>
            </w:pPr>
            <w:r w:rsidRPr="006D3DBC">
              <w:t>685 ( 7.6)</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54 ( 1.9)              </w:t>
            </w:r>
          </w:p>
        </w:tc>
        <w:tc>
          <w:tcPr>
            <w:tcW w:w="1275" w:type="dxa"/>
            <w:shd w:val="clear" w:color="auto" w:fill="auto"/>
          </w:tcPr>
          <w:p w:rsidR="00F30B67" w:rsidRPr="006D3DBC" w:rsidRDefault="00F30B67" w:rsidP="00F30B67">
            <w:pPr>
              <w:pStyle w:val="BMSTableText"/>
              <w:spacing w:line="276" w:lineRule="auto"/>
              <w:rPr>
                <w:lang w:val="en-AU"/>
              </w:rPr>
            </w:pPr>
            <w:r w:rsidRPr="006D3DBC">
              <w:t>52 ( 1.9)</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rPr>
                <w:lang w:val="en-AU"/>
              </w:rPr>
              <w:t>Cough</w:t>
            </w:r>
          </w:p>
        </w:tc>
        <w:tc>
          <w:tcPr>
            <w:tcW w:w="1136" w:type="dxa"/>
            <w:shd w:val="clear" w:color="auto" w:fill="auto"/>
          </w:tcPr>
          <w:p w:rsidR="00F30B67" w:rsidRPr="006D3DBC" w:rsidRDefault="00F30B67" w:rsidP="00F30B67">
            <w:pPr>
              <w:pStyle w:val="BMSTableText"/>
              <w:spacing w:line="276" w:lineRule="auto"/>
            </w:pPr>
            <w:r w:rsidRPr="006D3DBC">
              <w:t xml:space="preserve">495 ( 5.4)             </w:t>
            </w:r>
          </w:p>
        </w:tc>
        <w:tc>
          <w:tcPr>
            <w:tcW w:w="1134" w:type="dxa"/>
            <w:shd w:val="clear" w:color="auto" w:fill="auto"/>
          </w:tcPr>
          <w:p w:rsidR="00F30B67" w:rsidRPr="006D3DBC" w:rsidRDefault="00F30B67" w:rsidP="00F30B67">
            <w:pPr>
              <w:pStyle w:val="BMSTableText"/>
              <w:spacing w:line="276" w:lineRule="auto"/>
            </w:pPr>
            <w:r w:rsidRPr="006D3DBC">
              <w:t>505 ( 5.6)</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85 ( 3.0)              </w:t>
            </w:r>
          </w:p>
        </w:tc>
        <w:tc>
          <w:tcPr>
            <w:tcW w:w="1275" w:type="dxa"/>
            <w:shd w:val="clear" w:color="auto" w:fill="auto"/>
          </w:tcPr>
          <w:p w:rsidR="00F30B67" w:rsidRPr="006D3DBC" w:rsidRDefault="00F30B67" w:rsidP="00F30B67">
            <w:pPr>
              <w:pStyle w:val="BMSTableText"/>
              <w:spacing w:line="276" w:lineRule="auto"/>
              <w:rPr>
                <w:lang w:val="en-AU"/>
              </w:rPr>
            </w:pPr>
            <w:r w:rsidRPr="006D3DBC">
              <w:t>97 ( 3.5)</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Chronic obstructive pulmonary disease                                              </w:t>
            </w:r>
          </w:p>
        </w:tc>
        <w:tc>
          <w:tcPr>
            <w:tcW w:w="1136" w:type="dxa"/>
            <w:shd w:val="clear" w:color="auto" w:fill="auto"/>
          </w:tcPr>
          <w:p w:rsidR="00F30B67" w:rsidRPr="006D3DBC" w:rsidRDefault="00F30B67" w:rsidP="00F30B67">
            <w:pPr>
              <w:pStyle w:val="BMSTableText"/>
              <w:spacing w:line="276" w:lineRule="auto"/>
            </w:pPr>
            <w:r w:rsidRPr="006D3DBC">
              <w:t>145 ( 1.6)</w:t>
            </w:r>
          </w:p>
        </w:tc>
        <w:tc>
          <w:tcPr>
            <w:tcW w:w="1134" w:type="dxa"/>
            <w:shd w:val="clear" w:color="auto" w:fill="auto"/>
          </w:tcPr>
          <w:p w:rsidR="00F30B67" w:rsidRPr="006D3DBC" w:rsidRDefault="00F30B67" w:rsidP="00F30B67">
            <w:pPr>
              <w:pStyle w:val="BMSTableText"/>
              <w:spacing w:line="276" w:lineRule="auto"/>
            </w:pPr>
            <w:r w:rsidRPr="006D3DBC">
              <w:t>140 ( 1.5)</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proofErr w:type="spellStart"/>
            <w:r w:rsidRPr="006D3DBC">
              <w:t>Dyspnoea</w:t>
            </w:r>
            <w:proofErr w:type="spellEnd"/>
            <w:r w:rsidRPr="006D3DBC">
              <w:t xml:space="preserve"> </w:t>
            </w:r>
            <w:proofErr w:type="spellStart"/>
            <w:r w:rsidRPr="006D3DBC">
              <w:t>exertional</w:t>
            </w:r>
            <w:proofErr w:type="spellEnd"/>
            <w:r w:rsidRPr="006D3DBC">
              <w:t xml:space="preserve">                                                                </w:t>
            </w:r>
          </w:p>
        </w:tc>
        <w:tc>
          <w:tcPr>
            <w:tcW w:w="1136" w:type="dxa"/>
            <w:shd w:val="clear" w:color="auto" w:fill="auto"/>
          </w:tcPr>
          <w:p w:rsidR="00F30B67" w:rsidRPr="006D3DBC" w:rsidRDefault="00F30B67" w:rsidP="00F30B67">
            <w:pPr>
              <w:pStyle w:val="BMSTableText"/>
              <w:spacing w:line="276" w:lineRule="auto"/>
            </w:pPr>
            <w:r w:rsidRPr="006D3DBC">
              <w:t>104 ( 1.1)</w:t>
            </w:r>
          </w:p>
        </w:tc>
        <w:tc>
          <w:tcPr>
            <w:tcW w:w="1134" w:type="dxa"/>
            <w:shd w:val="clear" w:color="auto" w:fill="auto"/>
          </w:tcPr>
          <w:p w:rsidR="00F30B67" w:rsidRPr="006D3DBC" w:rsidRDefault="00F30B67" w:rsidP="00F30B67">
            <w:pPr>
              <w:pStyle w:val="BMSTableText"/>
              <w:spacing w:line="276" w:lineRule="auto"/>
            </w:pPr>
            <w:r w:rsidRPr="006D3DBC">
              <w:t>103 ( 1.1)</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proofErr w:type="spellStart"/>
            <w:r w:rsidRPr="006D3DBC">
              <w:t>Haemoptysis</w:t>
            </w:r>
            <w:proofErr w:type="spellEnd"/>
            <w:r w:rsidRPr="006D3DBC">
              <w:t xml:space="preserve">                                                                         </w:t>
            </w:r>
          </w:p>
        </w:tc>
        <w:tc>
          <w:tcPr>
            <w:tcW w:w="1136" w:type="dxa"/>
            <w:shd w:val="clear" w:color="auto" w:fill="auto"/>
          </w:tcPr>
          <w:p w:rsidR="00F30B67" w:rsidRPr="006D3DBC" w:rsidRDefault="00F30B67" w:rsidP="00F30B67">
            <w:pPr>
              <w:pStyle w:val="BMSTableText"/>
              <w:spacing w:line="276" w:lineRule="auto"/>
            </w:pPr>
            <w:r w:rsidRPr="006D3DBC">
              <w:t>85 ( 0.9)</w:t>
            </w:r>
          </w:p>
        </w:tc>
        <w:tc>
          <w:tcPr>
            <w:tcW w:w="1134" w:type="dxa"/>
            <w:shd w:val="clear" w:color="auto" w:fill="auto"/>
          </w:tcPr>
          <w:p w:rsidR="00F30B67" w:rsidRPr="006D3DBC" w:rsidRDefault="00F30B67" w:rsidP="00F30B67">
            <w:pPr>
              <w:pStyle w:val="BMSTableText"/>
              <w:spacing w:line="276" w:lineRule="auto"/>
            </w:pPr>
            <w:r w:rsidRPr="006D3DBC">
              <w:t>119 ( 1.3)</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w:t>
            </w:r>
          </w:p>
        </w:tc>
      </w:tr>
      <w:tr w:rsidR="00F30B67" w:rsidRPr="006D3DBC" w:rsidTr="00F30B67">
        <w:trPr>
          <w:jc w:val="center"/>
        </w:trPr>
        <w:tc>
          <w:tcPr>
            <w:tcW w:w="7988" w:type="dxa"/>
            <w:gridSpan w:val="5"/>
            <w:shd w:val="clear" w:color="auto" w:fill="auto"/>
          </w:tcPr>
          <w:p w:rsidR="00F30B67" w:rsidRPr="006D3DBC" w:rsidRDefault="00F30B67" w:rsidP="00F30B67">
            <w:pPr>
              <w:pStyle w:val="BMSTableText"/>
              <w:spacing w:line="276" w:lineRule="auto"/>
              <w:jc w:val="left"/>
              <w:rPr>
                <w:i/>
                <w:lang w:val="en-AU"/>
              </w:rPr>
            </w:pPr>
            <w:r w:rsidRPr="006D3DBC">
              <w:rPr>
                <w:i/>
              </w:rPr>
              <w:t>Cardiac Disorders</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proofErr w:type="spellStart"/>
            <w:r w:rsidRPr="006D3DBC">
              <w:t>Atrial</w:t>
            </w:r>
            <w:proofErr w:type="spellEnd"/>
            <w:r w:rsidRPr="006D3DBC">
              <w:t xml:space="preserve"> fibrillation                                                                </w:t>
            </w:r>
          </w:p>
        </w:tc>
        <w:tc>
          <w:tcPr>
            <w:tcW w:w="1136" w:type="dxa"/>
            <w:shd w:val="clear" w:color="auto" w:fill="auto"/>
          </w:tcPr>
          <w:p w:rsidR="00F30B67" w:rsidRPr="006D3DBC" w:rsidRDefault="00F30B67" w:rsidP="00F30B67">
            <w:pPr>
              <w:pStyle w:val="BMSTableText"/>
              <w:spacing w:line="276" w:lineRule="auto"/>
            </w:pPr>
            <w:r w:rsidRPr="006D3DBC">
              <w:t>496 ( 5.5)</w:t>
            </w:r>
          </w:p>
        </w:tc>
        <w:tc>
          <w:tcPr>
            <w:tcW w:w="1134" w:type="dxa"/>
            <w:shd w:val="clear" w:color="auto" w:fill="auto"/>
          </w:tcPr>
          <w:p w:rsidR="00F30B67" w:rsidRPr="006D3DBC" w:rsidRDefault="00F30B67" w:rsidP="00F30B67">
            <w:pPr>
              <w:pStyle w:val="BMSTableText"/>
              <w:spacing w:line="276" w:lineRule="auto"/>
            </w:pPr>
            <w:r w:rsidRPr="006D3DBC">
              <w:t>473 ( 5.2)</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131 ( 4.7)             </w:t>
            </w:r>
          </w:p>
        </w:tc>
        <w:tc>
          <w:tcPr>
            <w:tcW w:w="1275" w:type="dxa"/>
            <w:shd w:val="clear" w:color="auto" w:fill="auto"/>
          </w:tcPr>
          <w:p w:rsidR="00F30B67" w:rsidRPr="006D3DBC" w:rsidRDefault="00F30B67" w:rsidP="00F30B67">
            <w:pPr>
              <w:pStyle w:val="BMSTableText"/>
              <w:spacing w:line="276" w:lineRule="auto"/>
              <w:rPr>
                <w:lang w:val="en-AU"/>
              </w:rPr>
            </w:pPr>
            <w:r w:rsidRPr="006D3DBC">
              <w:t>128 ( 4.6)</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Cardiac failure                                                                    </w:t>
            </w:r>
          </w:p>
        </w:tc>
        <w:tc>
          <w:tcPr>
            <w:tcW w:w="1136" w:type="dxa"/>
            <w:shd w:val="clear" w:color="auto" w:fill="auto"/>
          </w:tcPr>
          <w:p w:rsidR="00F30B67" w:rsidRPr="006D3DBC" w:rsidRDefault="00F30B67" w:rsidP="00F30B67">
            <w:pPr>
              <w:pStyle w:val="BMSTableText"/>
              <w:spacing w:line="276" w:lineRule="auto"/>
            </w:pPr>
            <w:r w:rsidRPr="006D3DBC">
              <w:t>481 ( 5.3)</w:t>
            </w:r>
          </w:p>
        </w:tc>
        <w:tc>
          <w:tcPr>
            <w:tcW w:w="1134" w:type="dxa"/>
            <w:shd w:val="clear" w:color="auto" w:fill="auto"/>
          </w:tcPr>
          <w:p w:rsidR="00F30B67" w:rsidRPr="006D3DBC" w:rsidRDefault="00F30B67" w:rsidP="00F30B67">
            <w:pPr>
              <w:pStyle w:val="BMSTableText"/>
              <w:spacing w:line="276" w:lineRule="auto"/>
            </w:pPr>
            <w:r w:rsidRPr="006D3DBC">
              <w:t>453 ( 5.0)</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89 ( 3.2)             </w:t>
            </w:r>
          </w:p>
        </w:tc>
        <w:tc>
          <w:tcPr>
            <w:tcW w:w="1275" w:type="dxa"/>
            <w:shd w:val="clear" w:color="auto" w:fill="auto"/>
          </w:tcPr>
          <w:p w:rsidR="00F30B67" w:rsidRPr="006D3DBC" w:rsidRDefault="00F30B67" w:rsidP="00F30B67">
            <w:pPr>
              <w:pStyle w:val="BMSTableText"/>
              <w:spacing w:line="276" w:lineRule="auto"/>
              <w:rPr>
                <w:lang w:val="en-AU"/>
              </w:rPr>
            </w:pPr>
            <w:r w:rsidRPr="006D3DBC">
              <w:t>112 ( 4.0)</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Cardiac failure congestive                                                         </w:t>
            </w:r>
          </w:p>
        </w:tc>
        <w:tc>
          <w:tcPr>
            <w:tcW w:w="1136" w:type="dxa"/>
            <w:shd w:val="clear" w:color="auto" w:fill="auto"/>
          </w:tcPr>
          <w:p w:rsidR="00F30B67" w:rsidRPr="006D3DBC" w:rsidRDefault="00F30B67" w:rsidP="00F30B67">
            <w:pPr>
              <w:pStyle w:val="BMSTableText"/>
              <w:spacing w:line="276" w:lineRule="auto"/>
            </w:pPr>
            <w:r w:rsidRPr="006D3DBC">
              <w:t>233 ( 2.6)</w:t>
            </w:r>
          </w:p>
        </w:tc>
        <w:tc>
          <w:tcPr>
            <w:tcW w:w="1134" w:type="dxa"/>
            <w:shd w:val="clear" w:color="auto" w:fill="auto"/>
          </w:tcPr>
          <w:p w:rsidR="00F30B67" w:rsidRPr="006D3DBC" w:rsidRDefault="00F30B67" w:rsidP="00F30B67">
            <w:pPr>
              <w:pStyle w:val="BMSTableText"/>
              <w:spacing w:line="276" w:lineRule="auto"/>
            </w:pPr>
            <w:r w:rsidRPr="006D3DBC">
              <w:t>245 ( 2.7)</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57 ( 2.0)              </w:t>
            </w:r>
          </w:p>
        </w:tc>
        <w:tc>
          <w:tcPr>
            <w:tcW w:w="1275" w:type="dxa"/>
            <w:shd w:val="clear" w:color="auto" w:fill="auto"/>
          </w:tcPr>
          <w:p w:rsidR="00F30B67" w:rsidRPr="006D3DBC" w:rsidRDefault="00F30B67" w:rsidP="00F30B67">
            <w:pPr>
              <w:pStyle w:val="BMSTableText"/>
              <w:spacing w:line="276" w:lineRule="auto"/>
              <w:rPr>
                <w:lang w:val="en-AU"/>
              </w:rPr>
            </w:pPr>
            <w:r w:rsidRPr="006D3DBC">
              <w:t>41 ( 1.5)</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lastRenderedPageBreak/>
              <w:t xml:space="preserve">Palpitations                                                          </w:t>
            </w:r>
          </w:p>
        </w:tc>
        <w:tc>
          <w:tcPr>
            <w:tcW w:w="1136" w:type="dxa"/>
            <w:shd w:val="clear" w:color="auto" w:fill="auto"/>
          </w:tcPr>
          <w:p w:rsidR="00F30B67" w:rsidRPr="006D3DBC" w:rsidRDefault="00F30B67" w:rsidP="00F30B67">
            <w:pPr>
              <w:pStyle w:val="BMSTableText"/>
              <w:spacing w:line="276" w:lineRule="auto"/>
            </w:pPr>
            <w:r w:rsidRPr="006D3DBC">
              <w:t>198 ( 2.2)</w:t>
            </w:r>
          </w:p>
        </w:tc>
        <w:tc>
          <w:tcPr>
            <w:tcW w:w="1134" w:type="dxa"/>
            <w:shd w:val="clear" w:color="auto" w:fill="auto"/>
          </w:tcPr>
          <w:p w:rsidR="00F30B67" w:rsidRPr="006D3DBC" w:rsidRDefault="00F30B67" w:rsidP="00F30B67">
            <w:pPr>
              <w:pStyle w:val="BMSTableText"/>
              <w:spacing w:line="276" w:lineRule="auto"/>
            </w:pPr>
            <w:r w:rsidRPr="006D3DBC">
              <w:t>196 ( 2.2)</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56 ( 2.0)              </w:t>
            </w:r>
          </w:p>
        </w:tc>
        <w:tc>
          <w:tcPr>
            <w:tcW w:w="1275" w:type="dxa"/>
            <w:shd w:val="clear" w:color="auto" w:fill="auto"/>
          </w:tcPr>
          <w:p w:rsidR="00F30B67" w:rsidRPr="006D3DBC" w:rsidRDefault="00F30B67" w:rsidP="00F30B67">
            <w:pPr>
              <w:pStyle w:val="BMSTableText"/>
              <w:spacing w:line="276" w:lineRule="auto"/>
              <w:rPr>
                <w:lang w:val="en-AU"/>
              </w:rPr>
            </w:pPr>
            <w:r w:rsidRPr="006D3DBC">
              <w:t>60 ( 2.2)</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Angina pectoris                                                                    </w:t>
            </w:r>
          </w:p>
        </w:tc>
        <w:tc>
          <w:tcPr>
            <w:tcW w:w="1136" w:type="dxa"/>
            <w:shd w:val="clear" w:color="auto" w:fill="auto"/>
          </w:tcPr>
          <w:p w:rsidR="00F30B67" w:rsidRPr="006D3DBC" w:rsidRDefault="00F30B67" w:rsidP="00F30B67">
            <w:pPr>
              <w:pStyle w:val="BMSTableText"/>
              <w:spacing w:line="276" w:lineRule="auto"/>
            </w:pPr>
            <w:r w:rsidRPr="006D3DBC">
              <w:t>145 ( 1.6)</w:t>
            </w:r>
          </w:p>
        </w:tc>
        <w:tc>
          <w:tcPr>
            <w:tcW w:w="1134" w:type="dxa"/>
            <w:shd w:val="clear" w:color="auto" w:fill="auto"/>
          </w:tcPr>
          <w:p w:rsidR="00F30B67" w:rsidRPr="006D3DBC" w:rsidRDefault="00F30B67" w:rsidP="00F30B67">
            <w:pPr>
              <w:pStyle w:val="BMSTableText"/>
              <w:spacing w:line="276" w:lineRule="auto"/>
            </w:pPr>
            <w:r w:rsidRPr="006D3DBC">
              <w:t>133 ( 1.5)</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31 ( 1.1)              </w:t>
            </w:r>
          </w:p>
        </w:tc>
        <w:tc>
          <w:tcPr>
            <w:tcW w:w="1275" w:type="dxa"/>
            <w:shd w:val="clear" w:color="auto" w:fill="auto"/>
          </w:tcPr>
          <w:p w:rsidR="00F30B67" w:rsidRPr="006D3DBC" w:rsidRDefault="00F30B67" w:rsidP="00F30B67">
            <w:pPr>
              <w:pStyle w:val="BMSTableText"/>
              <w:spacing w:line="276" w:lineRule="auto"/>
              <w:rPr>
                <w:lang w:val="en-AU"/>
              </w:rPr>
            </w:pPr>
            <w:r w:rsidRPr="006D3DBC">
              <w:t>33 ( 1.2)</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proofErr w:type="spellStart"/>
            <w:r w:rsidRPr="006D3DBC">
              <w:t>Bradycardia</w:t>
            </w:r>
            <w:proofErr w:type="spellEnd"/>
            <w:r w:rsidRPr="006D3DBC">
              <w:t xml:space="preserve">                                                                        </w:t>
            </w:r>
          </w:p>
        </w:tc>
        <w:tc>
          <w:tcPr>
            <w:tcW w:w="1136" w:type="dxa"/>
            <w:shd w:val="clear" w:color="auto" w:fill="auto"/>
          </w:tcPr>
          <w:p w:rsidR="00F30B67" w:rsidRPr="006D3DBC" w:rsidRDefault="00F30B67" w:rsidP="00F30B67">
            <w:pPr>
              <w:pStyle w:val="BMSTableText"/>
              <w:spacing w:line="276" w:lineRule="auto"/>
            </w:pPr>
            <w:r w:rsidRPr="006D3DBC">
              <w:t>132 ( 1.5)</w:t>
            </w:r>
          </w:p>
        </w:tc>
        <w:tc>
          <w:tcPr>
            <w:tcW w:w="1134" w:type="dxa"/>
            <w:shd w:val="clear" w:color="auto" w:fill="auto"/>
          </w:tcPr>
          <w:p w:rsidR="00F30B67" w:rsidRPr="006D3DBC" w:rsidRDefault="00F30B67" w:rsidP="00F30B67">
            <w:pPr>
              <w:pStyle w:val="BMSTableText"/>
              <w:spacing w:line="276" w:lineRule="auto"/>
            </w:pPr>
            <w:r w:rsidRPr="006D3DBC">
              <w:t>125 ( 1.4)</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Angina unstable                                                                     </w:t>
            </w:r>
          </w:p>
        </w:tc>
        <w:tc>
          <w:tcPr>
            <w:tcW w:w="1136" w:type="dxa"/>
            <w:shd w:val="clear" w:color="auto" w:fill="auto"/>
          </w:tcPr>
          <w:p w:rsidR="00F30B67" w:rsidRPr="006D3DBC" w:rsidRDefault="00F30B67" w:rsidP="00F30B67">
            <w:pPr>
              <w:pStyle w:val="BMSTableText"/>
              <w:spacing w:line="276" w:lineRule="auto"/>
            </w:pPr>
            <w:r w:rsidRPr="006D3DBC">
              <w:t>127 ( 1.4)</w:t>
            </w:r>
          </w:p>
        </w:tc>
        <w:tc>
          <w:tcPr>
            <w:tcW w:w="1134" w:type="dxa"/>
            <w:shd w:val="clear" w:color="auto" w:fill="auto"/>
          </w:tcPr>
          <w:p w:rsidR="00F30B67" w:rsidRPr="006D3DBC" w:rsidRDefault="00F30B67" w:rsidP="00F30B67">
            <w:pPr>
              <w:pStyle w:val="BMSTableText"/>
              <w:spacing w:line="276" w:lineRule="auto"/>
            </w:pPr>
            <w:r w:rsidRPr="006D3DBC">
              <w:t>98 ( 1.1)</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Tachycardia                                                                          </w:t>
            </w:r>
          </w:p>
        </w:tc>
        <w:tc>
          <w:tcPr>
            <w:tcW w:w="1136" w:type="dxa"/>
            <w:shd w:val="clear" w:color="auto" w:fill="auto"/>
          </w:tcPr>
          <w:p w:rsidR="00F30B67" w:rsidRPr="006D3DBC" w:rsidRDefault="00F30B67" w:rsidP="00F30B67">
            <w:pPr>
              <w:pStyle w:val="BMSTableText"/>
              <w:spacing w:line="276" w:lineRule="auto"/>
            </w:pPr>
            <w:r w:rsidRPr="006D3DBC">
              <w:t>99 ( 1.1)</w:t>
            </w:r>
          </w:p>
        </w:tc>
        <w:tc>
          <w:tcPr>
            <w:tcW w:w="1134" w:type="dxa"/>
            <w:shd w:val="clear" w:color="auto" w:fill="auto"/>
          </w:tcPr>
          <w:p w:rsidR="00F30B67" w:rsidRPr="006D3DBC" w:rsidRDefault="00F30B67" w:rsidP="00F30B67">
            <w:pPr>
              <w:pStyle w:val="BMSTableText"/>
              <w:spacing w:line="276" w:lineRule="auto"/>
            </w:pPr>
            <w:r w:rsidRPr="006D3DBC">
              <w:t>83 ( 0.9)</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w:t>
            </w:r>
          </w:p>
        </w:tc>
      </w:tr>
      <w:tr w:rsidR="00F30B67" w:rsidRPr="006D3DBC" w:rsidTr="00F30B67">
        <w:trPr>
          <w:jc w:val="center"/>
        </w:trPr>
        <w:tc>
          <w:tcPr>
            <w:tcW w:w="7988" w:type="dxa"/>
            <w:gridSpan w:val="5"/>
            <w:shd w:val="clear" w:color="auto" w:fill="auto"/>
          </w:tcPr>
          <w:p w:rsidR="00F30B67" w:rsidRPr="006D3DBC" w:rsidRDefault="00F30B67" w:rsidP="00F30B67">
            <w:pPr>
              <w:pStyle w:val="BMSTableText"/>
              <w:spacing w:line="276" w:lineRule="auto"/>
              <w:jc w:val="left"/>
              <w:rPr>
                <w:i/>
                <w:lang w:val="en-AU"/>
              </w:rPr>
            </w:pPr>
            <w:r w:rsidRPr="006D3DBC">
              <w:rPr>
                <w:i/>
              </w:rPr>
              <w:t>Musculoskeletal and Connective Tissue Disorders</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proofErr w:type="spellStart"/>
            <w:r w:rsidRPr="006D3DBC">
              <w:rPr>
                <w:lang w:val="en-AU"/>
              </w:rPr>
              <w:t>Arthralgia</w:t>
            </w:r>
            <w:proofErr w:type="spellEnd"/>
          </w:p>
        </w:tc>
        <w:tc>
          <w:tcPr>
            <w:tcW w:w="1136" w:type="dxa"/>
            <w:shd w:val="clear" w:color="auto" w:fill="auto"/>
          </w:tcPr>
          <w:p w:rsidR="00F30B67" w:rsidRPr="006D3DBC" w:rsidRDefault="00F30B67" w:rsidP="00F30B67">
            <w:pPr>
              <w:pStyle w:val="BMSTableText"/>
              <w:spacing w:line="276" w:lineRule="auto"/>
              <w:rPr>
                <w:lang w:val="en-AU"/>
              </w:rPr>
            </w:pPr>
            <w:r w:rsidRPr="006D3DBC">
              <w:t xml:space="preserve">447 ( 4.9)             </w:t>
            </w:r>
          </w:p>
        </w:tc>
        <w:tc>
          <w:tcPr>
            <w:tcW w:w="1134" w:type="dxa"/>
            <w:shd w:val="clear" w:color="auto" w:fill="auto"/>
          </w:tcPr>
          <w:p w:rsidR="00F30B67" w:rsidRPr="006D3DBC" w:rsidRDefault="00F30B67" w:rsidP="00F30B67">
            <w:pPr>
              <w:pStyle w:val="BMSTableText"/>
              <w:spacing w:line="276" w:lineRule="auto"/>
              <w:rPr>
                <w:lang w:val="en-AU"/>
              </w:rPr>
            </w:pPr>
            <w:r w:rsidRPr="006D3DBC">
              <w:t>463 ( 5.1)</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69 ( 2.5)              </w:t>
            </w:r>
          </w:p>
        </w:tc>
        <w:tc>
          <w:tcPr>
            <w:tcW w:w="1275" w:type="dxa"/>
            <w:shd w:val="clear" w:color="auto" w:fill="auto"/>
          </w:tcPr>
          <w:p w:rsidR="00F30B67" w:rsidRPr="006D3DBC" w:rsidRDefault="00F30B67" w:rsidP="00F30B67">
            <w:pPr>
              <w:pStyle w:val="BMSTableText"/>
              <w:spacing w:line="276" w:lineRule="auto"/>
              <w:rPr>
                <w:lang w:val="en-AU"/>
              </w:rPr>
            </w:pPr>
            <w:r w:rsidRPr="006D3DBC">
              <w:t>68 ( 2.4)</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rPr>
                <w:lang w:val="en-AU"/>
              </w:rPr>
              <w:t>Back pain</w:t>
            </w:r>
          </w:p>
        </w:tc>
        <w:tc>
          <w:tcPr>
            <w:tcW w:w="1136" w:type="dxa"/>
            <w:shd w:val="clear" w:color="auto" w:fill="auto"/>
          </w:tcPr>
          <w:p w:rsidR="00F30B67" w:rsidRPr="006D3DBC" w:rsidRDefault="00F30B67" w:rsidP="00F30B67">
            <w:pPr>
              <w:pStyle w:val="BMSTableText"/>
              <w:spacing w:line="276" w:lineRule="auto"/>
              <w:rPr>
                <w:lang w:val="en-AU"/>
              </w:rPr>
            </w:pPr>
            <w:r w:rsidRPr="006D3DBC">
              <w:t xml:space="preserve">433 ( 4.8)             </w:t>
            </w:r>
          </w:p>
        </w:tc>
        <w:tc>
          <w:tcPr>
            <w:tcW w:w="1134" w:type="dxa"/>
            <w:shd w:val="clear" w:color="auto" w:fill="auto"/>
          </w:tcPr>
          <w:p w:rsidR="00F30B67" w:rsidRPr="006D3DBC" w:rsidRDefault="00F30B67" w:rsidP="00F30B67">
            <w:pPr>
              <w:pStyle w:val="BMSTableText"/>
              <w:spacing w:line="276" w:lineRule="auto"/>
              <w:rPr>
                <w:lang w:val="en-AU"/>
              </w:rPr>
            </w:pPr>
            <w:r w:rsidRPr="006D3DBC">
              <w:t>506 ( 5.6)</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70 ( 2.5)              </w:t>
            </w:r>
          </w:p>
        </w:tc>
        <w:tc>
          <w:tcPr>
            <w:tcW w:w="1275" w:type="dxa"/>
            <w:shd w:val="clear" w:color="auto" w:fill="auto"/>
          </w:tcPr>
          <w:p w:rsidR="00F30B67" w:rsidRPr="006D3DBC" w:rsidRDefault="00F30B67" w:rsidP="00F30B67">
            <w:pPr>
              <w:pStyle w:val="BMSTableText"/>
              <w:spacing w:line="276" w:lineRule="auto"/>
              <w:rPr>
                <w:lang w:val="en-AU"/>
              </w:rPr>
            </w:pPr>
            <w:r w:rsidRPr="006D3DBC">
              <w:t>64 ( 2.3)</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rPr>
                <w:lang w:val="en-AU"/>
              </w:rPr>
              <w:t>Pain in extremity</w:t>
            </w:r>
          </w:p>
        </w:tc>
        <w:tc>
          <w:tcPr>
            <w:tcW w:w="1136" w:type="dxa"/>
            <w:shd w:val="clear" w:color="auto" w:fill="auto"/>
          </w:tcPr>
          <w:p w:rsidR="00F30B67" w:rsidRPr="006D3DBC" w:rsidRDefault="00F30B67" w:rsidP="00F30B67">
            <w:pPr>
              <w:pStyle w:val="BMSTableText"/>
              <w:spacing w:line="276" w:lineRule="auto"/>
              <w:rPr>
                <w:lang w:val="en-AU"/>
              </w:rPr>
            </w:pPr>
            <w:r w:rsidRPr="006D3DBC">
              <w:t xml:space="preserve">320 ( 3.5)             </w:t>
            </w:r>
          </w:p>
        </w:tc>
        <w:tc>
          <w:tcPr>
            <w:tcW w:w="1134" w:type="dxa"/>
            <w:shd w:val="clear" w:color="auto" w:fill="auto"/>
          </w:tcPr>
          <w:p w:rsidR="00F30B67" w:rsidRPr="006D3DBC" w:rsidRDefault="00F30B67" w:rsidP="00F30B67">
            <w:pPr>
              <w:pStyle w:val="BMSTableText"/>
              <w:spacing w:line="276" w:lineRule="auto"/>
              <w:rPr>
                <w:lang w:val="en-AU"/>
              </w:rPr>
            </w:pPr>
            <w:r w:rsidRPr="006D3DBC">
              <w:t>325 ( 3.6)</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40 ( 1.4)              </w:t>
            </w:r>
          </w:p>
        </w:tc>
        <w:tc>
          <w:tcPr>
            <w:tcW w:w="1275" w:type="dxa"/>
            <w:shd w:val="clear" w:color="auto" w:fill="auto"/>
          </w:tcPr>
          <w:p w:rsidR="00F30B67" w:rsidRPr="006D3DBC" w:rsidRDefault="00F30B67" w:rsidP="00F30B67">
            <w:pPr>
              <w:pStyle w:val="BMSTableText"/>
              <w:spacing w:line="276" w:lineRule="auto"/>
              <w:rPr>
                <w:lang w:val="en-AU"/>
              </w:rPr>
            </w:pPr>
            <w:r w:rsidRPr="006D3DBC">
              <w:t>47 ( 1.7)</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rPr>
                <w:lang w:val="en-AU"/>
              </w:rPr>
              <w:t>Osteoarthritis</w:t>
            </w:r>
          </w:p>
        </w:tc>
        <w:tc>
          <w:tcPr>
            <w:tcW w:w="1136" w:type="dxa"/>
            <w:shd w:val="clear" w:color="auto" w:fill="auto"/>
          </w:tcPr>
          <w:p w:rsidR="00F30B67" w:rsidRPr="006D3DBC" w:rsidRDefault="00F30B67" w:rsidP="00F30B67">
            <w:pPr>
              <w:pStyle w:val="BMSTableText"/>
              <w:spacing w:line="276" w:lineRule="auto"/>
              <w:rPr>
                <w:lang w:val="en-AU"/>
              </w:rPr>
            </w:pPr>
            <w:r w:rsidRPr="006D3DBC">
              <w:t xml:space="preserve">235 ( 2.6)             </w:t>
            </w:r>
          </w:p>
        </w:tc>
        <w:tc>
          <w:tcPr>
            <w:tcW w:w="1134" w:type="dxa"/>
            <w:shd w:val="clear" w:color="auto" w:fill="auto"/>
          </w:tcPr>
          <w:p w:rsidR="00F30B67" w:rsidRPr="006D3DBC" w:rsidRDefault="00F30B67" w:rsidP="00F30B67">
            <w:pPr>
              <w:pStyle w:val="BMSTableText"/>
              <w:spacing w:line="276" w:lineRule="auto"/>
              <w:rPr>
                <w:lang w:val="en-AU"/>
              </w:rPr>
            </w:pPr>
            <w:r w:rsidRPr="006D3DBC">
              <w:t>227 ( 2.5)</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35 ( 1.3)              </w:t>
            </w:r>
          </w:p>
        </w:tc>
        <w:tc>
          <w:tcPr>
            <w:tcW w:w="1275" w:type="dxa"/>
            <w:shd w:val="clear" w:color="auto" w:fill="auto"/>
          </w:tcPr>
          <w:p w:rsidR="00F30B67" w:rsidRPr="006D3DBC" w:rsidRDefault="00F30B67" w:rsidP="00F30B67">
            <w:pPr>
              <w:pStyle w:val="BMSTableText"/>
              <w:spacing w:line="276" w:lineRule="auto"/>
              <w:rPr>
                <w:lang w:val="en-AU"/>
              </w:rPr>
            </w:pPr>
            <w:r w:rsidRPr="006D3DBC">
              <w:t>24 ( 0.9)</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rPr>
                <w:lang w:val="en-AU"/>
              </w:rPr>
              <w:t>Muscle spasms</w:t>
            </w:r>
          </w:p>
        </w:tc>
        <w:tc>
          <w:tcPr>
            <w:tcW w:w="1136" w:type="dxa"/>
            <w:shd w:val="clear" w:color="auto" w:fill="auto"/>
          </w:tcPr>
          <w:p w:rsidR="00F30B67" w:rsidRPr="006D3DBC" w:rsidRDefault="00F30B67" w:rsidP="00F30B67">
            <w:pPr>
              <w:pStyle w:val="BMSTableText"/>
              <w:spacing w:line="276" w:lineRule="auto"/>
              <w:rPr>
                <w:lang w:val="en-AU"/>
              </w:rPr>
            </w:pPr>
            <w:r w:rsidRPr="006D3DBC">
              <w:t xml:space="preserve">171 ( 1.9)             </w:t>
            </w:r>
          </w:p>
        </w:tc>
        <w:tc>
          <w:tcPr>
            <w:tcW w:w="1134" w:type="dxa"/>
            <w:shd w:val="clear" w:color="auto" w:fill="auto"/>
          </w:tcPr>
          <w:p w:rsidR="00F30B67" w:rsidRPr="006D3DBC" w:rsidRDefault="00F30B67" w:rsidP="00F30B67">
            <w:pPr>
              <w:pStyle w:val="BMSTableText"/>
              <w:spacing w:line="276" w:lineRule="auto"/>
              <w:rPr>
                <w:lang w:val="en-AU"/>
              </w:rPr>
            </w:pPr>
            <w:r w:rsidRPr="006D3DBC">
              <w:t>151 ( 1.7)</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12 ( 0.4)              </w:t>
            </w:r>
          </w:p>
        </w:tc>
        <w:tc>
          <w:tcPr>
            <w:tcW w:w="1275" w:type="dxa"/>
            <w:shd w:val="clear" w:color="auto" w:fill="auto"/>
          </w:tcPr>
          <w:p w:rsidR="00F30B67" w:rsidRPr="006D3DBC" w:rsidRDefault="00F30B67" w:rsidP="00F30B67">
            <w:pPr>
              <w:pStyle w:val="BMSTableText"/>
              <w:spacing w:line="276" w:lineRule="auto"/>
              <w:rPr>
                <w:lang w:val="en-AU"/>
              </w:rPr>
            </w:pPr>
            <w:r w:rsidRPr="006D3DBC">
              <w:t>30 ( 1.1)</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rPr>
                <w:lang w:val="en-AU"/>
              </w:rPr>
              <w:t>Musculoskeletal pain</w:t>
            </w:r>
          </w:p>
        </w:tc>
        <w:tc>
          <w:tcPr>
            <w:tcW w:w="1136" w:type="dxa"/>
            <w:shd w:val="clear" w:color="auto" w:fill="auto"/>
          </w:tcPr>
          <w:p w:rsidR="00F30B67" w:rsidRPr="006D3DBC" w:rsidRDefault="00F30B67" w:rsidP="00F30B67">
            <w:pPr>
              <w:pStyle w:val="BMSTableText"/>
              <w:spacing w:line="276" w:lineRule="auto"/>
              <w:rPr>
                <w:lang w:val="en-AU"/>
              </w:rPr>
            </w:pPr>
            <w:r w:rsidRPr="006D3DBC">
              <w:t xml:space="preserve">161 ( 1.8)             </w:t>
            </w:r>
          </w:p>
        </w:tc>
        <w:tc>
          <w:tcPr>
            <w:tcW w:w="1134" w:type="dxa"/>
            <w:shd w:val="clear" w:color="auto" w:fill="auto"/>
          </w:tcPr>
          <w:p w:rsidR="00F30B67" w:rsidRPr="006D3DBC" w:rsidRDefault="00F30B67" w:rsidP="00F30B67">
            <w:pPr>
              <w:pStyle w:val="BMSTableText"/>
              <w:spacing w:line="276" w:lineRule="auto"/>
              <w:rPr>
                <w:lang w:val="en-AU"/>
              </w:rPr>
            </w:pPr>
            <w:r w:rsidRPr="006D3DBC">
              <w:t>219 ( 2.4)</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23 ( 0.8)              </w:t>
            </w:r>
          </w:p>
        </w:tc>
        <w:tc>
          <w:tcPr>
            <w:tcW w:w="1275" w:type="dxa"/>
            <w:shd w:val="clear" w:color="auto" w:fill="auto"/>
          </w:tcPr>
          <w:p w:rsidR="00F30B67" w:rsidRPr="006D3DBC" w:rsidRDefault="00F30B67" w:rsidP="00F30B67">
            <w:pPr>
              <w:pStyle w:val="BMSTableText"/>
              <w:spacing w:line="276" w:lineRule="auto"/>
              <w:rPr>
                <w:lang w:val="en-AU"/>
              </w:rPr>
            </w:pPr>
            <w:r w:rsidRPr="006D3DBC">
              <w:t>28 ( 1.0)</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proofErr w:type="spellStart"/>
            <w:r w:rsidRPr="006D3DBC">
              <w:rPr>
                <w:lang w:val="en-AU"/>
              </w:rPr>
              <w:t>Myalgia</w:t>
            </w:r>
            <w:proofErr w:type="spellEnd"/>
          </w:p>
        </w:tc>
        <w:tc>
          <w:tcPr>
            <w:tcW w:w="1136" w:type="dxa"/>
            <w:shd w:val="clear" w:color="auto" w:fill="auto"/>
          </w:tcPr>
          <w:p w:rsidR="00F30B67" w:rsidRPr="006D3DBC" w:rsidRDefault="00F30B67" w:rsidP="00F30B67">
            <w:pPr>
              <w:pStyle w:val="BMSTableText"/>
              <w:spacing w:line="276" w:lineRule="auto"/>
              <w:rPr>
                <w:lang w:val="en-AU"/>
              </w:rPr>
            </w:pPr>
            <w:r w:rsidRPr="006D3DBC">
              <w:t xml:space="preserve">132 ( 1.5)             </w:t>
            </w:r>
          </w:p>
        </w:tc>
        <w:tc>
          <w:tcPr>
            <w:tcW w:w="1134" w:type="dxa"/>
            <w:shd w:val="clear" w:color="auto" w:fill="auto"/>
          </w:tcPr>
          <w:p w:rsidR="00F30B67" w:rsidRPr="006D3DBC" w:rsidRDefault="00F30B67" w:rsidP="00F30B67">
            <w:pPr>
              <w:pStyle w:val="BMSTableText"/>
              <w:spacing w:line="276" w:lineRule="auto"/>
              <w:rPr>
                <w:lang w:val="en-AU"/>
              </w:rPr>
            </w:pPr>
            <w:r w:rsidRPr="006D3DBC">
              <w:t>126 ( 1.4)</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Arthritis                                                                          </w:t>
            </w:r>
          </w:p>
        </w:tc>
        <w:tc>
          <w:tcPr>
            <w:tcW w:w="1136" w:type="dxa"/>
            <w:shd w:val="clear" w:color="auto" w:fill="auto"/>
          </w:tcPr>
          <w:p w:rsidR="00F30B67" w:rsidRPr="006D3DBC" w:rsidRDefault="00F30B67" w:rsidP="00F30B67">
            <w:pPr>
              <w:pStyle w:val="BMSTableText"/>
              <w:spacing w:line="276" w:lineRule="auto"/>
              <w:rPr>
                <w:lang w:val="en-AU"/>
              </w:rPr>
            </w:pPr>
            <w:r w:rsidRPr="006D3DBC">
              <w:t>115 ( 1.3)</w:t>
            </w:r>
          </w:p>
        </w:tc>
        <w:tc>
          <w:tcPr>
            <w:tcW w:w="1134" w:type="dxa"/>
            <w:shd w:val="clear" w:color="auto" w:fill="auto"/>
          </w:tcPr>
          <w:p w:rsidR="00F30B67" w:rsidRPr="006D3DBC" w:rsidRDefault="00F30B67" w:rsidP="00F30B67">
            <w:pPr>
              <w:pStyle w:val="BMSTableText"/>
              <w:spacing w:line="276" w:lineRule="auto"/>
              <w:rPr>
                <w:lang w:val="en-AU"/>
              </w:rPr>
            </w:pPr>
            <w:r w:rsidRPr="006D3DBC">
              <w:t>116 ( 1.3)</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Joint swelling                                                                       </w:t>
            </w:r>
          </w:p>
        </w:tc>
        <w:tc>
          <w:tcPr>
            <w:tcW w:w="1136" w:type="dxa"/>
            <w:shd w:val="clear" w:color="auto" w:fill="auto"/>
          </w:tcPr>
          <w:p w:rsidR="00F30B67" w:rsidRPr="006D3DBC" w:rsidRDefault="00F30B67" w:rsidP="00F30B67">
            <w:pPr>
              <w:pStyle w:val="BMSTableText"/>
              <w:spacing w:line="276" w:lineRule="auto"/>
              <w:rPr>
                <w:lang w:val="en-AU"/>
              </w:rPr>
            </w:pPr>
            <w:r w:rsidRPr="006D3DBC">
              <w:t>77 ( 0.8)</w:t>
            </w:r>
          </w:p>
        </w:tc>
        <w:tc>
          <w:tcPr>
            <w:tcW w:w="1134" w:type="dxa"/>
            <w:shd w:val="clear" w:color="auto" w:fill="auto"/>
          </w:tcPr>
          <w:p w:rsidR="00F30B67" w:rsidRPr="006D3DBC" w:rsidRDefault="00F30B67" w:rsidP="00F30B67">
            <w:pPr>
              <w:pStyle w:val="BMSTableText"/>
              <w:spacing w:line="276" w:lineRule="auto"/>
              <w:rPr>
                <w:lang w:val="en-AU"/>
              </w:rPr>
            </w:pPr>
            <w:r w:rsidRPr="006D3DBC">
              <w:t>92 ( 1.0)</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w:t>
            </w:r>
          </w:p>
        </w:tc>
      </w:tr>
      <w:tr w:rsidR="00F30B67" w:rsidRPr="006D3DBC" w:rsidTr="00F30B67">
        <w:trPr>
          <w:jc w:val="center"/>
        </w:trPr>
        <w:tc>
          <w:tcPr>
            <w:tcW w:w="7988" w:type="dxa"/>
            <w:gridSpan w:val="5"/>
            <w:shd w:val="clear" w:color="auto" w:fill="auto"/>
          </w:tcPr>
          <w:p w:rsidR="00F30B67" w:rsidRPr="006D3DBC" w:rsidRDefault="00F30B67" w:rsidP="00F30B67">
            <w:pPr>
              <w:pStyle w:val="BMSTableText"/>
              <w:spacing w:line="276" w:lineRule="auto"/>
              <w:jc w:val="left"/>
              <w:rPr>
                <w:i/>
                <w:lang w:val="en-AU"/>
              </w:rPr>
            </w:pPr>
            <w:r w:rsidRPr="006D3DBC">
              <w:rPr>
                <w:i/>
                <w:lang w:val="en-AU"/>
              </w:rPr>
              <w:t>Nervous System Disorders</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Dizziness                                                                     </w:t>
            </w:r>
          </w:p>
        </w:tc>
        <w:tc>
          <w:tcPr>
            <w:tcW w:w="1136" w:type="dxa"/>
            <w:shd w:val="clear" w:color="auto" w:fill="auto"/>
          </w:tcPr>
          <w:p w:rsidR="00F30B67" w:rsidRPr="006D3DBC" w:rsidRDefault="00F30B67" w:rsidP="00F30B67">
            <w:pPr>
              <w:pStyle w:val="BMSTableText"/>
              <w:spacing w:line="276" w:lineRule="auto"/>
              <w:rPr>
                <w:lang w:val="en-AU"/>
              </w:rPr>
            </w:pPr>
            <w:r w:rsidRPr="006D3DBC">
              <w:t>663 ( 7.3)</w:t>
            </w:r>
          </w:p>
        </w:tc>
        <w:tc>
          <w:tcPr>
            <w:tcW w:w="1134" w:type="dxa"/>
            <w:shd w:val="clear" w:color="auto" w:fill="auto"/>
          </w:tcPr>
          <w:p w:rsidR="00F30B67" w:rsidRPr="006D3DBC" w:rsidRDefault="00F30B67" w:rsidP="00F30B67">
            <w:pPr>
              <w:pStyle w:val="BMSTableText"/>
              <w:spacing w:line="276" w:lineRule="auto"/>
              <w:rPr>
                <w:lang w:val="en-AU"/>
              </w:rPr>
            </w:pPr>
            <w:r w:rsidRPr="006D3DBC">
              <w:t>709 ( 7.8)</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109 ( 3.9)             </w:t>
            </w:r>
          </w:p>
        </w:tc>
        <w:tc>
          <w:tcPr>
            <w:tcW w:w="1275" w:type="dxa"/>
            <w:shd w:val="clear" w:color="auto" w:fill="auto"/>
          </w:tcPr>
          <w:p w:rsidR="00F30B67" w:rsidRPr="006D3DBC" w:rsidRDefault="00F30B67" w:rsidP="00F30B67">
            <w:pPr>
              <w:pStyle w:val="BMSTableText"/>
              <w:spacing w:line="276" w:lineRule="auto"/>
              <w:rPr>
                <w:lang w:val="en-AU"/>
              </w:rPr>
            </w:pPr>
            <w:r w:rsidRPr="006D3DBC">
              <w:t>144 ( 5.2)</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Headache                                                                      </w:t>
            </w:r>
          </w:p>
        </w:tc>
        <w:tc>
          <w:tcPr>
            <w:tcW w:w="1136" w:type="dxa"/>
            <w:shd w:val="clear" w:color="auto" w:fill="auto"/>
          </w:tcPr>
          <w:p w:rsidR="00F30B67" w:rsidRPr="006D3DBC" w:rsidRDefault="00F30B67" w:rsidP="00F30B67">
            <w:pPr>
              <w:pStyle w:val="BMSTableText"/>
              <w:spacing w:line="276" w:lineRule="auto"/>
              <w:rPr>
                <w:lang w:val="en-AU"/>
              </w:rPr>
            </w:pPr>
            <w:r w:rsidRPr="006D3DBC">
              <w:t>482 ( 5.3)</w:t>
            </w:r>
          </w:p>
        </w:tc>
        <w:tc>
          <w:tcPr>
            <w:tcW w:w="1134" w:type="dxa"/>
            <w:shd w:val="clear" w:color="auto" w:fill="auto"/>
          </w:tcPr>
          <w:p w:rsidR="00F30B67" w:rsidRPr="006D3DBC" w:rsidRDefault="00F30B67" w:rsidP="00F30B67">
            <w:pPr>
              <w:pStyle w:val="BMSTableText"/>
              <w:spacing w:line="276" w:lineRule="auto"/>
              <w:rPr>
                <w:lang w:val="en-AU"/>
              </w:rPr>
            </w:pPr>
            <w:r w:rsidRPr="006D3DBC">
              <w:t>485 ( 5.4)</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98 ( 3.5)              </w:t>
            </w:r>
          </w:p>
        </w:tc>
        <w:tc>
          <w:tcPr>
            <w:tcW w:w="1275" w:type="dxa"/>
            <w:shd w:val="clear" w:color="auto" w:fill="auto"/>
          </w:tcPr>
          <w:p w:rsidR="00F30B67" w:rsidRPr="006D3DBC" w:rsidRDefault="00F30B67" w:rsidP="00F30B67">
            <w:pPr>
              <w:pStyle w:val="BMSTableText"/>
              <w:spacing w:line="276" w:lineRule="auto"/>
              <w:rPr>
                <w:lang w:val="en-AU"/>
              </w:rPr>
            </w:pPr>
            <w:r w:rsidRPr="006D3DBC">
              <w:t>91 ( 3.3)</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Syncope                                                            </w:t>
            </w:r>
          </w:p>
        </w:tc>
        <w:tc>
          <w:tcPr>
            <w:tcW w:w="1136" w:type="dxa"/>
            <w:shd w:val="clear" w:color="auto" w:fill="auto"/>
          </w:tcPr>
          <w:p w:rsidR="00F30B67" w:rsidRPr="006D3DBC" w:rsidRDefault="00F30B67" w:rsidP="00F30B67">
            <w:pPr>
              <w:pStyle w:val="BMSTableText"/>
              <w:spacing w:line="276" w:lineRule="auto"/>
              <w:rPr>
                <w:lang w:val="en-AU"/>
              </w:rPr>
            </w:pPr>
            <w:r w:rsidRPr="006D3DBC">
              <w:t>186 ( 2.0)</w:t>
            </w:r>
          </w:p>
        </w:tc>
        <w:tc>
          <w:tcPr>
            <w:tcW w:w="1134" w:type="dxa"/>
            <w:shd w:val="clear" w:color="auto" w:fill="auto"/>
          </w:tcPr>
          <w:p w:rsidR="00F30B67" w:rsidRPr="006D3DBC" w:rsidRDefault="00F30B67" w:rsidP="00F30B67">
            <w:pPr>
              <w:pStyle w:val="BMSTableText"/>
              <w:spacing w:line="276" w:lineRule="auto"/>
              <w:rPr>
                <w:lang w:val="en-AU"/>
              </w:rPr>
            </w:pPr>
            <w:r w:rsidRPr="006D3DBC">
              <w:t>150 ( 1.7)</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29 ( 1.0)              </w:t>
            </w:r>
          </w:p>
        </w:tc>
        <w:tc>
          <w:tcPr>
            <w:tcW w:w="1275" w:type="dxa"/>
            <w:shd w:val="clear" w:color="auto" w:fill="auto"/>
          </w:tcPr>
          <w:p w:rsidR="00F30B67" w:rsidRPr="006D3DBC" w:rsidRDefault="00F30B67" w:rsidP="00F30B67">
            <w:pPr>
              <w:pStyle w:val="BMSTableText"/>
              <w:spacing w:line="276" w:lineRule="auto"/>
              <w:rPr>
                <w:lang w:val="en-AU"/>
              </w:rPr>
            </w:pPr>
            <w:r w:rsidRPr="006D3DBC">
              <w:t>37 ( 1.3)</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proofErr w:type="spellStart"/>
            <w:r w:rsidRPr="006D3DBC">
              <w:t>Ischaemic</w:t>
            </w:r>
            <w:proofErr w:type="spellEnd"/>
            <w:r w:rsidRPr="006D3DBC">
              <w:t xml:space="preserve"> stroke                                                                 </w:t>
            </w:r>
          </w:p>
        </w:tc>
        <w:tc>
          <w:tcPr>
            <w:tcW w:w="1136" w:type="dxa"/>
            <w:shd w:val="clear" w:color="auto" w:fill="auto"/>
          </w:tcPr>
          <w:p w:rsidR="00F30B67" w:rsidRPr="006D3DBC" w:rsidRDefault="00F30B67" w:rsidP="00F30B67">
            <w:pPr>
              <w:pStyle w:val="BMSTableText"/>
              <w:spacing w:line="276" w:lineRule="auto"/>
              <w:rPr>
                <w:lang w:val="en-AU"/>
              </w:rPr>
            </w:pPr>
            <w:r w:rsidRPr="006D3DBC">
              <w:t>94 ( 1.0)</w:t>
            </w:r>
          </w:p>
        </w:tc>
        <w:tc>
          <w:tcPr>
            <w:tcW w:w="1134" w:type="dxa"/>
            <w:shd w:val="clear" w:color="auto" w:fill="auto"/>
          </w:tcPr>
          <w:p w:rsidR="00F30B67" w:rsidRPr="006D3DBC" w:rsidRDefault="00F30B67" w:rsidP="00F30B67">
            <w:pPr>
              <w:pStyle w:val="BMSTableText"/>
              <w:spacing w:line="276" w:lineRule="auto"/>
              <w:rPr>
                <w:lang w:val="en-AU"/>
              </w:rPr>
            </w:pPr>
            <w:r w:rsidRPr="006D3DBC">
              <w:t>81 ( 0.9)</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19 ( 0.7)              </w:t>
            </w:r>
          </w:p>
        </w:tc>
        <w:tc>
          <w:tcPr>
            <w:tcW w:w="1275" w:type="dxa"/>
            <w:shd w:val="clear" w:color="auto" w:fill="auto"/>
          </w:tcPr>
          <w:p w:rsidR="00F30B67" w:rsidRPr="006D3DBC" w:rsidRDefault="00F30B67" w:rsidP="00F30B67">
            <w:pPr>
              <w:pStyle w:val="BMSTableText"/>
              <w:spacing w:line="276" w:lineRule="auto"/>
              <w:rPr>
                <w:lang w:val="en-AU"/>
              </w:rPr>
            </w:pPr>
            <w:r w:rsidRPr="006D3DBC">
              <w:t>47 ( 1.7)</w:t>
            </w:r>
          </w:p>
        </w:tc>
      </w:tr>
      <w:tr w:rsidR="00F30B67" w:rsidRPr="006D3DBC" w:rsidTr="00F30B67">
        <w:trPr>
          <w:jc w:val="center"/>
        </w:trPr>
        <w:tc>
          <w:tcPr>
            <w:tcW w:w="3167" w:type="dxa"/>
            <w:shd w:val="clear" w:color="auto" w:fill="auto"/>
          </w:tcPr>
          <w:p w:rsidR="00F30B67" w:rsidRPr="006D3DBC" w:rsidRDefault="00F30B67" w:rsidP="00F30B67">
            <w:pPr>
              <w:pStyle w:val="BMSTableText"/>
              <w:spacing w:line="276" w:lineRule="auto"/>
              <w:jc w:val="left"/>
              <w:rPr>
                <w:lang w:val="en-AU"/>
              </w:rPr>
            </w:pPr>
            <w:r w:rsidRPr="006D3DBC">
              <w:t xml:space="preserve">        </w:t>
            </w:r>
            <w:proofErr w:type="spellStart"/>
            <w:r w:rsidRPr="006D3DBC">
              <w:t>Cerebrovascular</w:t>
            </w:r>
            <w:proofErr w:type="spellEnd"/>
            <w:r w:rsidRPr="006D3DBC">
              <w:t xml:space="preserve"> accident                                                       </w:t>
            </w:r>
          </w:p>
        </w:tc>
        <w:tc>
          <w:tcPr>
            <w:tcW w:w="1136" w:type="dxa"/>
            <w:shd w:val="clear" w:color="auto" w:fill="auto"/>
          </w:tcPr>
          <w:p w:rsidR="00F30B67" w:rsidRPr="006D3DBC" w:rsidRDefault="00F30B67" w:rsidP="00F30B67">
            <w:pPr>
              <w:pStyle w:val="BMSTableText"/>
              <w:rPr>
                <w:lang w:val="en-AU"/>
              </w:rPr>
            </w:pPr>
            <w:r w:rsidRPr="006D3DBC">
              <w:rPr>
                <w:lang w:val="en-AU"/>
              </w:rPr>
              <w:t>-</w:t>
            </w:r>
          </w:p>
        </w:tc>
        <w:tc>
          <w:tcPr>
            <w:tcW w:w="1134"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6" w:type="dxa"/>
            <w:shd w:val="clear" w:color="auto" w:fill="auto"/>
          </w:tcPr>
          <w:p w:rsidR="00F30B67" w:rsidRPr="006D3DBC" w:rsidRDefault="00F30B67" w:rsidP="00F30B67">
            <w:pPr>
              <w:pStyle w:val="BMSTableText"/>
              <w:spacing w:line="276" w:lineRule="auto"/>
            </w:pPr>
            <w:r w:rsidRPr="006D3DBC">
              <w:t>17 ( 0.6)</w:t>
            </w:r>
          </w:p>
        </w:tc>
        <w:tc>
          <w:tcPr>
            <w:tcW w:w="1275" w:type="dxa"/>
            <w:shd w:val="clear" w:color="auto" w:fill="auto"/>
          </w:tcPr>
          <w:p w:rsidR="00F30B67" w:rsidRPr="006D3DBC" w:rsidRDefault="00F30B67" w:rsidP="00F30B67">
            <w:pPr>
              <w:pStyle w:val="BMSTableText"/>
              <w:spacing w:line="276" w:lineRule="auto"/>
            </w:pPr>
            <w:r w:rsidRPr="006D3DBC">
              <w:t>43 ( 1.5)</w:t>
            </w:r>
          </w:p>
        </w:tc>
      </w:tr>
      <w:tr w:rsidR="00F30B67" w:rsidRPr="006D3DBC" w:rsidTr="00F30B67">
        <w:trPr>
          <w:jc w:val="center"/>
        </w:trPr>
        <w:tc>
          <w:tcPr>
            <w:tcW w:w="3167" w:type="dxa"/>
            <w:shd w:val="clear" w:color="auto" w:fill="auto"/>
          </w:tcPr>
          <w:p w:rsidR="00F30B67" w:rsidRPr="006D3DBC" w:rsidRDefault="00F30B67" w:rsidP="00F30B67">
            <w:pPr>
              <w:pStyle w:val="BMSTableText"/>
              <w:spacing w:line="276" w:lineRule="auto"/>
              <w:jc w:val="left"/>
              <w:rPr>
                <w:lang w:val="en-AU"/>
              </w:rPr>
            </w:pPr>
            <w:r w:rsidRPr="006D3DBC">
              <w:t xml:space="preserve">        Transient </w:t>
            </w:r>
            <w:proofErr w:type="spellStart"/>
            <w:r w:rsidRPr="006D3DBC">
              <w:t>ischaemic</w:t>
            </w:r>
            <w:proofErr w:type="spellEnd"/>
            <w:r w:rsidRPr="006D3DBC">
              <w:t xml:space="preserve"> attack</w:t>
            </w:r>
          </w:p>
        </w:tc>
        <w:tc>
          <w:tcPr>
            <w:tcW w:w="113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134"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6" w:type="dxa"/>
            <w:shd w:val="clear" w:color="auto" w:fill="auto"/>
          </w:tcPr>
          <w:p w:rsidR="00F30B67" w:rsidRPr="006D3DBC" w:rsidRDefault="00F30B67" w:rsidP="00F30B67">
            <w:pPr>
              <w:pStyle w:val="BMSTableText"/>
              <w:spacing w:line="276" w:lineRule="auto"/>
              <w:rPr>
                <w:lang w:val="en-AU"/>
              </w:rPr>
            </w:pPr>
            <w:r w:rsidRPr="006D3DBC">
              <w:t>11 ( 0.4)</w:t>
            </w:r>
          </w:p>
        </w:tc>
        <w:tc>
          <w:tcPr>
            <w:tcW w:w="1275" w:type="dxa"/>
            <w:shd w:val="clear" w:color="auto" w:fill="auto"/>
          </w:tcPr>
          <w:p w:rsidR="00F30B67" w:rsidRPr="006D3DBC" w:rsidRDefault="00F30B67" w:rsidP="00F30B67">
            <w:pPr>
              <w:pStyle w:val="BMSTableText"/>
              <w:spacing w:line="276" w:lineRule="auto"/>
              <w:rPr>
                <w:lang w:val="en-AU"/>
              </w:rPr>
            </w:pPr>
            <w:r w:rsidRPr="006D3DBC">
              <w:t>36 ( 1.3)</w:t>
            </w:r>
          </w:p>
        </w:tc>
      </w:tr>
      <w:tr w:rsidR="00F30B67" w:rsidRPr="006D3DBC" w:rsidTr="00F30B67">
        <w:trPr>
          <w:jc w:val="center"/>
        </w:trPr>
        <w:tc>
          <w:tcPr>
            <w:tcW w:w="7988" w:type="dxa"/>
            <w:gridSpan w:val="5"/>
            <w:shd w:val="clear" w:color="auto" w:fill="auto"/>
          </w:tcPr>
          <w:p w:rsidR="00F30B67" w:rsidRPr="006D3DBC" w:rsidRDefault="00F30B67" w:rsidP="00F30B67">
            <w:pPr>
              <w:pStyle w:val="BMSTableText"/>
              <w:spacing w:line="276" w:lineRule="auto"/>
              <w:jc w:val="left"/>
              <w:rPr>
                <w:i/>
                <w:lang w:val="en-AU"/>
              </w:rPr>
            </w:pPr>
            <w:r w:rsidRPr="006D3DBC">
              <w:rPr>
                <w:i/>
                <w:lang w:val="en-AU"/>
              </w:rPr>
              <w:t>General Disorders and Administration Site Conditions</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proofErr w:type="spellStart"/>
            <w:r w:rsidRPr="006D3DBC">
              <w:t>Oedema</w:t>
            </w:r>
            <w:proofErr w:type="spellEnd"/>
            <w:r w:rsidRPr="006D3DBC">
              <w:t xml:space="preserve"> peripheral                                                            </w:t>
            </w:r>
          </w:p>
        </w:tc>
        <w:tc>
          <w:tcPr>
            <w:tcW w:w="1136" w:type="dxa"/>
            <w:shd w:val="clear" w:color="auto" w:fill="auto"/>
          </w:tcPr>
          <w:p w:rsidR="00F30B67" w:rsidRPr="006D3DBC" w:rsidRDefault="00F30B67" w:rsidP="00F30B67">
            <w:pPr>
              <w:pStyle w:val="BMSTableText"/>
              <w:spacing w:line="276" w:lineRule="auto"/>
              <w:rPr>
                <w:lang w:val="en-AU"/>
              </w:rPr>
            </w:pPr>
            <w:r w:rsidRPr="006D3DBC">
              <w:t>611 ( 6.7)</w:t>
            </w:r>
          </w:p>
        </w:tc>
        <w:tc>
          <w:tcPr>
            <w:tcW w:w="1134" w:type="dxa"/>
            <w:shd w:val="clear" w:color="auto" w:fill="auto"/>
          </w:tcPr>
          <w:p w:rsidR="00F30B67" w:rsidRPr="006D3DBC" w:rsidRDefault="00F30B67" w:rsidP="00F30B67">
            <w:pPr>
              <w:pStyle w:val="BMSTableText"/>
              <w:spacing w:line="276" w:lineRule="auto"/>
              <w:rPr>
                <w:lang w:val="en-AU"/>
              </w:rPr>
            </w:pPr>
            <w:r w:rsidRPr="006D3DBC">
              <w:t>663 ( 7.3)</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87 ( 3.1)             </w:t>
            </w:r>
          </w:p>
        </w:tc>
        <w:tc>
          <w:tcPr>
            <w:tcW w:w="1275" w:type="dxa"/>
            <w:shd w:val="clear" w:color="auto" w:fill="auto"/>
          </w:tcPr>
          <w:p w:rsidR="00F30B67" w:rsidRPr="006D3DBC" w:rsidRDefault="00F30B67" w:rsidP="00F30B67">
            <w:pPr>
              <w:pStyle w:val="BMSTableText"/>
              <w:spacing w:line="276" w:lineRule="auto"/>
              <w:rPr>
                <w:lang w:val="en-AU"/>
              </w:rPr>
            </w:pPr>
            <w:r w:rsidRPr="006D3DBC">
              <w:t>106 ( 3.8)</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Fatigue                                                                           </w:t>
            </w:r>
          </w:p>
        </w:tc>
        <w:tc>
          <w:tcPr>
            <w:tcW w:w="1136" w:type="dxa"/>
            <w:shd w:val="clear" w:color="auto" w:fill="auto"/>
          </w:tcPr>
          <w:p w:rsidR="00F30B67" w:rsidRPr="006D3DBC" w:rsidRDefault="00F30B67" w:rsidP="00F30B67">
            <w:pPr>
              <w:pStyle w:val="BMSTableText"/>
              <w:spacing w:line="276" w:lineRule="auto"/>
              <w:rPr>
                <w:lang w:val="en-AU"/>
              </w:rPr>
            </w:pPr>
            <w:r w:rsidRPr="006D3DBC">
              <w:t>392 ( 4.3)</w:t>
            </w:r>
          </w:p>
        </w:tc>
        <w:tc>
          <w:tcPr>
            <w:tcW w:w="1134" w:type="dxa"/>
            <w:shd w:val="clear" w:color="auto" w:fill="auto"/>
          </w:tcPr>
          <w:p w:rsidR="00F30B67" w:rsidRPr="006D3DBC" w:rsidRDefault="00F30B67" w:rsidP="00F30B67">
            <w:pPr>
              <w:pStyle w:val="BMSTableText"/>
              <w:spacing w:line="276" w:lineRule="auto"/>
              <w:rPr>
                <w:lang w:val="en-AU"/>
              </w:rPr>
            </w:pPr>
            <w:r w:rsidRPr="006D3DBC">
              <w:t>381 ( 4.2)</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74 ( 2.6)              </w:t>
            </w:r>
          </w:p>
        </w:tc>
        <w:tc>
          <w:tcPr>
            <w:tcW w:w="1275" w:type="dxa"/>
            <w:shd w:val="clear" w:color="auto" w:fill="auto"/>
          </w:tcPr>
          <w:p w:rsidR="00F30B67" w:rsidRPr="006D3DBC" w:rsidRDefault="00F30B67" w:rsidP="00F30B67">
            <w:pPr>
              <w:pStyle w:val="BMSTableText"/>
              <w:spacing w:line="276" w:lineRule="auto"/>
              <w:rPr>
                <w:lang w:val="en-AU"/>
              </w:rPr>
            </w:pPr>
            <w:r w:rsidRPr="006D3DBC">
              <w:t>68 ( 2.4)</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Chest pain                                                                   </w:t>
            </w:r>
          </w:p>
        </w:tc>
        <w:tc>
          <w:tcPr>
            <w:tcW w:w="1136" w:type="dxa"/>
            <w:shd w:val="clear" w:color="auto" w:fill="auto"/>
          </w:tcPr>
          <w:p w:rsidR="00F30B67" w:rsidRPr="006D3DBC" w:rsidRDefault="00F30B67" w:rsidP="00F30B67">
            <w:pPr>
              <w:pStyle w:val="BMSTableText"/>
              <w:spacing w:line="276" w:lineRule="auto"/>
              <w:rPr>
                <w:lang w:val="en-AU"/>
              </w:rPr>
            </w:pPr>
            <w:r w:rsidRPr="006D3DBC">
              <w:t>347 ( 3.8)</w:t>
            </w:r>
          </w:p>
        </w:tc>
        <w:tc>
          <w:tcPr>
            <w:tcW w:w="1134" w:type="dxa"/>
            <w:shd w:val="clear" w:color="auto" w:fill="auto"/>
          </w:tcPr>
          <w:p w:rsidR="00F30B67" w:rsidRPr="006D3DBC" w:rsidRDefault="00F30B67" w:rsidP="00F30B67">
            <w:pPr>
              <w:pStyle w:val="BMSTableText"/>
              <w:spacing w:line="276" w:lineRule="auto"/>
              <w:rPr>
                <w:lang w:val="en-AU"/>
              </w:rPr>
            </w:pPr>
            <w:r w:rsidRPr="006D3DBC">
              <w:t>357 ( 3.9)</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72 ( 2.6)              </w:t>
            </w:r>
          </w:p>
        </w:tc>
        <w:tc>
          <w:tcPr>
            <w:tcW w:w="1275" w:type="dxa"/>
            <w:shd w:val="clear" w:color="auto" w:fill="auto"/>
          </w:tcPr>
          <w:p w:rsidR="00F30B67" w:rsidRPr="006D3DBC" w:rsidRDefault="00F30B67" w:rsidP="00F30B67">
            <w:pPr>
              <w:pStyle w:val="BMSTableText"/>
              <w:spacing w:line="276" w:lineRule="auto"/>
              <w:rPr>
                <w:lang w:val="en-AU"/>
              </w:rPr>
            </w:pPr>
            <w:r w:rsidRPr="006D3DBC">
              <w:t>78 ( 2.8)</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Asthenia                                                         </w:t>
            </w:r>
          </w:p>
        </w:tc>
        <w:tc>
          <w:tcPr>
            <w:tcW w:w="1136" w:type="dxa"/>
            <w:shd w:val="clear" w:color="auto" w:fill="auto"/>
          </w:tcPr>
          <w:p w:rsidR="00F30B67" w:rsidRPr="006D3DBC" w:rsidRDefault="00F30B67" w:rsidP="00F30B67">
            <w:pPr>
              <w:pStyle w:val="BMSTableText"/>
              <w:spacing w:line="276" w:lineRule="auto"/>
              <w:rPr>
                <w:lang w:val="en-AU"/>
              </w:rPr>
            </w:pPr>
            <w:r w:rsidRPr="006D3DBC">
              <w:t>217 ( 2.4)</w:t>
            </w:r>
          </w:p>
        </w:tc>
        <w:tc>
          <w:tcPr>
            <w:tcW w:w="1134" w:type="dxa"/>
            <w:shd w:val="clear" w:color="auto" w:fill="auto"/>
          </w:tcPr>
          <w:p w:rsidR="00F30B67" w:rsidRPr="006D3DBC" w:rsidRDefault="00F30B67" w:rsidP="00F30B67">
            <w:pPr>
              <w:pStyle w:val="BMSTableText"/>
              <w:spacing w:line="276" w:lineRule="auto"/>
              <w:rPr>
                <w:lang w:val="en-AU"/>
              </w:rPr>
            </w:pPr>
            <w:r w:rsidRPr="006D3DBC">
              <w:t>202 ( 2.2)</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41 ( 1.5)              </w:t>
            </w:r>
          </w:p>
        </w:tc>
        <w:tc>
          <w:tcPr>
            <w:tcW w:w="1275" w:type="dxa"/>
            <w:shd w:val="clear" w:color="auto" w:fill="auto"/>
          </w:tcPr>
          <w:p w:rsidR="00F30B67" w:rsidRPr="006D3DBC" w:rsidRDefault="00F30B67" w:rsidP="00F30B67">
            <w:pPr>
              <w:pStyle w:val="BMSTableText"/>
              <w:spacing w:line="276" w:lineRule="auto"/>
              <w:rPr>
                <w:lang w:val="en-AU"/>
              </w:rPr>
            </w:pPr>
            <w:r w:rsidRPr="006D3DBC">
              <w:t>39 ( 1.4)</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Pyrexia                                                                            </w:t>
            </w:r>
          </w:p>
        </w:tc>
        <w:tc>
          <w:tcPr>
            <w:tcW w:w="1136" w:type="dxa"/>
            <w:shd w:val="clear" w:color="auto" w:fill="auto"/>
          </w:tcPr>
          <w:p w:rsidR="00F30B67" w:rsidRPr="006D3DBC" w:rsidRDefault="00F30B67" w:rsidP="00F30B67">
            <w:pPr>
              <w:pStyle w:val="BMSTableText"/>
              <w:spacing w:line="276" w:lineRule="auto"/>
              <w:rPr>
                <w:lang w:val="en-AU"/>
              </w:rPr>
            </w:pPr>
            <w:r w:rsidRPr="006D3DBC">
              <w:t>155 ( 1.7)</w:t>
            </w:r>
          </w:p>
        </w:tc>
        <w:tc>
          <w:tcPr>
            <w:tcW w:w="1134" w:type="dxa"/>
            <w:shd w:val="clear" w:color="auto" w:fill="auto"/>
          </w:tcPr>
          <w:p w:rsidR="00F30B67" w:rsidRPr="006D3DBC" w:rsidRDefault="00F30B67" w:rsidP="00F30B67">
            <w:pPr>
              <w:pStyle w:val="BMSTableText"/>
              <w:spacing w:line="276" w:lineRule="auto"/>
              <w:rPr>
                <w:lang w:val="en-AU"/>
              </w:rPr>
            </w:pPr>
            <w:r w:rsidRPr="006D3DBC">
              <w:t>136 ( 1.5)</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Chest discomfort                                                                    </w:t>
            </w:r>
          </w:p>
        </w:tc>
        <w:tc>
          <w:tcPr>
            <w:tcW w:w="1136" w:type="dxa"/>
            <w:shd w:val="clear" w:color="auto" w:fill="auto"/>
          </w:tcPr>
          <w:p w:rsidR="00F30B67" w:rsidRPr="006D3DBC" w:rsidRDefault="00F30B67" w:rsidP="00F30B67">
            <w:pPr>
              <w:pStyle w:val="BMSTableText"/>
              <w:spacing w:line="276" w:lineRule="auto"/>
              <w:rPr>
                <w:lang w:val="en-AU"/>
              </w:rPr>
            </w:pPr>
            <w:r w:rsidRPr="006D3DBC">
              <w:t>96 ( 1.1)</w:t>
            </w:r>
          </w:p>
        </w:tc>
        <w:tc>
          <w:tcPr>
            <w:tcW w:w="1134" w:type="dxa"/>
            <w:shd w:val="clear" w:color="auto" w:fill="auto"/>
          </w:tcPr>
          <w:p w:rsidR="00F30B67" w:rsidRPr="006D3DBC" w:rsidRDefault="00F30B67" w:rsidP="00F30B67">
            <w:pPr>
              <w:pStyle w:val="BMSTableText"/>
              <w:spacing w:line="276" w:lineRule="auto"/>
              <w:rPr>
                <w:lang w:val="en-AU"/>
              </w:rPr>
            </w:pPr>
            <w:r w:rsidRPr="006D3DBC">
              <w:t>101 ( 1.1)</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19 ( 0.7)              </w:t>
            </w:r>
          </w:p>
        </w:tc>
        <w:tc>
          <w:tcPr>
            <w:tcW w:w="1275" w:type="dxa"/>
            <w:shd w:val="clear" w:color="auto" w:fill="auto"/>
          </w:tcPr>
          <w:p w:rsidR="00F30B67" w:rsidRPr="006D3DBC" w:rsidRDefault="00F30B67" w:rsidP="00F30B67">
            <w:pPr>
              <w:pStyle w:val="BMSTableText"/>
              <w:spacing w:line="276" w:lineRule="auto"/>
              <w:rPr>
                <w:lang w:val="en-AU"/>
              </w:rPr>
            </w:pPr>
            <w:r w:rsidRPr="006D3DBC">
              <w:t>29 ( 1.0)</w:t>
            </w:r>
          </w:p>
        </w:tc>
      </w:tr>
      <w:tr w:rsidR="00F30B67" w:rsidRPr="006D3DBC" w:rsidTr="00F30B67">
        <w:trPr>
          <w:jc w:val="center"/>
        </w:trPr>
        <w:tc>
          <w:tcPr>
            <w:tcW w:w="7988" w:type="dxa"/>
            <w:gridSpan w:val="5"/>
            <w:shd w:val="clear" w:color="auto" w:fill="auto"/>
          </w:tcPr>
          <w:p w:rsidR="00F30B67" w:rsidRPr="006D3DBC" w:rsidRDefault="00F30B67" w:rsidP="00F30B67">
            <w:pPr>
              <w:pStyle w:val="BMSTableText"/>
              <w:spacing w:line="276" w:lineRule="auto"/>
              <w:jc w:val="left"/>
              <w:rPr>
                <w:i/>
                <w:lang w:val="en-AU"/>
              </w:rPr>
            </w:pPr>
            <w:r w:rsidRPr="006D3DBC">
              <w:rPr>
                <w:i/>
              </w:rPr>
              <w:t>Injury, Poisoning and Procedural Complications</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Fall                                                                              </w:t>
            </w:r>
          </w:p>
        </w:tc>
        <w:tc>
          <w:tcPr>
            <w:tcW w:w="1136" w:type="dxa"/>
            <w:shd w:val="clear" w:color="auto" w:fill="auto"/>
          </w:tcPr>
          <w:p w:rsidR="00F30B67" w:rsidRPr="006D3DBC" w:rsidRDefault="00F30B67" w:rsidP="00F30B67">
            <w:pPr>
              <w:pStyle w:val="BMSTableText"/>
              <w:spacing w:line="276" w:lineRule="auto"/>
              <w:rPr>
                <w:lang w:val="en-AU"/>
              </w:rPr>
            </w:pPr>
            <w:r w:rsidRPr="006D3DBC">
              <w:t>321 ( 3.5)</w:t>
            </w:r>
          </w:p>
        </w:tc>
        <w:tc>
          <w:tcPr>
            <w:tcW w:w="1134" w:type="dxa"/>
            <w:shd w:val="clear" w:color="auto" w:fill="auto"/>
          </w:tcPr>
          <w:p w:rsidR="00F30B67" w:rsidRPr="006D3DBC" w:rsidRDefault="00F30B67" w:rsidP="00F30B67">
            <w:pPr>
              <w:pStyle w:val="BMSTableText"/>
              <w:spacing w:line="276" w:lineRule="auto"/>
              <w:rPr>
                <w:lang w:val="en-AU"/>
              </w:rPr>
            </w:pPr>
            <w:r w:rsidRPr="006D3DBC">
              <w:t>395 ( 4.4)</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55 ( 2.0)              </w:t>
            </w:r>
          </w:p>
        </w:tc>
        <w:tc>
          <w:tcPr>
            <w:tcW w:w="1275" w:type="dxa"/>
            <w:shd w:val="clear" w:color="auto" w:fill="auto"/>
          </w:tcPr>
          <w:p w:rsidR="00F30B67" w:rsidRPr="006D3DBC" w:rsidRDefault="00F30B67" w:rsidP="00F30B67">
            <w:pPr>
              <w:pStyle w:val="BMSTableText"/>
              <w:spacing w:line="276" w:lineRule="auto"/>
              <w:rPr>
                <w:lang w:val="en-AU"/>
              </w:rPr>
            </w:pPr>
            <w:r w:rsidRPr="006D3DBC">
              <w:t>62 ( 2.2)</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lastRenderedPageBreak/>
              <w:t xml:space="preserve">Contusion                                                                       </w:t>
            </w:r>
          </w:p>
        </w:tc>
        <w:tc>
          <w:tcPr>
            <w:tcW w:w="1136" w:type="dxa"/>
            <w:shd w:val="clear" w:color="auto" w:fill="auto"/>
          </w:tcPr>
          <w:p w:rsidR="00F30B67" w:rsidRPr="006D3DBC" w:rsidRDefault="00F30B67" w:rsidP="00F30B67">
            <w:pPr>
              <w:pStyle w:val="BMSTableText"/>
              <w:spacing w:line="276" w:lineRule="auto"/>
              <w:rPr>
                <w:lang w:val="en-AU"/>
              </w:rPr>
            </w:pPr>
            <w:r w:rsidRPr="006D3DBC">
              <w:t>301 ( 3.3)</w:t>
            </w:r>
          </w:p>
        </w:tc>
        <w:tc>
          <w:tcPr>
            <w:tcW w:w="1134" w:type="dxa"/>
            <w:shd w:val="clear" w:color="auto" w:fill="auto"/>
          </w:tcPr>
          <w:p w:rsidR="00F30B67" w:rsidRPr="006D3DBC" w:rsidRDefault="00F30B67" w:rsidP="00F30B67">
            <w:pPr>
              <w:pStyle w:val="BMSTableText"/>
              <w:spacing w:line="276" w:lineRule="auto"/>
              <w:rPr>
                <w:lang w:val="en-AU"/>
              </w:rPr>
            </w:pPr>
            <w:r w:rsidRPr="006D3DBC">
              <w:t>482 ( 5.3)</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35 ( 1.3)              </w:t>
            </w:r>
          </w:p>
        </w:tc>
        <w:tc>
          <w:tcPr>
            <w:tcW w:w="1275" w:type="dxa"/>
            <w:shd w:val="clear" w:color="auto" w:fill="auto"/>
          </w:tcPr>
          <w:p w:rsidR="00F30B67" w:rsidRPr="006D3DBC" w:rsidRDefault="00F30B67" w:rsidP="00F30B67">
            <w:pPr>
              <w:pStyle w:val="BMSTableText"/>
              <w:spacing w:line="276" w:lineRule="auto"/>
              <w:rPr>
                <w:lang w:val="en-AU"/>
              </w:rPr>
            </w:pPr>
            <w:r w:rsidRPr="006D3DBC">
              <w:t>48 ( 1.7)</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Laceration                                                                   </w:t>
            </w:r>
          </w:p>
        </w:tc>
        <w:tc>
          <w:tcPr>
            <w:tcW w:w="1136" w:type="dxa"/>
            <w:shd w:val="clear" w:color="auto" w:fill="auto"/>
          </w:tcPr>
          <w:p w:rsidR="00F30B67" w:rsidRPr="006D3DBC" w:rsidRDefault="00F30B67" w:rsidP="00F30B67">
            <w:pPr>
              <w:pStyle w:val="BMSTableText"/>
              <w:spacing w:line="276" w:lineRule="auto"/>
              <w:rPr>
                <w:lang w:val="en-AU"/>
              </w:rPr>
            </w:pPr>
            <w:r w:rsidRPr="006D3DBC">
              <w:t>160 ( 1.8)</w:t>
            </w:r>
          </w:p>
        </w:tc>
        <w:tc>
          <w:tcPr>
            <w:tcW w:w="1134" w:type="dxa"/>
            <w:shd w:val="clear" w:color="auto" w:fill="auto"/>
          </w:tcPr>
          <w:p w:rsidR="00F30B67" w:rsidRPr="006D3DBC" w:rsidRDefault="00F30B67" w:rsidP="00F30B67">
            <w:pPr>
              <w:pStyle w:val="BMSTableText"/>
              <w:spacing w:line="276" w:lineRule="auto"/>
              <w:rPr>
                <w:lang w:val="en-AU"/>
              </w:rPr>
            </w:pPr>
            <w:r w:rsidRPr="006D3DBC">
              <w:t>178 ( 2.0)</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w:t>
            </w:r>
          </w:p>
        </w:tc>
      </w:tr>
      <w:tr w:rsidR="00F30B67" w:rsidRPr="006D3DBC" w:rsidTr="00F30B67">
        <w:trPr>
          <w:jc w:val="center"/>
        </w:trPr>
        <w:tc>
          <w:tcPr>
            <w:tcW w:w="7988" w:type="dxa"/>
            <w:gridSpan w:val="5"/>
            <w:shd w:val="clear" w:color="auto" w:fill="auto"/>
          </w:tcPr>
          <w:p w:rsidR="00F30B67" w:rsidRPr="006D3DBC" w:rsidRDefault="00F30B67" w:rsidP="00F30B67">
            <w:pPr>
              <w:pStyle w:val="BMSTableText"/>
              <w:spacing w:line="276" w:lineRule="auto"/>
              <w:jc w:val="left"/>
              <w:rPr>
                <w:i/>
                <w:lang w:val="en-AU"/>
              </w:rPr>
            </w:pPr>
            <w:r w:rsidRPr="006D3DBC">
              <w:rPr>
                <w:i/>
                <w:lang w:val="en-AU"/>
              </w:rPr>
              <w:t>Investigations</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Blood glucose increased                                                            </w:t>
            </w:r>
          </w:p>
        </w:tc>
        <w:tc>
          <w:tcPr>
            <w:tcW w:w="1136" w:type="dxa"/>
            <w:shd w:val="clear" w:color="auto" w:fill="auto"/>
          </w:tcPr>
          <w:p w:rsidR="00F30B67" w:rsidRPr="006D3DBC" w:rsidRDefault="00F30B67" w:rsidP="00F30B67">
            <w:pPr>
              <w:pStyle w:val="BMSTableText"/>
              <w:spacing w:line="276" w:lineRule="auto"/>
              <w:rPr>
                <w:lang w:val="en-AU"/>
              </w:rPr>
            </w:pPr>
            <w:r w:rsidRPr="006D3DBC">
              <w:t>143 ( 1.6)</w:t>
            </w:r>
          </w:p>
        </w:tc>
        <w:tc>
          <w:tcPr>
            <w:tcW w:w="1134" w:type="dxa"/>
            <w:shd w:val="clear" w:color="auto" w:fill="auto"/>
          </w:tcPr>
          <w:p w:rsidR="00F30B67" w:rsidRPr="006D3DBC" w:rsidRDefault="00F30B67" w:rsidP="00F30B67">
            <w:pPr>
              <w:pStyle w:val="BMSTableText"/>
              <w:spacing w:line="276" w:lineRule="auto"/>
              <w:rPr>
                <w:lang w:val="en-AU"/>
              </w:rPr>
            </w:pPr>
            <w:r w:rsidRPr="006D3DBC">
              <w:t>123 ( 1.4)</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Blood pressure increased                                                          </w:t>
            </w:r>
          </w:p>
        </w:tc>
        <w:tc>
          <w:tcPr>
            <w:tcW w:w="1136" w:type="dxa"/>
            <w:shd w:val="clear" w:color="auto" w:fill="auto"/>
          </w:tcPr>
          <w:p w:rsidR="00F30B67" w:rsidRPr="006D3DBC" w:rsidRDefault="00F30B67" w:rsidP="00F30B67">
            <w:pPr>
              <w:pStyle w:val="BMSTableText"/>
              <w:spacing w:line="276" w:lineRule="auto"/>
              <w:rPr>
                <w:lang w:val="en-AU"/>
              </w:rPr>
            </w:pPr>
            <w:r w:rsidRPr="006D3DBC">
              <w:t>134 ( 1.5)</w:t>
            </w:r>
          </w:p>
        </w:tc>
        <w:tc>
          <w:tcPr>
            <w:tcW w:w="1134" w:type="dxa"/>
            <w:shd w:val="clear" w:color="auto" w:fill="auto"/>
          </w:tcPr>
          <w:p w:rsidR="00F30B67" w:rsidRPr="006D3DBC" w:rsidRDefault="00F30B67" w:rsidP="00F30B67">
            <w:pPr>
              <w:pStyle w:val="BMSTableText"/>
              <w:spacing w:line="276" w:lineRule="auto"/>
              <w:rPr>
                <w:lang w:val="en-AU"/>
              </w:rPr>
            </w:pPr>
            <w:r w:rsidRPr="006D3DBC">
              <w:t>138 ( 1.5)</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32 ( 1.1)              </w:t>
            </w:r>
          </w:p>
        </w:tc>
        <w:tc>
          <w:tcPr>
            <w:tcW w:w="1275" w:type="dxa"/>
            <w:shd w:val="clear" w:color="auto" w:fill="auto"/>
          </w:tcPr>
          <w:p w:rsidR="00F30B67" w:rsidRPr="006D3DBC" w:rsidRDefault="00F30B67" w:rsidP="00F30B67">
            <w:pPr>
              <w:pStyle w:val="BMSTableText"/>
              <w:spacing w:line="276" w:lineRule="auto"/>
              <w:rPr>
                <w:lang w:val="en-AU"/>
              </w:rPr>
            </w:pPr>
            <w:r w:rsidRPr="006D3DBC">
              <w:t>19 ( 0.7)</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Blood </w:t>
            </w:r>
            <w:proofErr w:type="spellStart"/>
            <w:r w:rsidRPr="006D3DBC">
              <w:t>creatinine</w:t>
            </w:r>
            <w:proofErr w:type="spellEnd"/>
            <w:r w:rsidRPr="006D3DBC">
              <w:t xml:space="preserve"> increased                                                         </w:t>
            </w:r>
          </w:p>
        </w:tc>
        <w:tc>
          <w:tcPr>
            <w:tcW w:w="1136" w:type="dxa"/>
            <w:shd w:val="clear" w:color="auto" w:fill="auto"/>
          </w:tcPr>
          <w:p w:rsidR="00F30B67" w:rsidRPr="006D3DBC" w:rsidRDefault="00F30B67" w:rsidP="00F30B67">
            <w:pPr>
              <w:pStyle w:val="BMSTableText"/>
              <w:spacing w:line="276" w:lineRule="auto"/>
              <w:rPr>
                <w:lang w:val="en-AU"/>
              </w:rPr>
            </w:pPr>
            <w:r w:rsidRPr="006D3DBC">
              <w:t>132 ( 1.5)</w:t>
            </w:r>
          </w:p>
        </w:tc>
        <w:tc>
          <w:tcPr>
            <w:tcW w:w="1134" w:type="dxa"/>
            <w:shd w:val="clear" w:color="auto" w:fill="auto"/>
          </w:tcPr>
          <w:p w:rsidR="00F30B67" w:rsidRPr="006D3DBC" w:rsidRDefault="00F30B67" w:rsidP="00F30B67">
            <w:pPr>
              <w:pStyle w:val="BMSTableText"/>
              <w:spacing w:line="276" w:lineRule="auto"/>
              <w:rPr>
                <w:lang w:val="en-AU"/>
              </w:rPr>
            </w:pPr>
            <w:r w:rsidRPr="006D3DBC">
              <w:t>143 ( 1.6)</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Blood </w:t>
            </w:r>
            <w:proofErr w:type="spellStart"/>
            <w:r w:rsidRPr="006D3DBC">
              <w:t>creatine</w:t>
            </w:r>
            <w:proofErr w:type="spellEnd"/>
            <w:r w:rsidRPr="006D3DBC">
              <w:t xml:space="preserve"> </w:t>
            </w:r>
            <w:proofErr w:type="spellStart"/>
            <w:r w:rsidRPr="006D3DBC">
              <w:t>phosphokinase</w:t>
            </w:r>
            <w:proofErr w:type="spellEnd"/>
            <w:r w:rsidRPr="006D3DBC">
              <w:t xml:space="preserve"> increased                                             </w:t>
            </w:r>
          </w:p>
        </w:tc>
        <w:tc>
          <w:tcPr>
            <w:tcW w:w="1136" w:type="dxa"/>
            <w:shd w:val="clear" w:color="auto" w:fill="auto"/>
          </w:tcPr>
          <w:p w:rsidR="00F30B67" w:rsidRPr="006D3DBC" w:rsidRDefault="00F30B67" w:rsidP="00F30B67">
            <w:pPr>
              <w:pStyle w:val="BMSTableText"/>
              <w:spacing w:line="276" w:lineRule="auto"/>
              <w:rPr>
                <w:lang w:val="en-AU"/>
              </w:rPr>
            </w:pPr>
            <w:r w:rsidRPr="006D3DBC">
              <w:t>100 ( 1.1)</w:t>
            </w:r>
          </w:p>
        </w:tc>
        <w:tc>
          <w:tcPr>
            <w:tcW w:w="1134" w:type="dxa"/>
            <w:shd w:val="clear" w:color="auto" w:fill="auto"/>
          </w:tcPr>
          <w:p w:rsidR="00F30B67" w:rsidRPr="006D3DBC" w:rsidRDefault="00F30B67" w:rsidP="00F30B67">
            <w:pPr>
              <w:pStyle w:val="BMSTableText"/>
              <w:spacing w:line="276" w:lineRule="auto"/>
              <w:rPr>
                <w:lang w:val="en-AU"/>
              </w:rPr>
            </w:pPr>
            <w:r w:rsidRPr="006D3DBC">
              <w:t>123 ( 1.4)</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22 ( 0.8)              </w:t>
            </w:r>
          </w:p>
        </w:tc>
        <w:tc>
          <w:tcPr>
            <w:tcW w:w="1275" w:type="dxa"/>
            <w:shd w:val="clear" w:color="auto" w:fill="auto"/>
          </w:tcPr>
          <w:p w:rsidR="00F30B67" w:rsidRPr="006D3DBC" w:rsidRDefault="00F30B67" w:rsidP="00F30B67">
            <w:pPr>
              <w:pStyle w:val="BMSTableText"/>
              <w:spacing w:line="276" w:lineRule="auto"/>
              <w:rPr>
                <w:lang w:val="en-AU"/>
              </w:rPr>
            </w:pPr>
            <w:r w:rsidRPr="006D3DBC">
              <w:t>28 ( 1.0)</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Gamma-</w:t>
            </w:r>
            <w:proofErr w:type="spellStart"/>
            <w:r w:rsidRPr="006D3DBC">
              <w:t>glutamyltransferase</w:t>
            </w:r>
            <w:proofErr w:type="spellEnd"/>
            <w:r w:rsidRPr="006D3DBC">
              <w:t xml:space="preserve"> increased                                                 </w:t>
            </w:r>
          </w:p>
        </w:tc>
        <w:tc>
          <w:tcPr>
            <w:tcW w:w="1136" w:type="dxa"/>
            <w:shd w:val="clear" w:color="auto" w:fill="auto"/>
          </w:tcPr>
          <w:p w:rsidR="00F30B67" w:rsidRPr="006D3DBC" w:rsidRDefault="00F30B67" w:rsidP="00F30B67">
            <w:pPr>
              <w:pStyle w:val="BMSTableText"/>
              <w:spacing w:line="276" w:lineRule="auto"/>
              <w:rPr>
                <w:lang w:val="en-AU"/>
              </w:rPr>
            </w:pPr>
            <w:r w:rsidRPr="006D3DBC">
              <w:t>98 ( 1.1)</w:t>
            </w:r>
          </w:p>
        </w:tc>
        <w:tc>
          <w:tcPr>
            <w:tcW w:w="1134" w:type="dxa"/>
            <w:shd w:val="clear" w:color="auto" w:fill="auto"/>
          </w:tcPr>
          <w:p w:rsidR="00F30B67" w:rsidRPr="006D3DBC" w:rsidRDefault="00F30B67" w:rsidP="00F30B67">
            <w:pPr>
              <w:pStyle w:val="BMSTableText"/>
              <w:spacing w:line="276" w:lineRule="auto"/>
              <w:rPr>
                <w:lang w:val="en-AU"/>
              </w:rPr>
            </w:pPr>
            <w:r w:rsidRPr="006D3DBC">
              <w:t>111 ( 1.2)</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w:t>
            </w:r>
          </w:p>
        </w:tc>
      </w:tr>
      <w:tr w:rsidR="00F30B67" w:rsidRPr="006D3DBC" w:rsidTr="00F30B67">
        <w:trPr>
          <w:jc w:val="center"/>
        </w:trPr>
        <w:tc>
          <w:tcPr>
            <w:tcW w:w="7988" w:type="dxa"/>
            <w:gridSpan w:val="5"/>
            <w:shd w:val="clear" w:color="auto" w:fill="auto"/>
          </w:tcPr>
          <w:p w:rsidR="00F30B67" w:rsidRPr="006D3DBC" w:rsidRDefault="00F30B67" w:rsidP="00F30B67">
            <w:pPr>
              <w:pStyle w:val="BMSTableText"/>
              <w:spacing w:line="276" w:lineRule="auto"/>
              <w:jc w:val="left"/>
              <w:rPr>
                <w:i/>
                <w:lang w:val="en-AU"/>
              </w:rPr>
            </w:pPr>
            <w:r w:rsidRPr="006D3DBC">
              <w:rPr>
                <w:i/>
                <w:lang w:val="en-AU"/>
              </w:rPr>
              <w:t>Vascular Disorders</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Hypertension                                                                    </w:t>
            </w:r>
          </w:p>
        </w:tc>
        <w:tc>
          <w:tcPr>
            <w:tcW w:w="1136" w:type="dxa"/>
            <w:shd w:val="clear" w:color="auto" w:fill="auto"/>
          </w:tcPr>
          <w:p w:rsidR="00F30B67" w:rsidRPr="006D3DBC" w:rsidRDefault="00F30B67" w:rsidP="00F30B67">
            <w:pPr>
              <w:pStyle w:val="BMSTableText"/>
              <w:spacing w:line="276" w:lineRule="auto"/>
              <w:rPr>
                <w:lang w:val="en-AU"/>
              </w:rPr>
            </w:pPr>
            <w:r w:rsidRPr="006D3DBC">
              <w:t>386 ( 4.2)</w:t>
            </w:r>
          </w:p>
        </w:tc>
        <w:tc>
          <w:tcPr>
            <w:tcW w:w="1134" w:type="dxa"/>
            <w:shd w:val="clear" w:color="auto" w:fill="auto"/>
          </w:tcPr>
          <w:p w:rsidR="00F30B67" w:rsidRPr="006D3DBC" w:rsidRDefault="00F30B67" w:rsidP="00F30B67">
            <w:pPr>
              <w:pStyle w:val="BMSTableText"/>
              <w:spacing w:line="276" w:lineRule="auto"/>
              <w:rPr>
                <w:lang w:val="en-AU"/>
              </w:rPr>
            </w:pPr>
            <w:r w:rsidRPr="006D3DBC">
              <w:t>409 ( 4.5)</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80 ( 2.9)             </w:t>
            </w:r>
          </w:p>
        </w:tc>
        <w:tc>
          <w:tcPr>
            <w:tcW w:w="1275" w:type="dxa"/>
            <w:shd w:val="clear" w:color="auto" w:fill="auto"/>
          </w:tcPr>
          <w:p w:rsidR="00F30B67" w:rsidRPr="006D3DBC" w:rsidRDefault="00F30B67" w:rsidP="00F30B67">
            <w:pPr>
              <w:pStyle w:val="BMSTableText"/>
              <w:spacing w:line="276" w:lineRule="auto"/>
              <w:rPr>
                <w:lang w:val="en-AU"/>
              </w:rPr>
            </w:pPr>
            <w:r w:rsidRPr="006D3DBC">
              <w:t>104 ( 3.7)</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proofErr w:type="spellStart"/>
            <w:r w:rsidRPr="006D3DBC">
              <w:t>Haematoma</w:t>
            </w:r>
            <w:proofErr w:type="spellEnd"/>
            <w:r w:rsidRPr="006D3DBC">
              <w:t xml:space="preserve">                                                                      </w:t>
            </w:r>
          </w:p>
        </w:tc>
        <w:tc>
          <w:tcPr>
            <w:tcW w:w="1136" w:type="dxa"/>
            <w:shd w:val="clear" w:color="auto" w:fill="auto"/>
          </w:tcPr>
          <w:p w:rsidR="00F30B67" w:rsidRPr="006D3DBC" w:rsidRDefault="00F30B67" w:rsidP="00F30B67">
            <w:pPr>
              <w:pStyle w:val="BMSTableText"/>
              <w:spacing w:line="276" w:lineRule="auto"/>
              <w:rPr>
                <w:lang w:val="en-AU"/>
              </w:rPr>
            </w:pPr>
            <w:r w:rsidRPr="006D3DBC">
              <w:t>224 ( 2.5)</w:t>
            </w:r>
          </w:p>
        </w:tc>
        <w:tc>
          <w:tcPr>
            <w:tcW w:w="1134" w:type="dxa"/>
            <w:shd w:val="clear" w:color="auto" w:fill="auto"/>
          </w:tcPr>
          <w:p w:rsidR="00F30B67" w:rsidRPr="006D3DBC" w:rsidRDefault="00F30B67" w:rsidP="00F30B67">
            <w:pPr>
              <w:pStyle w:val="BMSTableText"/>
              <w:spacing w:line="276" w:lineRule="auto"/>
              <w:rPr>
                <w:lang w:val="en-AU"/>
              </w:rPr>
            </w:pPr>
            <w:r w:rsidRPr="006D3DBC">
              <w:t>424 ( 4.7)</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Hypotension                                                                  </w:t>
            </w:r>
          </w:p>
        </w:tc>
        <w:tc>
          <w:tcPr>
            <w:tcW w:w="1136" w:type="dxa"/>
            <w:shd w:val="clear" w:color="auto" w:fill="auto"/>
          </w:tcPr>
          <w:p w:rsidR="00F30B67" w:rsidRPr="006D3DBC" w:rsidRDefault="00F30B67" w:rsidP="00F30B67">
            <w:pPr>
              <w:pStyle w:val="BMSTableText"/>
              <w:spacing w:line="276" w:lineRule="auto"/>
              <w:rPr>
                <w:lang w:val="en-AU"/>
              </w:rPr>
            </w:pPr>
            <w:r w:rsidRPr="006D3DBC">
              <w:t>196 ( 2.2)</w:t>
            </w:r>
          </w:p>
        </w:tc>
        <w:tc>
          <w:tcPr>
            <w:tcW w:w="1134" w:type="dxa"/>
            <w:shd w:val="clear" w:color="auto" w:fill="auto"/>
          </w:tcPr>
          <w:p w:rsidR="00F30B67" w:rsidRPr="006D3DBC" w:rsidRDefault="00F30B67" w:rsidP="00F30B67">
            <w:pPr>
              <w:pStyle w:val="BMSTableText"/>
              <w:spacing w:line="276" w:lineRule="auto"/>
              <w:rPr>
                <w:lang w:val="en-AU"/>
              </w:rPr>
            </w:pPr>
            <w:r w:rsidRPr="006D3DBC">
              <w:t>169 ( 1.9)</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32 ( 1.1)              </w:t>
            </w:r>
          </w:p>
        </w:tc>
        <w:tc>
          <w:tcPr>
            <w:tcW w:w="1275" w:type="dxa"/>
            <w:shd w:val="clear" w:color="auto" w:fill="auto"/>
          </w:tcPr>
          <w:p w:rsidR="00F30B67" w:rsidRPr="006D3DBC" w:rsidRDefault="00F30B67" w:rsidP="00F30B67">
            <w:pPr>
              <w:pStyle w:val="BMSTableText"/>
              <w:spacing w:line="276" w:lineRule="auto"/>
              <w:rPr>
                <w:lang w:val="en-AU"/>
              </w:rPr>
            </w:pPr>
            <w:r w:rsidRPr="006D3DBC">
              <w:t>28 ( 1.0)</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proofErr w:type="spellStart"/>
            <w:r w:rsidRPr="006D3DBC">
              <w:t>Haemorrhage</w:t>
            </w:r>
            <w:proofErr w:type="spellEnd"/>
            <w:r w:rsidRPr="006D3DBC">
              <w:t xml:space="preserve">                                                                     </w:t>
            </w:r>
          </w:p>
        </w:tc>
        <w:tc>
          <w:tcPr>
            <w:tcW w:w="1136" w:type="dxa"/>
            <w:shd w:val="clear" w:color="auto" w:fill="auto"/>
          </w:tcPr>
          <w:p w:rsidR="00F30B67" w:rsidRPr="006D3DBC" w:rsidRDefault="00F30B67" w:rsidP="00F30B67">
            <w:pPr>
              <w:pStyle w:val="BMSTableText"/>
              <w:spacing w:line="276" w:lineRule="auto"/>
              <w:rPr>
                <w:lang w:val="en-AU"/>
              </w:rPr>
            </w:pPr>
            <w:r w:rsidRPr="006D3DBC">
              <w:t>106 ( 1.2)</w:t>
            </w:r>
          </w:p>
        </w:tc>
        <w:tc>
          <w:tcPr>
            <w:tcW w:w="1134" w:type="dxa"/>
            <w:shd w:val="clear" w:color="auto" w:fill="auto"/>
          </w:tcPr>
          <w:p w:rsidR="00F30B67" w:rsidRPr="006D3DBC" w:rsidRDefault="00F30B67" w:rsidP="00F30B67">
            <w:pPr>
              <w:pStyle w:val="BMSTableText"/>
              <w:spacing w:line="276" w:lineRule="auto"/>
              <w:rPr>
                <w:lang w:val="en-AU"/>
              </w:rPr>
            </w:pPr>
            <w:r w:rsidRPr="006D3DBC">
              <w:t>122 ( 1.3)</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w:t>
            </w:r>
          </w:p>
        </w:tc>
      </w:tr>
      <w:tr w:rsidR="00F30B67" w:rsidRPr="006D3DBC" w:rsidTr="00F30B67">
        <w:trPr>
          <w:jc w:val="center"/>
        </w:trPr>
        <w:tc>
          <w:tcPr>
            <w:tcW w:w="7988" w:type="dxa"/>
            <w:gridSpan w:val="5"/>
            <w:shd w:val="clear" w:color="auto" w:fill="auto"/>
          </w:tcPr>
          <w:p w:rsidR="00F30B67" w:rsidRPr="006D3DBC" w:rsidRDefault="00F30B67" w:rsidP="00F30B67">
            <w:pPr>
              <w:pStyle w:val="BMSTableText"/>
              <w:spacing w:line="276" w:lineRule="auto"/>
              <w:jc w:val="left"/>
              <w:rPr>
                <w:i/>
                <w:lang w:val="en-AU"/>
              </w:rPr>
            </w:pPr>
            <w:r w:rsidRPr="006D3DBC">
              <w:rPr>
                <w:i/>
                <w:lang w:val="en-AU"/>
              </w:rPr>
              <w:t>Metabolism and Nutrition Disorders</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Gout                                                                               </w:t>
            </w:r>
          </w:p>
        </w:tc>
        <w:tc>
          <w:tcPr>
            <w:tcW w:w="1136" w:type="dxa"/>
            <w:shd w:val="clear" w:color="auto" w:fill="auto"/>
          </w:tcPr>
          <w:p w:rsidR="00F30B67" w:rsidRPr="006D3DBC" w:rsidRDefault="00F30B67" w:rsidP="00F30B67">
            <w:pPr>
              <w:pStyle w:val="BMSTableText"/>
              <w:spacing w:line="276" w:lineRule="auto"/>
              <w:rPr>
                <w:lang w:val="en-AU"/>
              </w:rPr>
            </w:pPr>
            <w:r w:rsidRPr="006D3DBC">
              <w:t>210 ( 2.3)</w:t>
            </w:r>
          </w:p>
        </w:tc>
        <w:tc>
          <w:tcPr>
            <w:tcW w:w="1134" w:type="dxa"/>
            <w:shd w:val="clear" w:color="auto" w:fill="auto"/>
          </w:tcPr>
          <w:p w:rsidR="00F30B67" w:rsidRPr="006D3DBC" w:rsidRDefault="00F30B67" w:rsidP="00F30B67">
            <w:pPr>
              <w:pStyle w:val="BMSTableText"/>
              <w:spacing w:line="276" w:lineRule="auto"/>
              <w:rPr>
                <w:lang w:val="en-AU"/>
              </w:rPr>
            </w:pPr>
            <w:r w:rsidRPr="006D3DBC">
              <w:t>222 ( 2.5)</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33 ( 1.2)              </w:t>
            </w:r>
          </w:p>
        </w:tc>
        <w:tc>
          <w:tcPr>
            <w:tcW w:w="1275" w:type="dxa"/>
            <w:shd w:val="clear" w:color="auto" w:fill="auto"/>
          </w:tcPr>
          <w:p w:rsidR="00F30B67" w:rsidRPr="006D3DBC" w:rsidRDefault="00F30B67" w:rsidP="00F30B67">
            <w:pPr>
              <w:pStyle w:val="BMSTableText"/>
              <w:spacing w:line="276" w:lineRule="auto"/>
              <w:rPr>
                <w:lang w:val="en-AU"/>
              </w:rPr>
            </w:pPr>
            <w:r w:rsidRPr="006D3DBC">
              <w:t>27 ( 1.0)</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Diabetes mellitus                                                                  </w:t>
            </w:r>
          </w:p>
        </w:tc>
        <w:tc>
          <w:tcPr>
            <w:tcW w:w="1136" w:type="dxa"/>
            <w:shd w:val="clear" w:color="auto" w:fill="auto"/>
          </w:tcPr>
          <w:p w:rsidR="00F30B67" w:rsidRPr="006D3DBC" w:rsidRDefault="00F30B67" w:rsidP="00F30B67">
            <w:pPr>
              <w:pStyle w:val="BMSTableText"/>
              <w:spacing w:line="276" w:lineRule="auto"/>
              <w:rPr>
                <w:lang w:val="en-AU"/>
              </w:rPr>
            </w:pPr>
            <w:r w:rsidRPr="006D3DBC">
              <w:t>179 ( 2.0)</w:t>
            </w:r>
          </w:p>
        </w:tc>
        <w:tc>
          <w:tcPr>
            <w:tcW w:w="1134" w:type="dxa"/>
            <w:shd w:val="clear" w:color="auto" w:fill="auto"/>
          </w:tcPr>
          <w:p w:rsidR="00F30B67" w:rsidRPr="006D3DBC" w:rsidRDefault="00F30B67" w:rsidP="00F30B67">
            <w:pPr>
              <w:pStyle w:val="BMSTableText"/>
              <w:spacing w:line="276" w:lineRule="auto"/>
              <w:rPr>
                <w:lang w:val="en-AU"/>
              </w:rPr>
            </w:pPr>
            <w:r w:rsidRPr="006D3DBC">
              <w:t>191 ( 2.1)</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32 ( 1.1)              </w:t>
            </w:r>
          </w:p>
        </w:tc>
        <w:tc>
          <w:tcPr>
            <w:tcW w:w="1275" w:type="dxa"/>
            <w:shd w:val="clear" w:color="auto" w:fill="auto"/>
          </w:tcPr>
          <w:p w:rsidR="00F30B67" w:rsidRPr="006D3DBC" w:rsidRDefault="00F30B67" w:rsidP="00F30B67">
            <w:pPr>
              <w:pStyle w:val="BMSTableText"/>
              <w:spacing w:line="276" w:lineRule="auto"/>
              <w:rPr>
                <w:lang w:val="en-AU"/>
              </w:rPr>
            </w:pPr>
            <w:r w:rsidRPr="006D3DBC">
              <w:t>24 ( 0.9)</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proofErr w:type="spellStart"/>
            <w:r w:rsidRPr="006D3DBC">
              <w:t>Hyperglycaemia</w:t>
            </w:r>
            <w:proofErr w:type="spellEnd"/>
            <w:r w:rsidRPr="006D3DBC">
              <w:t xml:space="preserve">                                                              </w:t>
            </w:r>
          </w:p>
        </w:tc>
        <w:tc>
          <w:tcPr>
            <w:tcW w:w="1136" w:type="dxa"/>
            <w:shd w:val="clear" w:color="auto" w:fill="auto"/>
          </w:tcPr>
          <w:p w:rsidR="00F30B67" w:rsidRPr="006D3DBC" w:rsidRDefault="00F30B67" w:rsidP="00F30B67">
            <w:pPr>
              <w:pStyle w:val="BMSTableText"/>
              <w:spacing w:line="276" w:lineRule="auto"/>
              <w:rPr>
                <w:lang w:val="en-AU"/>
              </w:rPr>
            </w:pPr>
            <w:r w:rsidRPr="006D3DBC">
              <w:t>119 ( 1.3)</w:t>
            </w:r>
          </w:p>
        </w:tc>
        <w:tc>
          <w:tcPr>
            <w:tcW w:w="1134" w:type="dxa"/>
            <w:shd w:val="clear" w:color="auto" w:fill="auto"/>
          </w:tcPr>
          <w:p w:rsidR="00F30B67" w:rsidRPr="006D3DBC" w:rsidRDefault="00F30B67" w:rsidP="00F30B67">
            <w:pPr>
              <w:pStyle w:val="BMSTableText"/>
              <w:spacing w:line="276" w:lineRule="auto"/>
              <w:rPr>
                <w:lang w:val="en-AU"/>
              </w:rPr>
            </w:pPr>
            <w:r w:rsidRPr="006D3DBC">
              <w:t>100 ( 1.1)</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Decreased appetite                                                                  </w:t>
            </w:r>
          </w:p>
        </w:tc>
        <w:tc>
          <w:tcPr>
            <w:tcW w:w="1136" w:type="dxa"/>
            <w:shd w:val="clear" w:color="auto" w:fill="auto"/>
          </w:tcPr>
          <w:p w:rsidR="00F30B67" w:rsidRPr="006D3DBC" w:rsidRDefault="00F30B67" w:rsidP="00F30B67">
            <w:pPr>
              <w:pStyle w:val="BMSTableText"/>
              <w:spacing w:line="276" w:lineRule="auto"/>
              <w:rPr>
                <w:lang w:val="en-AU"/>
              </w:rPr>
            </w:pPr>
            <w:r w:rsidRPr="006D3DBC">
              <w:t>106 ( 1.2)</w:t>
            </w:r>
          </w:p>
        </w:tc>
        <w:tc>
          <w:tcPr>
            <w:tcW w:w="1134" w:type="dxa"/>
            <w:shd w:val="clear" w:color="auto" w:fill="auto"/>
          </w:tcPr>
          <w:p w:rsidR="00F30B67" w:rsidRPr="006D3DBC" w:rsidRDefault="00F30B67" w:rsidP="00F30B67">
            <w:pPr>
              <w:pStyle w:val="BMSTableText"/>
              <w:spacing w:line="276" w:lineRule="auto"/>
              <w:rPr>
                <w:lang w:val="en-AU"/>
              </w:rPr>
            </w:pPr>
            <w:r w:rsidRPr="006D3DBC">
              <w:t>88 ( 1.0)</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28 ( 1.0)              </w:t>
            </w:r>
          </w:p>
        </w:tc>
        <w:tc>
          <w:tcPr>
            <w:tcW w:w="1275" w:type="dxa"/>
            <w:shd w:val="clear" w:color="auto" w:fill="auto"/>
          </w:tcPr>
          <w:p w:rsidR="00F30B67" w:rsidRPr="006D3DBC" w:rsidRDefault="00F30B67" w:rsidP="00F30B67">
            <w:pPr>
              <w:pStyle w:val="BMSTableText"/>
              <w:spacing w:line="276" w:lineRule="auto"/>
              <w:rPr>
                <w:lang w:val="en-AU"/>
              </w:rPr>
            </w:pPr>
            <w:r w:rsidRPr="006D3DBC">
              <w:t>25 ( 0.9)</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proofErr w:type="spellStart"/>
            <w:r w:rsidRPr="006D3DBC">
              <w:t>Hypokalaemia</w:t>
            </w:r>
            <w:proofErr w:type="spellEnd"/>
            <w:r w:rsidRPr="006D3DBC">
              <w:t xml:space="preserve">                                                                  </w:t>
            </w:r>
          </w:p>
        </w:tc>
        <w:tc>
          <w:tcPr>
            <w:tcW w:w="1136" w:type="dxa"/>
            <w:shd w:val="clear" w:color="auto" w:fill="auto"/>
          </w:tcPr>
          <w:p w:rsidR="00F30B67" w:rsidRPr="006D3DBC" w:rsidRDefault="00F30B67" w:rsidP="00F30B67">
            <w:pPr>
              <w:pStyle w:val="BMSTableText"/>
              <w:spacing w:line="276" w:lineRule="auto"/>
              <w:rPr>
                <w:lang w:val="en-AU"/>
              </w:rPr>
            </w:pPr>
            <w:r w:rsidRPr="006D3DBC">
              <w:t>105 ( 1.2)</w:t>
            </w:r>
          </w:p>
        </w:tc>
        <w:tc>
          <w:tcPr>
            <w:tcW w:w="1134" w:type="dxa"/>
            <w:shd w:val="clear" w:color="auto" w:fill="auto"/>
          </w:tcPr>
          <w:p w:rsidR="00F30B67" w:rsidRPr="006D3DBC" w:rsidRDefault="00F30B67" w:rsidP="00F30B67">
            <w:pPr>
              <w:pStyle w:val="BMSTableText"/>
              <w:spacing w:line="276" w:lineRule="auto"/>
              <w:rPr>
                <w:lang w:val="en-AU"/>
              </w:rPr>
            </w:pPr>
            <w:r w:rsidRPr="006D3DBC">
              <w:t>106 ( 1.2)</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w:t>
            </w:r>
          </w:p>
        </w:tc>
      </w:tr>
      <w:tr w:rsidR="00F30B67" w:rsidRPr="006D3DBC" w:rsidTr="00F30B67">
        <w:trPr>
          <w:jc w:val="center"/>
        </w:trPr>
        <w:tc>
          <w:tcPr>
            <w:tcW w:w="7988" w:type="dxa"/>
            <w:gridSpan w:val="5"/>
            <w:shd w:val="clear" w:color="auto" w:fill="auto"/>
          </w:tcPr>
          <w:p w:rsidR="00F30B67" w:rsidRPr="006D3DBC" w:rsidRDefault="00F30B67" w:rsidP="00F30B67">
            <w:pPr>
              <w:pStyle w:val="BMSTableText"/>
              <w:spacing w:line="276" w:lineRule="auto"/>
              <w:jc w:val="left"/>
              <w:rPr>
                <w:i/>
                <w:lang w:val="en-AU"/>
              </w:rPr>
            </w:pPr>
            <w:r w:rsidRPr="006D3DBC">
              <w:rPr>
                <w:i/>
              </w:rPr>
              <w:t>Skin and Subcutaneous Tissue Disorders</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Rash                                                                               </w:t>
            </w:r>
          </w:p>
        </w:tc>
        <w:tc>
          <w:tcPr>
            <w:tcW w:w="1136" w:type="dxa"/>
            <w:shd w:val="clear" w:color="auto" w:fill="auto"/>
          </w:tcPr>
          <w:p w:rsidR="00F30B67" w:rsidRPr="006D3DBC" w:rsidRDefault="00F30B67" w:rsidP="00F30B67">
            <w:pPr>
              <w:pStyle w:val="BMSTableText"/>
              <w:spacing w:line="276" w:lineRule="auto"/>
              <w:rPr>
                <w:lang w:val="en-AU"/>
              </w:rPr>
            </w:pPr>
            <w:r w:rsidRPr="006D3DBC">
              <w:t>185 ( 2.0)</w:t>
            </w:r>
          </w:p>
        </w:tc>
        <w:tc>
          <w:tcPr>
            <w:tcW w:w="1134" w:type="dxa"/>
            <w:shd w:val="clear" w:color="auto" w:fill="auto"/>
          </w:tcPr>
          <w:p w:rsidR="00F30B67" w:rsidRPr="006D3DBC" w:rsidRDefault="00F30B67" w:rsidP="00F30B67">
            <w:pPr>
              <w:pStyle w:val="BMSTableText"/>
              <w:spacing w:line="276" w:lineRule="auto"/>
              <w:rPr>
                <w:lang w:val="en-AU"/>
              </w:rPr>
            </w:pPr>
            <w:r w:rsidRPr="006D3DBC">
              <w:t>194 ( 2.1)</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39 ( 1.4)              </w:t>
            </w:r>
          </w:p>
        </w:tc>
        <w:tc>
          <w:tcPr>
            <w:tcW w:w="1275" w:type="dxa"/>
            <w:shd w:val="clear" w:color="auto" w:fill="auto"/>
          </w:tcPr>
          <w:p w:rsidR="00F30B67" w:rsidRPr="006D3DBC" w:rsidRDefault="00F30B67" w:rsidP="00F30B67">
            <w:pPr>
              <w:pStyle w:val="BMSTableText"/>
              <w:spacing w:line="276" w:lineRule="auto"/>
              <w:rPr>
                <w:lang w:val="en-AU"/>
              </w:rPr>
            </w:pPr>
            <w:r w:rsidRPr="006D3DBC">
              <w:t>28 ( 1.0)</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proofErr w:type="spellStart"/>
            <w:r w:rsidRPr="006D3DBC">
              <w:t>Pruritis</w:t>
            </w:r>
            <w:proofErr w:type="spellEnd"/>
            <w:r w:rsidRPr="006D3DBC">
              <w:t xml:space="preserve">                                                                      </w:t>
            </w:r>
          </w:p>
        </w:tc>
        <w:tc>
          <w:tcPr>
            <w:tcW w:w="1136" w:type="dxa"/>
            <w:shd w:val="clear" w:color="auto" w:fill="auto"/>
          </w:tcPr>
          <w:p w:rsidR="00F30B67" w:rsidRPr="006D3DBC" w:rsidRDefault="00F30B67" w:rsidP="00F30B67">
            <w:pPr>
              <w:pStyle w:val="BMSTableText"/>
              <w:spacing w:line="276" w:lineRule="auto"/>
              <w:rPr>
                <w:lang w:val="en-AU"/>
              </w:rPr>
            </w:pPr>
            <w:r w:rsidRPr="006D3DBC">
              <w:t>184 ( 2.0)</w:t>
            </w:r>
          </w:p>
        </w:tc>
        <w:tc>
          <w:tcPr>
            <w:tcW w:w="1134" w:type="dxa"/>
            <w:shd w:val="clear" w:color="auto" w:fill="auto"/>
          </w:tcPr>
          <w:p w:rsidR="00F30B67" w:rsidRPr="006D3DBC" w:rsidRDefault="00F30B67" w:rsidP="00F30B67">
            <w:pPr>
              <w:pStyle w:val="BMSTableText"/>
              <w:spacing w:line="276" w:lineRule="auto"/>
              <w:rPr>
                <w:lang w:val="en-AU"/>
              </w:rPr>
            </w:pPr>
            <w:r w:rsidRPr="006D3DBC">
              <w:t>139 ( 1.5)</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37 ( 1.3)              </w:t>
            </w:r>
          </w:p>
        </w:tc>
        <w:tc>
          <w:tcPr>
            <w:tcW w:w="1275" w:type="dxa"/>
            <w:shd w:val="clear" w:color="auto" w:fill="auto"/>
          </w:tcPr>
          <w:p w:rsidR="00F30B67" w:rsidRPr="006D3DBC" w:rsidRDefault="00F30B67" w:rsidP="00F30B67">
            <w:pPr>
              <w:pStyle w:val="BMSTableText"/>
              <w:spacing w:line="276" w:lineRule="auto"/>
              <w:rPr>
                <w:lang w:val="en-AU"/>
              </w:rPr>
            </w:pPr>
            <w:r w:rsidRPr="006D3DBC">
              <w:t>29 ( 1.0)</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proofErr w:type="spellStart"/>
            <w:r w:rsidRPr="006D3DBC">
              <w:t>Ecchymosis</w:t>
            </w:r>
            <w:proofErr w:type="spellEnd"/>
            <w:r w:rsidRPr="006D3DBC">
              <w:t xml:space="preserve">                                                                   </w:t>
            </w:r>
          </w:p>
        </w:tc>
        <w:tc>
          <w:tcPr>
            <w:tcW w:w="1136" w:type="dxa"/>
            <w:shd w:val="clear" w:color="auto" w:fill="auto"/>
          </w:tcPr>
          <w:p w:rsidR="00F30B67" w:rsidRPr="006D3DBC" w:rsidRDefault="00F30B67" w:rsidP="00F30B67">
            <w:pPr>
              <w:pStyle w:val="BMSTableText"/>
              <w:spacing w:line="276" w:lineRule="auto"/>
              <w:rPr>
                <w:lang w:val="en-AU"/>
              </w:rPr>
            </w:pPr>
            <w:r w:rsidRPr="006D3DBC">
              <w:t>140 ( 1.5)</w:t>
            </w:r>
          </w:p>
        </w:tc>
        <w:tc>
          <w:tcPr>
            <w:tcW w:w="1134" w:type="dxa"/>
            <w:shd w:val="clear" w:color="auto" w:fill="auto"/>
          </w:tcPr>
          <w:p w:rsidR="00F30B67" w:rsidRPr="006D3DBC" w:rsidRDefault="00F30B67" w:rsidP="00F30B67">
            <w:pPr>
              <w:pStyle w:val="BMSTableText"/>
              <w:spacing w:line="276" w:lineRule="auto"/>
              <w:rPr>
                <w:lang w:val="en-AU"/>
              </w:rPr>
            </w:pPr>
            <w:r w:rsidRPr="006D3DBC">
              <w:t>228 ( 2.5)</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w:t>
            </w:r>
          </w:p>
        </w:tc>
      </w:tr>
      <w:tr w:rsidR="00F30B67" w:rsidRPr="006D3DBC" w:rsidTr="00F30B67">
        <w:trPr>
          <w:jc w:val="center"/>
        </w:trPr>
        <w:tc>
          <w:tcPr>
            <w:tcW w:w="7988" w:type="dxa"/>
            <w:gridSpan w:val="5"/>
            <w:shd w:val="clear" w:color="auto" w:fill="auto"/>
          </w:tcPr>
          <w:p w:rsidR="00F30B67" w:rsidRPr="006D3DBC" w:rsidRDefault="00F30B67" w:rsidP="00F30B67">
            <w:pPr>
              <w:pStyle w:val="BMSTableText"/>
              <w:spacing w:line="276" w:lineRule="auto"/>
              <w:jc w:val="left"/>
              <w:rPr>
                <w:i/>
                <w:lang w:val="en-AU"/>
              </w:rPr>
            </w:pPr>
            <w:r w:rsidRPr="006D3DBC">
              <w:rPr>
                <w:i/>
              </w:rPr>
              <w:t>Renal and Urinary Disorders</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proofErr w:type="spellStart"/>
            <w:r w:rsidRPr="006D3DBC">
              <w:t>Haematuria</w:t>
            </w:r>
            <w:proofErr w:type="spellEnd"/>
            <w:r w:rsidRPr="006D3DBC">
              <w:t xml:space="preserve">                                                                     </w:t>
            </w:r>
          </w:p>
        </w:tc>
        <w:tc>
          <w:tcPr>
            <w:tcW w:w="1136" w:type="dxa"/>
            <w:shd w:val="clear" w:color="auto" w:fill="auto"/>
          </w:tcPr>
          <w:p w:rsidR="00F30B67" w:rsidRPr="006D3DBC" w:rsidRDefault="00F30B67" w:rsidP="00F30B67">
            <w:pPr>
              <w:pStyle w:val="BMSTableText"/>
              <w:spacing w:line="276" w:lineRule="auto"/>
              <w:rPr>
                <w:lang w:val="en-AU"/>
              </w:rPr>
            </w:pPr>
            <w:r w:rsidRPr="006D3DBC">
              <w:t>338 ( 3.7)</w:t>
            </w:r>
          </w:p>
        </w:tc>
        <w:tc>
          <w:tcPr>
            <w:tcW w:w="1134" w:type="dxa"/>
            <w:shd w:val="clear" w:color="auto" w:fill="auto"/>
          </w:tcPr>
          <w:p w:rsidR="00F30B67" w:rsidRPr="006D3DBC" w:rsidRDefault="00F30B67" w:rsidP="00F30B67">
            <w:pPr>
              <w:pStyle w:val="BMSTableText"/>
              <w:spacing w:line="276" w:lineRule="auto"/>
              <w:rPr>
                <w:lang w:val="en-AU"/>
              </w:rPr>
            </w:pPr>
            <w:r w:rsidRPr="006D3DBC">
              <w:t>408 ( 4.5)</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30 ( 1.1)              </w:t>
            </w:r>
          </w:p>
        </w:tc>
        <w:tc>
          <w:tcPr>
            <w:tcW w:w="1275" w:type="dxa"/>
            <w:shd w:val="clear" w:color="auto" w:fill="auto"/>
          </w:tcPr>
          <w:p w:rsidR="00F30B67" w:rsidRPr="006D3DBC" w:rsidRDefault="00F30B67" w:rsidP="00F30B67">
            <w:pPr>
              <w:pStyle w:val="BMSTableText"/>
              <w:spacing w:line="276" w:lineRule="auto"/>
              <w:rPr>
                <w:lang w:val="en-AU"/>
              </w:rPr>
            </w:pPr>
            <w:r w:rsidRPr="006D3DBC">
              <w:t>17 ( 0.6)</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Renal failure                                                                    </w:t>
            </w:r>
          </w:p>
        </w:tc>
        <w:tc>
          <w:tcPr>
            <w:tcW w:w="1136" w:type="dxa"/>
            <w:shd w:val="clear" w:color="auto" w:fill="auto"/>
          </w:tcPr>
          <w:p w:rsidR="00F30B67" w:rsidRPr="006D3DBC" w:rsidRDefault="00F30B67" w:rsidP="00F30B67">
            <w:pPr>
              <w:pStyle w:val="BMSTableText"/>
              <w:spacing w:line="276" w:lineRule="auto"/>
              <w:rPr>
                <w:lang w:val="en-AU"/>
              </w:rPr>
            </w:pPr>
            <w:r w:rsidRPr="006D3DBC">
              <w:t>107 ( 1.2)</w:t>
            </w:r>
          </w:p>
        </w:tc>
        <w:tc>
          <w:tcPr>
            <w:tcW w:w="1134" w:type="dxa"/>
            <w:shd w:val="clear" w:color="auto" w:fill="auto"/>
          </w:tcPr>
          <w:p w:rsidR="00F30B67" w:rsidRPr="006D3DBC" w:rsidRDefault="00F30B67" w:rsidP="00F30B67">
            <w:pPr>
              <w:pStyle w:val="BMSTableText"/>
              <w:spacing w:line="276" w:lineRule="auto"/>
              <w:rPr>
                <w:lang w:val="en-AU"/>
              </w:rPr>
            </w:pPr>
            <w:r w:rsidRPr="006D3DBC">
              <w:t>103 ( 1.1)</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w:t>
            </w:r>
          </w:p>
        </w:tc>
      </w:tr>
      <w:tr w:rsidR="00F30B67" w:rsidRPr="006D3DBC" w:rsidTr="00F30B67">
        <w:trPr>
          <w:jc w:val="center"/>
        </w:trPr>
        <w:tc>
          <w:tcPr>
            <w:tcW w:w="7988" w:type="dxa"/>
            <w:gridSpan w:val="5"/>
            <w:shd w:val="clear" w:color="auto" w:fill="auto"/>
          </w:tcPr>
          <w:p w:rsidR="00F30B67" w:rsidRPr="006D3DBC" w:rsidRDefault="00F30B67" w:rsidP="00F30B67">
            <w:pPr>
              <w:pStyle w:val="BMSTableText"/>
              <w:spacing w:line="276" w:lineRule="auto"/>
              <w:jc w:val="left"/>
              <w:rPr>
                <w:i/>
                <w:lang w:val="en-AU"/>
              </w:rPr>
            </w:pPr>
            <w:r w:rsidRPr="006D3DBC">
              <w:rPr>
                <w:i/>
                <w:lang w:val="en-AU"/>
              </w:rPr>
              <w:t>Eye Disorders</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t xml:space="preserve">Cataract                                                                        </w:t>
            </w:r>
          </w:p>
        </w:tc>
        <w:tc>
          <w:tcPr>
            <w:tcW w:w="1136" w:type="dxa"/>
            <w:shd w:val="clear" w:color="auto" w:fill="auto"/>
          </w:tcPr>
          <w:p w:rsidR="00F30B67" w:rsidRPr="006D3DBC" w:rsidRDefault="00F30B67" w:rsidP="00F30B67">
            <w:pPr>
              <w:pStyle w:val="BMSTableText"/>
              <w:spacing w:line="276" w:lineRule="auto"/>
              <w:rPr>
                <w:lang w:val="en-AU"/>
              </w:rPr>
            </w:pPr>
            <w:r w:rsidRPr="006D3DBC">
              <w:t>180 ( 2.0)</w:t>
            </w:r>
          </w:p>
        </w:tc>
        <w:tc>
          <w:tcPr>
            <w:tcW w:w="1134" w:type="dxa"/>
            <w:shd w:val="clear" w:color="auto" w:fill="auto"/>
          </w:tcPr>
          <w:p w:rsidR="00F30B67" w:rsidRPr="006D3DBC" w:rsidRDefault="00F30B67" w:rsidP="00F30B67">
            <w:pPr>
              <w:pStyle w:val="BMSTableText"/>
              <w:spacing w:line="276" w:lineRule="auto"/>
              <w:rPr>
                <w:lang w:val="en-AU"/>
              </w:rPr>
            </w:pPr>
            <w:r w:rsidRPr="006D3DBC">
              <w:t>184 ( 2.0)</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proofErr w:type="spellStart"/>
            <w:r w:rsidRPr="006D3DBC">
              <w:t>Conjunctival</w:t>
            </w:r>
            <w:proofErr w:type="spellEnd"/>
            <w:r w:rsidRPr="006D3DBC">
              <w:t xml:space="preserve"> </w:t>
            </w:r>
            <w:proofErr w:type="spellStart"/>
            <w:r w:rsidRPr="006D3DBC">
              <w:t>haemorrhage</w:t>
            </w:r>
            <w:proofErr w:type="spellEnd"/>
            <w:r w:rsidRPr="006D3DBC">
              <w:t xml:space="preserve">                                                           </w:t>
            </w:r>
          </w:p>
        </w:tc>
        <w:tc>
          <w:tcPr>
            <w:tcW w:w="1136" w:type="dxa"/>
            <w:shd w:val="clear" w:color="auto" w:fill="auto"/>
          </w:tcPr>
          <w:p w:rsidR="00F30B67" w:rsidRPr="006D3DBC" w:rsidRDefault="00F30B67" w:rsidP="00F30B67">
            <w:pPr>
              <w:pStyle w:val="BMSTableText"/>
              <w:spacing w:line="276" w:lineRule="auto"/>
              <w:rPr>
                <w:lang w:val="en-AU"/>
              </w:rPr>
            </w:pPr>
            <w:r w:rsidRPr="006D3DBC">
              <w:t>103 ( 1.1)</w:t>
            </w:r>
          </w:p>
        </w:tc>
        <w:tc>
          <w:tcPr>
            <w:tcW w:w="1134" w:type="dxa"/>
            <w:shd w:val="clear" w:color="auto" w:fill="auto"/>
          </w:tcPr>
          <w:p w:rsidR="00F30B67" w:rsidRPr="006D3DBC" w:rsidRDefault="00F30B67" w:rsidP="00F30B67">
            <w:pPr>
              <w:pStyle w:val="BMSTableText"/>
              <w:spacing w:line="276" w:lineRule="auto"/>
              <w:rPr>
                <w:lang w:val="en-AU"/>
              </w:rPr>
            </w:pPr>
            <w:r w:rsidRPr="006D3DBC">
              <w:t>206 ( 2.3)</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w:t>
            </w:r>
          </w:p>
        </w:tc>
      </w:tr>
      <w:tr w:rsidR="00F30B67" w:rsidRPr="006D3DBC" w:rsidTr="00F30B67">
        <w:trPr>
          <w:jc w:val="center"/>
        </w:trPr>
        <w:tc>
          <w:tcPr>
            <w:tcW w:w="7988" w:type="dxa"/>
            <w:gridSpan w:val="5"/>
            <w:shd w:val="clear" w:color="auto" w:fill="auto"/>
          </w:tcPr>
          <w:p w:rsidR="00F30B67" w:rsidRPr="006D3DBC" w:rsidRDefault="00F30B67" w:rsidP="00F30B67">
            <w:pPr>
              <w:pStyle w:val="BMSTableText"/>
              <w:spacing w:line="276" w:lineRule="auto"/>
              <w:jc w:val="left"/>
              <w:rPr>
                <w:i/>
                <w:lang w:val="en-AU"/>
              </w:rPr>
            </w:pPr>
            <w:proofErr w:type="spellStart"/>
            <w:r w:rsidRPr="006D3DBC">
              <w:rPr>
                <w:i/>
              </w:rPr>
              <w:t>Neoplasms</w:t>
            </w:r>
            <w:proofErr w:type="spellEnd"/>
            <w:r w:rsidRPr="006D3DBC">
              <w:rPr>
                <w:i/>
              </w:rPr>
              <w:t xml:space="preserve"> Benign, Malignant and Unspecified (</w:t>
            </w:r>
            <w:proofErr w:type="spellStart"/>
            <w:r w:rsidRPr="006D3DBC">
              <w:rPr>
                <w:i/>
              </w:rPr>
              <w:t>Incl</w:t>
            </w:r>
            <w:proofErr w:type="spellEnd"/>
            <w:r w:rsidRPr="006D3DBC">
              <w:rPr>
                <w:i/>
              </w:rPr>
              <w:t xml:space="preserve"> Cysts and Polyps)</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rPr>
                <w:lang w:val="en-AU"/>
              </w:rPr>
            </w:pPr>
            <w:r w:rsidRPr="006D3DBC">
              <w:lastRenderedPageBreak/>
              <w:t xml:space="preserve">Basal cell carcinoma                                                           </w:t>
            </w:r>
          </w:p>
        </w:tc>
        <w:tc>
          <w:tcPr>
            <w:tcW w:w="1136" w:type="dxa"/>
            <w:shd w:val="clear" w:color="auto" w:fill="auto"/>
          </w:tcPr>
          <w:p w:rsidR="00F30B67" w:rsidRPr="006D3DBC" w:rsidRDefault="00F30B67" w:rsidP="00F30B67">
            <w:pPr>
              <w:pStyle w:val="BMSTableText"/>
              <w:spacing w:line="276" w:lineRule="auto"/>
              <w:rPr>
                <w:lang w:val="en-AU"/>
              </w:rPr>
            </w:pPr>
            <w:r w:rsidRPr="006D3DBC">
              <w:t>79 ( 0.9)</w:t>
            </w:r>
          </w:p>
        </w:tc>
        <w:tc>
          <w:tcPr>
            <w:tcW w:w="1134" w:type="dxa"/>
            <w:shd w:val="clear" w:color="auto" w:fill="auto"/>
          </w:tcPr>
          <w:p w:rsidR="00F30B67" w:rsidRPr="006D3DBC" w:rsidRDefault="00F30B67" w:rsidP="00F30B67">
            <w:pPr>
              <w:pStyle w:val="BMSTableText"/>
              <w:spacing w:line="276" w:lineRule="auto"/>
              <w:rPr>
                <w:lang w:val="en-AU"/>
              </w:rPr>
            </w:pPr>
            <w:r w:rsidRPr="006D3DBC">
              <w:t>95 ( 1.0)</w:t>
            </w:r>
          </w:p>
        </w:tc>
        <w:tc>
          <w:tcPr>
            <w:tcW w:w="1276"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5" w:type="dxa"/>
            <w:shd w:val="clear" w:color="auto" w:fill="auto"/>
          </w:tcPr>
          <w:p w:rsidR="00F30B67" w:rsidRPr="006D3DBC" w:rsidRDefault="00F30B67" w:rsidP="00F30B67">
            <w:pPr>
              <w:pStyle w:val="BMSTableText"/>
              <w:spacing w:line="276" w:lineRule="auto"/>
              <w:rPr>
                <w:lang w:val="en-AU"/>
              </w:rPr>
            </w:pPr>
            <w:r w:rsidRPr="006D3DBC">
              <w:rPr>
                <w:lang w:val="en-AU"/>
              </w:rPr>
              <w:t>-</w:t>
            </w:r>
          </w:p>
        </w:tc>
      </w:tr>
      <w:tr w:rsidR="00F30B67" w:rsidRPr="006D3DBC" w:rsidTr="00F30B67">
        <w:trPr>
          <w:jc w:val="center"/>
        </w:trPr>
        <w:tc>
          <w:tcPr>
            <w:tcW w:w="7988" w:type="dxa"/>
            <w:gridSpan w:val="5"/>
            <w:shd w:val="clear" w:color="auto" w:fill="auto"/>
          </w:tcPr>
          <w:p w:rsidR="00F30B67" w:rsidRPr="006D3DBC" w:rsidRDefault="00F30B67" w:rsidP="00F30B67">
            <w:pPr>
              <w:pStyle w:val="BMSTableText"/>
              <w:spacing w:line="276" w:lineRule="auto"/>
              <w:jc w:val="left"/>
              <w:rPr>
                <w:i/>
                <w:lang w:val="en-AU"/>
              </w:rPr>
            </w:pPr>
            <w:r w:rsidRPr="006D3DBC">
              <w:rPr>
                <w:i/>
              </w:rPr>
              <w:t>Psychiatric Disorders</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pPr>
            <w:r w:rsidRPr="006D3DBC">
              <w:t xml:space="preserve">Insomnia                                                                      </w:t>
            </w:r>
          </w:p>
        </w:tc>
        <w:tc>
          <w:tcPr>
            <w:tcW w:w="1136" w:type="dxa"/>
            <w:shd w:val="clear" w:color="auto" w:fill="auto"/>
          </w:tcPr>
          <w:p w:rsidR="00F30B67" w:rsidRPr="006D3DBC" w:rsidRDefault="00F30B67" w:rsidP="00F30B67">
            <w:pPr>
              <w:pStyle w:val="BMSTableText"/>
              <w:spacing w:line="276" w:lineRule="auto"/>
            </w:pPr>
            <w:r w:rsidRPr="006D3DBC">
              <w:t>160 ( 1.8)</w:t>
            </w:r>
          </w:p>
        </w:tc>
        <w:tc>
          <w:tcPr>
            <w:tcW w:w="1134" w:type="dxa"/>
            <w:shd w:val="clear" w:color="auto" w:fill="auto"/>
          </w:tcPr>
          <w:p w:rsidR="00F30B67" w:rsidRPr="006D3DBC" w:rsidRDefault="00F30B67" w:rsidP="00F30B67">
            <w:pPr>
              <w:pStyle w:val="BMSTableText"/>
              <w:spacing w:line="276" w:lineRule="auto"/>
            </w:pPr>
            <w:r w:rsidRPr="006D3DBC">
              <w:t>159 ( 1.8)</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32 ( 1.1)              </w:t>
            </w:r>
          </w:p>
        </w:tc>
        <w:tc>
          <w:tcPr>
            <w:tcW w:w="1275" w:type="dxa"/>
            <w:shd w:val="clear" w:color="auto" w:fill="auto"/>
          </w:tcPr>
          <w:p w:rsidR="00F30B67" w:rsidRPr="006D3DBC" w:rsidRDefault="00F30B67" w:rsidP="00F30B67">
            <w:pPr>
              <w:pStyle w:val="BMSTableText"/>
              <w:spacing w:line="276" w:lineRule="auto"/>
              <w:rPr>
                <w:lang w:val="en-AU"/>
              </w:rPr>
            </w:pPr>
            <w:r w:rsidRPr="006D3DBC">
              <w:t>35 ( 1.3)</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pPr>
            <w:r w:rsidRPr="006D3DBC">
              <w:t xml:space="preserve">Depression                                                                      </w:t>
            </w:r>
          </w:p>
        </w:tc>
        <w:tc>
          <w:tcPr>
            <w:tcW w:w="1136" w:type="dxa"/>
            <w:shd w:val="clear" w:color="auto" w:fill="auto"/>
          </w:tcPr>
          <w:p w:rsidR="00F30B67" w:rsidRPr="006D3DBC" w:rsidRDefault="00F30B67" w:rsidP="00F30B67">
            <w:pPr>
              <w:pStyle w:val="BMSTableText"/>
              <w:spacing w:line="276" w:lineRule="auto"/>
            </w:pPr>
            <w:r w:rsidRPr="006D3DBC">
              <w:t>119 ( 1.3)</w:t>
            </w:r>
          </w:p>
        </w:tc>
        <w:tc>
          <w:tcPr>
            <w:tcW w:w="1134" w:type="dxa"/>
            <w:shd w:val="clear" w:color="auto" w:fill="auto"/>
          </w:tcPr>
          <w:p w:rsidR="00F30B67" w:rsidRPr="006D3DBC" w:rsidRDefault="00F30B67" w:rsidP="00F30B67">
            <w:pPr>
              <w:pStyle w:val="BMSTableText"/>
              <w:spacing w:line="276" w:lineRule="auto"/>
            </w:pPr>
            <w:r w:rsidRPr="006D3DBC">
              <w:t>95 ( 1.0)</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23 ( 0.8)              </w:t>
            </w:r>
          </w:p>
        </w:tc>
        <w:tc>
          <w:tcPr>
            <w:tcW w:w="1275" w:type="dxa"/>
            <w:shd w:val="clear" w:color="auto" w:fill="auto"/>
          </w:tcPr>
          <w:p w:rsidR="00F30B67" w:rsidRPr="006D3DBC" w:rsidRDefault="00F30B67" w:rsidP="00F30B67">
            <w:pPr>
              <w:pStyle w:val="BMSTableText"/>
              <w:spacing w:line="276" w:lineRule="auto"/>
              <w:rPr>
                <w:lang w:val="en-AU"/>
              </w:rPr>
            </w:pPr>
            <w:r w:rsidRPr="006D3DBC">
              <w:t>32 ( 1.2)</w:t>
            </w:r>
          </w:p>
        </w:tc>
      </w:tr>
      <w:tr w:rsidR="00F30B67" w:rsidRPr="006D3DBC" w:rsidTr="00F30B67">
        <w:trPr>
          <w:jc w:val="center"/>
        </w:trPr>
        <w:tc>
          <w:tcPr>
            <w:tcW w:w="7988" w:type="dxa"/>
            <w:gridSpan w:val="5"/>
            <w:shd w:val="clear" w:color="auto" w:fill="auto"/>
          </w:tcPr>
          <w:p w:rsidR="00F30B67" w:rsidRPr="006D3DBC" w:rsidRDefault="00F30B67" w:rsidP="00F30B67">
            <w:pPr>
              <w:pStyle w:val="BMSTableText"/>
              <w:spacing w:line="276" w:lineRule="auto"/>
              <w:jc w:val="left"/>
              <w:rPr>
                <w:i/>
                <w:lang w:val="en-AU"/>
              </w:rPr>
            </w:pPr>
            <w:r w:rsidRPr="006D3DBC">
              <w:rPr>
                <w:i/>
              </w:rPr>
              <w:t>Blood and Lymphatic System Disorders</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pPr>
            <w:proofErr w:type="spellStart"/>
            <w:r w:rsidRPr="006D3DBC">
              <w:t>Anaemia</w:t>
            </w:r>
            <w:proofErr w:type="spellEnd"/>
            <w:r w:rsidRPr="006D3DBC">
              <w:t xml:space="preserve">                                                                        </w:t>
            </w:r>
          </w:p>
        </w:tc>
        <w:tc>
          <w:tcPr>
            <w:tcW w:w="1136" w:type="dxa"/>
            <w:shd w:val="clear" w:color="auto" w:fill="auto"/>
          </w:tcPr>
          <w:p w:rsidR="00F30B67" w:rsidRPr="006D3DBC" w:rsidRDefault="00F30B67" w:rsidP="00F30B67">
            <w:pPr>
              <w:pStyle w:val="BMSTableText"/>
              <w:spacing w:line="276" w:lineRule="auto"/>
            </w:pPr>
            <w:r w:rsidRPr="006D3DBC">
              <w:t>270 ( 3.0)</w:t>
            </w:r>
          </w:p>
        </w:tc>
        <w:tc>
          <w:tcPr>
            <w:tcW w:w="1134" w:type="dxa"/>
            <w:shd w:val="clear" w:color="auto" w:fill="auto"/>
          </w:tcPr>
          <w:p w:rsidR="00F30B67" w:rsidRPr="006D3DBC" w:rsidRDefault="00F30B67" w:rsidP="00F30B67">
            <w:pPr>
              <w:pStyle w:val="BMSTableText"/>
              <w:spacing w:line="276" w:lineRule="auto"/>
            </w:pPr>
            <w:r w:rsidRPr="006D3DBC">
              <w:t>265 ( 2.9)</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41 ( 1.5)              </w:t>
            </w:r>
          </w:p>
        </w:tc>
        <w:tc>
          <w:tcPr>
            <w:tcW w:w="1275" w:type="dxa"/>
            <w:shd w:val="clear" w:color="auto" w:fill="auto"/>
          </w:tcPr>
          <w:p w:rsidR="00F30B67" w:rsidRPr="006D3DBC" w:rsidRDefault="00F30B67" w:rsidP="00F30B67">
            <w:pPr>
              <w:pStyle w:val="BMSTableText"/>
              <w:spacing w:line="276" w:lineRule="auto"/>
              <w:rPr>
                <w:lang w:val="en-AU"/>
              </w:rPr>
            </w:pPr>
            <w:r w:rsidRPr="006D3DBC">
              <w:t>44 ( 1.6)</w:t>
            </w:r>
          </w:p>
        </w:tc>
      </w:tr>
      <w:tr w:rsidR="00F30B67" w:rsidRPr="006D3DBC" w:rsidTr="00F30B67">
        <w:trPr>
          <w:jc w:val="center"/>
        </w:trPr>
        <w:tc>
          <w:tcPr>
            <w:tcW w:w="7988" w:type="dxa"/>
            <w:gridSpan w:val="5"/>
            <w:shd w:val="clear" w:color="auto" w:fill="auto"/>
          </w:tcPr>
          <w:p w:rsidR="00F30B67" w:rsidRPr="006D3DBC" w:rsidRDefault="00F30B67" w:rsidP="00F30B67">
            <w:pPr>
              <w:pStyle w:val="BMSTableText"/>
              <w:spacing w:line="276" w:lineRule="auto"/>
              <w:jc w:val="left"/>
              <w:rPr>
                <w:i/>
                <w:lang w:val="en-AU"/>
              </w:rPr>
            </w:pPr>
            <w:r w:rsidRPr="006D3DBC">
              <w:rPr>
                <w:i/>
              </w:rPr>
              <w:t>Ear and Labyrinth Disorders</w:t>
            </w:r>
          </w:p>
        </w:tc>
      </w:tr>
      <w:tr w:rsidR="00F30B67" w:rsidRPr="006D3DBC" w:rsidTr="00F30B67">
        <w:trPr>
          <w:jc w:val="center"/>
        </w:trPr>
        <w:tc>
          <w:tcPr>
            <w:tcW w:w="3167" w:type="dxa"/>
            <w:shd w:val="clear" w:color="auto" w:fill="auto"/>
          </w:tcPr>
          <w:p w:rsidR="00F30B67" w:rsidRPr="006D3DBC" w:rsidRDefault="00F30B67" w:rsidP="00F30B67">
            <w:pPr>
              <w:pStyle w:val="BMSTableText"/>
              <w:tabs>
                <w:tab w:val="clear" w:pos="360"/>
              </w:tabs>
              <w:spacing w:line="276" w:lineRule="auto"/>
              <w:ind w:left="450"/>
              <w:jc w:val="left"/>
            </w:pPr>
            <w:r w:rsidRPr="006D3DBC">
              <w:t xml:space="preserve">Vertigo                                                                       </w:t>
            </w:r>
          </w:p>
        </w:tc>
        <w:tc>
          <w:tcPr>
            <w:tcW w:w="1136" w:type="dxa"/>
            <w:shd w:val="clear" w:color="auto" w:fill="auto"/>
          </w:tcPr>
          <w:p w:rsidR="00F30B67" w:rsidRPr="006D3DBC" w:rsidRDefault="00F30B67" w:rsidP="00F30B67">
            <w:pPr>
              <w:pStyle w:val="BMSTableText"/>
              <w:spacing w:line="276" w:lineRule="auto"/>
            </w:pPr>
            <w:r w:rsidRPr="006D3DBC">
              <w:t>174 ( 1.9)</w:t>
            </w:r>
          </w:p>
        </w:tc>
        <w:tc>
          <w:tcPr>
            <w:tcW w:w="1134" w:type="dxa"/>
            <w:shd w:val="clear" w:color="auto" w:fill="auto"/>
          </w:tcPr>
          <w:p w:rsidR="00F30B67" w:rsidRPr="006D3DBC" w:rsidRDefault="00F30B67" w:rsidP="00F30B67">
            <w:pPr>
              <w:pStyle w:val="BMSTableText"/>
              <w:spacing w:line="276" w:lineRule="auto"/>
            </w:pPr>
            <w:r w:rsidRPr="006D3DBC">
              <w:t>182 ( 2.0)</w:t>
            </w:r>
          </w:p>
        </w:tc>
        <w:tc>
          <w:tcPr>
            <w:tcW w:w="1276" w:type="dxa"/>
            <w:shd w:val="clear" w:color="auto" w:fill="auto"/>
          </w:tcPr>
          <w:p w:rsidR="00F30B67" w:rsidRPr="006D3DBC" w:rsidRDefault="00F30B67" w:rsidP="00F30B67">
            <w:pPr>
              <w:pStyle w:val="BMSTableText"/>
              <w:spacing w:line="276" w:lineRule="auto"/>
              <w:rPr>
                <w:lang w:val="en-AU"/>
              </w:rPr>
            </w:pPr>
            <w:r w:rsidRPr="006D3DBC">
              <w:t xml:space="preserve">38 ( 1.4)              </w:t>
            </w:r>
          </w:p>
        </w:tc>
        <w:tc>
          <w:tcPr>
            <w:tcW w:w="1275" w:type="dxa"/>
            <w:shd w:val="clear" w:color="auto" w:fill="auto"/>
          </w:tcPr>
          <w:p w:rsidR="00F30B67" w:rsidRPr="006D3DBC" w:rsidRDefault="00F30B67" w:rsidP="00F30B67">
            <w:pPr>
              <w:pStyle w:val="BMSTableText"/>
              <w:spacing w:line="276" w:lineRule="auto"/>
              <w:rPr>
                <w:lang w:val="en-AU"/>
              </w:rPr>
            </w:pPr>
            <w:r w:rsidRPr="006D3DBC">
              <w:t>35 ( 1.3)</w:t>
            </w:r>
          </w:p>
        </w:tc>
      </w:tr>
      <w:tr w:rsidR="00F30B67" w:rsidRPr="006D3DBC" w:rsidTr="00F30B67">
        <w:trPr>
          <w:jc w:val="center"/>
        </w:trPr>
        <w:tc>
          <w:tcPr>
            <w:tcW w:w="7988" w:type="dxa"/>
            <w:gridSpan w:val="5"/>
            <w:shd w:val="clear" w:color="auto" w:fill="auto"/>
          </w:tcPr>
          <w:p w:rsidR="00F30B67" w:rsidRPr="006D3DBC" w:rsidRDefault="00F30B67" w:rsidP="00F30B67">
            <w:pPr>
              <w:pStyle w:val="BMSTableText"/>
              <w:spacing w:line="276" w:lineRule="auto"/>
              <w:jc w:val="left"/>
              <w:rPr>
                <w:i/>
              </w:rPr>
            </w:pPr>
            <w:r w:rsidRPr="006D3DBC">
              <w:rPr>
                <w:i/>
              </w:rPr>
              <w:t>Surgical and Medical Procedures</w:t>
            </w:r>
          </w:p>
        </w:tc>
      </w:tr>
      <w:tr w:rsidR="00F30B67" w:rsidRPr="006D3DBC" w:rsidTr="00F30B67">
        <w:trPr>
          <w:jc w:val="center"/>
        </w:trPr>
        <w:tc>
          <w:tcPr>
            <w:tcW w:w="3167" w:type="dxa"/>
            <w:shd w:val="clear" w:color="auto" w:fill="auto"/>
          </w:tcPr>
          <w:p w:rsidR="00F30B67" w:rsidRPr="006D3DBC" w:rsidRDefault="00F30B67" w:rsidP="00F30B67">
            <w:pPr>
              <w:pStyle w:val="BMSTableText"/>
              <w:spacing w:line="276" w:lineRule="auto"/>
              <w:jc w:val="left"/>
            </w:pPr>
            <w:r w:rsidRPr="006D3DBC">
              <w:t>Tooth extraction</w:t>
            </w:r>
          </w:p>
        </w:tc>
        <w:tc>
          <w:tcPr>
            <w:tcW w:w="1136" w:type="dxa"/>
            <w:shd w:val="clear" w:color="auto" w:fill="auto"/>
          </w:tcPr>
          <w:p w:rsidR="00F30B67" w:rsidRPr="006D3DBC" w:rsidRDefault="00F30B67" w:rsidP="00F30B67">
            <w:pPr>
              <w:pStyle w:val="BMSTableText"/>
              <w:rPr>
                <w:lang w:val="en-AU"/>
              </w:rPr>
            </w:pPr>
            <w:r w:rsidRPr="006D3DBC">
              <w:rPr>
                <w:lang w:val="en-AU"/>
              </w:rPr>
              <w:t>-</w:t>
            </w:r>
          </w:p>
        </w:tc>
        <w:tc>
          <w:tcPr>
            <w:tcW w:w="1134" w:type="dxa"/>
            <w:shd w:val="clear" w:color="auto" w:fill="auto"/>
          </w:tcPr>
          <w:p w:rsidR="00F30B67" w:rsidRPr="006D3DBC" w:rsidRDefault="00F30B67" w:rsidP="00F30B67">
            <w:pPr>
              <w:pStyle w:val="BMSTableText"/>
              <w:spacing w:line="276" w:lineRule="auto"/>
              <w:rPr>
                <w:lang w:val="en-AU"/>
              </w:rPr>
            </w:pPr>
            <w:r w:rsidRPr="006D3DBC">
              <w:rPr>
                <w:lang w:val="en-AU"/>
              </w:rPr>
              <w:t>-</w:t>
            </w:r>
          </w:p>
        </w:tc>
        <w:tc>
          <w:tcPr>
            <w:tcW w:w="1276" w:type="dxa"/>
            <w:shd w:val="clear" w:color="auto" w:fill="auto"/>
          </w:tcPr>
          <w:p w:rsidR="00F30B67" w:rsidRPr="006D3DBC" w:rsidRDefault="00F30B67" w:rsidP="00F30B67">
            <w:pPr>
              <w:pStyle w:val="BMSTableText"/>
              <w:spacing w:line="276" w:lineRule="auto"/>
              <w:rPr>
                <w:i/>
              </w:rPr>
            </w:pPr>
            <w:r w:rsidRPr="006D3DBC">
              <w:t>29 ( 1.0)</w:t>
            </w:r>
          </w:p>
        </w:tc>
        <w:tc>
          <w:tcPr>
            <w:tcW w:w="1275" w:type="dxa"/>
            <w:shd w:val="clear" w:color="auto" w:fill="auto"/>
          </w:tcPr>
          <w:p w:rsidR="00F30B67" w:rsidRPr="006D3DBC" w:rsidRDefault="00F30B67" w:rsidP="00F30B67">
            <w:pPr>
              <w:pStyle w:val="BMSTableText"/>
              <w:spacing w:line="276" w:lineRule="auto"/>
              <w:rPr>
                <w:i/>
              </w:rPr>
            </w:pPr>
            <w:r w:rsidRPr="006D3DBC">
              <w:t>30 ( 1.1)</w:t>
            </w:r>
          </w:p>
        </w:tc>
      </w:tr>
    </w:tbl>
    <w:p w:rsidR="00F30B67" w:rsidRDefault="00F30B67" w:rsidP="00F30B67">
      <w:pPr>
        <w:pStyle w:val="ListParagraph"/>
        <w:numPr>
          <w:ilvl w:val="0"/>
          <w:numId w:val="19"/>
        </w:numPr>
      </w:pPr>
      <w:r w:rsidRPr="00F30B67">
        <w:rPr>
          <w:rStyle w:val="BMSTableNote"/>
          <w:sz w:val="20"/>
          <w:vertAlign w:val="baseline"/>
        </w:rPr>
        <w:t xml:space="preserve">adverse event not reported at a frequency of </w:t>
      </w:r>
      <w:r w:rsidRPr="00F30B67">
        <w:rPr>
          <w:rStyle w:val="BMSTableNote"/>
          <w:b/>
          <w:caps/>
          <w:sz w:val="20"/>
          <w:vertAlign w:val="baseline"/>
        </w:rPr>
        <w:t>≥</w:t>
      </w:r>
      <w:r w:rsidRPr="00F30B67">
        <w:rPr>
          <w:rStyle w:val="BMSTableNote"/>
          <w:sz w:val="20"/>
          <w:vertAlign w:val="baseline"/>
        </w:rPr>
        <w:t>1% in either treatment arm in this trial</w:t>
      </w:r>
    </w:p>
    <w:p w:rsidR="00F30B67" w:rsidRPr="00F30B67" w:rsidRDefault="00F30B67" w:rsidP="00F30B67">
      <w:pPr>
        <w:rPr>
          <w:bCs/>
        </w:rPr>
      </w:pPr>
      <w:r w:rsidRPr="006D3DBC">
        <w:t>Adverse reactions in the ARISTOTLE and AVERROES studies are listed below by system organ classification (MedDRA) and by frequency.  The frequency assignments are primarily based on the frequencies observed in the ARISTOTLE study.  The adverse reactions observed in the AVERROES study were consistent with those observed in the ARISTOTLE study.</w:t>
      </w:r>
    </w:p>
    <w:p w:rsidR="00F30B67" w:rsidRPr="006D3DBC" w:rsidRDefault="00F30B67" w:rsidP="00F30B67">
      <w:pPr>
        <w:rPr>
          <w:bCs/>
        </w:rPr>
      </w:pPr>
      <w:r w:rsidRPr="006D3DBC">
        <w:rPr>
          <w:bCs/>
        </w:rPr>
        <w:t xml:space="preserve">Common adverse reactions </w:t>
      </w:r>
      <w:r w:rsidRPr="006D3DBC">
        <w:t>in apixaban-treated patients with AF occurring at a frequency of ≥ 1% to &lt; 10% (≥ 1/100 to &lt; 1/10):</w:t>
      </w:r>
    </w:p>
    <w:p w:rsidR="00F30B67" w:rsidRPr="006D3DBC" w:rsidRDefault="00F30B67" w:rsidP="00F30B67">
      <w:r w:rsidRPr="006D3DBC">
        <w:rPr>
          <w:i/>
        </w:rPr>
        <w:t>Eye disorders</w:t>
      </w:r>
      <w:r w:rsidRPr="006D3DBC">
        <w:t>: e</w:t>
      </w:r>
      <w:r w:rsidRPr="006D3DBC">
        <w:rPr>
          <w:rFonts w:eastAsia="MS Mincho"/>
          <w:noProof/>
        </w:rPr>
        <w:t>ye</w:t>
      </w:r>
      <w:r w:rsidRPr="006D3DBC">
        <w:t xml:space="preserve"> haemorrhage </w:t>
      </w:r>
      <w:r w:rsidRPr="006D3DBC">
        <w:rPr>
          <w:noProof/>
        </w:rPr>
        <w:t>(including conjunctival haemorrhage)</w:t>
      </w:r>
    </w:p>
    <w:p w:rsidR="00F30B67" w:rsidRPr="006D3DBC" w:rsidRDefault="00F30B67" w:rsidP="00F30B67">
      <w:r w:rsidRPr="006D3DBC">
        <w:rPr>
          <w:i/>
        </w:rPr>
        <w:t>Vascular disorders</w:t>
      </w:r>
      <w:r w:rsidRPr="006D3DBC">
        <w:t>: other haemorrhage, haematoma</w:t>
      </w:r>
    </w:p>
    <w:p w:rsidR="00F30B67" w:rsidRPr="006D3DBC" w:rsidRDefault="00F30B67" w:rsidP="00F30B67">
      <w:r w:rsidRPr="006D3DBC">
        <w:rPr>
          <w:i/>
        </w:rPr>
        <w:t xml:space="preserve">Respiratory, thoracic and </w:t>
      </w:r>
      <w:proofErr w:type="spellStart"/>
      <w:r w:rsidRPr="006D3DBC">
        <w:rPr>
          <w:i/>
        </w:rPr>
        <w:t>mediastinal</w:t>
      </w:r>
      <w:proofErr w:type="spellEnd"/>
      <w:r w:rsidRPr="006D3DBC">
        <w:rPr>
          <w:i/>
        </w:rPr>
        <w:t xml:space="preserve"> disorders</w:t>
      </w:r>
      <w:r w:rsidRPr="006D3DBC">
        <w:t>: epistaxis</w:t>
      </w:r>
    </w:p>
    <w:p w:rsidR="00F30B67" w:rsidRPr="006D3DBC" w:rsidRDefault="00F30B67" w:rsidP="00F30B67">
      <w:r w:rsidRPr="006D3DBC">
        <w:rPr>
          <w:i/>
        </w:rPr>
        <w:t>Gastrointestinal disorders</w:t>
      </w:r>
      <w:r w:rsidRPr="006D3DBC">
        <w:t xml:space="preserve">: gastrointestinal haemorrhage  </w:t>
      </w:r>
      <w:r w:rsidRPr="006D3DBC">
        <w:rPr>
          <w:noProof/>
        </w:rPr>
        <w:t>(including haematemesis and melaena</w:t>
      </w:r>
      <w:r w:rsidRPr="006D3DBC">
        <w:t>), rectal haemorrhage, gingival bleeding</w:t>
      </w:r>
    </w:p>
    <w:p w:rsidR="00F30B67" w:rsidRPr="006D3DBC" w:rsidRDefault="00F30B67" w:rsidP="00F30B67">
      <w:r w:rsidRPr="006D3DBC">
        <w:rPr>
          <w:i/>
          <w:iCs/>
        </w:rPr>
        <w:t>Renal and urinary disorders</w:t>
      </w:r>
      <w:r w:rsidRPr="006D3DBC">
        <w:rPr>
          <w:iCs/>
        </w:rPr>
        <w:t xml:space="preserve">: </w:t>
      </w:r>
      <w:r w:rsidRPr="006D3DBC">
        <w:t>haematuria</w:t>
      </w:r>
    </w:p>
    <w:p w:rsidR="00F30B67" w:rsidRPr="006D3DBC" w:rsidRDefault="00F30B67" w:rsidP="00F30B67">
      <w:r w:rsidRPr="006D3DBC">
        <w:rPr>
          <w:i/>
        </w:rPr>
        <w:t>Injury, poisoning and procedural complications</w:t>
      </w:r>
      <w:r w:rsidRPr="006D3DBC">
        <w:t>: contusion</w:t>
      </w:r>
    </w:p>
    <w:p w:rsidR="00F30B67" w:rsidRPr="006D3DBC" w:rsidRDefault="00F30B67" w:rsidP="00F30B67">
      <w:pPr>
        <w:rPr>
          <w:bCs/>
        </w:rPr>
      </w:pPr>
      <w:r w:rsidRPr="006D3DBC">
        <w:rPr>
          <w:bCs/>
        </w:rPr>
        <w:t xml:space="preserve">Uncommon adverse reactions </w:t>
      </w:r>
      <w:r w:rsidRPr="006D3DBC">
        <w:t>in apixaban-treated patients with AF occurring at a frequency of ≥ 0.1% to &lt; 1% (≥ 1/1,000 to &lt; 1/100):</w:t>
      </w:r>
    </w:p>
    <w:p w:rsidR="00F30B67" w:rsidRPr="006D3DBC" w:rsidRDefault="00F30B67" w:rsidP="00F30B67">
      <w:r w:rsidRPr="006D3DBC">
        <w:rPr>
          <w:i/>
        </w:rPr>
        <w:t>Immune system disorders</w:t>
      </w:r>
      <w:r w:rsidRPr="006D3DBC">
        <w:t>: hypersensitivity (including drug hypersensitivity such as skin rash and anaphylactic reaction such as allergic oedema)</w:t>
      </w:r>
    </w:p>
    <w:p w:rsidR="00F30B67" w:rsidRPr="006D3DBC" w:rsidRDefault="00F30B67" w:rsidP="00F30B67">
      <w:r w:rsidRPr="006D3DBC">
        <w:rPr>
          <w:i/>
        </w:rPr>
        <w:t>Nervous system disorders</w:t>
      </w:r>
      <w:r w:rsidRPr="006D3DBC">
        <w:t>: brain haemorrhage, other intracranial or intraspinal haemorrhage (including subdural haematoma, subarachnoid haemorrhage, and spinal haematoma)</w:t>
      </w:r>
    </w:p>
    <w:p w:rsidR="00F30B67" w:rsidRPr="006D3DBC" w:rsidRDefault="00F30B67" w:rsidP="00F30B67">
      <w:r w:rsidRPr="006D3DBC">
        <w:rPr>
          <w:i/>
        </w:rPr>
        <w:t>Vascular disorders</w:t>
      </w:r>
      <w:r w:rsidRPr="006D3DBC">
        <w:t xml:space="preserve">: </w:t>
      </w:r>
      <w:r w:rsidRPr="006D3DBC">
        <w:rPr>
          <w:noProof/>
        </w:rPr>
        <w:t>intra-abdominal haemorrhage</w:t>
      </w:r>
    </w:p>
    <w:p w:rsidR="00F30B67" w:rsidRPr="006D3DBC" w:rsidRDefault="00F30B67" w:rsidP="00F30B67">
      <w:r w:rsidRPr="006D3DBC">
        <w:rPr>
          <w:i/>
        </w:rPr>
        <w:t>Respiratory, thoracic and mediastinal disorders</w:t>
      </w:r>
      <w:r w:rsidRPr="006D3DBC">
        <w:t>: haemoptysis</w:t>
      </w:r>
    </w:p>
    <w:p w:rsidR="00F30B67" w:rsidRPr="006D3DBC" w:rsidRDefault="00F30B67" w:rsidP="00F30B67">
      <w:r w:rsidRPr="006D3DBC">
        <w:rPr>
          <w:i/>
        </w:rPr>
        <w:t>Gastrointestinal disorders</w:t>
      </w:r>
      <w:r w:rsidRPr="006D3DBC">
        <w:t xml:space="preserve">: haemorrhoidal haemorrhage, </w:t>
      </w:r>
      <w:r w:rsidRPr="006D3DBC">
        <w:rPr>
          <w:noProof/>
        </w:rPr>
        <w:t xml:space="preserve">haematochezia, </w:t>
      </w:r>
      <w:r w:rsidRPr="006D3DBC">
        <w:t>mouth haemorrhage</w:t>
      </w:r>
    </w:p>
    <w:p w:rsidR="00F30B67" w:rsidRPr="006D3DBC" w:rsidRDefault="00F30B67" w:rsidP="00F30B67">
      <w:r w:rsidRPr="006D3DBC">
        <w:rPr>
          <w:i/>
          <w:iCs/>
        </w:rPr>
        <w:lastRenderedPageBreak/>
        <w:t>Reproductive system and breast disorders</w:t>
      </w:r>
      <w:r w:rsidRPr="006D3DBC">
        <w:rPr>
          <w:iCs/>
        </w:rPr>
        <w:t xml:space="preserve">: </w:t>
      </w:r>
      <w:r w:rsidRPr="006D3DBC">
        <w:t>abnormal vaginal haemorrhage, u</w:t>
      </w:r>
      <w:r w:rsidRPr="006D3DBC">
        <w:rPr>
          <w:noProof/>
        </w:rPr>
        <w:t>rogenital haemorrhage</w:t>
      </w:r>
    </w:p>
    <w:p w:rsidR="00F30B67" w:rsidRPr="006D3DBC" w:rsidRDefault="00F30B67" w:rsidP="00F30B67">
      <w:r w:rsidRPr="006D3DBC">
        <w:rPr>
          <w:i/>
        </w:rPr>
        <w:t>General disorders and administration site conditions</w:t>
      </w:r>
      <w:r w:rsidRPr="006D3DBC">
        <w:t>: application site bleeding</w:t>
      </w:r>
    </w:p>
    <w:p w:rsidR="00F30B67" w:rsidRPr="006D3DBC" w:rsidRDefault="00F30B67" w:rsidP="00F30B67">
      <w:r w:rsidRPr="006D3DBC">
        <w:rPr>
          <w:i/>
        </w:rPr>
        <w:t>Investigations</w:t>
      </w:r>
      <w:r w:rsidRPr="006D3DBC">
        <w:t xml:space="preserve">: occult blood positive </w:t>
      </w:r>
    </w:p>
    <w:p w:rsidR="00F30B67" w:rsidRPr="006D3DBC" w:rsidRDefault="00F30B67" w:rsidP="00F30B67">
      <w:r w:rsidRPr="006D3DBC">
        <w:rPr>
          <w:i/>
        </w:rPr>
        <w:t>Injury, poisoning and procedural complications</w:t>
      </w:r>
      <w:r w:rsidRPr="006D3DBC">
        <w:t>: traumatic haemorrhage, post procedural haemorrhage, incision site haemorrhage</w:t>
      </w:r>
    </w:p>
    <w:p w:rsidR="00F30B67" w:rsidRPr="006D3DBC" w:rsidRDefault="00F30B67" w:rsidP="00F30B67">
      <w:r w:rsidRPr="006D3DBC">
        <w:t xml:space="preserve">Rare </w:t>
      </w:r>
      <w:r w:rsidRPr="006D3DBC">
        <w:rPr>
          <w:bCs/>
        </w:rPr>
        <w:t xml:space="preserve">adverse reactions </w:t>
      </w:r>
      <w:r w:rsidRPr="006D3DBC">
        <w:t>in apixaban-treated patients with AF occurring at a frequency of ≥ 0.01% to &lt; 0.1% (≥ 1 / 10,000 to &lt; 1 / 1,000):</w:t>
      </w:r>
    </w:p>
    <w:p w:rsidR="00F30B67" w:rsidRPr="006D3DBC" w:rsidRDefault="00F30B67" w:rsidP="00F30B67">
      <w:r w:rsidRPr="006D3DBC">
        <w:rPr>
          <w:i/>
        </w:rPr>
        <w:t xml:space="preserve">Respiratory, thoracic and </w:t>
      </w:r>
      <w:proofErr w:type="spellStart"/>
      <w:r w:rsidRPr="006D3DBC">
        <w:rPr>
          <w:i/>
        </w:rPr>
        <w:t>mediastinal</w:t>
      </w:r>
      <w:proofErr w:type="spellEnd"/>
      <w:r w:rsidRPr="006D3DBC">
        <w:rPr>
          <w:i/>
        </w:rPr>
        <w:t xml:space="preserve"> disorders</w:t>
      </w:r>
      <w:r w:rsidRPr="006D3DBC">
        <w:t xml:space="preserve">: </w:t>
      </w:r>
      <w:r w:rsidRPr="006D3DBC">
        <w:rPr>
          <w:noProof/>
        </w:rPr>
        <w:t xml:space="preserve">respiratory tract haemorrhage </w:t>
      </w:r>
      <w:r w:rsidRPr="006D3DBC">
        <w:t>(including pulmonary alveolar haemorrhage, laryngeal haemorrhage, and pharyngeal haemorrhage)</w:t>
      </w:r>
    </w:p>
    <w:p w:rsidR="00F30B67" w:rsidRDefault="00F30B67" w:rsidP="00F30B67">
      <w:r w:rsidRPr="006D3DBC">
        <w:rPr>
          <w:i/>
        </w:rPr>
        <w:t>Gastrointestinal disorders</w:t>
      </w:r>
      <w:r w:rsidRPr="006D3DBC">
        <w:t>: r</w:t>
      </w:r>
      <w:r w:rsidRPr="006D3DBC">
        <w:rPr>
          <w:rFonts w:eastAsia="MS Mincho"/>
          <w:noProof/>
        </w:rPr>
        <w:t>etroperitoneal haemorrhage</w:t>
      </w:r>
      <w:r>
        <w:rPr>
          <w:rFonts w:eastAsia="MS Mincho"/>
          <w:noProof/>
        </w:rPr>
        <w:t>.</w:t>
      </w:r>
    </w:p>
    <w:p w:rsidR="00F30B67" w:rsidRDefault="00F30B67" w:rsidP="00F30B67">
      <w:pPr>
        <w:pStyle w:val="Heading1"/>
      </w:pPr>
      <w:r>
        <w:t>DOSAGE AND ADMINISTRATION</w:t>
      </w:r>
    </w:p>
    <w:p w:rsidR="00F30B67" w:rsidRDefault="00F30B67" w:rsidP="00F30B67">
      <w:r w:rsidRPr="006D3DBC">
        <w:t>ELIQUIS can be taken with or without food.</w:t>
      </w:r>
    </w:p>
    <w:p w:rsidR="00F30B67" w:rsidRDefault="00E31126" w:rsidP="00E31126">
      <w:pPr>
        <w:pStyle w:val="Heading2"/>
      </w:pPr>
      <w:r w:rsidRPr="00AF4952">
        <w:t>Missed Dose</w:t>
      </w:r>
    </w:p>
    <w:p w:rsidR="00F30B67" w:rsidRDefault="00E31126" w:rsidP="00F30B67">
      <w:r>
        <w:t>If a dose of ELIQUIS is not taken at the scheduled time, the dose should be taken as soon as possible on the same day and twice daily administration should be resumed.  The dose should not be doubled to make up for the missed dose.</w:t>
      </w:r>
    </w:p>
    <w:p w:rsidR="00F30B67" w:rsidRDefault="00E31126" w:rsidP="00E31126">
      <w:pPr>
        <w:pStyle w:val="Heading2"/>
      </w:pPr>
      <w:r w:rsidRPr="006D3DBC">
        <w:t>Prevention of VTE: Elective Total Hip or Total Knee Replacement Surgery</w:t>
      </w:r>
    </w:p>
    <w:p w:rsidR="00F30B67" w:rsidRDefault="00E31126" w:rsidP="00F30B67">
      <w:r w:rsidRPr="006D3DBC">
        <w:t>The recommended dose of ELIQUIS is 2.5 mg taken twice daily.  The initial dose should be taken 12 to 24 hours after surgery.</w:t>
      </w:r>
    </w:p>
    <w:p w:rsidR="00E31126" w:rsidRDefault="00E31126" w:rsidP="00F30B67">
      <w:r w:rsidRPr="006D3DBC">
        <w:t>In patients undergoing hip replacement surgery, the recommended duration of treatment is 32 to 38 days.</w:t>
      </w:r>
    </w:p>
    <w:p w:rsidR="00E31126" w:rsidRPr="006D3DBC" w:rsidRDefault="00E31126" w:rsidP="00E31126">
      <w:r w:rsidRPr="006D3DBC">
        <w:t>In patients undergoing knee replacement surgery, the recommended duration</w:t>
      </w:r>
      <w:r>
        <w:t xml:space="preserve"> of treatment is 10 to 14 days.</w:t>
      </w:r>
    </w:p>
    <w:p w:rsidR="00E31126" w:rsidRDefault="00E31126" w:rsidP="00E31126">
      <w:r w:rsidRPr="006D3DBC">
        <w:t>The dosage of 2.5 mg taken twice daily and the duration specified for each type of surgery should not be exceeded.</w:t>
      </w:r>
    </w:p>
    <w:p w:rsidR="00E31126" w:rsidRDefault="00E31126" w:rsidP="00E31126">
      <w:r w:rsidRPr="006D3DBC">
        <w:t>Anti-platelet agents other than acetylsalicylic acid should be stopped prior to surgery and restarted after surgery as recommended in the anti-platelet product information documents.  For patients on acetylsalicylic acid therapy, a careful individual risk benefit assessment should be performed regarding the additional bleeding risk versus the thrombotic risk associated with the underlying diseases.</w:t>
      </w:r>
    </w:p>
    <w:p w:rsidR="00E31126" w:rsidRDefault="00E31126" w:rsidP="00E31126">
      <w:pPr>
        <w:pStyle w:val="Heading2"/>
      </w:pPr>
      <w:r w:rsidRPr="006D3DBC">
        <w:t xml:space="preserve">Prevention of Stroke and Systemic Embolism: Non-valvular </w:t>
      </w:r>
      <w:proofErr w:type="spellStart"/>
      <w:r w:rsidRPr="006D3DBC">
        <w:t>Atrial</w:t>
      </w:r>
      <w:proofErr w:type="spellEnd"/>
      <w:r w:rsidRPr="006D3DBC">
        <w:t xml:space="preserve"> Fibrillation</w:t>
      </w:r>
    </w:p>
    <w:p w:rsidR="00E31126" w:rsidRDefault="00E31126" w:rsidP="00E31126">
      <w:r w:rsidRPr="006D3DBC">
        <w:t>The recommended dose of ELIQUIS is 5 mg taken twice daily.</w:t>
      </w:r>
    </w:p>
    <w:p w:rsidR="00E31126" w:rsidRPr="006D3DBC" w:rsidRDefault="00E31126" w:rsidP="00E31126">
      <w:r>
        <w:t>The recommended dose of ELIQUIS is 2.5 mg taken twice daily in patients with at least two of the following characteristics:</w:t>
      </w:r>
    </w:p>
    <w:p w:rsidR="00E31126" w:rsidRDefault="00E31126" w:rsidP="00E31126">
      <w:pPr>
        <w:pStyle w:val="ListParagraph"/>
        <w:numPr>
          <w:ilvl w:val="0"/>
          <w:numId w:val="20"/>
        </w:numPr>
      </w:pPr>
      <w:r w:rsidRPr="006D3DBC">
        <w:t>≥</w:t>
      </w:r>
      <w:r>
        <w:t xml:space="preserve"> </w:t>
      </w:r>
      <w:r w:rsidRPr="006D3DBC">
        <w:t>80 years</w:t>
      </w:r>
      <w:r>
        <w:t>;</w:t>
      </w:r>
    </w:p>
    <w:p w:rsidR="00E31126" w:rsidRDefault="00E31126" w:rsidP="00E31126">
      <w:pPr>
        <w:pStyle w:val="ListParagraph"/>
        <w:numPr>
          <w:ilvl w:val="0"/>
          <w:numId w:val="20"/>
        </w:numPr>
      </w:pPr>
      <w:r w:rsidRPr="006D3DBC">
        <w:t>body weight ≤</w:t>
      </w:r>
      <w:r>
        <w:t xml:space="preserve"> </w:t>
      </w:r>
      <w:r w:rsidRPr="006D3DBC">
        <w:t>60 kg</w:t>
      </w:r>
      <w:r>
        <w:t>;</w:t>
      </w:r>
    </w:p>
    <w:p w:rsidR="00E31126" w:rsidRDefault="00E31126" w:rsidP="00E31126">
      <w:pPr>
        <w:pStyle w:val="ListParagraph"/>
        <w:numPr>
          <w:ilvl w:val="0"/>
          <w:numId w:val="20"/>
        </w:numPr>
      </w:pPr>
      <w:proofErr w:type="gramStart"/>
      <w:r w:rsidRPr="006D3DBC">
        <w:t>serum</w:t>
      </w:r>
      <w:proofErr w:type="gramEnd"/>
      <w:r w:rsidRPr="006D3DBC">
        <w:t xml:space="preserve"> </w:t>
      </w:r>
      <w:proofErr w:type="spellStart"/>
      <w:r w:rsidRPr="006D3DBC">
        <w:t>creatinine</w:t>
      </w:r>
      <w:proofErr w:type="spellEnd"/>
      <w:r w:rsidRPr="006D3DBC">
        <w:t xml:space="preserve"> ≥</w:t>
      </w:r>
      <w:r>
        <w:t xml:space="preserve"> </w:t>
      </w:r>
      <w:r w:rsidRPr="006D3DBC">
        <w:t>133 µmol/L</w:t>
      </w:r>
      <w:r>
        <w:t>.</w:t>
      </w:r>
    </w:p>
    <w:p w:rsidR="00E31126" w:rsidRDefault="00E31126" w:rsidP="00E31126">
      <w:pPr>
        <w:pStyle w:val="Heading2"/>
      </w:pPr>
      <w:r w:rsidRPr="005D2D08">
        <w:lastRenderedPageBreak/>
        <w:t>Use in Renal Impairment</w:t>
      </w:r>
    </w:p>
    <w:p w:rsidR="00E31126" w:rsidRPr="00026AD5" w:rsidRDefault="00E31126" w:rsidP="00E31126">
      <w:r w:rsidRPr="00026AD5">
        <w:t>No dose adjustment is necessary in patients with mild or moderate renal impairment.</w:t>
      </w:r>
    </w:p>
    <w:p w:rsidR="00E31126" w:rsidRDefault="00E31126" w:rsidP="00E31126">
      <w:r w:rsidRPr="0038341C">
        <w:t>As there is no clinical experience in patients with renal impairment &lt; 15 mL/min or in patients undergoing dialysis ELIQUIS is contraindicated in these patients.  There is limited experience in patients with renal impairment 15 mL to &lt; 25 mL/min with increased apixaban exposure, therefore, ELIQUIS is also contraindicated in these patients (see CONTRAINDICATIONS).</w:t>
      </w:r>
    </w:p>
    <w:p w:rsidR="00E31126" w:rsidRDefault="00E31126" w:rsidP="00E31126">
      <w:r>
        <w:t xml:space="preserve">Dosage adjustment is needed in atrial fibrillation patients with two of the following criteria; </w:t>
      </w:r>
      <w:proofErr w:type="gramStart"/>
      <w:r>
        <w:t>serum creatinine ≥ 133 µmol/L</w:t>
      </w:r>
      <w:proofErr w:type="gramEnd"/>
      <w:r>
        <w:t xml:space="preserve">, age ≥ 80 years, body weight ≤ 60 kg. </w:t>
      </w:r>
      <w:proofErr w:type="gramStart"/>
      <w:r>
        <w:t>see</w:t>
      </w:r>
      <w:proofErr w:type="gramEnd"/>
      <w:r>
        <w:t xml:space="preserve"> PHARMACOLOGY, Pharmacokinetics and PRECAUTIONS, Renal Impairment).</w:t>
      </w:r>
    </w:p>
    <w:p w:rsidR="00E31126" w:rsidRDefault="00E31126" w:rsidP="00E31126">
      <w:pPr>
        <w:pStyle w:val="Heading2"/>
      </w:pPr>
      <w:r w:rsidRPr="006D3DBC">
        <w:t>Use in Hepatic Impairment</w:t>
      </w:r>
    </w:p>
    <w:p w:rsidR="00E31126" w:rsidRPr="006D3DBC" w:rsidRDefault="00E31126" w:rsidP="00E31126">
      <w:r w:rsidRPr="006D3DBC">
        <w:t>ELIQUIS may be used with caution in patients with mild or moderate hepatic impairment (Child-Pugh A or B).  No dose adjustment is required in patients with mild or moderate hepatic impairment (see PRECAUTIONS, Use in Hepatic Impairment and P</w:t>
      </w:r>
      <w:r>
        <w:t>HARMACOLOGY, Pharmacokinetics).</w:t>
      </w:r>
    </w:p>
    <w:p w:rsidR="00E31126" w:rsidRDefault="00E31126" w:rsidP="00E31126">
      <w:proofErr w:type="gramStart"/>
      <w:r w:rsidRPr="006D3DBC">
        <w:t>Patients with elevated liver enzymes ALT/AST &gt; 2 x ULN or total bilirubin ≥ 1.5 x ULN were</w:t>
      </w:r>
      <w:r w:rsidRPr="006D3DBC">
        <w:rPr>
          <w:b/>
          <w:bCs/>
        </w:rPr>
        <w:t xml:space="preserve"> </w:t>
      </w:r>
      <w:r w:rsidRPr="006D3DBC">
        <w:t>excluded in clinical trials.</w:t>
      </w:r>
      <w:proofErr w:type="gramEnd"/>
      <w:r w:rsidRPr="006D3DBC">
        <w:t xml:space="preserve">  Therefore ELIQUIS should be used cautiously in this population.  </w:t>
      </w:r>
      <w:r>
        <w:t>Prior to initiating ELIQUIS, liver function testing should be performed.</w:t>
      </w:r>
      <w:r w:rsidRPr="006D3DBC">
        <w:t xml:space="preserve"> (</w:t>
      </w:r>
      <w:proofErr w:type="gramStart"/>
      <w:r w:rsidRPr="006D3DBC">
        <w:t>see</w:t>
      </w:r>
      <w:proofErr w:type="gramEnd"/>
      <w:r w:rsidRPr="006D3DBC">
        <w:t xml:space="preserve"> PRECAUTIONS, Use in Hepatic Impairment).</w:t>
      </w:r>
    </w:p>
    <w:p w:rsidR="00E31126" w:rsidRDefault="00E31126" w:rsidP="00E31126">
      <w:r w:rsidRPr="006D3DBC">
        <w:t>ELIQUIS is contraindicated in patients with hepatic disease associated with coagulopathy and clinically relevant bleeding risk, including severe hepatic impairment (Child-Pugh C) (see CONTRAINDICATIONS).</w:t>
      </w:r>
    </w:p>
    <w:p w:rsidR="00E31126" w:rsidRDefault="00E31126" w:rsidP="00E31126">
      <w:pPr>
        <w:pStyle w:val="Heading2"/>
      </w:pPr>
      <w:r w:rsidRPr="006D3DBC">
        <w:t>Body Weight</w:t>
      </w:r>
    </w:p>
    <w:p w:rsidR="00E31126" w:rsidRDefault="00E31126" w:rsidP="00E31126">
      <w:r w:rsidRPr="006D3DBC">
        <w:t xml:space="preserve">No dose adjustment </w:t>
      </w:r>
      <w:r>
        <w:t xml:space="preserve">is </w:t>
      </w:r>
      <w:r w:rsidRPr="006D3DBC">
        <w:t xml:space="preserve">required (see PHARMACOLOGY, Pharmacokinetics), except for </w:t>
      </w:r>
      <w:r>
        <w:t xml:space="preserve">atrial fibrillation </w:t>
      </w:r>
      <w:r w:rsidRPr="006D3DBC">
        <w:t xml:space="preserve">patients with </w:t>
      </w:r>
      <w:r>
        <w:t xml:space="preserve">two of the following criteria; </w:t>
      </w:r>
      <w:r w:rsidRPr="006D3DBC">
        <w:t>body weight ≤</w:t>
      </w:r>
      <w:r>
        <w:t xml:space="preserve"> </w:t>
      </w:r>
      <w:r w:rsidRPr="006D3DBC">
        <w:t>60 kg</w:t>
      </w:r>
      <w:r>
        <w:t xml:space="preserve">, age </w:t>
      </w:r>
      <w:r w:rsidRPr="006D3DBC">
        <w:t>≥</w:t>
      </w:r>
      <w:r>
        <w:t xml:space="preserve"> </w:t>
      </w:r>
      <w:r w:rsidRPr="006D3DBC">
        <w:t>80 years</w:t>
      </w:r>
      <w:r>
        <w:t>,</w:t>
      </w:r>
      <w:r w:rsidRPr="006D3DBC">
        <w:t xml:space="preserve"> serum creatinine ≥</w:t>
      </w:r>
      <w:r>
        <w:t xml:space="preserve"> </w:t>
      </w:r>
      <w:r w:rsidRPr="006D3DBC">
        <w:t xml:space="preserve">133 µmol/L (see </w:t>
      </w:r>
      <w:r>
        <w:t xml:space="preserve">DOSAGE and ADMINISTRATION - </w:t>
      </w:r>
      <w:r w:rsidRPr="006D3DBC">
        <w:t xml:space="preserve">Prevention of Stroke and Systemic Embolism: Non-valvular </w:t>
      </w:r>
      <w:proofErr w:type="spellStart"/>
      <w:r w:rsidRPr="006D3DBC">
        <w:t>Atrial</w:t>
      </w:r>
      <w:proofErr w:type="spellEnd"/>
      <w:r w:rsidRPr="006D3DBC">
        <w:t xml:space="preserve"> Fibrillation</w:t>
      </w:r>
      <w:r>
        <w:t>).</w:t>
      </w:r>
    </w:p>
    <w:p w:rsidR="00E31126" w:rsidRDefault="00E31126" w:rsidP="00E31126">
      <w:pPr>
        <w:pStyle w:val="Heading2"/>
      </w:pPr>
      <w:r w:rsidRPr="006D3DBC">
        <w:t>Gender</w:t>
      </w:r>
    </w:p>
    <w:p w:rsidR="00E31126" w:rsidRDefault="00E31126" w:rsidP="00E31126">
      <w:r w:rsidRPr="006D3DBC">
        <w:t>No dose adjustment required (see PHARMACOLOGY, Pharmacokinetics).</w:t>
      </w:r>
    </w:p>
    <w:p w:rsidR="00E31126" w:rsidRDefault="00E31126" w:rsidP="00E31126">
      <w:pPr>
        <w:pStyle w:val="Heading2"/>
      </w:pPr>
      <w:r w:rsidRPr="006D3DBC">
        <w:t>Paediatric Use</w:t>
      </w:r>
    </w:p>
    <w:p w:rsidR="00E31126" w:rsidRDefault="00E31126" w:rsidP="00E31126">
      <w:r w:rsidRPr="006D3DBC">
        <w:t xml:space="preserve">The pharmacokinetics, efficacy and safety of ELIQUIS in children </w:t>
      </w:r>
      <w:r>
        <w:t xml:space="preserve">and adolescents </w:t>
      </w:r>
      <w:r w:rsidRPr="006D3DBC">
        <w:t>below age 18 have not been established</w:t>
      </w:r>
      <w:r>
        <w:t>, therefore, the use of apixaban is not recommended in children and adolescents</w:t>
      </w:r>
      <w:r w:rsidRPr="006D3DBC">
        <w:t>.</w:t>
      </w:r>
    </w:p>
    <w:p w:rsidR="00E31126" w:rsidRDefault="00E31126" w:rsidP="00E31126">
      <w:pPr>
        <w:pStyle w:val="Heading2"/>
      </w:pPr>
      <w:r w:rsidRPr="00E022FE">
        <w:t>Use in the</w:t>
      </w:r>
      <w:r w:rsidRPr="000F1964">
        <w:t xml:space="preserve"> Elderly</w:t>
      </w:r>
    </w:p>
    <w:p w:rsidR="00E31126" w:rsidRDefault="00E31126" w:rsidP="00E31126">
      <w:pPr>
        <w:rPr>
          <w:szCs w:val="24"/>
        </w:rPr>
      </w:pPr>
      <w:r w:rsidRPr="00CE6518">
        <w:rPr>
          <w:szCs w:val="24"/>
        </w:rPr>
        <w:t>Increasing age is associated with declining renal function (see</w:t>
      </w:r>
      <w:r>
        <w:rPr>
          <w:szCs w:val="24"/>
        </w:rPr>
        <w:t xml:space="preserve"> CLINICAL TRIALS Figures 1 &amp; 2).</w:t>
      </w:r>
    </w:p>
    <w:p w:rsidR="00E31126" w:rsidRDefault="00E31126" w:rsidP="00E31126">
      <w:r>
        <w:rPr>
          <w:szCs w:val="24"/>
        </w:rPr>
        <w:t xml:space="preserve">In atrial fibrillation </w:t>
      </w:r>
      <w:r w:rsidRPr="00CE6518">
        <w:rPr>
          <w:szCs w:val="24"/>
        </w:rPr>
        <w:t>patients</w:t>
      </w:r>
      <w:r>
        <w:rPr>
          <w:szCs w:val="24"/>
        </w:rPr>
        <w:t xml:space="preserve"> with two of the following criteria; age </w:t>
      </w:r>
      <w:r w:rsidRPr="00CE6518">
        <w:rPr>
          <w:szCs w:val="24"/>
        </w:rPr>
        <w:sym w:font="Symbol" w:char="F0B3"/>
      </w:r>
      <w:r>
        <w:rPr>
          <w:szCs w:val="24"/>
        </w:rPr>
        <w:t xml:space="preserve"> </w:t>
      </w:r>
      <w:r w:rsidRPr="00CE6518">
        <w:rPr>
          <w:szCs w:val="24"/>
        </w:rPr>
        <w:t xml:space="preserve">80 </w:t>
      </w:r>
      <w:r>
        <w:rPr>
          <w:szCs w:val="24"/>
        </w:rPr>
        <w:t xml:space="preserve">years, weight </w:t>
      </w:r>
      <w:r w:rsidRPr="006D3DBC">
        <w:t>≤</w:t>
      </w:r>
      <w:r>
        <w:t xml:space="preserve"> </w:t>
      </w:r>
      <w:r w:rsidRPr="006D3DBC">
        <w:t>60 kg</w:t>
      </w:r>
      <w:r>
        <w:rPr>
          <w:szCs w:val="24"/>
        </w:rPr>
        <w:t xml:space="preserve">, creatinine clearance </w:t>
      </w:r>
      <w:r w:rsidRPr="00CE6518">
        <w:rPr>
          <w:szCs w:val="24"/>
        </w:rPr>
        <w:sym w:font="Symbol" w:char="F0B3"/>
      </w:r>
      <w:r>
        <w:rPr>
          <w:szCs w:val="24"/>
        </w:rPr>
        <w:t xml:space="preserve"> </w:t>
      </w:r>
      <w:r w:rsidRPr="00CE6518">
        <w:rPr>
          <w:szCs w:val="24"/>
        </w:rPr>
        <w:t xml:space="preserve">133 </w:t>
      </w:r>
      <w:r w:rsidRPr="00CE6518">
        <w:rPr>
          <w:szCs w:val="24"/>
        </w:rPr>
        <w:sym w:font="Symbol" w:char="F06D"/>
      </w:r>
      <w:r w:rsidRPr="00CE6518">
        <w:rPr>
          <w:szCs w:val="24"/>
        </w:rPr>
        <w:t>mol/L</w:t>
      </w:r>
      <w:r>
        <w:rPr>
          <w:szCs w:val="24"/>
        </w:rPr>
        <w:t xml:space="preserve"> an adjustment in dose is required (see DOSAGE AND ADMINISTRATION, </w:t>
      </w:r>
      <w:r w:rsidRPr="006D3DBC">
        <w:t>Prevention of Stroke and Systemic Embolism: Non-valvular Atrial Fibrillation</w:t>
      </w:r>
      <w:r>
        <w:rPr>
          <w:szCs w:val="24"/>
        </w:rPr>
        <w:t xml:space="preserve"> and </w:t>
      </w:r>
      <w:r>
        <w:t>PRECAUTIONS, Elderly and Renal Impairment</w:t>
      </w:r>
      <w:r>
        <w:rPr>
          <w:szCs w:val="24"/>
        </w:rPr>
        <w:t>).</w:t>
      </w:r>
    </w:p>
    <w:p w:rsidR="00E31126" w:rsidRDefault="00E31126" w:rsidP="00E31126">
      <w:pPr>
        <w:pStyle w:val="Heading2"/>
      </w:pPr>
      <w:bookmarkStart w:id="2" w:name="_Toc301873123"/>
      <w:r w:rsidRPr="006D3DBC">
        <w:lastRenderedPageBreak/>
        <w:t xml:space="preserve">Converting From or To </w:t>
      </w:r>
      <w:proofErr w:type="spellStart"/>
      <w:r w:rsidRPr="006D3DBC">
        <w:t>Parenteral</w:t>
      </w:r>
      <w:proofErr w:type="spellEnd"/>
      <w:r w:rsidRPr="006D3DBC">
        <w:t xml:space="preserve"> Anticoagulants</w:t>
      </w:r>
      <w:bookmarkEnd w:id="2"/>
    </w:p>
    <w:p w:rsidR="00E31126" w:rsidRDefault="00E31126" w:rsidP="00E31126">
      <w:r w:rsidRPr="006D3DBC">
        <w:t>In general,</w:t>
      </w:r>
      <w:r w:rsidRPr="006D3DBC" w:rsidDel="00CE3C57">
        <w:t xml:space="preserve"> </w:t>
      </w:r>
      <w:r w:rsidRPr="006D3DBC">
        <w:t>s</w:t>
      </w:r>
      <w:r w:rsidRPr="006D3DBC" w:rsidDel="00CE3C57">
        <w:t>witching treatment from parenteral anticoagulants to ELIQUIS (and vice versa) can be done at the next scheduled dose</w:t>
      </w:r>
      <w:r w:rsidRPr="006D3DBC">
        <w:t>.</w:t>
      </w:r>
    </w:p>
    <w:p w:rsidR="00E31126" w:rsidRDefault="00E31126" w:rsidP="00E31126">
      <w:pPr>
        <w:pStyle w:val="Heading2"/>
      </w:pPr>
      <w:r w:rsidRPr="006D3DBC">
        <w:t>Converting From or To Warfarin or Other Vitamin K Antagonists (VKA)</w:t>
      </w:r>
    </w:p>
    <w:p w:rsidR="00E31126" w:rsidRPr="006D3DBC" w:rsidRDefault="00E31126" w:rsidP="00E31126">
      <w:r w:rsidRPr="006D3DBC">
        <w:t>When converting patients from warfarin or other VKA therapy to ELIQUIS, discontinue warfarin or other VKA therapy and start ELIQUIS when the international normalised ratio (INR) is below 2.0.</w:t>
      </w:r>
    </w:p>
    <w:p w:rsidR="00E31126" w:rsidRDefault="00E31126" w:rsidP="00E31126">
      <w:r w:rsidRPr="006D3DBC">
        <w:t>When converting from ELIQUIS to warfarin or other VKA therapy, continue ELIQUIS for 48 hours after the first dose of warfarin or other VKA therapy.  After 2 days of co</w:t>
      </w:r>
      <w:r w:rsidRPr="006D3DBC">
        <w:noBreakHyphen/>
        <w:t>administration of ELIQUIS with VKA therapy, obtain an INR prior to the next scheduled dose of ELIQUIS.  Continue co</w:t>
      </w:r>
      <w:r w:rsidRPr="006D3DBC">
        <w:noBreakHyphen/>
        <w:t>administration of ELIQUIS and VKA therapy until the INR is ≥ 2.0.</w:t>
      </w:r>
    </w:p>
    <w:p w:rsidR="00E31126" w:rsidRDefault="00E31126" w:rsidP="00E31126">
      <w:pPr>
        <w:pStyle w:val="Heading2"/>
      </w:pPr>
      <w:r w:rsidRPr="006D3DBC">
        <w:t>Surgery and Invasive Procedures</w:t>
      </w:r>
    </w:p>
    <w:p w:rsidR="00E31126" w:rsidRDefault="00E31126" w:rsidP="00E31126">
      <w:r>
        <w:t>ELIQUIS should be discontinued at least 48 hours prior to elective surgery or invasive procedures with a moderate or high risk of unacceptable or clinically significant bleeding.  ELIQUIS should be discontinued at least 24 hours prior to elective surgery or invasive procedures with a low risk of bleeding or where bleeding would be non-critical in location or easily controlled.</w:t>
      </w:r>
    </w:p>
    <w:p w:rsidR="00E31126" w:rsidRDefault="00E31126" w:rsidP="00E31126">
      <w:r w:rsidRPr="006D3DBC">
        <w:t>If surgery or invasive procedures cannot be delayed, exercise appropriate caution taking into consideration an increased risk of bleeding.  This risk of bleeding should be weighed against the urgency of intervention.</w:t>
      </w:r>
    </w:p>
    <w:p w:rsidR="00E31126" w:rsidRDefault="00E31126" w:rsidP="00E31126">
      <w:pPr>
        <w:pStyle w:val="Heading1"/>
      </w:pPr>
      <w:r w:rsidRPr="006D3DBC">
        <w:t>OVERDOSAGE</w:t>
      </w:r>
    </w:p>
    <w:p w:rsidR="00E31126" w:rsidRDefault="00E31126" w:rsidP="00E31126">
      <w:r w:rsidRPr="006D3DBC">
        <w:t>There is no antidote to ELIQUIS.  Overdose of ELIQUIS may result in a higher risk of bleeding.  In the event of haemorrhagic complications, the source of bleeding needs to be investigated and appropriate symptomatic treatment initiated (see PRECAUTIONS, Haemorrhage Risk).</w:t>
      </w:r>
    </w:p>
    <w:p w:rsidR="00E31126" w:rsidRDefault="00E31126" w:rsidP="00E31126">
      <w:r w:rsidRPr="006D3DBC">
        <w:t xml:space="preserve">If life-threatening bleeding cannot be controlled by the above measures, administration of </w:t>
      </w:r>
      <w:r w:rsidRPr="007D793B">
        <w:t xml:space="preserve">procoagulant reversal agents such as prothrombin complex concentrate, activated prothrombin complex concentrate, or </w:t>
      </w:r>
      <w:r w:rsidRPr="006D3DBC">
        <w:t xml:space="preserve">recombinant Factor VIIa may be considered.  However, </w:t>
      </w:r>
      <w:r w:rsidRPr="007D793B">
        <w:t>these agents have not been evaluated in clinical studies</w:t>
      </w:r>
      <w:r w:rsidRPr="006D3DBC">
        <w:t xml:space="preserve">.  Re-dosing of </w:t>
      </w:r>
      <w:r w:rsidRPr="007D793B">
        <w:t xml:space="preserve">prothrombin complex concentrate, activated prothrombin complex concentrate, or </w:t>
      </w:r>
      <w:r w:rsidRPr="006D3DBC">
        <w:t>recombinant Factor VIIa could be considered and titrated depending on improvement of bleeding.</w:t>
      </w:r>
    </w:p>
    <w:p w:rsidR="00E31126" w:rsidRDefault="00E31126" w:rsidP="00E31126">
      <w:r>
        <w:t>I</w:t>
      </w:r>
      <w:r w:rsidRPr="006D3DBC">
        <w:t>n controlled clinical trials, orally-administered apixaban in healthy subjects at doses up to 50 mg daily for 3 to 7 days (25 mg twice a day for 7 days or 50 mg once a day for 3 days) had no clinically relevant adverse effects.</w:t>
      </w:r>
    </w:p>
    <w:p w:rsidR="00E31126" w:rsidRDefault="00E31126" w:rsidP="00E31126">
      <w:r w:rsidRPr="006D3DBC">
        <w:t>A nonclinical study in dogs demonstrated that oral administration of activated charcoal up to 3 hours after apixaban administration reduced apixaban exposure; therefore, activated charcoal may be considered in the management of apixaban overdose.</w:t>
      </w:r>
    </w:p>
    <w:p w:rsidR="00E31126" w:rsidRDefault="00E31126" w:rsidP="00E31126">
      <w:r w:rsidRPr="006D3DBC">
        <w:t>For information on the management of overdose, contact the Poison Information Centre on 131126 (Australia).</w:t>
      </w:r>
    </w:p>
    <w:p w:rsidR="00E31126" w:rsidRDefault="00E31126" w:rsidP="00E31126">
      <w:pPr>
        <w:pStyle w:val="Heading1"/>
        <w:spacing w:after="180"/>
      </w:pPr>
      <w:r w:rsidRPr="006D3DBC">
        <w:lastRenderedPageBreak/>
        <w:t>presentation and storage conditions</w:t>
      </w:r>
    </w:p>
    <w:p w:rsidR="00E31126" w:rsidRPr="006D3DBC" w:rsidRDefault="00E31126" w:rsidP="00E31126">
      <w:r w:rsidRPr="006D3DBC">
        <w:t>ELIQUIS containing 2.5 mg apixaban for oral administration is available as yellow round, biconvex, film-coated tablets debossed with “893” on one side and “2½” on the other side in the following pack configurations:</w:t>
      </w:r>
    </w:p>
    <w:p w:rsidR="00E31126" w:rsidRPr="006D3DBC" w:rsidRDefault="00E31126" w:rsidP="00E31126">
      <w:pPr>
        <w:pStyle w:val="BMSBodyText0"/>
        <w:numPr>
          <w:ilvl w:val="0"/>
          <w:numId w:val="4"/>
        </w:numPr>
        <w:rPr>
          <w:color w:val="auto"/>
          <w:lang w:val="en-AU"/>
        </w:rPr>
      </w:pPr>
      <w:r w:rsidRPr="006D3DBC">
        <w:rPr>
          <w:color w:val="auto"/>
          <w:lang w:val="en-AU"/>
        </w:rPr>
        <w:t>Cartons containing PVC/PVDC blisters of 10 film-coated tablets (1 blister of 10 film-coated tablets each), 20 film-coated tablets (2 blisters of 10 film-coated tablets each), 30 film-coated tablets (3 blisters of 10 film-coated tablets each) or 60 film-coated tablets (6 blisters of 10 film-coated tablets each).</w:t>
      </w:r>
    </w:p>
    <w:p w:rsidR="00E31126" w:rsidRPr="006D3DBC" w:rsidRDefault="00E31126" w:rsidP="00E31126">
      <w:pPr>
        <w:pStyle w:val="BMSBodyText0"/>
        <w:numPr>
          <w:ilvl w:val="0"/>
          <w:numId w:val="4"/>
        </w:numPr>
        <w:rPr>
          <w:color w:val="auto"/>
          <w:lang w:val="en-AU"/>
        </w:rPr>
      </w:pPr>
      <w:r w:rsidRPr="006D3DBC">
        <w:rPr>
          <w:color w:val="auto"/>
          <w:lang w:val="en-AU"/>
        </w:rPr>
        <w:t>Cartons containing PVC/PVDC perforated unit dose blisters of 60 film-coated tablets (6 blisters of 10 film-coated tablets each) or 100 film-coated tablets (10 blisters of 10 film-coated tablets each).</w:t>
      </w:r>
    </w:p>
    <w:p w:rsidR="00E31126" w:rsidRPr="006D3DBC" w:rsidRDefault="00E31126" w:rsidP="00E31126">
      <w:pPr>
        <w:pStyle w:val="BMSBodyText0"/>
        <w:numPr>
          <w:ilvl w:val="0"/>
          <w:numId w:val="4"/>
        </w:numPr>
        <w:rPr>
          <w:color w:val="auto"/>
          <w:lang w:val="en-AU"/>
        </w:rPr>
      </w:pPr>
      <w:r w:rsidRPr="006D3DBC">
        <w:rPr>
          <w:color w:val="auto"/>
          <w:lang w:val="en-AU"/>
        </w:rPr>
        <w:t>Cartons containing 1 PVC/PVDC blister of 14 film-coated tablets.</w:t>
      </w:r>
    </w:p>
    <w:p w:rsidR="00E31126" w:rsidRPr="006D3DBC" w:rsidRDefault="00E31126" w:rsidP="00E31126">
      <w:r w:rsidRPr="006D3DBC">
        <w:t>ELIQUIS containing 5 mg apixaban for oral administration is available as pink oval-shaped, biconvex, film-coated tablets debossed with “894” on one side and “5” on the other side in the following pack configurations:</w:t>
      </w:r>
    </w:p>
    <w:p w:rsidR="00E31126" w:rsidRPr="006D3DBC" w:rsidRDefault="00E31126" w:rsidP="00E31126">
      <w:pPr>
        <w:pStyle w:val="BMSBodyText0"/>
        <w:numPr>
          <w:ilvl w:val="0"/>
          <w:numId w:val="4"/>
        </w:numPr>
        <w:rPr>
          <w:color w:val="auto"/>
          <w:lang w:val="en-AU"/>
        </w:rPr>
      </w:pPr>
      <w:r w:rsidRPr="006D3DBC">
        <w:rPr>
          <w:color w:val="auto"/>
          <w:lang w:val="en-AU"/>
        </w:rPr>
        <w:t>Cartons containing PVC/PVDC blisters of 20, 60 or 120 film-coated tablets in 2, 6 or 12 blisters of 10 film-coated tablets each, respectively.</w:t>
      </w:r>
    </w:p>
    <w:p w:rsidR="00E31126" w:rsidRPr="006D3DBC" w:rsidRDefault="00E31126" w:rsidP="00E31126">
      <w:pPr>
        <w:pStyle w:val="BMSBodyText0"/>
        <w:numPr>
          <w:ilvl w:val="0"/>
          <w:numId w:val="4"/>
        </w:numPr>
        <w:rPr>
          <w:color w:val="auto"/>
          <w:lang w:val="en-AU"/>
        </w:rPr>
      </w:pPr>
      <w:r w:rsidRPr="006D3DBC">
        <w:rPr>
          <w:color w:val="auto"/>
          <w:lang w:val="en-AU"/>
        </w:rPr>
        <w:t>Cartons containing PVC/PVDC blisters of 14, 56, 112 or 168 film-coated tablets in 1, 4, 8 or 12 blisters of 14 film-coated tablets each, respectively.</w:t>
      </w:r>
    </w:p>
    <w:p w:rsidR="00E31126" w:rsidRPr="006D3DBC" w:rsidRDefault="00E31126" w:rsidP="00E31126">
      <w:pPr>
        <w:pStyle w:val="BMSBodyText0"/>
        <w:numPr>
          <w:ilvl w:val="0"/>
          <w:numId w:val="4"/>
        </w:numPr>
        <w:rPr>
          <w:color w:val="auto"/>
          <w:lang w:val="en-AU"/>
        </w:rPr>
      </w:pPr>
      <w:r w:rsidRPr="006D3DBC">
        <w:rPr>
          <w:color w:val="auto"/>
          <w:lang w:val="en-AU"/>
        </w:rPr>
        <w:t>Cartons containing PVC/PVDC perforated unit dose blisters of 100 film-coated tablets (10 blisters of 10 film-coated tablets each).</w:t>
      </w:r>
    </w:p>
    <w:p w:rsidR="00E31126" w:rsidRPr="006D3DBC" w:rsidRDefault="00E31126" w:rsidP="00E31126">
      <w:r w:rsidRPr="006D3DBC">
        <w:t>Not all pack sizes and c</w:t>
      </w:r>
      <w:r>
        <w:t>ontainer types may be marketed.</w:t>
      </w:r>
    </w:p>
    <w:p w:rsidR="00E31126" w:rsidRDefault="00E31126" w:rsidP="00E31126">
      <w:r w:rsidRPr="006D3DBC">
        <w:t>Store below 30°C.  This medicine does not require any special storage condition.</w:t>
      </w:r>
    </w:p>
    <w:p w:rsidR="00E31126" w:rsidRDefault="00E31126" w:rsidP="00E31126">
      <w:pPr>
        <w:pStyle w:val="Heading1"/>
        <w:spacing w:before="280" w:after="180"/>
      </w:pPr>
      <w:r w:rsidRPr="006D3DBC">
        <w:t>NAME AND ADDRESS OF THE SPONSOR</w:t>
      </w:r>
    </w:p>
    <w:p w:rsidR="00E31126" w:rsidRPr="006D3DBC" w:rsidRDefault="00E31126" w:rsidP="00E31126">
      <w:pPr>
        <w:spacing w:before="0" w:after="0"/>
      </w:pPr>
      <w:r w:rsidRPr="006D3DBC">
        <w:t>Bristol-Myers Squibb Australia Pty. Ltd.</w:t>
      </w:r>
    </w:p>
    <w:p w:rsidR="00E31126" w:rsidRPr="006D3DBC" w:rsidRDefault="00E31126" w:rsidP="00E31126">
      <w:pPr>
        <w:spacing w:before="0" w:after="0"/>
      </w:pPr>
      <w:r w:rsidRPr="006D3DBC">
        <w:t>ABN 33 004 333 322</w:t>
      </w:r>
    </w:p>
    <w:p w:rsidR="00E31126" w:rsidRPr="006D3DBC" w:rsidRDefault="00E31126" w:rsidP="00E31126">
      <w:pPr>
        <w:spacing w:before="0" w:after="0"/>
      </w:pPr>
      <w:r w:rsidRPr="006D3DBC">
        <w:t>4 Nexus Court, Mulgrave</w:t>
      </w:r>
    </w:p>
    <w:p w:rsidR="00E31126" w:rsidRPr="006D3DBC" w:rsidRDefault="00E31126" w:rsidP="00E31126">
      <w:pPr>
        <w:spacing w:before="0" w:after="0"/>
      </w:pPr>
      <w:r w:rsidRPr="006D3DBC">
        <w:t>Victoria 3170</w:t>
      </w:r>
    </w:p>
    <w:p w:rsidR="00E31126" w:rsidRPr="006D3DBC" w:rsidRDefault="00E31126" w:rsidP="00E31126">
      <w:pPr>
        <w:spacing w:before="0" w:after="0"/>
      </w:pPr>
      <w:r w:rsidRPr="006D3DBC">
        <w:t>Australia</w:t>
      </w:r>
      <w:r>
        <w:t>.</w:t>
      </w:r>
    </w:p>
    <w:p w:rsidR="00E31126" w:rsidRPr="00E31126" w:rsidRDefault="00E31126" w:rsidP="00E31126">
      <w:pPr>
        <w:spacing w:after="0"/>
        <w:rPr>
          <w:b/>
        </w:rPr>
      </w:pPr>
      <w:r w:rsidRPr="00E31126">
        <w:rPr>
          <w:b/>
        </w:rPr>
        <w:t>ALSO DISTRIBUTED BY:</w:t>
      </w:r>
    </w:p>
    <w:p w:rsidR="00E31126" w:rsidRPr="006D3DBC" w:rsidRDefault="00E31126" w:rsidP="00E31126">
      <w:pPr>
        <w:spacing w:before="0" w:after="0"/>
      </w:pPr>
      <w:r w:rsidRPr="006D3DBC">
        <w:t xml:space="preserve">Pfizer Australia Pty Ltd </w:t>
      </w:r>
    </w:p>
    <w:p w:rsidR="00E31126" w:rsidRPr="006D3DBC" w:rsidRDefault="00E31126" w:rsidP="00E31126">
      <w:pPr>
        <w:spacing w:before="0" w:after="0"/>
      </w:pPr>
      <w:r w:rsidRPr="006D3DBC">
        <w:t>ABN 50 008 422 348</w:t>
      </w:r>
    </w:p>
    <w:p w:rsidR="00E31126" w:rsidRPr="006D3DBC" w:rsidRDefault="00E31126" w:rsidP="00E31126">
      <w:pPr>
        <w:spacing w:before="0" w:after="0"/>
      </w:pPr>
      <w:r w:rsidRPr="006D3DBC">
        <w:t>38-42 Wharf Road</w:t>
      </w:r>
    </w:p>
    <w:p w:rsidR="00E31126" w:rsidRPr="006D3DBC" w:rsidRDefault="00E31126" w:rsidP="00E31126">
      <w:pPr>
        <w:spacing w:before="0" w:after="0"/>
      </w:pPr>
      <w:r w:rsidRPr="006D3DBC">
        <w:t>West Ryde</w:t>
      </w:r>
    </w:p>
    <w:p w:rsidR="00E31126" w:rsidRPr="006D3DBC" w:rsidRDefault="00E31126" w:rsidP="00E31126">
      <w:pPr>
        <w:spacing w:before="0" w:after="0"/>
      </w:pPr>
      <w:r w:rsidRPr="006D3DBC">
        <w:t>NSW 2114</w:t>
      </w:r>
    </w:p>
    <w:p w:rsidR="00E31126" w:rsidRDefault="00E31126" w:rsidP="00E31126">
      <w:pPr>
        <w:spacing w:before="0" w:after="0"/>
      </w:pPr>
      <w:r w:rsidRPr="006D3DBC">
        <w:t>Australia</w:t>
      </w:r>
      <w:r>
        <w:t>.</w:t>
      </w:r>
    </w:p>
    <w:p w:rsidR="00E31126" w:rsidRDefault="00E31126" w:rsidP="00E31126">
      <w:pPr>
        <w:pStyle w:val="Heading1"/>
      </w:pPr>
      <w:r w:rsidRPr="006D3DBC">
        <w:lastRenderedPageBreak/>
        <w:t>poison schedule OF THE MEDICINE</w:t>
      </w:r>
    </w:p>
    <w:p w:rsidR="00E31126" w:rsidRDefault="00E31126" w:rsidP="00E31126">
      <w:r w:rsidRPr="006D3DBC">
        <w:rPr>
          <w:snapToGrid w:val="0"/>
        </w:rPr>
        <w:t>S4 – Prescription Only Medicine</w:t>
      </w:r>
      <w:r>
        <w:rPr>
          <w:snapToGrid w:val="0"/>
        </w:rPr>
        <w:t>.</w:t>
      </w:r>
    </w:p>
    <w:p w:rsidR="00E31126" w:rsidRDefault="00E31126" w:rsidP="00E31126">
      <w:pPr>
        <w:pStyle w:val="Heading1"/>
      </w:pPr>
      <w:r w:rsidRPr="006D3DBC">
        <w:t>date of FIRST INCLUSION IN THE AUSTRALIAN REGISTER OF THERAPEUTIC GOODS (THE ARTG)</w:t>
      </w:r>
    </w:p>
    <w:p w:rsidR="00E31126" w:rsidRDefault="00E31126" w:rsidP="00E31126">
      <w:r w:rsidRPr="006D3DBC">
        <w:rPr>
          <w:snapToGrid w:val="0"/>
        </w:rPr>
        <w:t>21 July 2011</w:t>
      </w:r>
      <w:r>
        <w:rPr>
          <w:snapToGrid w:val="0"/>
        </w:rPr>
        <w:t>.</w:t>
      </w:r>
    </w:p>
    <w:p w:rsidR="00E31126" w:rsidRDefault="00E31126" w:rsidP="00E31126">
      <w:pPr>
        <w:pStyle w:val="Heading1"/>
      </w:pPr>
      <w:r w:rsidRPr="006D3DBC">
        <w:t>date of MOST RECENT AMENDMENT</w:t>
      </w:r>
    </w:p>
    <w:p w:rsidR="00E31126" w:rsidRDefault="00E31126" w:rsidP="00E31126">
      <w:pPr>
        <w:rPr>
          <w:snapToGrid w:val="0"/>
        </w:rPr>
      </w:pPr>
      <w:r>
        <w:rPr>
          <w:snapToGrid w:val="0"/>
        </w:rPr>
        <w:t>29 April 2013.</w:t>
      </w:r>
    </w:p>
    <w:p w:rsidR="000032AD" w:rsidRPr="00A31F34" w:rsidRDefault="00E31126" w:rsidP="00FA2859">
      <w:proofErr w:type="gramStart"/>
      <w:r w:rsidRPr="006D3DBC">
        <w:rPr>
          <w:snapToGrid w:val="0"/>
        </w:rPr>
        <w:t>® Registered trademark of Bristol-Myers Squibb</w:t>
      </w:r>
      <w:r>
        <w:rPr>
          <w:snapToGrid w:val="0"/>
        </w:rPr>
        <w:t>.</w:t>
      </w:r>
      <w:proofErr w:type="gramEnd"/>
    </w:p>
    <w:sectPr w:rsidR="000032AD" w:rsidRPr="00A31F34" w:rsidSect="000B5BD3">
      <w:headerReference w:type="default" r:id="rId12"/>
      <w:footerReference w:type="default" r:id="rId13"/>
      <w:pgSz w:w="11906" w:h="16838"/>
      <w:pgMar w:top="1440" w:right="1440" w:bottom="1440" w:left="1440"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2BA" w:rsidRDefault="00A312BA">
      <w:pPr>
        <w:pStyle w:val="Heading2"/>
        <w:spacing w:before="0" w:line="240" w:lineRule="auto"/>
        <w:rPr>
          <w:rFonts w:ascii="Calibri" w:hAnsi="Calibri"/>
          <w:b w:val="0"/>
          <w:bCs w:val="0"/>
          <w:sz w:val="22"/>
          <w:szCs w:val="22"/>
        </w:rPr>
      </w:pPr>
      <w:r>
        <w:separator/>
      </w:r>
    </w:p>
    <w:p w:rsidR="00A312BA" w:rsidRDefault="00A312BA"/>
  </w:endnote>
  <w:endnote w:type="continuationSeparator" w:id="0">
    <w:p w:rsidR="00A312BA" w:rsidRDefault="00A312BA">
      <w:pPr>
        <w:pStyle w:val="Heading2"/>
        <w:spacing w:before="0" w:line="240" w:lineRule="auto"/>
        <w:rPr>
          <w:rFonts w:ascii="Calibri" w:hAnsi="Calibri"/>
          <w:b w:val="0"/>
          <w:bCs w:val="0"/>
          <w:sz w:val="22"/>
          <w:szCs w:val="22"/>
        </w:rPr>
      </w:pPr>
      <w:r>
        <w:continuationSeparator/>
      </w:r>
    </w:p>
    <w:p w:rsidR="00A312BA" w:rsidRDefault="00A312B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B67" w:rsidRPr="00AE22AB" w:rsidRDefault="00F30B67" w:rsidP="002A2F9A">
    <w:pPr>
      <w:pStyle w:val="Footer"/>
      <w:pBdr>
        <w:top w:val="single" w:sz="4" w:space="1" w:color="auto"/>
      </w:pBdr>
      <w:spacing w:before="0"/>
      <w:rPr>
        <w:sz w:val="20"/>
        <w:szCs w:val="20"/>
        <w:lang w:val="fr-FR"/>
      </w:rPr>
    </w:pPr>
    <w:r w:rsidRPr="00AE22AB">
      <w:rPr>
        <w:sz w:val="20"/>
        <w:szCs w:val="20"/>
        <w:lang w:val="fr-FR"/>
      </w:rPr>
      <w:t>Version: b</w:t>
    </w:r>
    <w:r>
      <w:rPr>
        <w:sz w:val="20"/>
        <w:szCs w:val="20"/>
        <w:lang w:val="fr-FR"/>
      </w:rPr>
      <w:t>g</w:t>
    </w:r>
    <w:r w:rsidRPr="00AE22AB">
      <w:rPr>
        <w:sz w:val="20"/>
        <w:szCs w:val="20"/>
        <w:lang w:val="fr-FR"/>
      </w:rPr>
      <w:t>peliqu</w:t>
    </w:r>
    <w:r>
      <w:rPr>
        <w:sz w:val="20"/>
        <w:szCs w:val="20"/>
        <w:lang w:val="fr-FR"/>
      </w:rPr>
      <w:t>10413</w:t>
    </w:r>
    <w:r w:rsidRPr="00AE22AB">
      <w:rPr>
        <w:sz w:val="20"/>
        <w:szCs w:val="20"/>
        <w:lang w:val="fr-FR"/>
      </w:rPr>
      <w:tab/>
    </w:r>
    <w:r w:rsidRPr="00AE22AB">
      <w:rPr>
        <w:sz w:val="20"/>
        <w:szCs w:val="20"/>
        <w:lang w:val="fr-FR"/>
      </w:rPr>
      <w:tab/>
    </w:r>
    <w:r>
      <w:rPr>
        <w:sz w:val="20"/>
        <w:szCs w:val="20"/>
        <w:lang w:val="fr-FR"/>
      </w:rPr>
      <w:t xml:space="preserve">Supersedes: bgpeliqu11112 </w:t>
    </w:r>
  </w:p>
  <w:p w:rsidR="00F30B67" w:rsidRPr="00AE22AB" w:rsidRDefault="00F30B67" w:rsidP="00AE22AB">
    <w:pPr>
      <w:tabs>
        <w:tab w:val="right" w:pos="9072"/>
      </w:tabs>
      <w:spacing w:before="0" w:after="0"/>
      <w:rPr>
        <w:sz w:val="20"/>
        <w:szCs w:val="20"/>
      </w:rPr>
    </w:pPr>
    <w:r w:rsidRPr="00AE22AB">
      <w:rPr>
        <w:sz w:val="20"/>
        <w:szCs w:val="20"/>
        <w:lang w:val="fr-FR"/>
      </w:rPr>
      <w:tab/>
      <w:t xml:space="preserve">Page </w:t>
    </w:r>
    <w:r w:rsidRPr="00AE22AB">
      <w:rPr>
        <w:sz w:val="20"/>
        <w:szCs w:val="20"/>
        <w:lang w:val="fr-FR"/>
      </w:rPr>
      <w:fldChar w:fldCharType="begin"/>
    </w:r>
    <w:r w:rsidRPr="00AE22AB">
      <w:rPr>
        <w:sz w:val="20"/>
        <w:szCs w:val="20"/>
        <w:lang w:val="fr-FR"/>
      </w:rPr>
      <w:instrText xml:space="preserve"> PAGE </w:instrText>
    </w:r>
    <w:r w:rsidRPr="00AE22AB">
      <w:rPr>
        <w:sz w:val="20"/>
        <w:szCs w:val="20"/>
        <w:lang w:val="fr-FR"/>
      </w:rPr>
      <w:fldChar w:fldCharType="separate"/>
    </w:r>
    <w:r w:rsidR="00117789">
      <w:rPr>
        <w:noProof/>
        <w:sz w:val="20"/>
        <w:szCs w:val="20"/>
        <w:lang w:val="fr-FR"/>
      </w:rPr>
      <w:t>1</w:t>
    </w:r>
    <w:r w:rsidRPr="00AE22AB">
      <w:rPr>
        <w:sz w:val="20"/>
        <w:szCs w:val="20"/>
        <w:lang w:val="fr-FR"/>
      </w:rPr>
      <w:fldChar w:fldCharType="end"/>
    </w:r>
    <w:r w:rsidRPr="00AE22AB">
      <w:rPr>
        <w:sz w:val="20"/>
        <w:szCs w:val="20"/>
        <w:lang w:val="fr-FR"/>
      </w:rPr>
      <w:t xml:space="preserve"> of </w:t>
    </w:r>
    <w:r w:rsidRPr="00AE22AB">
      <w:rPr>
        <w:sz w:val="20"/>
        <w:szCs w:val="20"/>
        <w:lang w:val="fr-FR"/>
      </w:rPr>
      <w:fldChar w:fldCharType="begin"/>
    </w:r>
    <w:r w:rsidRPr="00AE22AB">
      <w:rPr>
        <w:sz w:val="20"/>
        <w:szCs w:val="20"/>
        <w:lang w:val="fr-FR"/>
      </w:rPr>
      <w:instrText xml:space="preserve"> NUMPAGES  </w:instrText>
    </w:r>
    <w:r w:rsidRPr="00AE22AB">
      <w:rPr>
        <w:sz w:val="20"/>
        <w:szCs w:val="20"/>
        <w:lang w:val="fr-FR"/>
      </w:rPr>
      <w:fldChar w:fldCharType="separate"/>
    </w:r>
    <w:r w:rsidR="00117789">
      <w:rPr>
        <w:noProof/>
        <w:sz w:val="20"/>
        <w:szCs w:val="20"/>
        <w:lang w:val="fr-FR"/>
      </w:rPr>
      <w:t>37</w:t>
    </w:r>
    <w:r w:rsidRPr="00AE22AB">
      <w:rPr>
        <w:sz w:val="20"/>
        <w:szCs w:val="20"/>
        <w:lang w:val="fr-F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2BA" w:rsidRDefault="00A312BA">
      <w:pPr>
        <w:pStyle w:val="Heading2"/>
        <w:spacing w:before="0" w:line="240" w:lineRule="auto"/>
        <w:rPr>
          <w:rFonts w:ascii="Calibri" w:hAnsi="Calibri"/>
          <w:b w:val="0"/>
          <w:bCs w:val="0"/>
          <w:sz w:val="22"/>
          <w:szCs w:val="22"/>
        </w:rPr>
      </w:pPr>
      <w:r>
        <w:separator/>
      </w:r>
    </w:p>
    <w:p w:rsidR="00A312BA" w:rsidRDefault="00A312BA"/>
  </w:footnote>
  <w:footnote w:type="continuationSeparator" w:id="0">
    <w:p w:rsidR="00A312BA" w:rsidRDefault="00A312BA">
      <w:pPr>
        <w:pStyle w:val="Heading2"/>
        <w:spacing w:before="0" w:line="240" w:lineRule="auto"/>
        <w:rPr>
          <w:rFonts w:ascii="Calibri" w:hAnsi="Calibri"/>
          <w:b w:val="0"/>
          <w:bCs w:val="0"/>
          <w:sz w:val="22"/>
          <w:szCs w:val="22"/>
        </w:rPr>
      </w:pPr>
      <w:r>
        <w:continuationSeparator/>
      </w:r>
    </w:p>
    <w:p w:rsidR="00A312BA" w:rsidRDefault="00A312B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B67" w:rsidRPr="006C713D" w:rsidRDefault="00F30B67" w:rsidP="006C713D">
    <w:pPr>
      <w:pBdr>
        <w:top w:val="single" w:sz="4" w:space="1" w:color="auto"/>
        <w:left w:val="single" w:sz="4" w:space="4" w:color="auto"/>
        <w:bottom w:val="single" w:sz="4" w:space="1" w:color="auto"/>
        <w:right w:val="single" w:sz="4" w:space="4" w:color="auto"/>
      </w:pBdr>
      <w:shd w:val="clear" w:color="auto" w:fill="E4F2E0"/>
      <w:spacing w:before="40" w:after="40"/>
      <w:rPr>
        <w:rFonts w:ascii="Cambria" w:hAnsi="Cambria"/>
        <w:b/>
        <w:sz w:val="20"/>
        <w:szCs w:val="20"/>
      </w:rPr>
    </w:pPr>
    <w:r w:rsidRPr="006C713D">
      <w:rPr>
        <w:rFonts w:ascii="Cambria" w:hAnsi="Cambria"/>
        <w:b/>
        <w:sz w:val="20"/>
        <w:szCs w:val="20"/>
      </w:rPr>
      <w:t xml:space="preserve">Attachment 1: Product information for </w:t>
    </w:r>
    <w:proofErr w:type="spellStart"/>
    <w:r w:rsidRPr="006C713D">
      <w:rPr>
        <w:rFonts w:ascii="Cambria" w:hAnsi="Cambria"/>
        <w:b/>
        <w:sz w:val="20"/>
        <w:szCs w:val="20"/>
      </w:rPr>
      <w:t>AusPAR</w:t>
    </w:r>
    <w:proofErr w:type="spellEnd"/>
    <w:r w:rsidRPr="006C713D">
      <w:rPr>
        <w:rFonts w:ascii="Cambria" w:hAnsi="Cambria"/>
        <w:b/>
        <w:sz w:val="20"/>
        <w:szCs w:val="20"/>
      </w:rPr>
      <w:t xml:space="preserve"> </w:t>
    </w:r>
    <w:proofErr w:type="spellStart"/>
    <w:r w:rsidRPr="006C713D">
      <w:rPr>
        <w:rFonts w:ascii="Cambria" w:hAnsi="Cambria"/>
        <w:b/>
        <w:sz w:val="20"/>
        <w:szCs w:val="20"/>
      </w:rPr>
      <w:t>Eliquis</w:t>
    </w:r>
    <w:proofErr w:type="spellEnd"/>
    <w:r w:rsidRPr="006C713D">
      <w:rPr>
        <w:rFonts w:ascii="Cambria" w:hAnsi="Cambria"/>
        <w:b/>
        <w:sz w:val="20"/>
        <w:szCs w:val="20"/>
      </w:rPr>
      <w:t xml:space="preserve"> </w:t>
    </w:r>
    <w:proofErr w:type="spellStart"/>
    <w:r w:rsidRPr="006C713D">
      <w:rPr>
        <w:rFonts w:ascii="Cambria" w:hAnsi="Cambria"/>
        <w:b/>
        <w:sz w:val="20"/>
        <w:szCs w:val="20"/>
      </w:rPr>
      <w:t>Apixaban</w:t>
    </w:r>
    <w:proofErr w:type="spellEnd"/>
    <w:r w:rsidRPr="006C713D">
      <w:rPr>
        <w:rFonts w:ascii="Cambria" w:hAnsi="Cambria"/>
        <w:b/>
        <w:sz w:val="20"/>
        <w:szCs w:val="20"/>
      </w:rPr>
      <w:t xml:space="preserve"> Bristol-Myers Squibb Australia Pty Ltd PM-2011-03165-3-3 Date of Finalisation 21 June 2013. This Product Information was approved at the time this </w:t>
    </w:r>
    <w:proofErr w:type="spellStart"/>
    <w:r w:rsidRPr="006C713D">
      <w:rPr>
        <w:rFonts w:ascii="Cambria" w:hAnsi="Cambria"/>
        <w:b/>
        <w:sz w:val="20"/>
        <w:szCs w:val="20"/>
      </w:rPr>
      <w:t>AusPAR</w:t>
    </w:r>
    <w:proofErr w:type="spellEnd"/>
    <w:r w:rsidRPr="006C713D">
      <w:rPr>
        <w:rFonts w:ascii="Cambria" w:hAnsi="Cambria"/>
        <w:b/>
        <w:sz w:val="20"/>
        <w:szCs w:val="20"/>
      </w:rPr>
      <w:t xml:space="preserve"> was published.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E6838"/>
    <w:multiLevelType w:val="hybridMultilevel"/>
    <w:tmpl w:val="D62CE92A"/>
    <w:lvl w:ilvl="0" w:tplc="04090001">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71478E"/>
    <w:multiLevelType w:val="hybridMultilevel"/>
    <w:tmpl w:val="B46E5D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0C91B20"/>
    <w:multiLevelType w:val="hybridMultilevel"/>
    <w:tmpl w:val="7EEA6B4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nsid w:val="18116FBB"/>
    <w:multiLevelType w:val="hybridMultilevel"/>
    <w:tmpl w:val="712E5D34"/>
    <w:lvl w:ilvl="0" w:tplc="EEE0C10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161CD9"/>
    <w:multiLevelType w:val="singleLevel"/>
    <w:tmpl w:val="1BBC6388"/>
    <w:name w:val="RefNotes"/>
    <w:lvl w:ilvl="0">
      <w:start w:val="1"/>
      <w:numFmt w:val="decimal"/>
      <w:pStyle w:val="BMSListNumbering"/>
      <w:lvlText w:val="%1."/>
      <w:lvlJc w:val="left"/>
      <w:pPr>
        <w:tabs>
          <w:tab w:val="num" w:pos="360"/>
        </w:tabs>
        <w:ind w:left="360" w:hanging="360"/>
      </w:pPr>
      <w:rPr>
        <w:rFonts w:cs="Times New Roman"/>
      </w:rPr>
    </w:lvl>
  </w:abstractNum>
  <w:abstractNum w:abstractNumId="5">
    <w:nsid w:val="26705C00"/>
    <w:multiLevelType w:val="hybridMultilevel"/>
    <w:tmpl w:val="C9FC5938"/>
    <w:lvl w:ilvl="0" w:tplc="34CA7966">
      <w:start w:val="30"/>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7203307"/>
    <w:multiLevelType w:val="multilevel"/>
    <w:tmpl w:val="1204A614"/>
    <w:lvl w:ilvl="0">
      <w:start w:val="1"/>
      <w:numFmt w:val="decimal"/>
      <w:pStyle w:val="BMSHeading1"/>
      <w:lvlText w:val="%1"/>
      <w:lvlJc w:val="left"/>
      <w:pPr>
        <w:tabs>
          <w:tab w:val="num" w:pos="432"/>
        </w:tabs>
        <w:ind w:left="432" w:hanging="432"/>
      </w:pPr>
      <w:rPr>
        <w:rFonts w:cs="Times New Roman"/>
      </w:rPr>
    </w:lvl>
    <w:lvl w:ilvl="1">
      <w:start w:val="1"/>
      <w:numFmt w:val="decimal"/>
      <w:pStyle w:val="BMSHeading2"/>
      <w:lvlText w:val="%1.%2"/>
      <w:lvlJc w:val="left"/>
      <w:pPr>
        <w:tabs>
          <w:tab w:val="num" w:pos="860"/>
        </w:tabs>
        <w:ind w:left="860" w:hanging="576"/>
      </w:pPr>
      <w:rPr>
        <w:rFonts w:cs="Times New Roman"/>
      </w:rPr>
    </w:lvl>
    <w:lvl w:ilvl="2">
      <w:start w:val="1"/>
      <w:numFmt w:val="decimal"/>
      <w:pStyle w:val="BMSHeading3"/>
      <w:lvlText w:val="%1.%2.%3"/>
      <w:lvlJc w:val="left"/>
      <w:pPr>
        <w:tabs>
          <w:tab w:val="num" w:pos="720"/>
        </w:tabs>
        <w:ind w:left="720" w:hanging="720"/>
      </w:pPr>
      <w:rPr>
        <w:rFonts w:cs="Times New Roman"/>
      </w:rPr>
    </w:lvl>
    <w:lvl w:ilvl="3">
      <w:start w:val="1"/>
      <w:numFmt w:val="decimal"/>
      <w:pStyle w:val="BMSHeading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nsid w:val="454E79C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nsid w:val="494B7A98"/>
    <w:multiLevelType w:val="hybridMultilevel"/>
    <w:tmpl w:val="B596EA6A"/>
    <w:lvl w:ilvl="0" w:tplc="371A2FEC">
      <w:start w:val="30"/>
      <w:numFmt w:val="bullet"/>
      <w:lvlText w:val="-"/>
      <w:lvlJc w:val="left"/>
      <w:pPr>
        <w:ind w:left="720" w:hanging="360"/>
      </w:pPr>
      <w:rPr>
        <w:rFonts w:ascii="Times New Roman" w:eastAsia="Calibri" w:hAnsi="Times New Roman" w:cs="Times New Roman"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69B3103"/>
    <w:multiLevelType w:val="hybridMultilevel"/>
    <w:tmpl w:val="38488820"/>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0">
    <w:nsid w:val="59A723E2"/>
    <w:multiLevelType w:val="hybridMultilevel"/>
    <w:tmpl w:val="8F226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0736263"/>
    <w:multiLevelType w:val="hybridMultilevel"/>
    <w:tmpl w:val="6F2ED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2B62DF6"/>
    <w:multiLevelType w:val="hybridMultilevel"/>
    <w:tmpl w:val="B720E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82B07D5"/>
    <w:multiLevelType w:val="hybridMultilevel"/>
    <w:tmpl w:val="5A2A63EC"/>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732BC3"/>
    <w:multiLevelType w:val="hybridMultilevel"/>
    <w:tmpl w:val="F9E08EF0"/>
    <w:lvl w:ilvl="0" w:tplc="DC346430">
      <w:start w:val="30"/>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3D349AD"/>
    <w:multiLevelType w:val="multilevel"/>
    <w:tmpl w:val="45FC4FC0"/>
    <w:lvl w:ilvl="0">
      <w:start w:val="1"/>
      <w:numFmt w:val="bullet"/>
      <w:pStyle w:val="BMSBullets"/>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764175C3"/>
    <w:multiLevelType w:val="hybridMultilevel"/>
    <w:tmpl w:val="021C2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92A1F63"/>
    <w:multiLevelType w:val="hybridMultilevel"/>
    <w:tmpl w:val="B8922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7BAE0A99"/>
    <w:multiLevelType w:val="hybridMultilevel"/>
    <w:tmpl w:val="4CB404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7EC4729E"/>
    <w:multiLevelType w:val="hybridMultilevel"/>
    <w:tmpl w:val="D6D8B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2"/>
  </w:num>
  <w:num w:numId="4">
    <w:abstractNumId w:val="18"/>
  </w:num>
  <w:num w:numId="5">
    <w:abstractNumId w:val="7"/>
  </w:num>
  <w:num w:numId="6">
    <w:abstractNumId w:val="4"/>
  </w:num>
  <w:num w:numId="7">
    <w:abstractNumId w:val="12"/>
  </w:num>
  <w:num w:numId="8">
    <w:abstractNumId w:val="15"/>
  </w:num>
  <w:num w:numId="9">
    <w:abstractNumId w:val="3"/>
  </w:num>
  <w:num w:numId="10">
    <w:abstractNumId w:val="1"/>
  </w:num>
  <w:num w:numId="11">
    <w:abstractNumId w:val="17"/>
  </w:num>
  <w:num w:numId="12">
    <w:abstractNumId w:val="9"/>
  </w:num>
  <w:num w:numId="13">
    <w:abstractNumId w:val="16"/>
  </w:num>
  <w:num w:numId="14">
    <w:abstractNumId w:val="19"/>
  </w:num>
  <w:num w:numId="15">
    <w:abstractNumId w:val="10"/>
  </w:num>
  <w:num w:numId="16">
    <w:abstractNumId w:val="13"/>
  </w:num>
  <w:num w:numId="17">
    <w:abstractNumId w:val="14"/>
  </w:num>
  <w:num w:numId="18">
    <w:abstractNumId w:val="5"/>
  </w:num>
  <w:num w:numId="19">
    <w:abstractNumId w:val="8"/>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025371"/>
    <w:rsid w:val="000032AD"/>
    <w:rsid w:val="00003C95"/>
    <w:rsid w:val="0000458F"/>
    <w:rsid w:val="00007946"/>
    <w:rsid w:val="0001076E"/>
    <w:rsid w:val="000111AE"/>
    <w:rsid w:val="0001212C"/>
    <w:rsid w:val="0001215F"/>
    <w:rsid w:val="00013D2F"/>
    <w:rsid w:val="000165B0"/>
    <w:rsid w:val="00016D8A"/>
    <w:rsid w:val="000223FD"/>
    <w:rsid w:val="00023ABE"/>
    <w:rsid w:val="00025371"/>
    <w:rsid w:val="000256D7"/>
    <w:rsid w:val="00026AD5"/>
    <w:rsid w:val="000272A7"/>
    <w:rsid w:val="00027F22"/>
    <w:rsid w:val="000359B5"/>
    <w:rsid w:val="00042152"/>
    <w:rsid w:val="000422C2"/>
    <w:rsid w:val="00044AE7"/>
    <w:rsid w:val="0004548E"/>
    <w:rsid w:val="00045762"/>
    <w:rsid w:val="0004615C"/>
    <w:rsid w:val="00050CA8"/>
    <w:rsid w:val="000517C6"/>
    <w:rsid w:val="00051B98"/>
    <w:rsid w:val="00051F1A"/>
    <w:rsid w:val="00057AA8"/>
    <w:rsid w:val="00057FC4"/>
    <w:rsid w:val="00060747"/>
    <w:rsid w:val="00060FC5"/>
    <w:rsid w:val="000655C0"/>
    <w:rsid w:val="00065CD7"/>
    <w:rsid w:val="00077573"/>
    <w:rsid w:val="00081ABD"/>
    <w:rsid w:val="00083456"/>
    <w:rsid w:val="000839C6"/>
    <w:rsid w:val="000867DF"/>
    <w:rsid w:val="00087628"/>
    <w:rsid w:val="000903CC"/>
    <w:rsid w:val="000924E8"/>
    <w:rsid w:val="000A2DD9"/>
    <w:rsid w:val="000A370C"/>
    <w:rsid w:val="000A399B"/>
    <w:rsid w:val="000A4988"/>
    <w:rsid w:val="000A6A71"/>
    <w:rsid w:val="000B001C"/>
    <w:rsid w:val="000B1D72"/>
    <w:rsid w:val="000B5BD3"/>
    <w:rsid w:val="000B5CD4"/>
    <w:rsid w:val="000B724A"/>
    <w:rsid w:val="000C1EDF"/>
    <w:rsid w:val="000C3AD3"/>
    <w:rsid w:val="000C3DD7"/>
    <w:rsid w:val="000D3692"/>
    <w:rsid w:val="000D454B"/>
    <w:rsid w:val="000D5412"/>
    <w:rsid w:val="000D6760"/>
    <w:rsid w:val="000D706B"/>
    <w:rsid w:val="000E371A"/>
    <w:rsid w:val="000E433D"/>
    <w:rsid w:val="000E47DF"/>
    <w:rsid w:val="000F1964"/>
    <w:rsid w:val="000F492A"/>
    <w:rsid w:val="000F5652"/>
    <w:rsid w:val="00101F22"/>
    <w:rsid w:val="00102656"/>
    <w:rsid w:val="00104363"/>
    <w:rsid w:val="001068C1"/>
    <w:rsid w:val="00106F3B"/>
    <w:rsid w:val="001071C9"/>
    <w:rsid w:val="00111E05"/>
    <w:rsid w:val="001133BF"/>
    <w:rsid w:val="00113BA4"/>
    <w:rsid w:val="001157B5"/>
    <w:rsid w:val="00117789"/>
    <w:rsid w:val="00120B63"/>
    <w:rsid w:val="001231E1"/>
    <w:rsid w:val="0012704E"/>
    <w:rsid w:val="00127405"/>
    <w:rsid w:val="00127715"/>
    <w:rsid w:val="00131BFC"/>
    <w:rsid w:val="001322B0"/>
    <w:rsid w:val="0013385F"/>
    <w:rsid w:val="00133D8F"/>
    <w:rsid w:val="00134D54"/>
    <w:rsid w:val="001355B0"/>
    <w:rsid w:val="00135AFD"/>
    <w:rsid w:val="0014198F"/>
    <w:rsid w:val="00141EEE"/>
    <w:rsid w:val="00146F58"/>
    <w:rsid w:val="0015192F"/>
    <w:rsid w:val="001523EC"/>
    <w:rsid w:val="00153F19"/>
    <w:rsid w:val="001567A7"/>
    <w:rsid w:val="00157451"/>
    <w:rsid w:val="001709B1"/>
    <w:rsid w:val="00171EC1"/>
    <w:rsid w:val="00172A11"/>
    <w:rsid w:val="001745EB"/>
    <w:rsid w:val="001762F9"/>
    <w:rsid w:val="0017767A"/>
    <w:rsid w:val="00177865"/>
    <w:rsid w:val="00177976"/>
    <w:rsid w:val="00181E66"/>
    <w:rsid w:val="0018579A"/>
    <w:rsid w:val="00186809"/>
    <w:rsid w:val="00186918"/>
    <w:rsid w:val="00187A4B"/>
    <w:rsid w:val="00191E05"/>
    <w:rsid w:val="00194BA6"/>
    <w:rsid w:val="00195F59"/>
    <w:rsid w:val="001A2F16"/>
    <w:rsid w:val="001A5C35"/>
    <w:rsid w:val="001A662D"/>
    <w:rsid w:val="001B2A4F"/>
    <w:rsid w:val="001D05CF"/>
    <w:rsid w:val="001D3701"/>
    <w:rsid w:val="001D5C74"/>
    <w:rsid w:val="001D6499"/>
    <w:rsid w:val="001E038F"/>
    <w:rsid w:val="001E0C26"/>
    <w:rsid w:val="001E4693"/>
    <w:rsid w:val="001E6E84"/>
    <w:rsid w:val="001F1976"/>
    <w:rsid w:val="001F62D0"/>
    <w:rsid w:val="00201FBC"/>
    <w:rsid w:val="00202EFB"/>
    <w:rsid w:val="00203539"/>
    <w:rsid w:val="00204976"/>
    <w:rsid w:val="002066CB"/>
    <w:rsid w:val="002071A6"/>
    <w:rsid w:val="0020772B"/>
    <w:rsid w:val="00207E0E"/>
    <w:rsid w:val="00211538"/>
    <w:rsid w:val="00214233"/>
    <w:rsid w:val="0021471A"/>
    <w:rsid w:val="0021473F"/>
    <w:rsid w:val="0021756F"/>
    <w:rsid w:val="00221943"/>
    <w:rsid w:val="00222DA8"/>
    <w:rsid w:val="00230EB2"/>
    <w:rsid w:val="00233F8B"/>
    <w:rsid w:val="00245DCF"/>
    <w:rsid w:val="00246119"/>
    <w:rsid w:val="002505DE"/>
    <w:rsid w:val="00252714"/>
    <w:rsid w:val="002533DF"/>
    <w:rsid w:val="00263429"/>
    <w:rsid w:val="0026686D"/>
    <w:rsid w:val="00267438"/>
    <w:rsid w:val="0026797E"/>
    <w:rsid w:val="00270CCC"/>
    <w:rsid w:val="002728E6"/>
    <w:rsid w:val="00272F01"/>
    <w:rsid w:val="0027404F"/>
    <w:rsid w:val="00274682"/>
    <w:rsid w:val="002746BB"/>
    <w:rsid w:val="002748E0"/>
    <w:rsid w:val="00274DA9"/>
    <w:rsid w:val="00277EE5"/>
    <w:rsid w:val="00281623"/>
    <w:rsid w:val="00284BC2"/>
    <w:rsid w:val="00286110"/>
    <w:rsid w:val="00290A0A"/>
    <w:rsid w:val="00293618"/>
    <w:rsid w:val="0029436C"/>
    <w:rsid w:val="00296842"/>
    <w:rsid w:val="00296CEA"/>
    <w:rsid w:val="002A29A4"/>
    <w:rsid w:val="002A2B81"/>
    <w:rsid w:val="002A2F9A"/>
    <w:rsid w:val="002A3DB8"/>
    <w:rsid w:val="002B2ED3"/>
    <w:rsid w:val="002B6E22"/>
    <w:rsid w:val="002C1381"/>
    <w:rsid w:val="002C2D3B"/>
    <w:rsid w:val="002C38D4"/>
    <w:rsid w:val="002C65A7"/>
    <w:rsid w:val="002D2241"/>
    <w:rsid w:val="002D5D80"/>
    <w:rsid w:val="002D7232"/>
    <w:rsid w:val="002D75F9"/>
    <w:rsid w:val="002E4487"/>
    <w:rsid w:val="002E5626"/>
    <w:rsid w:val="002E6BE4"/>
    <w:rsid w:val="002E7663"/>
    <w:rsid w:val="002F1BB1"/>
    <w:rsid w:val="002F22DE"/>
    <w:rsid w:val="002F3DFA"/>
    <w:rsid w:val="002F56B3"/>
    <w:rsid w:val="00301341"/>
    <w:rsid w:val="00301718"/>
    <w:rsid w:val="00302833"/>
    <w:rsid w:val="003037AD"/>
    <w:rsid w:val="00303FED"/>
    <w:rsid w:val="00305823"/>
    <w:rsid w:val="003066E9"/>
    <w:rsid w:val="003105E6"/>
    <w:rsid w:val="003123FB"/>
    <w:rsid w:val="0031622B"/>
    <w:rsid w:val="00317D52"/>
    <w:rsid w:val="00321199"/>
    <w:rsid w:val="003211F3"/>
    <w:rsid w:val="003219C4"/>
    <w:rsid w:val="00321AD1"/>
    <w:rsid w:val="0032660B"/>
    <w:rsid w:val="00333348"/>
    <w:rsid w:val="00335486"/>
    <w:rsid w:val="00350AD0"/>
    <w:rsid w:val="00351219"/>
    <w:rsid w:val="003522BE"/>
    <w:rsid w:val="003563A0"/>
    <w:rsid w:val="0035702F"/>
    <w:rsid w:val="003664F7"/>
    <w:rsid w:val="003673BF"/>
    <w:rsid w:val="0036768B"/>
    <w:rsid w:val="0037189D"/>
    <w:rsid w:val="00373418"/>
    <w:rsid w:val="00374D3F"/>
    <w:rsid w:val="00375E74"/>
    <w:rsid w:val="00380524"/>
    <w:rsid w:val="003812B2"/>
    <w:rsid w:val="00381760"/>
    <w:rsid w:val="0038341C"/>
    <w:rsid w:val="00390479"/>
    <w:rsid w:val="0039051A"/>
    <w:rsid w:val="00392B4C"/>
    <w:rsid w:val="0039477A"/>
    <w:rsid w:val="0039478A"/>
    <w:rsid w:val="00396042"/>
    <w:rsid w:val="003A0E0D"/>
    <w:rsid w:val="003A11BB"/>
    <w:rsid w:val="003A3A61"/>
    <w:rsid w:val="003A3E97"/>
    <w:rsid w:val="003A6B79"/>
    <w:rsid w:val="003B268E"/>
    <w:rsid w:val="003B3046"/>
    <w:rsid w:val="003B5CA9"/>
    <w:rsid w:val="003B6364"/>
    <w:rsid w:val="003B6EC4"/>
    <w:rsid w:val="003C2B50"/>
    <w:rsid w:val="003D03CA"/>
    <w:rsid w:val="003D1DCC"/>
    <w:rsid w:val="003D49FD"/>
    <w:rsid w:val="003D64E5"/>
    <w:rsid w:val="003E180D"/>
    <w:rsid w:val="003E5C02"/>
    <w:rsid w:val="003E5C63"/>
    <w:rsid w:val="003F1BCF"/>
    <w:rsid w:val="003F4923"/>
    <w:rsid w:val="004017CB"/>
    <w:rsid w:val="00401AA0"/>
    <w:rsid w:val="00406EF0"/>
    <w:rsid w:val="00410A20"/>
    <w:rsid w:val="00411321"/>
    <w:rsid w:val="00412339"/>
    <w:rsid w:val="00412B78"/>
    <w:rsid w:val="00416916"/>
    <w:rsid w:val="0041779B"/>
    <w:rsid w:val="004238D2"/>
    <w:rsid w:val="004257EE"/>
    <w:rsid w:val="00430083"/>
    <w:rsid w:val="00430BDD"/>
    <w:rsid w:val="00430C83"/>
    <w:rsid w:val="00430DC5"/>
    <w:rsid w:val="004346F6"/>
    <w:rsid w:val="00441BA9"/>
    <w:rsid w:val="004424A0"/>
    <w:rsid w:val="004448A9"/>
    <w:rsid w:val="00445259"/>
    <w:rsid w:val="0045105F"/>
    <w:rsid w:val="00457512"/>
    <w:rsid w:val="004602B0"/>
    <w:rsid w:val="00460DE4"/>
    <w:rsid w:val="0046159E"/>
    <w:rsid w:val="004620FA"/>
    <w:rsid w:val="00462E49"/>
    <w:rsid w:val="0046376E"/>
    <w:rsid w:val="004638CE"/>
    <w:rsid w:val="00464875"/>
    <w:rsid w:val="004665DE"/>
    <w:rsid w:val="00466CBF"/>
    <w:rsid w:val="004677E4"/>
    <w:rsid w:val="00467A53"/>
    <w:rsid w:val="00470F98"/>
    <w:rsid w:val="00476AF6"/>
    <w:rsid w:val="00481711"/>
    <w:rsid w:val="00482E06"/>
    <w:rsid w:val="00485DF8"/>
    <w:rsid w:val="00490745"/>
    <w:rsid w:val="00490E95"/>
    <w:rsid w:val="0049238D"/>
    <w:rsid w:val="00494559"/>
    <w:rsid w:val="004A05D2"/>
    <w:rsid w:val="004A5DD3"/>
    <w:rsid w:val="004A7D0F"/>
    <w:rsid w:val="004B02A1"/>
    <w:rsid w:val="004B2B19"/>
    <w:rsid w:val="004B3297"/>
    <w:rsid w:val="004B384F"/>
    <w:rsid w:val="004C161F"/>
    <w:rsid w:val="004C2A8B"/>
    <w:rsid w:val="004C31D1"/>
    <w:rsid w:val="004C3BD6"/>
    <w:rsid w:val="004C4E0B"/>
    <w:rsid w:val="004D1213"/>
    <w:rsid w:val="004D265A"/>
    <w:rsid w:val="004D3461"/>
    <w:rsid w:val="004E1B79"/>
    <w:rsid w:val="004E26AF"/>
    <w:rsid w:val="004F3CFE"/>
    <w:rsid w:val="004F4BA8"/>
    <w:rsid w:val="004F5BC8"/>
    <w:rsid w:val="004F5E1F"/>
    <w:rsid w:val="004F692E"/>
    <w:rsid w:val="00501299"/>
    <w:rsid w:val="00503721"/>
    <w:rsid w:val="005044F5"/>
    <w:rsid w:val="00505A86"/>
    <w:rsid w:val="00511610"/>
    <w:rsid w:val="00511E87"/>
    <w:rsid w:val="00513161"/>
    <w:rsid w:val="00523377"/>
    <w:rsid w:val="005272AF"/>
    <w:rsid w:val="00534733"/>
    <w:rsid w:val="0054146F"/>
    <w:rsid w:val="00543999"/>
    <w:rsid w:val="0054423F"/>
    <w:rsid w:val="0054438E"/>
    <w:rsid w:val="0054650F"/>
    <w:rsid w:val="00547BF8"/>
    <w:rsid w:val="00551F04"/>
    <w:rsid w:val="005524EC"/>
    <w:rsid w:val="00552C5D"/>
    <w:rsid w:val="00554048"/>
    <w:rsid w:val="0055419C"/>
    <w:rsid w:val="00555069"/>
    <w:rsid w:val="00555713"/>
    <w:rsid w:val="00555CF2"/>
    <w:rsid w:val="00557C45"/>
    <w:rsid w:val="00560C21"/>
    <w:rsid w:val="005615F3"/>
    <w:rsid w:val="00561D98"/>
    <w:rsid w:val="0056422C"/>
    <w:rsid w:val="00564D43"/>
    <w:rsid w:val="00565BA7"/>
    <w:rsid w:val="005708B2"/>
    <w:rsid w:val="00573204"/>
    <w:rsid w:val="0057345E"/>
    <w:rsid w:val="005736A6"/>
    <w:rsid w:val="00573C5E"/>
    <w:rsid w:val="00574C3E"/>
    <w:rsid w:val="00575816"/>
    <w:rsid w:val="00581517"/>
    <w:rsid w:val="00582429"/>
    <w:rsid w:val="00582F4A"/>
    <w:rsid w:val="00584217"/>
    <w:rsid w:val="005848DD"/>
    <w:rsid w:val="0058749D"/>
    <w:rsid w:val="00590E2B"/>
    <w:rsid w:val="005912C5"/>
    <w:rsid w:val="005916B6"/>
    <w:rsid w:val="00596E12"/>
    <w:rsid w:val="005A1697"/>
    <w:rsid w:val="005A30DE"/>
    <w:rsid w:val="005A6471"/>
    <w:rsid w:val="005B2512"/>
    <w:rsid w:val="005B3BAE"/>
    <w:rsid w:val="005B3CCA"/>
    <w:rsid w:val="005B4F70"/>
    <w:rsid w:val="005C11BD"/>
    <w:rsid w:val="005C195F"/>
    <w:rsid w:val="005C25EE"/>
    <w:rsid w:val="005C496E"/>
    <w:rsid w:val="005C5193"/>
    <w:rsid w:val="005C5209"/>
    <w:rsid w:val="005C52E7"/>
    <w:rsid w:val="005C5898"/>
    <w:rsid w:val="005C6AA2"/>
    <w:rsid w:val="005C77C8"/>
    <w:rsid w:val="005D115A"/>
    <w:rsid w:val="005D27D4"/>
    <w:rsid w:val="005D2D08"/>
    <w:rsid w:val="005D3A06"/>
    <w:rsid w:val="005D5420"/>
    <w:rsid w:val="005E1152"/>
    <w:rsid w:val="005F0AA9"/>
    <w:rsid w:val="005F0F7C"/>
    <w:rsid w:val="005F2924"/>
    <w:rsid w:val="005F324D"/>
    <w:rsid w:val="005F3C14"/>
    <w:rsid w:val="005F5879"/>
    <w:rsid w:val="005F58C2"/>
    <w:rsid w:val="005F68B3"/>
    <w:rsid w:val="005F7A85"/>
    <w:rsid w:val="005F7B35"/>
    <w:rsid w:val="006014F0"/>
    <w:rsid w:val="00604A09"/>
    <w:rsid w:val="0060556A"/>
    <w:rsid w:val="00611EDB"/>
    <w:rsid w:val="00612916"/>
    <w:rsid w:val="00614DAC"/>
    <w:rsid w:val="00620D32"/>
    <w:rsid w:val="0062335B"/>
    <w:rsid w:val="006263DF"/>
    <w:rsid w:val="006327C0"/>
    <w:rsid w:val="006356A2"/>
    <w:rsid w:val="00635B1B"/>
    <w:rsid w:val="00635E8F"/>
    <w:rsid w:val="00636A39"/>
    <w:rsid w:val="0064463E"/>
    <w:rsid w:val="006466A7"/>
    <w:rsid w:val="00647AC5"/>
    <w:rsid w:val="00652CA4"/>
    <w:rsid w:val="00654912"/>
    <w:rsid w:val="006549B9"/>
    <w:rsid w:val="006558A5"/>
    <w:rsid w:val="006560A7"/>
    <w:rsid w:val="00657F33"/>
    <w:rsid w:val="00660032"/>
    <w:rsid w:val="006615C6"/>
    <w:rsid w:val="0066401E"/>
    <w:rsid w:val="006646B4"/>
    <w:rsid w:val="00667404"/>
    <w:rsid w:val="00667435"/>
    <w:rsid w:val="00667EB1"/>
    <w:rsid w:val="00670423"/>
    <w:rsid w:val="00674C7C"/>
    <w:rsid w:val="0067682D"/>
    <w:rsid w:val="00680379"/>
    <w:rsid w:val="006809F8"/>
    <w:rsid w:val="00684A63"/>
    <w:rsid w:val="00695521"/>
    <w:rsid w:val="00695AC3"/>
    <w:rsid w:val="00697808"/>
    <w:rsid w:val="006A03BB"/>
    <w:rsid w:val="006A3871"/>
    <w:rsid w:val="006A62ED"/>
    <w:rsid w:val="006B1E75"/>
    <w:rsid w:val="006B3287"/>
    <w:rsid w:val="006B40B9"/>
    <w:rsid w:val="006B5858"/>
    <w:rsid w:val="006B623D"/>
    <w:rsid w:val="006C124D"/>
    <w:rsid w:val="006C2671"/>
    <w:rsid w:val="006C3180"/>
    <w:rsid w:val="006C713D"/>
    <w:rsid w:val="006C7825"/>
    <w:rsid w:val="006C78E9"/>
    <w:rsid w:val="006C7CB9"/>
    <w:rsid w:val="006D21B8"/>
    <w:rsid w:val="006D3DBC"/>
    <w:rsid w:val="006D4D08"/>
    <w:rsid w:val="006E2599"/>
    <w:rsid w:val="006E2F2D"/>
    <w:rsid w:val="006E2F96"/>
    <w:rsid w:val="006E480B"/>
    <w:rsid w:val="006E62F2"/>
    <w:rsid w:val="006E68BA"/>
    <w:rsid w:val="006E71E3"/>
    <w:rsid w:val="006F01CE"/>
    <w:rsid w:val="006F0F50"/>
    <w:rsid w:val="006F4E5F"/>
    <w:rsid w:val="006F56E7"/>
    <w:rsid w:val="006F5B6E"/>
    <w:rsid w:val="006F5DD8"/>
    <w:rsid w:val="00700660"/>
    <w:rsid w:val="00702F26"/>
    <w:rsid w:val="0070460B"/>
    <w:rsid w:val="00713E08"/>
    <w:rsid w:val="00714079"/>
    <w:rsid w:val="00714A0A"/>
    <w:rsid w:val="00715EFC"/>
    <w:rsid w:val="00717450"/>
    <w:rsid w:val="007201DC"/>
    <w:rsid w:val="0072199B"/>
    <w:rsid w:val="00727E9C"/>
    <w:rsid w:val="007358BA"/>
    <w:rsid w:val="0073759C"/>
    <w:rsid w:val="007434C6"/>
    <w:rsid w:val="00744D07"/>
    <w:rsid w:val="00747947"/>
    <w:rsid w:val="00750F91"/>
    <w:rsid w:val="00751506"/>
    <w:rsid w:val="007515A3"/>
    <w:rsid w:val="00751673"/>
    <w:rsid w:val="00752409"/>
    <w:rsid w:val="0076025B"/>
    <w:rsid w:val="007624FD"/>
    <w:rsid w:val="00764E5F"/>
    <w:rsid w:val="00766A83"/>
    <w:rsid w:val="00771945"/>
    <w:rsid w:val="00771C36"/>
    <w:rsid w:val="0077339F"/>
    <w:rsid w:val="00775756"/>
    <w:rsid w:val="00776DAF"/>
    <w:rsid w:val="00777602"/>
    <w:rsid w:val="00780690"/>
    <w:rsid w:val="0078341B"/>
    <w:rsid w:val="00783D26"/>
    <w:rsid w:val="00784878"/>
    <w:rsid w:val="00784D07"/>
    <w:rsid w:val="007918DD"/>
    <w:rsid w:val="00791E2D"/>
    <w:rsid w:val="00792715"/>
    <w:rsid w:val="007933AB"/>
    <w:rsid w:val="00793B8C"/>
    <w:rsid w:val="00794A73"/>
    <w:rsid w:val="00797752"/>
    <w:rsid w:val="00797A55"/>
    <w:rsid w:val="007A1ED4"/>
    <w:rsid w:val="007A429A"/>
    <w:rsid w:val="007A4B7E"/>
    <w:rsid w:val="007A5268"/>
    <w:rsid w:val="007A5F2A"/>
    <w:rsid w:val="007A6F9C"/>
    <w:rsid w:val="007A7428"/>
    <w:rsid w:val="007A76F1"/>
    <w:rsid w:val="007B0B62"/>
    <w:rsid w:val="007C2730"/>
    <w:rsid w:val="007C472C"/>
    <w:rsid w:val="007C7BD7"/>
    <w:rsid w:val="007D2C1C"/>
    <w:rsid w:val="007D5271"/>
    <w:rsid w:val="007D62C4"/>
    <w:rsid w:val="007D793B"/>
    <w:rsid w:val="007D7E49"/>
    <w:rsid w:val="007E02E8"/>
    <w:rsid w:val="007E2A48"/>
    <w:rsid w:val="007E6A18"/>
    <w:rsid w:val="007F099C"/>
    <w:rsid w:val="007F1AD6"/>
    <w:rsid w:val="007F6677"/>
    <w:rsid w:val="007F6FAD"/>
    <w:rsid w:val="007F7AE2"/>
    <w:rsid w:val="008023F0"/>
    <w:rsid w:val="008025B0"/>
    <w:rsid w:val="00802A4B"/>
    <w:rsid w:val="00802E76"/>
    <w:rsid w:val="00806C33"/>
    <w:rsid w:val="0080717C"/>
    <w:rsid w:val="00812DB1"/>
    <w:rsid w:val="00813A40"/>
    <w:rsid w:val="0081430F"/>
    <w:rsid w:val="00817319"/>
    <w:rsid w:val="00830BE5"/>
    <w:rsid w:val="008343AC"/>
    <w:rsid w:val="0083529E"/>
    <w:rsid w:val="0083645B"/>
    <w:rsid w:val="00841B3F"/>
    <w:rsid w:val="008424C9"/>
    <w:rsid w:val="00842BAC"/>
    <w:rsid w:val="00843B4B"/>
    <w:rsid w:val="00844E19"/>
    <w:rsid w:val="008454B7"/>
    <w:rsid w:val="008456F7"/>
    <w:rsid w:val="00846DC3"/>
    <w:rsid w:val="00847613"/>
    <w:rsid w:val="00854789"/>
    <w:rsid w:val="0085752C"/>
    <w:rsid w:val="0086091A"/>
    <w:rsid w:val="0086120B"/>
    <w:rsid w:val="00863DDB"/>
    <w:rsid w:val="00870E2F"/>
    <w:rsid w:val="00871C00"/>
    <w:rsid w:val="00874D12"/>
    <w:rsid w:val="00875046"/>
    <w:rsid w:val="008755AD"/>
    <w:rsid w:val="00882BA6"/>
    <w:rsid w:val="00883B79"/>
    <w:rsid w:val="00884434"/>
    <w:rsid w:val="00884886"/>
    <w:rsid w:val="0088502C"/>
    <w:rsid w:val="008903C9"/>
    <w:rsid w:val="008A0B49"/>
    <w:rsid w:val="008A3093"/>
    <w:rsid w:val="008A7101"/>
    <w:rsid w:val="008A7783"/>
    <w:rsid w:val="008B3780"/>
    <w:rsid w:val="008B755E"/>
    <w:rsid w:val="008C0D5B"/>
    <w:rsid w:val="008C4791"/>
    <w:rsid w:val="008C4C1E"/>
    <w:rsid w:val="008C66DC"/>
    <w:rsid w:val="008C75E9"/>
    <w:rsid w:val="008D073F"/>
    <w:rsid w:val="008D1096"/>
    <w:rsid w:val="008D2B3D"/>
    <w:rsid w:val="008D3186"/>
    <w:rsid w:val="008D67ED"/>
    <w:rsid w:val="008D79DB"/>
    <w:rsid w:val="008E0F5C"/>
    <w:rsid w:val="008E14C9"/>
    <w:rsid w:val="008E3316"/>
    <w:rsid w:val="008E4A5F"/>
    <w:rsid w:val="008E7DB6"/>
    <w:rsid w:val="008F07A7"/>
    <w:rsid w:val="008F2BFD"/>
    <w:rsid w:val="008F4542"/>
    <w:rsid w:val="009015A4"/>
    <w:rsid w:val="00906838"/>
    <w:rsid w:val="009104C6"/>
    <w:rsid w:val="00912992"/>
    <w:rsid w:val="0091381E"/>
    <w:rsid w:val="00914954"/>
    <w:rsid w:val="0091620D"/>
    <w:rsid w:val="00920F4C"/>
    <w:rsid w:val="0092354B"/>
    <w:rsid w:val="00923DCA"/>
    <w:rsid w:val="009309E5"/>
    <w:rsid w:val="00933F4B"/>
    <w:rsid w:val="009362A1"/>
    <w:rsid w:val="00937873"/>
    <w:rsid w:val="00941276"/>
    <w:rsid w:val="0094169F"/>
    <w:rsid w:val="00941A6F"/>
    <w:rsid w:val="009464D2"/>
    <w:rsid w:val="009501D0"/>
    <w:rsid w:val="00950BB7"/>
    <w:rsid w:val="009545BE"/>
    <w:rsid w:val="0095620B"/>
    <w:rsid w:val="00957416"/>
    <w:rsid w:val="00957A63"/>
    <w:rsid w:val="0096050D"/>
    <w:rsid w:val="009628F3"/>
    <w:rsid w:val="00967DB8"/>
    <w:rsid w:val="0097110D"/>
    <w:rsid w:val="00972C36"/>
    <w:rsid w:val="0097622D"/>
    <w:rsid w:val="00980F38"/>
    <w:rsid w:val="00981F5B"/>
    <w:rsid w:val="0098322F"/>
    <w:rsid w:val="00984839"/>
    <w:rsid w:val="00984B1C"/>
    <w:rsid w:val="00996BD6"/>
    <w:rsid w:val="009A13D8"/>
    <w:rsid w:val="009A2C28"/>
    <w:rsid w:val="009A34B3"/>
    <w:rsid w:val="009A3903"/>
    <w:rsid w:val="009A5CF6"/>
    <w:rsid w:val="009A716F"/>
    <w:rsid w:val="009B1774"/>
    <w:rsid w:val="009B39BE"/>
    <w:rsid w:val="009B45E8"/>
    <w:rsid w:val="009D1979"/>
    <w:rsid w:val="009D2D59"/>
    <w:rsid w:val="009D40DF"/>
    <w:rsid w:val="009E08DA"/>
    <w:rsid w:val="009E1CE1"/>
    <w:rsid w:val="009E54C5"/>
    <w:rsid w:val="009E7270"/>
    <w:rsid w:val="009F0383"/>
    <w:rsid w:val="009F3AE4"/>
    <w:rsid w:val="009F5564"/>
    <w:rsid w:val="00A02650"/>
    <w:rsid w:val="00A04CE1"/>
    <w:rsid w:val="00A108F4"/>
    <w:rsid w:val="00A10AB4"/>
    <w:rsid w:val="00A132BF"/>
    <w:rsid w:val="00A13696"/>
    <w:rsid w:val="00A154AA"/>
    <w:rsid w:val="00A2189C"/>
    <w:rsid w:val="00A22907"/>
    <w:rsid w:val="00A276FC"/>
    <w:rsid w:val="00A312BA"/>
    <w:rsid w:val="00A31F34"/>
    <w:rsid w:val="00A32125"/>
    <w:rsid w:val="00A3488B"/>
    <w:rsid w:val="00A353D3"/>
    <w:rsid w:val="00A36C96"/>
    <w:rsid w:val="00A41CF6"/>
    <w:rsid w:val="00A45316"/>
    <w:rsid w:val="00A517E4"/>
    <w:rsid w:val="00A53F86"/>
    <w:rsid w:val="00A5423C"/>
    <w:rsid w:val="00A562D0"/>
    <w:rsid w:val="00A612EC"/>
    <w:rsid w:val="00A6232C"/>
    <w:rsid w:val="00A62769"/>
    <w:rsid w:val="00A6348B"/>
    <w:rsid w:val="00A71580"/>
    <w:rsid w:val="00A73423"/>
    <w:rsid w:val="00A779DC"/>
    <w:rsid w:val="00A77ECD"/>
    <w:rsid w:val="00A80D5C"/>
    <w:rsid w:val="00A810B1"/>
    <w:rsid w:val="00A85AAC"/>
    <w:rsid w:val="00A8679F"/>
    <w:rsid w:val="00A87B72"/>
    <w:rsid w:val="00A911F1"/>
    <w:rsid w:val="00A91FC7"/>
    <w:rsid w:val="00A93C40"/>
    <w:rsid w:val="00A95245"/>
    <w:rsid w:val="00A95742"/>
    <w:rsid w:val="00A972EB"/>
    <w:rsid w:val="00A976A7"/>
    <w:rsid w:val="00AA0F46"/>
    <w:rsid w:val="00AA17F7"/>
    <w:rsid w:val="00AA1B1B"/>
    <w:rsid w:val="00AB1E56"/>
    <w:rsid w:val="00AB6236"/>
    <w:rsid w:val="00AB7845"/>
    <w:rsid w:val="00AB7BF9"/>
    <w:rsid w:val="00AC1861"/>
    <w:rsid w:val="00AC5B93"/>
    <w:rsid w:val="00AC6101"/>
    <w:rsid w:val="00AC6E44"/>
    <w:rsid w:val="00AD0D25"/>
    <w:rsid w:val="00AD2DD9"/>
    <w:rsid w:val="00AD3B24"/>
    <w:rsid w:val="00AD3F76"/>
    <w:rsid w:val="00AD6E2E"/>
    <w:rsid w:val="00AE22AB"/>
    <w:rsid w:val="00AE6F97"/>
    <w:rsid w:val="00AF2995"/>
    <w:rsid w:val="00AF3A81"/>
    <w:rsid w:val="00AF4952"/>
    <w:rsid w:val="00AF4B41"/>
    <w:rsid w:val="00AF560D"/>
    <w:rsid w:val="00AF5881"/>
    <w:rsid w:val="00B001F2"/>
    <w:rsid w:val="00B003E3"/>
    <w:rsid w:val="00B007BB"/>
    <w:rsid w:val="00B00D22"/>
    <w:rsid w:val="00B01BE6"/>
    <w:rsid w:val="00B1026B"/>
    <w:rsid w:val="00B115D2"/>
    <w:rsid w:val="00B13468"/>
    <w:rsid w:val="00B1489D"/>
    <w:rsid w:val="00B14D3E"/>
    <w:rsid w:val="00B17158"/>
    <w:rsid w:val="00B203F0"/>
    <w:rsid w:val="00B244E9"/>
    <w:rsid w:val="00B31726"/>
    <w:rsid w:val="00B33180"/>
    <w:rsid w:val="00B334BD"/>
    <w:rsid w:val="00B35118"/>
    <w:rsid w:val="00B37809"/>
    <w:rsid w:val="00B37A70"/>
    <w:rsid w:val="00B41866"/>
    <w:rsid w:val="00B431E4"/>
    <w:rsid w:val="00B44018"/>
    <w:rsid w:val="00B4528F"/>
    <w:rsid w:val="00B53A61"/>
    <w:rsid w:val="00B5754F"/>
    <w:rsid w:val="00B6021B"/>
    <w:rsid w:val="00B625CD"/>
    <w:rsid w:val="00B677A5"/>
    <w:rsid w:val="00B73B99"/>
    <w:rsid w:val="00B805D9"/>
    <w:rsid w:val="00B81C9D"/>
    <w:rsid w:val="00B84703"/>
    <w:rsid w:val="00B84F3A"/>
    <w:rsid w:val="00B870FF"/>
    <w:rsid w:val="00B87CA6"/>
    <w:rsid w:val="00B92F5B"/>
    <w:rsid w:val="00B945FA"/>
    <w:rsid w:val="00B94B1C"/>
    <w:rsid w:val="00B95131"/>
    <w:rsid w:val="00BA3646"/>
    <w:rsid w:val="00BA57AC"/>
    <w:rsid w:val="00BB02DD"/>
    <w:rsid w:val="00BB4E24"/>
    <w:rsid w:val="00BB700B"/>
    <w:rsid w:val="00BC1EE8"/>
    <w:rsid w:val="00BC3567"/>
    <w:rsid w:val="00BC3634"/>
    <w:rsid w:val="00BC51FB"/>
    <w:rsid w:val="00BD1CF0"/>
    <w:rsid w:val="00BE053F"/>
    <w:rsid w:val="00BE1C7B"/>
    <w:rsid w:val="00BE2371"/>
    <w:rsid w:val="00BE6C1E"/>
    <w:rsid w:val="00BE6D88"/>
    <w:rsid w:val="00BE7CAB"/>
    <w:rsid w:val="00BE7DAD"/>
    <w:rsid w:val="00BE7F1F"/>
    <w:rsid w:val="00BF16E4"/>
    <w:rsid w:val="00BF1CF6"/>
    <w:rsid w:val="00BF4BBF"/>
    <w:rsid w:val="00BF61FA"/>
    <w:rsid w:val="00C028A5"/>
    <w:rsid w:val="00C11870"/>
    <w:rsid w:val="00C11897"/>
    <w:rsid w:val="00C16476"/>
    <w:rsid w:val="00C167A3"/>
    <w:rsid w:val="00C174FE"/>
    <w:rsid w:val="00C211D3"/>
    <w:rsid w:val="00C21419"/>
    <w:rsid w:val="00C22216"/>
    <w:rsid w:val="00C2350E"/>
    <w:rsid w:val="00C31037"/>
    <w:rsid w:val="00C32D26"/>
    <w:rsid w:val="00C335E0"/>
    <w:rsid w:val="00C337A3"/>
    <w:rsid w:val="00C41B8C"/>
    <w:rsid w:val="00C42B06"/>
    <w:rsid w:val="00C4350E"/>
    <w:rsid w:val="00C4406B"/>
    <w:rsid w:val="00C44C4E"/>
    <w:rsid w:val="00C47BAD"/>
    <w:rsid w:val="00C50734"/>
    <w:rsid w:val="00C5331B"/>
    <w:rsid w:val="00C54554"/>
    <w:rsid w:val="00C57597"/>
    <w:rsid w:val="00C605EE"/>
    <w:rsid w:val="00C609B4"/>
    <w:rsid w:val="00C61FB5"/>
    <w:rsid w:val="00C6242E"/>
    <w:rsid w:val="00C64219"/>
    <w:rsid w:val="00C644E1"/>
    <w:rsid w:val="00C64F13"/>
    <w:rsid w:val="00C6562D"/>
    <w:rsid w:val="00C65A45"/>
    <w:rsid w:val="00C665AE"/>
    <w:rsid w:val="00C708B6"/>
    <w:rsid w:val="00C7381B"/>
    <w:rsid w:val="00C76150"/>
    <w:rsid w:val="00C80599"/>
    <w:rsid w:val="00C81F2A"/>
    <w:rsid w:val="00C820C3"/>
    <w:rsid w:val="00C871E8"/>
    <w:rsid w:val="00C916AD"/>
    <w:rsid w:val="00C965AB"/>
    <w:rsid w:val="00C97AFC"/>
    <w:rsid w:val="00C97F1D"/>
    <w:rsid w:val="00CA3FDE"/>
    <w:rsid w:val="00CA40D7"/>
    <w:rsid w:val="00CA7672"/>
    <w:rsid w:val="00CB16DB"/>
    <w:rsid w:val="00CB2920"/>
    <w:rsid w:val="00CB5952"/>
    <w:rsid w:val="00CB794C"/>
    <w:rsid w:val="00CC3813"/>
    <w:rsid w:val="00CC51AD"/>
    <w:rsid w:val="00CD166F"/>
    <w:rsid w:val="00CE0109"/>
    <w:rsid w:val="00CE1242"/>
    <w:rsid w:val="00CE2C07"/>
    <w:rsid w:val="00CE3C57"/>
    <w:rsid w:val="00CE4165"/>
    <w:rsid w:val="00CE6518"/>
    <w:rsid w:val="00CE6C3E"/>
    <w:rsid w:val="00CF02A5"/>
    <w:rsid w:val="00CF0FE3"/>
    <w:rsid w:val="00CF4E20"/>
    <w:rsid w:val="00D02727"/>
    <w:rsid w:val="00D05731"/>
    <w:rsid w:val="00D07AF5"/>
    <w:rsid w:val="00D13482"/>
    <w:rsid w:val="00D15FC1"/>
    <w:rsid w:val="00D207BA"/>
    <w:rsid w:val="00D20820"/>
    <w:rsid w:val="00D21509"/>
    <w:rsid w:val="00D2428E"/>
    <w:rsid w:val="00D2460B"/>
    <w:rsid w:val="00D246E8"/>
    <w:rsid w:val="00D25A1C"/>
    <w:rsid w:val="00D25D1D"/>
    <w:rsid w:val="00D27827"/>
    <w:rsid w:val="00D3062A"/>
    <w:rsid w:val="00D3406E"/>
    <w:rsid w:val="00D34BD8"/>
    <w:rsid w:val="00D355D1"/>
    <w:rsid w:val="00D3754F"/>
    <w:rsid w:val="00D42FBC"/>
    <w:rsid w:val="00D430B6"/>
    <w:rsid w:val="00D44B09"/>
    <w:rsid w:val="00D45EC8"/>
    <w:rsid w:val="00D56279"/>
    <w:rsid w:val="00D61118"/>
    <w:rsid w:val="00D6122E"/>
    <w:rsid w:val="00D61FA0"/>
    <w:rsid w:val="00D625DF"/>
    <w:rsid w:val="00D7030E"/>
    <w:rsid w:val="00D724FA"/>
    <w:rsid w:val="00D72BE5"/>
    <w:rsid w:val="00D81759"/>
    <w:rsid w:val="00D82014"/>
    <w:rsid w:val="00D823C0"/>
    <w:rsid w:val="00D832BE"/>
    <w:rsid w:val="00D925EF"/>
    <w:rsid w:val="00D94477"/>
    <w:rsid w:val="00DA2E39"/>
    <w:rsid w:val="00DA55AF"/>
    <w:rsid w:val="00DA66C8"/>
    <w:rsid w:val="00DB6B0C"/>
    <w:rsid w:val="00DC0D33"/>
    <w:rsid w:val="00DC0D45"/>
    <w:rsid w:val="00DC11F2"/>
    <w:rsid w:val="00DC232E"/>
    <w:rsid w:val="00DC30F5"/>
    <w:rsid w:val="00DC6714"/>
    <w:rsid w:val="00DC7C4B"/>
    <w:rsid w:val="00DD056A"/>
    <w:rsid w:val="00DD416C"/>
    <w:rsid w:val="00DD586B"/>
    <w:rsid w:val="00DE1649"/>
    <w:rsid w:val="00DE2D9D"/>
    <w:rsid w:val="00DE2EBD"/>
    <w:rsid w:val="00DE376D"/>
    <w:rsid w:val="00DE4AC1"/>
    <w:rsid w:val="00DF19E0"/>
    <w:rsid w:val="00DF3E21"/>
    <w:rsid w:val="00DF41C0"/>
    <w:rsid w:val="00DF49E1"/>
    <w:rsid w:val="00DF7EB8"/>
    <w:rsid w:val="00E022CE"/>
    <w:rsid w:val="00E022FE"/>
    <w:rsid w:val="00E02BE6"/>
    <w:rsid w:val="00E04139"/>
    <w:rsid w:val="00E07612"/>
    <w:rsid w:val="00E11F2F"/>
    <w:rsid w:val="00E130D7"/>
    <w:rsid w:val="00E1360D"/>
    <w:rsid w:val="00E14A2A"/>
    <w:rsid w:val="00E1729F"/>
    <w:rsid w:val="00E22F03"/>
    <w:rsid w:val="00E26138"/>
    <w:rsid w:val="00E26CBF"/>
    <w:rsid w:val="00E303DA"/>
    <w:rsid w:val="00E31126"/>
    <w:rsid w:val="00E31F1A"/>
    <w:rsid w:val="00E32605"/>
    <w:rsid w:val="00E32D95"/>
    <w:rsid w:val="00E35398"/>
    <w:rsid w:val="00E35BF1"/>
    <w:rsid w:val="00E36D9F"/>
    <w:rsid w:val="00E37F6B"/>
    <w:rsid w:val="00E37FF7"/>
    <w:rsid w:val="00E42056"/>
    <w:rsid w:val="00E43189"/>
    <w:rsid w:val="00E436CC"/>
    <w:rsid w:val="00E44372"/>
    <w:rsid w:val="00E50183"/>
    <w:rsid w:val="00E50FBD"/>
    <w:rsid w:val="00E532C1"/>
    <w:rsid w:val="00E559DD"/>
    <w:rsid w:val="00E55BB6"/>
    <w:rsid w:val="00E60A70"/>
    <w:rsid w:val="00E60BCE"/>
    <w:rsid w:val="00E668FD"/>
    <w:rsid w:val="00E71D93"/>
    <w:rsid w:val="00E7236B"/>
    <w:rsid w:val="00E74C2C"/>
    <w:rsid w:val="00E7760A"/>
    <w:rsid w:val="00E808D3"/>
    <w:rsid w:val="00E811C8"/>
    <w:rsid w:val="00E82C86"/>
    <w:rsid w:val="00E82FD9"/>
    <w:rsid w:val="00E844B6"/>
    <w:rsid w:val="00E844BA"/>
    <w:rsid w:val="00E91CE2"/>
    <w:rsid w:val="00E928C7"/>
    <w:rsid w:val="00E97B7E"/>
    <w:rsid w:val="00EA412C"/>
    <w:rsid w:val="00EA5D9D"/>
    <w:rsid w:val="00EA7900"/>
    <w:rsid w:val="00EB06B6"/>
    <w:rsid w:val="00EB1645"/>
    <w:rsid w:val="00EB2038"/>
    <w:rsid w:val="00EC2744"/>
    <w:rsid w:val="00EC7661"/>
    <w:rsid w:val="00ED1EA9"/>
    <w:rsid w:val="00ED25C9"/>
    <w:rsid w:val="00ED2E85"/>
    <w:rsid w:val="00ED4C12"/>
    <w:rsid w:val="00ED79BB"/>
    <w:rsid w:val="00ED7C62"/>
    <w:rsid w:val="00EE2878"/>
    <w:rsid w:val="00EF201B"/>
    <w:rsid w:val="00EF502C"/>
    <w:rsid w:val="00EF6D27"/>
    <w:rsid w:val="00EF7932"/>
    <w:rsid w:val="00F021CE"/>
    <w:rsid w:val="00F07028"/>
    <w:rsid w:val="00F12B74"/>
    <w:rsid w:val="00F14DB5"/>
    <w:rsid w:val="00F15BB4"/>
    <w:rsid w:val="00F23054"/>
    <w:rsid w:val="00F26412"/>
    <w:rsid w:val="00F272EE"/>
    <w:rsid w:val="00F27810"/>
    <w:rsid w:val="00F30A2A"/>
    <w:rsid w:val="00F30B67"/>
    <w:rsid w:val="00F30BE8"/>
    <w:rsid w:val="00F31DCA"/>
    <w:rsid w:val="00F35365"/>
    <w:rsid w:val="00F37039"/>
    <w:rsid w:val="00F442AF"/>
    <w:rsid w:val="00F46D23"/>
    <w:rsid w:val="00F46F3C"/>
    <w:rsid w:val="00F476FC"/>
    <w:rsid w:val="00F47CE4"/>
    <w:rsid w:val="00F51ECB"/>
    <w:rsid w:val="00F60B90"/>
    <w:rsid w:val="00F60C92"/>
    <w:rsid w:val="00F61566"/>
    <w:rsid w:val="00F6176C"/>
    <w:rsid w:val="00F62594"/>
    <w:rsid w:val="00F633B2"/>
    <w:rsid w:val="00F65D5C"/>
    <w:rsid w:val="00F66A6B"/>
    <w:rsid w:val="00F67D4D"/>
    <w:rsid w:val="00F71E8B"/>
    <w:rsid w:val="00F727D6"/>
    <w:rsid w:val="00F80B6A"/>
    <w:rsid w:val="00F8412A"/>
    <w:rsid w:val="00F91370"/>
    <w:rsid w:val="00FA03BF"/>
    <w:rsid w:val="00FA056E"/>
    <w:rsid w:val="00FA2859"/>
    <w:rsid w:val="00FA34A7"/>
    <w:rsid w:val="00FA4862"/>
    <w:rsid w:val="00FA5CF7"/>
    <w:rsid w:val="00FA7C44"/>
    <w:rsid w:val="00FB04AD"/>
    <w:rsid w:val="00FB0C93"/>
    <w:rsid w:val="00FB16BF"/>
    <w:rsid w:val="00FB3990"/>
    <w:rsid w:val="00FB66A9"/>
    <w:rsid w:val="00FC0683"/>
    <w:rsid w:val="00FC0D43"/>
    <w:rsid w:val="00FC0F1E"/>
    <w:rsid w:val="00FC18B4"/>
    <w:rsid w:val="00FC7F2A"/>
    <w:rsid w:val="00FD1921"/>
    <w:rsid w:val="00FD221A"/>
    <w:rsid w:val="00FD2812"/>
    <w:rsid w:val="00FD2C9E"/>
    <w:rsid w:val="00FD4436"/>
    <w:rsid w:val="00FD5A7C"/>
    <w:rsid w:val="00FD7614"/>
    <w:rsid w:val="00FE2F62"/>
    <w:rsid w:val="00FE3178"/>
    <w:rsid w:val="00FE3725"/>
    <w:rsid w:val="00FE3C27"/>
    <w:rsid w:val="00FE3D18"/>
    <w:rsid w:val="00FE41FF"/>
    <w:rsid w:val="00FE4A6E"/>
    <w:rsid w:val="00FE773F"/>
    <w:rsid w:val="00FF06B9"/>
    <w:rsid w:val="00FF0BFF"/>
    <w:rsid w:val="00FF128D"/>
    <w:rsid w:val="00FF22A0"/>
    <w:rsid w:val="00FF2FCA"/>
    <w:rsid w:val="00FF6820"/>
    <w:rsid w:val="00FF78C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end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Followed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2AB"/>
    <w:pPr>
      <w:spacing w:before="120" w:after="120"/>
      <w:jc w:val="both"/>
    </w:pPr>
    <w:rPr>
      <w:rFonts w:ascii="Times New Roman" w:hAnsi="Times New Roman"/>
      <w:sz w:val="24"/>
      <w:szCs w:val="22"/>
      <w:lang w:eastAsia="en-US"/>
    </w:rPr>
  </w:style>
  <w:style w:type="paragraph" w:styleId="Heading1">
    <w:name w:val="heading 1"/>
    <w:basedOn w:val="Normal"/>
    <w:next w:val="Normal"/>
    <w:link w:val="Heading1Char"/>
    <w:uiPriority w:val="99"/>
    <w:qFormat/>
    <w:rsid w:val="00BC51FB"/>
    <w:pPr>
      <w:keepNext/>
      <w:spacing w:before="360" w:after="240" w:line="280" w:lineRule="exact"/>
      <w:outlineLvl w:val="0"/>
    </w:pPr>
    <w:rPr>
      <w:rFonts w:eastAsia="Times New Roman"/>
      <w:b/>
      <w:caps/>
      <w:kern w:val="28"/>
      <w:sz w:val="28"/>
      <w:szCs w:val="20"/>
    </w:rPr>
  </w:style>
  <w:style w:type="paragraph" w:styleId="Heading2">
    <w:name w:val="heading 2"/>
    <w:basedOn w:val="Normal"/>
    <w:next w:val="Normal"/>
    <w:link w:val="Heading2Char"/>
    <w:uiPriority w:val="99"/>
    <w:qFormat/>
    <w:rsid w:val="00E74C2C"/>
    <w:pPr>
      <w:keepNext/>
      <w:keepLines/>
      <w:spacing w:before="240" w:line="280" w:lineRule="exact"/>
      <w:outlineLvl w:val="1"/>
    </w:pPr>
    <w:rPr>
      <w:rFonts w:eastAsia="Times New Roman"/>
      <w:b/>
      <w:bCs/>
      <w:szCs w:val="26"/>
    </w:rPr>
  </w:style>
  <w:style w:type="paragraph" w:styleId="Heading3">
    <w:name w:val="heading 3"/>
    <w:basedOn w:val="Normal"/>
    <w:next w:val="Normal"/>
    <w:link w:val="Heading3Char"/>
    <w:uiPriority w:val="99"/>
    <w:qFormat/>
    <w:rsid w:val="00AE22AB"/>
    <w:pPr>
      <w:keepNext/>
      <w:keepLines/>
      <w:outlineLvl w:val="2"/>
    </w:pPr>
    <w:rPr>
      <w:rFonts w:eastAsia="Times New Roman"/>
      <w:b/>
      <w:bCs/>
      <w:i/>
    </w:rPr>
  </w:style>
  <w:style w:type="paragraph" w:styleId="Heading4">
    <w:name w:val="heading 4"/>
    <w:basedOn w:val="Normal"/>
    <w:next w:val="Normal"/>
    <w:link w:val="Heading4Char"/>
    <w:uiPriority w:val="99"/>
    <w:qFormat/>
    <w:rsid w:val="00E74C2C"/>
    <w:pPr>
      <w:keepNext/>
      <w:keepLines/>
      <w:spacing w:after="240"/>
      <w:outlineLvl w:val="3"/>
    </w:pPr>
    <w:rPr>
      <w:rFonts w:eastAsia="Times New Roman"/>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51FB"/>
    <w:rPr>
      <w:rFonts w:ascii="Times New Roman" w:hAnsi="Times New Roman" w:cs="Times New Roman"/>
      <w:b/>
      <w:caps/>
      <w:kern w:val="28"/>
      <w:sz w:val="20"/>
      <w:szCs w:val="20"/>
    </w:rPr>
  </w:style>
  <w:style w:type="character" w:customStyle="1" w:styleId="Heading2Char">
    <w:name w:val="Heading 2 Char"/>
    <w:basedOn w:val="DefaultParagraphFont"/>
    <w:link w:val="Heading2"/>
    <w:uiPriority w:val="99"/>
    <w:locked/>
    <w:rsid w:val="00E74C2C"/>
    <w:rPr>
      <w:rFonts w:ascii="Times New Roman" w:eastAsia="Times New Roman" w:hAnsi="Times New Roman"/>
      <w:b/>
      <w:bCs/>
      <w:sz w:val="24"/>
      <w:szCs w:val="26"/>
      <w:lang w:val="en-AU"/>
    </w:rPr>
  </w:style>
  <w:style w:type="character" w:customStyle="1" w:styleId="Heading3Char">
    <w:name w:val="Heading 3 Char"/>
    <w:basedOn w:val="DefaultParagraphFont"/>
    <w:link w:val="Heading3"/>
    <w:uiPriority w:val="99"/>
    <w:locked/>
    <w:rsid w:val="00AE22AB"/>
    <w:rPr>
      <w:rFonts w:ascii="Times New Roman" w:eastAsia="Times New Roman" w:hAnsi="Times New Roman"/>
      <w:b/>
      <w:bCs/>
      <w:i/>
      <w:sz w:val="24"/>
      <w:lang w:val="en-AU"/>
    </w:rPr>
  </w:style>
  <w:style w:type="character" w:customStyle="1" w:styleId="Heading4Char">
    <w:name w:val="Heading 4 Char"/>
    <w:basedOn w:val="DefaultParagraphFont"/>
    <w:link w:val="Heading4"/>
    <w:uiPriority w:val="99"/>
    <w:locked/>
    <w:rsid w:val="00E74C2C"/>
    <w:rPr>
      <w:rFonts w:ascii="Times New Roman" w:eastAsia="Times New Roman" w:hAnsi="Times New Roman"/>
      <w:bCs/>
      <w:i/>
      <w:iCs/>
      <w:sz w:val="24"/>
      <w:lang w:val="en-AU"/>
    </w:rPr>
  </w:style>
  <w:style w:type="table" w:styleId="TableGrid">
    <w:name w:val="Table Grid"/>
    <w:basedOn w:val="TableNormal"/>
    <w:uiPriority w:val="59"/>
    <w:rsid w:val="00BC51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itle">
    <w:name w:val="Subtitle"/>
    <w:basedOn w:val="Normal"/>
    <w:link w:val="SubtitleChar"/>
    <w:uiPriority w:val="99"/>
    <w:qFormat/>
    <w:rsid w:val="00BC51FB"/>
    <w:pPr>
      <w:spacing w:after="60"/>
      <w:outlineLvl w:val="1"/>
    </w:pPr>
    <w:rPr>
      <w:rFonts w:eastAsia="Times New Roman"/>
      <w:b/>
      <w:sz w:val="32"/>
      <w:szCs w:val="20"/>
    </w:rPr>
  </w:style>
  <w:style w:type="character" w:customStyle="1" w:styleId="SubtitleChar">
    <w:name w:val="Subtitle Char"/>
    <w:basedOn w:val="DefaultParagraphFont"/>
    <w:link w:val="Subtitle"/>
    <w:uiPriority w:val="99"/>
    <w:locked/>
    <w:rsid w:val="00BC51FB"/>
    <w:rPr>
      <w:rFonts w:ascii="Times New Roman" w:hAnsi="Times New Roman" w:cs="Times New Roman"/>
      <w:b/>
      <w:sz w:val="20"/>
      <w:szCs w:val="20"/>
    </w:rPr>
  </w:style>
  <w:style w:type="paragraph" w:styleId="Title">
    <w:name w:val="Title"/>
    <w:basedOn w:val="Normal"/>
    <w:link w:val="TitleChar"/>
    <w:uiPriority w:val="99"/>
    <w:qFormat/>
    <w:rsid w:val="00BC51FB"/>
    <w:pPr>
      <w:spacing w:before="240" w:after="60"/>
      <w:outlineLvl w:val="0"/>
    </w:pPr>
    <w:rPr>
      <w:rFonts w:eastAsia="Times New Roman"/>
      <w:b/>
      <w:kern w:val="28"/>
      <w:sz w:val="40"/>
      <w:szCs w:val="20"/>
    </w:rPr>
  </w:style>
  <w:style w:type="character" w:customStyle="1" w:styleId="TitleChar">
    <w:name w:val="Title Char"/>
    <w:basedOn w:val="DefaultParagraphFont"/>
    <w:link w:val="Title"/>
    <w:uiPriority w:val="99"/>
    <w:locked/>
    <w:rsid w:val="00BC51FB"/>
    <w:rPr>
      <w:rFonts w:ascii="Times New Roman" w:hAnsi="Times New Roman" w:cs="Times New Roman"/>
      <w:b/>
      <w:kern w:val="28"/>
      <w:sz w:val="20"/>
      <w:szCs w:val="20"/>
    </w:rPr>
  </w:style>
  <w:style w:type="paragraph" w:customStyle="1" w:styleId="Figure">
    <w:name w:val="Figure"/>
    <w:basedOn w:val="Normal"/>
    <w:next w:val="Normal"/>
    <w:uiPriority w:val="99"/>
    <w:rsid w:val="00BC51FB"/>
    <w:pPr>
      <w:spacing w:before="240" w:after="360"/>
    </w:pPr>
    <w:rPr>
      <w:rFonts w:eastAsia="Times New Roman"/>
      <w:color w:val="000000"/>
      <w:szCs w:val="20"/>
    </w:rPr>
  </w:style>
  <w:style w:type="paragraph" w:customStyle="1" w:styleId="TableText">
    <w:name w:val="Table Text"/>
    <w:basedOn w:val="Figure"/>
    <w:uiPriority w:val="99"/>
    <w:rsid w:val="00BC51FB"/>
    <w:pPr>
      <w:spacing w:before="0" w:after="0"/>
      <w:jc w:val="left"/>
    </w:pPr>
    <w:rPr>
      <w:szCs w:val="24"/>
    </w:rPr>
  </w:style>
  <w:style w:type="paragraph" w:styleId="Header">
    <w:name w:val="header"/>
    <w:basedOn w:val="Normal"/>
    <w:link w:val="HeaderChar"/>
    <w:uiPriority w:val="99"/>
    <w:semiHidden/>
    <w:rsid w:val="00BC51FB"/>
    <w:pPr>
      <w:tabs>
        <w:tab w:val="center" w:pos="4513"/>
        <w:tab w:val="right" w:pos="9026"/>
      </w:tabs>
      <w:spacing w:after="0"/>
    </w:pPr>
  </w:style>
  <w:style w:type="character" w:customStyle="1" w:styleId="HeaderChar">
    <w:name w:val="Header Char"/>
    <w:basedOn w:val="DefaultParagraphFont"/>
    <w:link w:val="Header"/>
    <w:uiPriority w:val="99"/>
    <w:semiHidden/>
    <w:locked/>
    <w:rsid w:val="00BC51FB"/>
    <w:rPr>
      <w:rFonts w:cs="Times New Roman"/>
    </w:rPr>
  </w:style>
  <w:style w:type="paragraph" w:styleId="Footer">
    <w:name w:val="footer"/>
    <w:basedOn w:val="Normal"/>
    <w:link w:val="FooterChar"/>
    <w:uiPriority w:val="99"/>
    <w:rsid w:val="00BC51FB"/>
    <w:pPr>
      <w:tabs>
        <w:tab w:val="center" w:pos="4513"/>
        <w:tab w:val="right" w:pos="9026"/>
      </w:tabs>
      <w:spacing w:after="0"/>
    </w:pPr>
  </w:style>
  <w:style w:type="character" w:customStyle="1" w:styleId="FooterChar">
    <w:name w:val="Footer Char"/>
    <w:basedOn w:val="DefaultParagraphFont"/>
    <w:link w:val="Footer"/>
    <w:uiPriority w:val="99"/>
    <w:locked/>
    <w:rsid w:val="00BC51FB"/>
    <w:rPr>
      <w:rFonts w:cs="Times New Roman"/>
    </w:rPr>
  </w:style>
  <w:style w:type="paragraph" w:styleId="BalloonText">
    <w:name w:val="Balloon Text"/>
    <w:basedOn w:val="Normal"/>
    <w:link w:val="BalloonTextChar"/>
    <w:uiPriority w:val="99"/>
    <w:semiHidden/>
    <w:rsid w:val="00BC51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51FB"/>
    <w:rPr>
      <w:rFonts w:ascii="Tahoma" w:hAnsi="Tahoma" w:cs="Tahoma"/>
      <w:sz w:val="16"/>
      <w:szCs w:val="16"/>
    </w:rPr>
  </w:style>
  <w:style w:type="paragraph" w:styleId="EndnoteText">
    <w:name w:val="endnote text"/>
    <w:basedOn w:val="Normal"/>
    <w:link w:val="EndnoteTextChar"/>
    <w:semiHidden/>
    <w:rsid w:val="00BC51FB"/>
    <w:pPr>
      <w:spacing w:line="300" w:lineRule="auto"/>
      <w:ind w:left="360" w:hanging="360"/>
    </w:pPr>
    <w:rPr>
      <w:color w:val="000000"/>
      <w:szCs w:val="24"/>
      <w:lang w:eastAsia="en-AU"/>
    </w:rPr>
  </w:style>
  <w:style w:type="character" w:customStyle="1" w:styleId="EndnoteTextChar">
    <w:name w:val="Endnote Text Char"/>
    <w:basedOn w:val="DefaultParagraphFont"/>
    <w:link w:val="EndnoteText"/>
    <w:uiPriority w:val="99"/>
    <w:semiHidden/>
    <w:locked/>
    <w:rsid w:val="00BC51FB"/>
    <w:rPr>
      <w:rFonts w:ascii="Calibri" w:hAnsi="Calibri" w:cs="Times New Roman"/>
      <w:color w:val="000000"/>
      <w:sz w:val="24"/>
      <w:szCs w:val="24"/>
      <w:lang w:eastAsia="en-AU"/>
    </w:rPr>
  </w:style>
  <w:style w:type="paragraph" w:customStyle="1" w:styleId="bmsbodytext">
    <w:name w:val="bmsbodytext"/>
    <w:basedOn w:val="Normal"/>
    <w:uiPriority w:val="99"/>
    <w:rsid w:val="00BC51FB"/>
    <w:pPr>
      <w:spacing w:line="300" w:lineRule="auto"/>
    </w:pPr>
    <w:rPr>
      <w:color w:val="000000"/>
      <w:szCs w:val="24"/>
      <w:lang w:eastAsia="en-AU"/>
    </w:rPr>
  </w:style>
  <w:style w:type="character" w:styleId="EndnoteReference">
    <w:name w:val="endnote reference"/>
    <w:basedOn w:val="DefaultParagraphFont"/>
    <w:semiHidden/>
    <w:rsid w:val="00BC51FB"/>
    <w:rPr>
      <w:rFonts w:cs="Times New Roman"/>
      <w:vertAlign w:val="superscript"/>
    </w:rPr>
  </w:style>
  <w:style w:type="paragraph" w:customStyle="1" w:styleId="BMSBodyText0">
    <w:name w:val="BMS Body Text"/>
    <w:link w:val="BMSBodyTextChar"/>
    <w:rsid w:val="00BC51FB"/>
    <w:pPr>
      <w:spacing w:before="120" w:after="120" w:line="300" w:lineRule="auto"/>
      <w:jc w:val="both"/>
    </w:pPr>
    <w:rPr>
      <w:rFonts w:ascii="Times New Roman" w:eastAsia="Times New Roman" w:hAnsi="Times New Roman"/>
      <w:color w:val="000000"/>
      <w:sz w:val="24"/>
      <w:lang w:val="en-US" w:eastAsia="en-US"/>
    </w:rPr>
  </w:style>
  <w:style w:type="character" w:customStyle="1" w:styleId="BMSBodyTextChar">
    <w:name w:val="BMS Body Text Char"/>
    <w:basedOn w:val="DefaultParagraphFont"/>
    <w:link w:val="BMSBodyText0"/>
    <w:locked/>
    <w:rsid w:val="00BC51FB"/>
    <w:rPr>
      <w:rFonts w:ascii="Times New Roman" w:eastAsia="Times New Roman" w:hAnsi="Times New Roman"/>
      <w:color w:val="000000"/>
      <w:sz w:val="24"/>
      <w:lang w:val="en-US" w:eastAsia="en-US" w:bidi="ar-SA"/>
    </w:rPr>
  </w:style>
  <w:style w:type="paragraph" w:customStyle="1" w:styleId="BMSHeading1">
    <w:name w:val="BMS Heading 1"/>
    <w:next w:val="BMSBodyText0"/>
    <w:rsid w:val="00BC51FB"/>
    <w:pPr>
      <w:keepNext/>
      <w:keepLines/>
      <w:numPr>
        <w:numId w:val="2"/>
      </w:numPr>
      <w:tabs>
        <w:tab w:val="left" w:pos="1152"/>
      </w:tabs>
      <w:spacing w:before="120" w:after="240"/>
      <w:ind w:left="1152" w:hanging="1152"/>
      <w:outlineLvl w:val="0"/>
    </w:pPr>
    <w:rPr>
      <w:rFonts w:ascii="Arial" w:eastAsia="Times New Roman" w:hAnsi="Arial"/>
      <w:b/>
      <w:caps/>
      <w:color w:val="000000"/>
      <w:sz w:val="28"/>
      <w:lang w:val="en-US" w:eastAsia="en-US"/>
    </w:rPr>
  </w:style>
  <w:style w:type="paragraph" w:customStyle="1" w:styleId="BMSHeading2">
    <w:name w:val="BMS Heading 2"/>
    <w:next w:val="BMSBodyText0"/>
    <w:link w:val="BMSHeading2Char"/>
    <w:rsid w:val="00BC51FB"/>
    <w:pPr>
      <w:keepNext/>
      <w:keepLines/>
      <w:numPr>
        <w:ilvl w:val="1"/>
        <w:numId w:val="2"/>
      </w:numPr>
      <w:tabs>
        <w:tab w:val="clear" w:pos="860"/>
        <w:tab w:val="num" w:pos="576"/>
        <w:tab w:val="left" w:pos="1152"/>
      </w:tabs>
      <w:spacing w:before="120" w:after="240"/>
      <w:ind w:left="1152" w:hanging="1152"/>
      <w:outlineLvl w:val="1"/>
    </w:pPr>
    <w:rPr>
      <w:rFonts w:ascii="Arial" w:eastAsia="Times New Roman" w:hAnsi="Arial"/>
      <w:b/>
      <w:color w:val="000000"/>
      <w:sz w:val="28"/>
      <w:lang w:val="en-US" w:eastAsia="en-US"/>
    </w:rPr>
  </w:style>
  <w:style w:type="paragraph" w:customStyle="1" w:styleId="BMSHeading3">
    <w:name w:val="BMS Heading 3"/>
    <w:next w:val="BMSBodyText0"/>
    <w:link w:val="BMSHeading3Char"/>
    <w:rsid w:val="00BC51FB"/>
    <w:pPr>
      <w:keepNext/>
      <w:keepLines/>
      <w:numPr>
        <w:ilvl w:val="2"/>
        <w:numId w:val="2"/>
      </w:numPr>
      <w:tabs>
        <w:tab w:val="left" w:pos="1152"/>
      </w:tabs>
      <w:spacing w:before="120" w:after="240"/>
      <w:ind w:left="1152" w:hanging="1152"/>
      <w:outlineLvl w:val="2"/>
    </w:pPr>
    <w:rPr>
      <w:rFonts w:ascii="Arial" w:eastAsia="Times New Roman" w:hAnsi="Arial"/>
      <w:b/>
      <w:color w:val="000000"/>
      <w:sz w:val="24"/>
      <w:lang w:val="en-US" w:eastAsia="en-US"/>
    </w:rPr>
  </w:style>
  <w:style w:type="paragraph" w:customStyle="1" w:styleId="BMSHeading4">
    <w:name w:val="BMS Heading 4"/>
    <w:next w:val="BMSBodyText0"/>
    <w:rsid w:val="00BC51FB"/>
    <w:pPr>
      <w:keepNext/>
      <w:keepLines/>
      <w:numPr>
        <w:ilvl w:val="3"/>
        <w:numId w:val="2"/>
      </w:numPr>
      <w:tabs>
        <w:tab w:val="left" w:pos="1152"/>
      </w:tabs>
      <w:spacing w:before="120" w:after="240"/>
      <w:ind w:left="1152" w:hanging="1152"/>
      <w:outlineLvl w:val="3"/>
    </w:pPr>
    <w:rPr>
      <w:rFonts w:ascii="Arial" w:eastAsia="Times New Roman" w:hAnsi="Arial"/>
      <w:b/>
      <w:i/>
      <w:color w:val="000000"/>
      <w:sz w:val="24"/>
      <w:lang w:val="en-US" w:eastAsia="en-US"/>
    </w:rPr>
  </w:style>
  <w:style w:type="character" w:styleId="CommentReference">
    <w:name w:val="annotation reference"/>
    <w:basedOn w:val="DefaultParagraphFont"/>
    <w:rsid w:val="00BC51FB"/>
    <w:rPr>
      <w:rFonts w:cs="Times New Roman"/>
      <w:sz w:val="16"/>
      <w:szCs w:val="16"/>
    </w:rPr>
  </w:style>
  <w:style w:type="paragraph" w:styleId="CommentText">
    <w:name w:val="annotation text"/>
    <w:basedOn w:val="Normal"/>
    <w:link w:val="CommentTextChar"/>
    <w:rsid w:val="00BC51FB"/>
    <w:rPr>
      <w:sz w:val="20"/>
      <w:szCs w:val="20"/>
    </w:rPr>
  </w:style>
  <w:style w:type="character" w:customStyle="1" w:styleId="CommentTextChar">
    <w:name w:val="Comment Text Char"/>
    <w:basedOn w:val="DefaultParagraphFont"/>
    <w:link w:val="CommentText"/>
    <w:locked/>
    <w:rsid w:val="00BC51FB"/>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BC51FB"/>
    <w:rPr>
      <w:b/>
      <w:bCs/>
    </w:rPr>
  </w:style>
  <w:style w:type="character" w:customStyle="1" w:styleId="CommentSubjectChar">
    <w:name w:val="Comment Subject Char"/>
    <w:basedOn w:val="CommentTextChar"/>
    <w:link w:val="CommentSubject"/>
    <w:uiPriority w:val="99"/>
    <w:semiHidden/>
    <w:locked/>
    <w:rsid w:val="00BC51FB"/>
    <w:rPr>
      <w:b/>
      <w:bCs/>
    </w:rPr>
  </w:style>
  <w:style w:type="paragraph" w:customStyle="1" w:styleId="BMSTableTitle">
    <w:name w:val="BMS Table Title"/>
    <w:link w:val="BMSTableTitleChar"/>
    <w:uiPriority w:val="99"/>
    <w:rsid w:val="00BC51FB"/>
    <w:pPr>
      <w:keepNext/>
      <w:keepLines/>
      <w:tabs>
        <w:tab w:val="left" w:pos="2160"/>
      </w:tabs>
      <w:spacing w:before="120" w:after="120"/>
      <w:ind w:left="2160" w:hanging="2160"/>
    </w:pPr>
    <w:rPr>
      <w:rFonts w:ascii="Times New Roman" w:hAnsi="Times New Roman"/>
      <w:b/>
      <w:sz w:val="24"/>
      <w:lang w:val="en-US" w:eastAsia="en-US"/>
    </w:rPr>
  </w:style>
  <w:style w:type="paragraph" w:customStyle="1" w:styleId="BMSTableHeader">
    <w:name w:val="BMS Table Header"/>
    <w:basedOn w:val="BMSTableText"/>
    <w:link w:val="BMSTableHeaderChar"/>
    <w:uiPriority w:val="99"/>
    <w:rsid w:val="00BC51FB"/>
    <w:rPr>
      <w:b/>
    </w:rPr>
  </w:style>
  <w:style w:type="paragraph" w:customStyle="1" w:styleId="BMSTableText">
    <w:name w:val="BMS Table Text"/>
    <w:link w:val="BMSTableTextChar"/>
    <w:uiPriority w:val="99"/>
    <w:rsid w:val="00BC51FB"/>
    <w:pPr>
      <w:tabs>
        <w:tab w:val="left" w:pos="360"/>
      </w:tabs>
      <w:spacing w:before="60" w:after="60"/>
      <w:jc w:val="center"/>
    </w:pPr>
    <w:rPr>
      <w:rFonts w:ascii="Times New Roman" w:hAnsi="Times New Roman"/>
      <w:lang w:val="en-US" w:eastAsia="en-US"/>
    </w:rPr>
  </w:style>
  <w:style w:type="character" w:customStyle="1" w:styleId="BMSTableTitleChar">
    <w:name w:val="BMS Table Title Char"/>
    <w:basedOn w:val="DefaultParagraphFont"/>
    <w:link w:val="BMSTableTitle"/>
    <w:uiPriority w:val="99"/>
    <w:locked/>
    <w:rsid w:val="00BC51FB"/>
    <w:rPr>
      <w:rFonts w:ascii="Times New Roman" w:hAnsi="Times New Roman"/>
      <w:b/>
      <w:sz w:val="24"/>
      <w:lang w:val="en-US" w:eastAsia="en-US" w:bidi="ar-SA"/>
    </w:rPr>
  </w:style>
  <w:style w:type="paragraph" w:customStyle="1" w:styleId="Corpsdetextemarge">
    <w:name w:val="Corps de texte marge"/>
    <w:basedOn w:val="BodyText"/>
    <w:uiPriority w:val="99"/>
    <w:rsid w:val="00BC51FB"/>
    <w:pPr>
      <w:spacing w:after="60"/>
    </w:pPr>
    <w:rPr>
      <w:rFonts w:ascii="Times" w:hAnsi="Times"/>
      <w:b/>
      <w:i/>
      <w:szCs w:val="20"/>
      <w:lang w:val="en-GB"/>
    </w:rPr>
  </w:style>
  <w:style w:type="paragraph" w:styleId="BodyText">
    <w:name w:val="Body Text"/>
    <w:basedOn w:val="Normal"/>
    <w:link w:val="BodyTextChar"/>
    <w:uiPriority w:val="99"/>
    <w:rsid w:val="00BC51FB"/>
  </w:style>
  <w:style w:type="character" w:customStyle="1" w:styleId="BodyTextChar">
    <w:name w:val="Body Text Char"/>
    <w:basedOn w:val="DefaultParagraphFont"/>
    <w:link w:val="BodyText"/>
    <w:uiPriority w:val="99"/>
    <w:semiHidden/>
    <w:locked/>
    <w:rsid w:val="00025371"/>
    <w:rPr>
      <w:rFonts w:cs="Times New Roman"/>
      <w:lang w:val="en-AU"/>
    </w:rPr>
  </w:style>
  <w:style w:type="paragraph" w:customStyle="1" w:styleId="BMSListNumbering">
    <w:name w:val="BMS List Numbering"/>
    <w:basedOn w:val="BMSBodyText0"/>
    <w:uiPriority w:val="99"/>
    <w:rsid w:val="00BC51FB"/>
    <w:pPr>
      <w:numPr>
        <w:numId w:val="6"/>
      </w:numPr>
    </w:pPr>
  </w:style>
  <w:style w:type="paragraph" w:styleId="Revision">
    <w:name w:val="Revision"/>
    <w:hidden/>
    <w:uiPriority w:val="99"/>
    <w:semiHidden/>
    <w:rsid w:val="00D27827"/>
    <w:rPr>
      <w:sz w:val="22"/>
      <w:szCs w:val="22"/>
      <w:lang w:eastAsia="en-US"/>
    </w:rPr>
  </w:style>
  <w:style w:type="paragraph" w:customStyle="1" w:styleId="Default">
    <w:name w:val="Default"/>
    <w:rsid w:val="00FC0D43"/>
    <w:pPr>
      <w:autoSpaceDE w:val="0"/>
      <w:autoSpaceDN w:val="0"/>
      <w:adjustRightInd w:val="0"/>
    </w:pPr>
    <w:rPr>
      <w:rFonts w:ascii="Arial" w:hAnsi="Arial" w:cs="Arial"/>
      <w:color w:val="000000"/>
      <w:sz w:val="24"/>
      <w:szCs w:val="24"/>
      <w:lang w:eastAsia="en-US"/>
    </w:rPr>
  </w:style>
  <w:style w:type="character" w:customStyle="1" w:styleId="BMSHeading3Char">
    <w:name w:val="BMS Heading 3 Char"/>
    <w:basedOn w:val="DefaultParagraphFont"/>
    <w:link w:val="BMSHeading3"/>
    <w:rsid w:val="00CE3C57"/>
    <w:rPr>
      <w:rFonts w:ascii="Arial" w:eastAsia="Times New Roman" w:hAnsi="Arial"/>
      <w:b/>
      <w:color w:val="000000"/>
      <w:sz w:val="24"/>
      <w:lang w:val="en-US" w:eastAsia="en-US" w:bidi="ar-SA"/>
    </w:rPr>
  </w:style>
  <w:style w:type="character" w:styleId="FollowedHyperlink">
    <w:name w:val="FollowedHyperlink"/>
    <w:basedOn w:val="DefaultParagraphFont"/>
    <w:rsid w:val="00A6232C"/>
    <w:rPr>
      <w:color w:val="000000"/>
      <w:u w:val="none"/>
      <w:effect w:val="antsRed"/>
    </w:rPr>
  </w:style>
  <w:style w:type="character" w:customStyle="1" w:styleId="BMSSuperscript">
    <w:name w:val="BMS Superscript"/>
    <w:rsid w:val="00DF3E21"/>
    <w:rPr>
      <w:sz w:val="28"/>
      <w:vertAlign w:val="superscript"/>
    </w:rPr>
  </w:style>
  <w:style w:type="paragraph" w:customStyle="1" w:styleId="BMSBullets">
    <w:name w:val="BMS Bullets"/>
    <w:basedOn w:val="BMSBodyText0"/>
    <w:rsid w:val="006558A5"/>
    <w:pPr>
      <w:numPr>
        <w:numId w:val="8"/>
      </w:numPr>
      <w:spacing w:before="0" w:after="60" w:line="240" w:lineRule="auto"/>
    </w:pPr>
  </w:style>
  <w:style w:type="character" w:customStyle="1" w:styleId="BMSSubscript">
    <w:name w:val="BMS Subscript"/>
    <w:rsid w:val="006558A5"/>
    <w:rPr>
      <w:sz w:val="28"/>
      <w:vertAlign w:val="subscript"/>
    </w:rPr>
  </w:style>
  <w:style w:type="character" w:customStyle="1" w:styleId="BMSTableTextChar">
    <w:name w:val="BMS Table Text Char"/>
    <w:basedOn w:val="DefaultParagraphFont"/>
    <w:link w:val="BMSTableText"/>
    <w:uiPriority w:val="99"/>
    <w:locked/>
    <w:rsid w:val="006558A5"/>
    <w:rPr>
      <w:rFonts w:ascii="Times New Roman" w:hAnsi="Times New Roman"/>
      <w:lang w:val="en-US" w:eastAsia="en-US" w:bidi="ar-SA"/>
    </w:rPr>
  </w:style>
  <w:style w:type="character" w:customStyle="1" w:styleId="BMSTableHeaderChar">
    <w:name w:val="BMS Table Header Char"/>
    <w:basedOn w:val="DefaultParagraphFont"/>
    <w:link w:val="BMSTableHeader"/>
    <w:uiPriority w:val="99"/>
    <w:locked/>
    <w:rsid w:val="007D2C1C"/>
    <w:rPr>
      <w:rFonts w:ascii="Times New Roman" w:hAnsi="Times New Roman"/>
      <w:b/>
      <w:sz w:val="20"/>
      <w:szCs w:val="20"/>
    </w:rPr>
  </w:style>
  <w:style w:type="character" w:customStyle="1" w:styleId="BMSTableNote">
    <w:name w:val="BMS Table Note"/>
    <w:basedOn w:val="DefaultParagraphFont"/>
    <w:rsid w:val="008E14C9"/>
    <w:rPr>
      <w:rFonts w:ascii="Times New Roman" w:hAnsi="Times New Roman"/>
      <w:dstrike w:val="0"/>
      <w:color w:val="auto"/>
      <w:sz w:val="28"/>
      <w:vertAlign w:val="superscript"/>
    </w:rPr>
  </w:style>
  <w:style w:type="character" w:customStyle="1" w:styleId="BMSHeading2Char">
    <w:name w:val="BMS Heading 2 Char"/>
    <w:basedOn w:val="DefaultParagraphFont"/>
    <w:link w:val="BMSHeading2"/>
    <w:rsid w:val="0036768B"/>
    <w:rPr>
      <w:rFonts w:ascii="Arial" w:eastAsia="Times New Roman" w:hAnsi="Arial"/>
      <w:b/>
      <w:color w:val="000000"/>
      <w:sz w:val="28"/>
      <w:lang w:val="en-US" w:eastAsia="en-US" w:bidi="ar-SA"/>
    </w:rPr>
  </w:style>
  <w:style w:type="paragraph" w:styleId="ListParagraph">
    <w:name w:val="List Paragraph"/>
    <w:basedOn w:val="Normal"/>
    <w:uiPriority w:val="34"/>
    <w:qFormat/>
    <w:rsid w:val="00AE22AB"/>
    <w:pPr>
      <w:ind w:left="720"/>
      <w:contextualSpacing/>
    </w:pPr>
  </w:style>
  <w:style w:type="character" w:styleId="Strong">
    <w:name w:val="Strong"/>
    <w:basedOn w:val="DefaultParagraphFont"/>
    <w:qFormat/>
    <w:locked/>
    <w:rsid w:val="00AE22AB"/>
    <w:rPr>
      <w:b/>
      <w:bCs/>
    </w:rPr>
  </w:style>
  <w:style w:type="paragraph" w:customStyle="1" w:styleId="EMEABodyText">
    <w:name w:val="EMEA Body Text"/>
    <w:basedOn w:val="Normal"/>
    <w:link w:val="EMEABodyTextChar"/>
    <w:uiPriority w:val="99"/>
    <w:rsid w:val="00B00D22"/>
    <w:pPr>
      <w:spacing w:before="0" w:after="0"/>
      <w:jc w:val="left"/>
    </w:pPr>
    <w:rPr>
      <w:rFonts w:eastAsia="Times New Roman"/>
      <w:sz w:val="22"/>
      <w:szCs w:val="20"/>
      <w:lang w:val="en-GB"/>
    </w:rPr>
  </w:style>
  <w:style w:type="character" w:customStyle="1" w:styleId="EMEABodyTextChar">
    <w:name w:val="EMEA Body Text Char"/>
    <w:basedOn w:val="DefaultParagraphFont"/>
    <w:link w:val="EMEABodyText"/>
    <w:uiPriority w:val="99"/>
    <w:locked/>
    <w:rsid w:val="00B00D22"/>
    <w:rPr>
      <w:rFonts w:ascii="Times New Roman" w:eastAsia="Times New Roman" w:hAnsi="Times New Roman"/>
      <w:szCs w:val="20"/>
      <w:lang w:val="en-GB"/>
    </w:rPr>
  </w:style>
  <w:style w:type="paragraph" w:styleId="Caption">
    <w:name w:val="caption"/>
    <w:basedOn w:val="Normal"/>
    <w:next w:val="Normal"/>
    <w:unhideWhenUsed/>
    <w:qFormat/>
    <w:locked/>
    <w:rsid w:val="00FB16BF"/>
    <w:pPr>
      <w:spacing w:before="0" w:after="200"/>
    </w:pPr>
    <w:rPr>
      <w:b/>
      <w:bCs/>
      <w:color w:val="4F81BD"/>
      <w:sz w:val="18"/>
      <w:szCs w:val="18"/>
    </w:rPr>
  </w:style>
</w:styles>
</file>

<file path=word/webSettings.xml><?xml version="1.0" encoding="utf-8"?>
<w:webSettings xmlns:r="http://schemas.openxmlformats.org/officeDocument/2006/relationships" xmlns:w="http://schemas.openxmlformats.org/wordprocessingml/2006/main">
  <w:divs>
    <w:div w:id="211305039">
      <w:bodyDiv w:val="1"/>
      <w:marLeft w:val="0"/>
      <w:marRight w:val="0"/>
      <w:marTop w:val="0"/>
      <w:marBottom w:val="0"/>
      <w:divBdr>
        <w:top w:val="none" w:sz="0" w:space="0" w:color="auto"/>
        <w:left w:val="none" w:sz="0" w:space="0" w:color="auto"/>
        <w:bottom w:val="none" w:sz="0" w:space="0" w:color="auto"/>
        <w:right w:val="none" w:sz="0" w:space="0" w:color="auto"/>
      </w:divBdr>
    </w:div>
    <w:div w:id="214656691">
      <w:bodyDiv w:val="1"/>
      <w:marLeft w:val="0"/>
      <w:marRight w:val="0"/>
      <w:marTop w:val="0"/>
      <w:marBottom w:val="0"/>
      <w:divBdr>
        <w:top w:val="none" w:sz="0" w:space="0" w:color="auto"/>
        <w:left w:val="none" w:sz="0" w:space="0" w:color="auto"/>
        <w:bottom w:val="none" w:sz="0" w:space="0" w:color="auto"/>
        <w:right w:val="none" w:sz="0" w:space="0" w:color="auto"/>
      </w:divBdr>
    </w:div>
    <w:div w:id="738750351">
      <w:bodyDiv w:val="1"/>
      <w:marLeft w:val="0"/>
      <w:marRight w:val="0"/>
      <w:marTop w:val="0"/>
      <w:marBottom w:val="0"/>
      <w:divBdr>
        <w:top w:val="none" w:sz="0" w:space="0" w:color="auto"/>
        <w:left w:val="none" w:sz="0" w:space="0" w:color="auto"/>
        <w:bottom w:val="none" w:sz="0" w:space="0" w:color="auto"/>
        <w:right w:val="none" w:sz="0" w:space="0" w:color="auto"/>
      </w:divBdr>
    </w:div>
    <w:div w:id="1019695467">
      <w:bodyDiv w:val="1"/>
      <w:marLeft w:val="0"/>
      <w:marRight w:val="0"/>
      <w:marTop w:val="0"/>
      <w:marBottom w:val="0"/>
      <w:divBdr>
        <w:top w:val="none" w:sz="0" w:space="0" w:color="auto"/>
        <w:left w:val="none" w:sz="0" w:space="0" w:color="auto"/>
        <w:bottom w:val="none" w:sz="0" w:space="0" w:color="auto"/>
        <w:right w:val="none" w:sz="0" w:space="0" w:color="auto"/>
      </w:divBdr>
    </w:div>
    <w:div w:id="1198620619">
      <w:bodyDiv w:val="1"/>
      <w:marLeft w:val="0"/>
      <w:marRight w:val="0"/>
      <w:marTop w:val="0"/>
      <w:marBottom w:val="0"/>
      <w:divBdr>
        <w:top w:val="none" w:sz="0" w:space="0" w:color="auto"/>
        <w:left w:val="none" w:sz="0" w:space="0" w:color="auto"/>
        <w:bottom w:val="none" w:sz="0" w:space="0" w:color="auto"/>
        <w:right w:val="none" w:sz="0" w:space="0" w:color="auto"/>
      </w:divBdr>
    </w:div>
    <w:div w:id="1445340374">
      <w:bodyDiv w:val="1"/>
      <w:marLeft w:val="0"/>
      <w:marRight w:val="0"/>
      <w:marTop w:val="0"/>
      <w:marBottom w:val="0"/>
      <w:divBdr>
        <w:top w:val="none" w:sz="0" w:space="0" w:color="auto"/>
        <w:left w:val="none" w:sz="0" w:space="0" w:color="auto"/>
        <w:bottom w:val="none" w:sz="0" w:space="0" w:color="auto"/>
        <w:right w:val="none" w:sz="0" w:space="0" w:color="auto"/>
      </w:divBdr>
    </w:div>
    <w:div w:id="1454061643">
      <w:marLeft w:val="0"/>
      <w:marRight w:val="0"/>
      <w:marTop w:val="0"/>
      <w:marBottom w:val="0"/>
      <w:divBdr>
        <w:top w:val="none" w:sz="0" w:space="0" w:color="auto"/>
        <w:left w:val="none" w:sz="0" w:space="0" w:color="auto"/>
        <w:bottom w:val="none" w:sz="0" w:space="0" w:color="auto"/>
        <w:right w:val="none" w:sz="0" w:space="0" w:color="auto"/>
      </w:divBdr>
    </w:div>
    <w:div w:id="1804730746">
      <w:bodyDiv w:val="1"/>
      <w:marLeft w:val="0"/>
      <w:marRight w:val="0"/>
      <w:marTop w:val="0"/>
      <w:marBottom w:val="0"/>
      <w:divBdr>
        <w:top w:val="none" w:sz="0" w:space="0" w:color="auto"/>
        <w:left w:val="none" w:sz="0" w:space="0" w:color="auto"/>
        <w:bottom w:val="none" w:sz="0" w:space="0" w:color="auto"/>
        <w:right w:val="none" w:sz="0" w:space="0" w:color="auto"/>
      </w:divBdr>
    </w:div>
    <w:div w:id="183494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B5CC8-605A-4F25-B57F-1C4FEFAE8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37</Pages>
  <Words>13867</Words>
  <Characters>76552</Characters>
  <Application>Microsoft Office Word</Application>
  <DocSecurity>0</DocSecurity>
  <Lines>2469</Lines>
  <Paragraphs>1808</Paragraphs>
  <ScaleCrop>false</ScaleCrop>
  <HeadingPairs>
    <vt:vector size="2" baseType="variant">
      <vt:variant>
        <vt:lpstr>Title</vt:lpstr>
      </vt:variant>
      <vt:variant>
        <vt:i4>1</vt:i4>
      </vt:variant>
    </vt:vector>
  </HeadingPairs>
  <TitlesOfParts>
    <vt:vector size="1" baseType="lpstr">
      <vt:lpstr>PRODUCT INFORMATION</vt:lpstr>
    </vt:vector>
  </TitlesOfParts>
  <Company/>
  <LinksUpToDate>false</LinksUpToDate>
  <CharactersWithSpaces>88611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Eliquis (Apixaban)</dc:title>
  <dc:subject>prescription medicine regulation</dc:subject>
  <dc:creator>Bristol Myers Squibb Australia Pty Ltd</dc:creator>
  <cp:keywords>prescription, medicine, pi, product information, eliquis, apixaban</cp:keywords>
  <cp:lastModifiedBy>Sheppard, Fran</cp:lastModifiedBy>
  <cp:revision>5</cp:revision>
  <cp:lastPrinted>2013-04-29T02:18:00Z</cp:lastPrinted>
  <dcterms:created xsi:type="dcterms:W3CDTF">2013-08-14T05:21:00Z</dcterms:created>
  <dcterms:modified xsi:type="dcterms:W3CDTF">2013-08-14T06:54:00Z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